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تساهل و تسامح از دیدگاه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68693_274958925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168695_274958925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168697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168699_2749589250">
            <w:r>
              <w:rPr>
                <w:webHidden/>
                <w:rStyle w:val="IndexLink"/>
                <w:rtl w:val="true"/>
              </w:rPr>
              <w:t>بخش اوّل</w:t>
            </w:r>
            <w:r>
              <w:rPr>
                <w:rStyle w:val="IndexLink"/>
                <w:rtl w:val="true"/>
              </w:rPr>
              <w:t xml:space="preserve">: </w:t>
            </w:r>
            <w:r>
              <w:rPr>
                <w:rStyle w:val="IndexLink"/>
                <w:rtl w:val="true"/>
              </w:rPr>
              <w:t>معنای لغوی و اصطلاحی تساهل و تسامح</w:t>
            </w:r>
            <w:r>
              <w:rPr>
                <w:rStyle w:val="IndexLink"/>
                <w:rtl w:val="true"/>
              </w:rPr>
              <w:tab/>
            </w:r>
            <w:r>
              <w:rPr>
                <w:rStyle w:val="IndexLink"/>
              </w:rPr>
              <w:t>11</w:t>
            </w:r>
          </w:hyperlink>
        </w:p>
        <w:p>
          <w:pPr>
            <w:pStyle w:val="Contents3"/>
            <w:tabs>
              <w:tab w:val="clear" w:pos="8459"/>
              <w:tab w:val="right" w:pos="9026" w:leader="dot"/>
            </w:tabs>
            <w:rPr/>
          </w:pPr>
          <w:hyperlink w:anchor="__RefHeading___Toc4168701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168703_2749589250">
            <w:r>
              <w:rPr>
                <w:webHidden/>
                <w:rStyle w:val="IndexLink"/>
                <w:rtl w:val="true"/>
              </w:rPr>
              <w:t>فصل اوّل</w:t>
            </w:r>
            <w:r>
              <w:rPr>
                <w:rStyle w:val="IndexLink"/>
                <w:rtl w:val="true"/>
              </w:rPr>
              <w:t xml:space="preserve">: </w:t>
            </w:r>
            <w:r>
              <w:rPr>
                <w:rStyle w:val="IndexLink"/>
                <w:rtl w:val="true"/>
              </w:rPr>
              <w:t>معنای لغوی تساهل و تسامح</w:t>
            </w:r>
            <w:r>
              <w:rPr>
                <w:rStyle w:val="IndexLink"/>
                <w:rtl w:val="true"/>
              </w:rPr>
              <w:tab/>
            </w:r>
            <w:r>
              <w:rPr>
                <w:rStyle w:val="IndexLink"/>
              </w:rPr>
              <w:t>11</w:t>
            </w:r>
          </w:hyperlink>
        </w:p>
        <w:p>
          <w:pPr>
            <w:pStyle w:val="Contents4"/>
            <w:tabs>
              <w:tab w:val="clear" w:pos="8176"/>
              <w:tab w:val="right" w:pos="9026" w:leader="dot"/>
            </w:tabs>
            <w:rPr/>
          </w:pPr>
          <w:hyperlink w:anchor="__RefHeading___Toc4168705_2749589250">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4168707_2749589250">
            <w:r>
              <w:rPr>
                <w:webHidden/>
                <w:rStyle w:val="IndexLink"/>
                <w:rtl w:val="true"/>
              </w:rPr>
              <w:t>گفتار اول</w:t>
            </w:r>
            <w:r>
              <w:rPr>
                <w:rStyle w:val="IndexLink"/>
                <w:rtl w:val="true"/>
              </w:rPr>
              <w:t xml:space="preserve">: </w:t>
            </w:r>
            <w:r>
              <w:rPr>
                <w:rStyle w:val="IndexLink"/>
                <w:rtl w:val="true"/>
              </w:rPr>
              <w:t>منابع فارسی</w:t>
            </w:r>
            <w:r>
              <w:rPr>
                <w:rStyle w:val="IndexLink"/>
                <w:rtl w:val="true"/>
              </w:rPr>
              <w:tab/>
            </w:r>
            <w:r>
              <w:rPr>
                <w:rStyle w:val="IndexLink"/>
              </w:rPr>
              <w:t>11</w:t>
            </w:r>
          </w:hyperlink>
        </w:p>
        <w:p>
          <w:pPr>
            <w:pStyle w:val="Contents4"/>
            <w:tabs>
              <w:tab w:val="clear" w:pos="8176"/>
              <w:tab w:val="right" w:pos="9026" w:leader="dot"/>
            </w:tabs>
            <w:rPr/>
          </w:pPr>
          <w:hyperlink w:anchor="__RefHeading___Toc4168709_2749589250">
            <w:r>
              <w:rPr>
                <w:webHidden/>
                <w:rStyle w:val="IndexLink"/>
                <w:rtl w:val="true"/>
              </w:rPr>
              <w:t>گفتار دوم</w:t>
            </w:r>
            <w:r>
              <w:rPr>
                <w:rStyle w:val="IndexLink"/>
                <w:rtl w:val="true"/>
              </w:rPr>
              <w:t xml:space="preserve">: </w:t>
            </w:r>
            <w:r>
              <w:rPr>
                <w:rStyle w:val="IndexLink"/>
                <w:rtl w:val="true"/>
              </w:rPr>
              <w:t>منابع عربی</w:t>
            </w:r>
            <w:r>
              <w:rPr>
                <w:rStyle w:val="IndexLink"/>
                <w:rtl w:val="true"/>
              </w:rPr>
              <w:tab/>
            </w:r>
            <w:r>
              <w:rPr>
                <w:rStyle w:val="IndexLink"/>
              </w:rPr>
              <w:t>13</w:t>
            </w:r>
          </w:hyperlink>
        </w:p>
        <w:p>
          <w:pPr>
            <w:pStyle w:val="Contents4"/>
            <w:tabs>
              <w:tab w:val="clear" w:pos="8176"/>
              <w:tab w:val="right" w:pos="9026" w:leader="dot"/>
            </w:tabs>
            <w:rPr/>
          </w:pPr>
          <w:hyperlink w:anchor="__RefHeading___Toc4168711_2749589250">
            <w:r>
              <w:rPr>
                <w:webHidden/>
                <w:rStyle w:val="IndexLink"/>
                <w:rtl w:val="true"/>
              </w:rPr>
              <w:t>جمع بندی معنای لغوی</w:t>
            </w:r>
            <w:r>
              <w:rPr>
                <w:rStyle w:val="IndexLink"/>
                <w:rtl w:val="true"/>
              </w:rPr>
              <w:tab/>
            </w:r>
            <w:r>
              <w:rPr>
                <w:rStyle w:val="IndexLink"/>
              </w:rPr>
              <w:t>15</w:t>
            </w:r>
          </w:hyperlink>
        </w:p>
        <w:p>
          <w:pPr>
            <w:pStyle w:val="Contents3"/>
            <w:tabs>
              <w:tab w:val="clear" w:pos="8459"/>
              <w:tab w:val="right" w:pos="9026" w:leader="dot"/>
            </w:tabs>
            <w:rPr/>
          </w:pPr>
          <w:hyperlink w:anchor="__RefHeading___Toc4168713_2749589250">
            <w:r>
              <w:rPr>
                <w:webHidden/>
                <w:rStyle w:val="IndexLink"/>
                <w:rtl w:val="true"/>
              </w:rPr>
              <w:t>فصل دوم</w:t>
            </w:r>
            <w:r>
              <w:rPr>
                <w:rStyle w:val="IndexLink"/>
                <w:rtl w:val="true"/>
              </w:rPr>
              <w:t xml:space="preserve">: </w:t>
            </w:r>
            <w:r>
              <w:rPr>
                <w:rStyle w:val="IndexLink"/>
                <w:rtl w:val="true"/>
              </w:rPr>
              <w:t>معنای اصطلاحی تساهل و تسامح</w:t>
            </w:r>
            <w:r>
              <w:rPr>
                <w:rStyle w:val="IndexLink"/>
                <w:rtl w:val="true"/>
              </w:rPr>
              <w:tab/>
            </w:r>
            <w:r>
              <w:rPr>
                <w:rStyle w:val="IndexLink"/>
              </w:rPr>
              <w:t>16</w:t>
            </w:r>
          </w:hyperlink>
        </w:p>
        <w:p>
          <w:pPr>
            <w:pStyle w:val="Contents4"/>
            <w:tabs>
              <w:tab w:val="clear" w:pos="8176"/>
              <w:tab w:val="right" w:pos="9026" w:leader="dot"/>
            </w:tabs>
            <w:rPr/>
          </w:pPr>
          <w:hyperlink w:anchor="__RefHeading___Toc4168715_274958925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4168717_2749589250">
            <w:r>
              <w:rPr>
                <w:webHidden/>
                <w:rStyle w:val="IndexLink"/>
                <w:rtl w:val="true"/>
              </w:rPr>
              <w:t>الف</w:t>
            </w:r>
            <w:r>
              <w:rPr>
                <w:rStyle w:val="IndexLink"/>
                <w:rtl w:val="true"/>
              </w:rPr>
              <w:t xml:space="preserve">: </w:t>
            </w:r>
            <w:r>
              <w:rPr>
                <w:rStyle w:val="IndexLink"/>
                <w:rtl w:val="true"/>
              </w:rPr>
              <w:t>اصطلاح ادبی تسامح</w:t>
            </w:r>
            <w:r>
              <w:rPr>
                <w:rStyle w:val="IndexLink"/>
                <w:rtl w:val="true"/>
              </w:rPr>
              <w:tab/>
            </w:r>
            <w:r>
              <w:rPr>
                <w:rStyle w:val="IndexLink"/>
              </w:rPr>
              <w:t>16</w:t>
            </w:r>
          </w:hyperlink>
        </w:p>
        <w:p>
          <w:pPr>
            <w:pStyle w:val="Contents4"/>
            <w:tabs>
              <w:tab w:val="clear" w:pos="8176"/>
              <w:tab w:val="right" w:pos="9026" w:leader="dot"/>
            </w:tabs>
            <w:rPr/>
          </w:pPr>
          <w:hyperlink w:anchor="__RefHeading___Toc4168719_2749589250">
            <w:r>
              <w:rPr>
                <w:webHidden/>
                <w:rStyle w:val="IndexLink"/>
                <w:rtl w:val="true"/>
              </w:rPr>
              <w:t>ب</w:t>
            </w:r>
            <w:r>
              <w:rPr>
                <w:rStyle w:val="IndexLink"/>
                <w:rtl w:val="true"/>
              </w:rPr>
              <w:t xml:space="preserve">: </w:t>
            </w:r>
            <w:r>
              <w:rPr>
                <w:rStyle w:val="IndexLink"/>
                <w:rtl w:val="true"/>
              </w:rPr>
              <w:t>اصطلاح فقهی تسامح</w:t>
            </w:r>
            <w:r>
              <w:rPr>
                <w:rStyle w:val="IndexLink"/>
                <w:rtl w:val="true"/>
              </w:rPr>
              <w:tab/>
            </w:r>
            <w:r>
              <w:rPr>
                <w:rStyle w:val="IndexLink"/>
              </w:rPr>
              <w:t>16</w:t>
            </w:r>
          </w:hyperlink>
        </w:p>
        <w:p>
          <w:pPr>
            <w:pStyle w:val="Contents4"/>
            <w:tabs>
              <w:tab w:val="clear" w:pos="8176"/>
              <w:tab w:val="right" w:pos="9026" w:leader="dot"/>
            </w:tabs>
            <w:rPr/>
          </w:pPr>
          <w:hyperlink w:anchor="__RefHeading___Toc4168721_2749589250">
            <w:r>
              <w:rPr>
                <w:webHidden/>
                <w:rStyle w:val="IndexLink"/>
                <w:rtl w:val="true"/>
              </w:rPr>
              <w:t>ج</w:t>
            </w:r>
            <w:r>
              <w:rPr>
                <w:rStyle w:val="IndexLink"/>
                <w:rtl w:val="true"/>
              </w:rPr>
              <w:t xml:space="preserve">: </w:t>
            </w:r>
            <w:r>
              <w:rPr>
                <w:rStyle w:val="IndexLink"/>
                <w:rtl w:val="true"/>
              </w:rPr>
              <w:t>اصطلاح حقوقی تسامح</w:t>
            </w:r>
            <w:r>
              <w:rPr>
                <w:rStyle w:val="IndexLink"/>
                <w:rtl w:val="true"/>
              </w:rPr>
              <w:tab/>
            </w:r>
            <w:r>
              <w:rPr>
                <w:rStyle w:val="IndexLink"/>
              </w:rPr>
              <w:t>17</w:t>
            </w:r>
          </w:hyperlink>
        </w:p>
        <w:p>
          <w:pPr>
            <w:pStyle w:val="Contents4"/>
            <w:tabs>
              <w:tab w:val="clear" w:pos="8176"/>
              <w:tab w:val="right" w:pos="9026" w:leader="dot"/>
            </w:tabs>
            <w:rPr/>
          </w:pPr>
          <w:hyperlink w:anchor="__RefHeading___Toc4168723_2749589250">
            <w:r>
              <w:rPr>
                <w:webHidden/>
                <w:rStyle w:val="IndexLink"/>
                <w:rtl w:val="true"/>
              </w:rPr>
              <w:t>د</w:t>
            </w:r>
            <w:r>
              <w:rPr>
                <w:rStyle w:val="IndexLink"/>
                <w:rtl w:val="true"/>
              </w:rPr>
              <w:t xml:space="preserve">: </w:t>
            </w:r>
            <w:r>
              <w:rPr>
                <w:rStyle w:val="IndexLink"/>
                <w:rtl w:val="true"/>
              </w:rPr>
              <w:t>اصطلاح فلسفی و سیاسی تسامح</w:t>
            </w:r>
            <w:r>
              <w:rPr>
                <w:rStyle w:val="IndexLink"/>
                <w:rtl w:val="true"/>
              </w:rPr>
              <w:tab/>
            </w:r>
            <w:r>
              <w:rPr>
                <w:rStyle w:val="IndexLink"/>
              </w:rPr>
              <w:t>18</w:t>
            </w:r>
          </w:hyperlink>
        </w:p>
        <w:p>
          <w:pPr>
            <w:pStyle w:val="Contents2"/>
            <w:tabs>
              <w:tab w:val="clear" w:pos="8743"/>
              <w:tab w:val="right" w:pos="9026" w:leader="dot"/>
            </w:tabs>
            <w:rPr/>
          </w:pPr>
          <w:hyperlink w:anchor="__RefHeading___Toc4168725_2749589250">
            <w:r>
              <w:rPr>
                <w:webHidden/>
                <w:rStyle w:val="IndexLink"/>
                <w:rtl w:val="true"/>
              </w:rPr>
              <w:t>بخش دوم</w:t>
            </w:r>
            <w:r>
              <w:rPr>
                <w:rStyle w:val="IndexLink"/>
                <w:rtl w:val="true"/>
              </w:rPr>
              <w:t xml:space="preserve">: </w:t>
            </w:r>
            <w:r>
              <w:rPr>
                <w:rStyle w:val="IndexLink"/>
                <w:rtl w:val="true"/>
              </w:rPr>
              <w:t>بررسی تاریخ و مبانی تساهل و تسامح از دیدگاه امام علی علیه السلام و غرب</w:t>
            </w:r>
            <w:r>
              <w:rPr>
                <w:rStyle w:val="IndexLink"/>
                <w:rtl w:val="true"/>
              </w:rPr>
              <w:tab/>
            </w:r>
            <w:r>
              <w:rPr>
                <w:rStyle w:val="IndexLink"/>
              </w:rPr>
              <w:t>21</w:t>
            </w:r>
          </w:hyperlink>
        </w:p>
        <w:p>
          <w:pPr>
            <w:pStyle w:val="Contents3"/>
            <w:tabs>
              <w:tab w:val="clear" w:pos="8459"/>
              <w:tab w:val="right" w:pos="9026" w:leader="dot"/>
            </w:tabs>
            <w:rPr/>
          </w:pPr>
          <w:hyperlink w:anchor="__RefHeading___Toc4168727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168729_2749589250">
            <w:r>
              <w:rPr>
                <w:webHidden/>
                <w:rStyle w:val="IndexLink"/>
                <w:rtl w:val="true"/>
              </w:rPr>
              <w:t>فصل اوّل</w:t>
            </w:r>
            <w:r>
              <w:rPr>
                <w:rStyle w:val="IndexLink"/>
                <w:rtl w:val="true"/>
              </w:rPr>
              <w:t xml:space="preserve">: </w:t>
            </w:r>
            <w:r>
              <w:rPr>
                <w:rStyle w:val="IndexLink"/>
                <w:rtl w:val="true"/>
              </w:rPr>
              <w:t>پیشینه ی تاریخی تساهل و تسامح در غرب</w:t>
            </w:r>
            <w:r>
              <w:rPr>
                <w:rStyle w:val="IndexLink"/>
                <w:rtl w:val="true"/>
              </w:rPr>
              <w:tab/>
            </w:r>
            <w:r>
              <w:rPr>
                <w:rStyle w:val="IndexLink"/>
              </w:rPr>
              <w:t>21</w:t>
            </w:r>
          </w:hyperlink>
        </w:p>
        <w:p>
          <w:pPr>
            <w:pStyle w:val="Contents4"/>
            <w:tabs>
              <w:tab w:val="clear" w:pos="8176"/>
              <w:tab w:val="right" w:pos="9026" w:leader="dot"/>
            </w:tabs>
            <w:rPr/>
          </w:pPr>
          <w:hyperlink w:anchor="__RefHeading___Toc4168731_274958925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168733_2749589250">
            <w:r>
              <w:rPr>
                <w:webHidden/>
                <w:rStyle w:val="IndexLink"/>
                <w:rtl w:val="true"/>
              </w:rPr>
              <w:t>نقش کلیسا در پیدایش تسامح</w:t>
            </w:r>
            <w:r>
              <w:rPr>
                <w:rStyle w:val="IndexLink"/>
                <w:rtl w:val="true"/>
              </w:rPr>
              <w:tab/>
            </w:r>
            <w:r>
              <w:rPr>
                <w:rStyle w:val="IndexLink"/>
              </w:rPr>
              <w:t>21</w:t>
            </w:r>
          </w:hyperlink>
        </w:p>
        <w:p>
          <w:pPr>
            <w:pStyle w:val="Contents4"/>
            <w:tabs>
              <w:tab w:val="clear" w:pos="8176"/>
              <w:tab w:val="right" w:pos="9026" w:leader="dot"/>
            </w:tabs>
            <w:rPr/>
          </w:pPr>
          <w:hyperlink w:anchor="__RefHeading___Toc4168735_2749589250">
            <w:r>
              <w:rPr>
                <w:webHidden/>
                <w:rStyle w:val="IndexLink"/>
                <w:rtl w:val="true"/>
              </w:rPr>
              <w:t>نگرش منفی و مثبت به تسامح</w:t>
            </w:r>
            <w:r>
              <w:rPr>
                <w:rStyle w:val="IndexLink"/>
                <w:rtl w:val="true"/>
              </w:rPr>
              <w:tab/>
            </w:r>
            <w:r>
              <w:rPr>
                <w:rStyle w:val="IndexLink"/>
              </w:rPr>
              <w:t>22</w:t>
            </w:r>
          </w:hyperlink>
        </w:p>
        <w:p>
          <w:pPr>
            <w:pStyle w:val="Contents4"/>
            <w:tabs>
              <w:tab w:val="clear" w:pos="8176"/>
              <w:tab w:val="right" w:pos="9026" w:leader="dot"/>
            </w:tabs>
            <w:rPr/>
          </w:pPr>
          <w:hyperlink w:anchor="__RefHeading___Toc4168737_2749589250">
            <w:r>
              <w:rPr>
                <w:webHidden/>
                <w:rStyle w:val="IndexLink"/>
                <w:rtl w:val="true"/>
              </w:rPr>
              <w:t>استدلال کاتولیک ها</w:t>
            </w:r>
            <w:r>
              <w:rPr>
                <w:rStyle w:val="IndexLink"/>
                <w:rtl w:val="true"/>
              </w:rPr>
              <w:tab/>
            </w:r>
            <w:r>
              <w:rPr>
                <w:rStyle w:val="IndexLink"/>
              </w:rPr>
              <w:t>22</w:t>
            </w:r>
          </w:hyperlink>
        </w:p>
        <w:p>
          <w:pPr>
            <w:pStyle w:val="Contents4"/>
            <w:tabs>
              <w:tab w:val="clear" w:pos="8176"/>
              <w:tab w:val="right" w:pos="9026" w:leader="dot"/>
            </w:tabs>
            <w:rPr/>
          </w:pPr>
          <w:hyperlink w:anchor="__RefHeading___Toc4168739_2749589250">
            <w:r>
              <w:rPr>
                <w:webHidden/>
                <w:rStyle w:val="IndexLink"/>
                <w:rtl w:val="true"/>
              </w:rPr>
              <w:t>فرمان نانت و الغای آن</w:t>
            </w:r>
            <w:r>
              <w:rPr>
                <w:rStyle w:val="IndexLink"/>
                <w:rtl w:val="true"/>
              </w:rPr>
              <w:tab/>
            </w:r>
            <w:r>
              <w:rPr>
                <w:rStyle w:val="IndexLink"/>
              </w:rPr>
              <w:t>23</w:t>
            </w:r>
          </w:hyperlink>
        </w:p>
        <w:p>
          <w:pPr>
            <w:pStyle w:val="Contents4"/>
            <w:tabs>
              <w:tab w:val="clear" w:pos="8176"/>
              <w:tab w:val="right" w:pos="9026" w:leader="dot"/>
            </w:tabs>
            <w:rPr/>
          </w:pPr>
          <w:hyperlink w:anchor="__RefHeading___Toc4168741_2749589250">
            <w:r>
              <w:rPr>
                <w:webHidden/>
                <w:rStyle w:val="IndexLink"/>
                <w:rtl w:val="true"/>
              </w:rPr>
              <w:t>تساهل در فرهنگ اروپا</w:t>
            </w:r>
            <w:r>
              <w:rPr>
                <w:rStyle w:val="IndexLink"/>
                <w:rtl w:val="true"/>
              </w:rPr>
              <w:tab/>
            </w:r>
            <w:r>
              <w:rPr>
                <w:rStyle w:val="IndexLink"/>
              </w:rPr>
              <w:t>23</w:t>
            </w:r>
          </w:hyperlink>
        </w:p>
        <w:p>
          <w:pPr>
            <w:pStyle w:val="Contents4"/>
            <w:tabs>
              <w:tab w:val="clear" w:pos="8176"/>
              <w:tab w:val="right" w:pos="9026" w:leader="dot"/>
            </w:tabs>
            <w:rPr/>
          </w:pPr>
          <w:hyperlink w:anchor="__RefHeading___Toc4168743_2749589250">
            <w:r>
              <w:rPr>
                <w:webHidden/>
                <w:rStyle w:val="IndexLink"/>
                <w:rtl w:val="true"/>
              </w:rPr>
              <w:t>اعتقاد به حقانیّت مطلق و خشونت متقابل</w:t>
            </w:r>
            <w:r>
              <w:rPr>
                <w:rStyle w:val="IndexLink"/>
                <w:rtl w:val="true"/>
              </w:rPr>
              <w:tab/>
            </w:r>
            <w:r>
              <w:rPr>
                <w:rStyle w:val="IndexLink"/>
              </w:rPr>
              <w:t>24</w:t>
            </w:r>
          </w:hyperlink>
        </w:p>
        <w:p>
          <w:pPr>
            <w:pStyle w:val="Contents4"/>
            <w:tabs>
              <w:tab w:val="clear" w:pos="8176"/>
              <w:tab w:val="right" w:pos="9026" w:leader="dot"/>
            </w:tabs>
            <w:rPr/>
          </w:pPr>
          <w:hyperlink w:anchor="__RefHeading___Toc4168745_2749589250">
            <w:r>
              <w:rPr>
                <w:webHidden/>
                <w:rStyle w:val="IndexLink"/>
                <w:rtl w:val="true"/>
              </w:rPr>
              <w:t>سه دیدگاه در دفاع از تساهل</w:t>
            </w:r>
            <w:r>
              <w:rPr>
                <w:rStyle w:val="IndexLink"/>
                <w:rtl w:val="true"/>
              </w:rPr>
              <w:tab/>
            </w:r>
            <w:r>
              <w:rPr>
                <w:rStyle w:val="IndexLink"/>
              </w:rPr>
              <w:t>25</w:t>
            </w:r>
          </w:hyperlink>
        </w:p>
        <w:p>
          <w:pPr>
            <w:pStyle w:val="Contents5"/>
            <w:tabs>
              <w:tab w:val="clear" w:pos="7892"/>
              <w:tab w:val="right" w:pos="9026" w:leader="dot"/>
            </w:tabs>
            <w:rPr/>
          </w:pPr>
          <w:hyperlink w:anchor="__RefHeading___Toc4168747_2749589250">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4168749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دفاع سیاسی از عدم تساهل</w:t>
            </w:r>
            <w:r>
              <w:rPr>
                <w:rStyle w:val="IndexLink"/>
                <w:rtl w:val="true"/>
              </w:rPr>
              <w:tab/>
            </w:r>
            <w:r>
              <w:rPr>
                <w:rStyle w:val="IndexLink"/>
              </w:rPr>
              <w:t>25</w:t>
            </w:r>
          </w:hyperlink>
        </w:p>
        <w:p>
          <w:pPr>
            <w:pStyle w:val="Contents5"/>
            <w:tabs>
              <w:tab w:val="clear" w:pos="7892"/>
              <w:tab w:val="right" w:pos="9026" w:leader="dot"/>
            </w:tabs>
            <w:rPr/>
          </w:pPr>
          <w:hyperlink w:anchor="__RefHeading___Toc4168751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دفاع سیاسی از تساهل</w:t>
            </w:r>
            <w:r>
              <w:rPr>
                <w:rStyle w:val="IndexLink"/>
                <w:rtl w:val="true"/>
              </w:rPr>
              <w:tab/>
            </w:r>
            <w:r>
              <w:rPr>
                <w:rStyle w:val="IndexLink"/>
              </w:rPr>
              <w:t>25</w:t>
            </w:r>
          </w:hyperlink>
        </w:p>
        <w:p>
          <w:pPr>
            <w:pStyle w:val="Contents5"/>
            <w:tabs>
              <w:tab w:val="clear" w:pos="7892"/>
              <w:tab w:val="right" w:pos="9026" w:leader="dot"/>
            </w:tabs>
            <w:rPr/>
          </w:pPr>
          <w:hyperlink w:anchor="__RefHeading___Toc4168753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دفاع مذهبی از عدم تساهل</w:t>
            </w:r>
            <w:r>
              <w:rPr>
                <w:rStyle w:val="IndexLink"/>
                <w:rtl w:val="true"/>
              </w:rPr>
              <w:tab/>
            </w:r>
            <w:r>
              <w:rPr>
                <w:rStyle w:val="IndexLink"/>
              </w:rPr>
              <w:t>25</w:t>
            </w:r>
          </w:hyperlink>
        </w:p>
        <w:p>
          <w:pPr>
            <w:pStyle w:val="Contents5"/>
            <w:tabs>
              <w:tab w:val="clear" w:pos="7892"/>
              <w:tab w:val="right" w:pos="9026" w:leader="dot"/>
            </w:tabs>
            <w:rPr/>
          </w:pPr>
          <w:hyperlink w:anchor="__RefHeading___Toc4168755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دفاع مذهبی از تساهل</w:t>
            </w:r>
            <w:r>
              <w:rPr>
                <w:rStyle w:val="IndexLink"/>
                <w:rtl w:val="true"/>
              </w:rPr>
              <w:tab/>
            </w:r>
            <w:r>
              <w:rPr>
                <w:rStyle w:val="IndexLink"/>
              </w:rPr>
              <w:t>26</w:t>
            </w:r>
          </w:hyperlink>
        </w:p>
        <w:p>
          <w:pPr>
            <w:pStyle w:val="Contents5"/>
            <w:tabs>
              <w:tab w:val="clear" w:pos="7892"/>
              <w:tab w:val="right" w:pos="9026" w:leader="dot"/>
            </w:tabs>
            <w:rPr/>
          </w:pPr>
          <w:hyperlink w:anchor="__RefHeading___Toc4168757_2749589250">
            <w:r>
              <w:rPr>
                <w:webHidden/>
                <w:rStyle w:val="IndexLink"/>
              </w:rPr>
              <w:t>1</w:t>
            </w:r>
            <w:r>
              <w:rPr>
                <w:rStyle w:val="IndexLink"/>
                <w:rtl w:val="true"/>
              </w:rPr>
              <w:t>ـ</w:t>
            </w:r>
            <w:r>
              <w:rPr>
                <w:rStyle w:val="IndexLink"/>
              </w:rPr>
              <w:t>3</w:t>
            </w:r>
            <w:r>
              <w:rPr>
                <w:rStyle w:val="IndexLink"/>
                <w:rtl w:val="true"/>
              </w:rPr>
              <w:t xml:space="preserve"> </w:t>
            </w:r>
            <w:r>
              <w:rPr>
                <w:rStyle w:val="IndexLink"/>
                <w:rtl w:val="true"/>
              </w:rPr>
              <w:t>دفاع فلسفی از عدم تساهل</w:t>
            </w:r>
            <w:r>
              <w:rPr>
                <w:rStyle w:val="IndexLink"/>
                <w:rtl w:val="true"/>
              </w:rPr>
              <w:tab/>
            </w:r>
            <w:r>
              <w:rPr>
                <w:rStyle w:val="IndexLink"/>
              </w:rPr>
              <w:t>26</w:t>
            </w:r>
          </w:hyperlink>
        </w:p>
        <w:p>
          <w:pPr>
            <w:pStyle w:val="Contents5"/>
            <w:tabs>
              <w:tab w:val="clear" w:pos="7892"/>
              <w:tab w:val="right" w:pos="9026" w:leader="dot"/>
            </w:tabs>
            <w:rPr/>
          </w:pPr>
          <w:hyperlink w:anchor="__RefHeading___Toc4168759_2749589250">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دفاع فلسفی از تساهل</w:t>
            </w:r>
            <w:r>
              <w:rPr>
                <w:rStyle w:val="IndexLink"/>
                <w:rtl w:val="true"/>
              </w:rPr>
              <w:tab/>
            </w:r>
            <w:r>
              <w:rPr>
                <w:rStyle w:val="IndexLink"/>
              </w:rPr>
              <w:t>27</w:t>
            </w:r>
          </w:hyperlink>
        </w:p>
        <w:p>
          <w:pPr>
            <w:pStyle w:val="Contents4"/>
            <w:tabs>
              <w:tab w:val="clear" w:pos="8176"/>
              <w:tab w:val="right" w:pos="9026" w:leader="dot"/>
            </w:tabs>
            <w:rPr/>
          </w:pPr>
          <w:hyperlink w:anchor="__RefHeading___Toc4168761_2749589250">
            <w:r>
              <w:rPr>
                <w:webHidden/>
                <w:rStyle w:val="IndexLink"/>
                <w:rtl w:val="true"/>
              </w:rPr>
              <w:t>استدلال پوپر درباره ی تساهل تئوریک</w:t>
            </w:r>
            <w:r>
              <w:rPr>
                <w:rStyle w:val="IndexLink"/>
                <w:rtl w:val="true"/>
              </w:rPr>
              <w:tab/>
            </w:r>
            <w:r>
              <w:rPr>
                <w:rStyle w:val="IndexLink"/>
              </w:rPr>
              <w:t>29</w:t>
            </w:r>
          </w:hyperlink>
        </w:p>
        <w:p>
          <w:pPr>
            <w:pStyle w:val="Contents4"/>
            <w:tabs>
              <w:tab w:val="clear" w:pos="8176"/>
              <w:tab w:val="right" w:pos="9026" w:leader="dot"/>
            </w:tabs>
            <w:rPr/>
          </w:pPr>
          <w:hyperlink w:anchor="__RefHeading___Toc4168763_2749589250">
            <w:r>
              <w:rPr>
                <w:webHidden/>
                <w:rStyle w:val="IndexLink"/>
                <w:rtl w:val="true"/>
              </w:rPr>
              <w:t>نتیجه</w:t>
            </w:r>
            <w:r>
              <w:rPr>
                <w:rStyle w:val="IndexLink"/>
                <w:rtl w:val="true"/>
              </w:rPr>
              <w:tab/>
            </w:r>
            <w:r>
              <w:rPr>
                <w:rStyle w:val="IndexLink"/>
              </w:rPr>
              <w:t>30</w:t>
            </w:r>
          </w:hyperlink>
        </w:p>
        <w:p>
          <w:pPr>
            <w:pStyle w:val="Contents3"/>
            <w:tabs>
              <w:tab w:val="clear" w:pos="8459"/>
              <w:tab w:val="right" w:pos="9026" w:leader="dot"/>
            </w:tabs>
            <w:rPr/>
          </w:pPr>
          <w:hyperlink w:anchor="__RefHeading___Toc4168765_2749589250">
            <w:r>
              <w:rPr>
                <w:webHidden/>
                <w:rStyle w:val="IndexLink"/>
                <w:rtl w:val="true"/>
              </w:rPr>
              <w:t>فصل دوم</w:t>
            </w:r>
            <w:r>
              <w:rPr>
                <w:rStyle w:val="IndexLink"/>
                <w:rtl w:val="true"/>
              </w:rPr>
              <w:t xml:space="preserve">: </w:t>
            </w:r>
            <w:r>
              <w:rPr>
                <w:rStyle w:val="IndexLink"/>
                <w:rtl w:val="true"/>
              </w:rPr>
              <w:t>مقایسه ی مبانی تسامح از دیدگاه امام علی علیه السلام و غرب</w:t>
            </w:r>
            <w:r>
              <w:rPr>
                <w:rStyle w:val="IndexLink"/>
                <w:rtl w:val="true"/>
              </w:rPr>
              <w:tab/>
            </w:r>
            <w:r>
              <w:rPr>
                <w:rStyle w:val="IndexLink"/>
              </w:rPr>
              <w:t>31</w:t>
            </w:r>
          </w:hyperlink>
        </w:p>
        <w:p>
          <w:pPr>
            <w:pStyle w:val="Contents4"/>
            <w:tabs>
              <w:tab w:val="clear" w:pos="8176"/>
              <w:tab w:val="right" w:pos="9026" w:leader="dot"/>
            </w:tabs>
            <w:rPr/>
          </w:pPr>
          <w:hyperlink w:anchor="__RefHeading___Toc4168767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4168769_2749589250">
            <w:r>
              <w:rPr>
                <w:webHidden/>
                <w:rStyle w:val="IndexLink"/>
                <w:rtl w:val="true"/>
              </w:rPr>
              <w:t>حقانیت مطلق اسلام از دیدگاه امام علی علیه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4168771_2749589250">
            <w:r>
              <w:rPr>
                <w:webHidden/>
                <w:rStyle w:val="IndexLink"/>
                <w:rtl w:val="true"/>
              </w:rPr>
              <w:t>اتحاد دین با سیاست از دیدگاه امام علی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4168773_2749589250">
            <w:r>
              <w:rPr>
                <w:webHidden/>
                <w:rStyle w:val="IndexLink"/>
                <w:rtl w:val="true"/>
              </w:rPr>
              <w:t>اقامه ی حدود الهی؛ وظیفه ی حاکم اسلامی</w:t>
            </w:r>
            <w:r>
              <w:rPr>
                <w:rStyle w:val="IndexLink"/>
                <w:rtl w:val="true"/>
              </w:rPr>
              <w:tab/>
            </w:r>
            <w:r>
              <w:rPr>
                <w:rStyle w:val="IndexLink"/>
              </w:rPr>
              <w:t>33</w:t>
            </w:r>
          </w:hyperlink>
        </w:p>
        <w:p>
          <w:pPr>
            <w:pStyle w:val="Contents4"/>
            <w:tabs>
              <w:tab w:val="clear" w:pos="8176"/>
              <w:tab w:val="right" w:pos="9026" w:leader="dot"/>
            </w:tabs>
            <w:rPr/>
          </w:pPr>
          <w:hyperlink w:anchor="__RefHeading___Toc4168775_2749589250">
            <w:r>
              <w:rPr>
                <w:webHidden/>
                <w:rStyle w:val="IndexLink"/>
                <w:rtl w:val="true"/>
              </w:rPr>
              <w:t>اجرای حدّ شرب خمر بر نجاشی شاعر و قطع دست دزد</w:t>
            </w:r>
            <w:r>
              <w:rPr>
                <w:rStyle w:val="IndexLink"/>
                <w:rtl w:val="true"/>
              </w:rPr>
              <w:tab/>
            </w:r>
            <w:r>
              <w:rPr>
                <w:rStyle w:val="IndexLink"/>
              </w:rPr>
              <w:t>35</w:t>
            </w:r>
          </w:hyperlink>
        </w:p>
        <w:p>
          <w:pPr>
            <w:pStyle w:val="Contents2"/>
            <w:tabs>
              <w:tab w:val="clear" w:pos="8743"/>
              <w:tab w:val="right" w:pos="9026" w:leader="dot"/>
            </w:tabs>
            <w:rPr/>
          </w:pPr>
          <w:hyperlink w:anchor="__RefHeading___Toc4168777_2749589250">
            <w:r>
              <w:rPr>
                <w:webHidden/>
                <w:rStyle w:val="IndexLink"/>
                <w:rtl w:val="true"/>
              </w:rPr>
              <w:t>بخش سوم</w:t>
            </w:r>
            <w:r>
              <w:rPr>
                <w:rStyle w:val="IndexLink"/>
                <w:rtl w:val="true"/>
              </w:rPr>
              <w:t xml:space="preserve">: </w:t>
            </w:r>
            <w:r>
              <w:rPr>
                <w:rStyle w:val="IndexLink"/>
                <w:rtl w:val="true"/>
              </w:rPr>
              <w:t>بررسی تاریخ تسامح در سیره ی امام علی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168779_274958925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168781_2749589250">
            <w:r>
              <w:rPr>
                <w:webHidden/>
                <w:rStyle w:val="IndexLink"/>
                <w:rtl w:val="true"/>
              </w:rPr>
              <w:t>فصل اوّل</w:t>
            </w:r>
            <w:r>
              <w:rPr>
                <w:rStyle w:val="IndexLink"/>
                <w:rtl w:val="true"/>
              </w:rPr>
              <w:t xml:space="preserve">: </w:t>
            </w:r>
            <w:r>
              <w:rPr>
                <w:rStyle w:val="IndexLink"/>
                <w:rtl w:val="true"/>
              </w:rPr>
              <w:t>امام علی علیه السلام و تساهل مذهبی</w:t>
            </w:r>
            <w:r>
              <w:rPr>
                <w:rStyle w:val="IndexLink"/>
                <w:rtl w:val="true"/>
              </w:rPr>
              <w:tab/>
            </w:r>
            <w:r>
              <w:rPr>
                <w:rStyle w:val="IndexLink"/>
              </w:rPr>
              <w:t>37</w:t>
            </w:r>
          </w:hyperlink>
        </w:p>
        <w:p>
          <w:pPr>
            <w:pStyle w:val="Contents4"/>
            <w:tabs>
              <w:tab w:val="clear" w:pos="8176"/>
              <w:tab w:val="right" w:pos="9026" w:leader="dot"/>
            </w:tabs>
            <w:rPr/>
          </w:pPr>
          <w:hyperlink w:anchor="__RefHeading___Toc4168783_274958925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4168785_2749589250">
            <w:r>
              <w:rPr>
                <w:webHidden/>
                <w:rStyle w:val="IndexLink"/>
                <w:rtl w:val="true"/>
              </w:rPr>
              <w:t>علی علیه السلام و اهل کتاب</w:t>
            </w:r>
            <w:r>
              <w:rPr>
                <w:rStyle w:val="IndexLink"/>
                <w:rtl w:val="true"/>
              </w:rPr>
              <w:tab/>
            </w:r>
            <w:r>
              <w:rPr>
                <w:rStyle w:val="IndexLink"/>
              </w:rPr>
              <w:t>39</w:t>
            </w:r>
          </w:hyperlink>
        </w:p>
        <w:p>
          <w:pPr>
            <w:pStyle w:val="Contents5"/>
            <w:tabs>
              <w:tab w:val="clear" w:pos="7892"/>
              <w:tab w:val="right" w:pos="9026" w:leader="dot"/>
            </w:tabs>
            <w:rPr/>
          </w:pPr>
          <w:hyperlink w:anchor="__RefHeading___Toc4168787_274958925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168789_2749589250">
            <w:r>
              <w:rPr>
                <w:webHidden/>
                <w:rStyle w:val="IndexLink"/>
              </w:rPr>
              <w:t>1</w:t>
            </w:r>
            <w:r>
              <w:rPr>
                <w:rStyle w:val="IndexLink"/>
                <w:rtl w:val="true"/>
              </w:rPr>
              <w:t xml:space="preserve"> </w:t>
            </w:r>
            <w:r>
              <w:rPr>
                <w:rStyle w:val="IndexLink"/>
                <w:rtl w:val="true"/>
              </w:rPr>
              <w:t>ـ علی علیه السلام و همسفر کتابی</w:t>
            </w:r>
            <w:r>
              <w:rPr>
                <w:rStyle w:val="IndexLink"/>
                <w:rtl w:val="true"/>
              </w:rPr>
              <w:tab/>
            </w:r>
            <w:r>
              <w:rPr>
                <w:rStyle w:val="IndexLink"/>
              </w:rPr>
              <w:t>40</w:t>
            </w:r>
          </w:hyperlink>
        </w:p>
        <w:p>
          <w:pPr>
            <w:pStyle w:val="Contents5"/>
            <w:tabs>
              <w:tab w:val="clear" w:pos="7892"/>
              <w:tab w:val="right" w:pos="9026" w:leader="dot"/>
            </w:tabs>
            <w:rPr/>
          </w:pPr>
          <w:hyperlink w:anchor="__RefHeading___Toc4168791_2749589250">
            <w:r>
              <w:rPr>
                <w:webHidden/>
                <w:rStyle w:val="IndexLink"/>
              </w:rPr>
              <w:t>2</w:t>
            </w:r>
            <w:r>
              <w:rPr>
                <w:rStyle w:val="IndexLink"/>
                <w:rtl w:val="true"/>
              </w:rPr>
              <w:t xml:space="preserve"> </w:t>
            </w:r>
            <w:r>
              <w:rPr>
                <w:rStyle w:val="IndexLink"/>
                <w:rtl w:val="true"/>
              </w:rPr>
              <w:t>ـ علی علیه السلام و مرد یهودی در دادگاه</w:t>
            </w:r>
            <w:r>
              <w:rPr>
                <w:rStyle w:val="IndexLink"/>
                <w:rtl w:val="true"/>
              </w:rPr>
              <w:tab/>
            </w:r>
            <w:r>
              <w:rPr>
                <w:rStyle w:val="IndexLink"/>
              </w:rPr>
              <w:t>41</w:t>
            </w:r>
          </w:hyperlink>
        </w:p>
        <w:p>
          <w:pPr>
            <w:pStyle w:val="Contents5"/>
            <w:tabs>
              <w:tab w:val="clear" w:pos="7892"/>
              <w:tab w:val="right" w:pos="9026" w:leader="dot"/>
            </w:tabs>
            <w:rPr/>
          </w:pPr>
          <w:hyperlink w:anchor="__RefHeading___Toc4168793_2749589250">
            <w:r>
              <w:rPr>
                <w:webHidden/>
                <w:rStyle w:val="IndexLink"/>
              </w:rPr>
              <w:t>3</w:t>
            </w:r>
            <w:r>
              <w:rPr>
                <w:rStyle w:val="IndexLink"/>
                <w:rtl w:val="true"/>
              </w:rPr>
              <w:t xml:space="preserve"> </w:t>
            </w:r>
            <w:r>
              <w:rPr>
                <w:rStyle w:val="IndexLink"/>
                <w:rtl w:val="true"/>
              </w:rPr>
              <w:t>ـ توبیخ حاکم فارس به دلیل بدرفتاری با زرتشتیان</w:t>
            </w:r>
            <w:r>
              <w:rPr>
                <w:rStyle w:val="IndexLink"/>
                <w:rtl w:val="true"/>
              </w:rPr>
              <w:tab/>
            </w:r>
            <w:r>
              <w:rPr>
                <w:rStyle w:val="IndexLink"/>
              </w:rPr>
              <w:t>42</w:t>
            </w:r>
          </w:hyperlink>
        </w:p>
        <w:p>
          <w:pPr>
            <w:pStyle w:val="Contents5"/>
            <w:tabs>
              <w:tab w:val="clear" w:pos="7892"/>
              <w:tab w:val="right" w:pos="9026" w:leader="dot"/>
            </w:tabs>
            <w:rPr/>
          </w:pPr>
          <w:hyperlink w:anchor="__RefHeading___Toc4168795_2749589250">
            <w:r>
              <w:rPr>
                <w:webHidden/>
                <w:rStyle w:val="IndexLink"/>
              </w:rPr>
              <w:t>4</w:t>
            </w:r>
            <w:r>
              <w:rPr>
                <w:rStyle w:val="IndexLink"/>
                <w:rtl w:val="true"/>
              </w:rPr>
              <w:t xml:space="preserve"> </w:t>
            </w:r>
            <w:r>
              <w:rPr>
                <w:rStyle w:val="IndexLink"/>
                <w:rtl w:val="true"/>
              </w:rPr>
              <w:t>ـ حقوق بازنشستگی برای مرد نصرانی</w:t>
            </w:r>
            <w:r>
              <w:rPr>
                <w:rStyle w:val="IndexLink"/>
                <w:rtl w:val="true"/>
              </w:rPr>
              <w:tab/>
            </w:r>
            <w:r>
              <w:rPr>
                <w:rStyle w:val="IndexLink"/>
              </w:rPr>
              <w:t>44</w:t>
            </w:r>
          </w:hyperlink>
        </w:p>
        <w:p>
          <w:pPr>
            <w:pStyle w:val="Contents5"/>
            <w:tabs>
              <w:tab w:val="clear" w:pos="7892"/>
              <w:tab w:val="right" w:pos="9026" w:leader="dot"/>
            </w:tabs>
            <w:rPr/>
          </w:pPr>
          <w:hyperlink w:anchor="__RefHeading___Toc4168797_2749589250">
            <w:r>
              <w:rPr>
                <w:webHidden/>
                <w:rStyle w:val="IndexLink"/>
              </w:rPr>
              <w:t>5</w:t>
            </w:r>
            <w:r>
              <w:rPr>
                <w:rStyle w:val="IndexLink"/>
                <w:rtl w:val="true"/>
              </w:rPr>
              <w:t xml:space="preserve"> </w:t>
            </w:r>
            <w:r>
              <w:rPr>
                <w:rStyle w:val="IndexLink"/>
                <w:rtl w:val="true"/>
              </w:rPr>
              <w:t>ـ اندوه شدید علی علیه السلام از تعدّی به یک زن نامسلمان</w:t>
            </w:r>
            <w:r>
              <w:rPr>
                <w:rStyle w:val="IndexLink"/>
                <w:rtl w:val="true"/>
              </w:rPr>
              <w:tab/>
            </w:r>
            <w:r>
              <w:rPr>
                <w:rStyle w:val="IndexLink"/>
              </w:rPr>
              <w:t>45</w:t>
            </w:r>
          </w:hyperlink>
        </w:p>
        <w:p>
          <w:pPr>
            <w:pStyle w:val="Contents5"/>
            <w:tabs>
              <w:tab w:val="clear" w:pos="7892"/>
              <w:tab w:val="right" w:pos="9026" w:leader="dot"/>
            </w:tabs>
            <w:rPr/>
          </w:pPr>
          <w:hyperlink w:anchor="__RefHeading___Toc4168799_2749589250">
            <w:r>
              <w:rPr>
                <w:webHidden/>
                <w:rStyle w:val="IndexLink"/>
              </w:rPr>
              <w:t>6</w:t>
            </w:r>
            <w:r>
              <w:rPr>
                <w:rStyle w:val="IndexLink"/>
                <w:rtl w:val="true"/>
              </w:rPr>
              <w:t xml:space="preserve"> </w:t>
            </w:r>
            <w:r>
              <w:rPr>
                <w:rStyle w:val="IndexLink"/>
                <w:rtl w:val="true"/>
              </w:rPr>
              <w:t>ـ علی علیه السلام و بحث آزاد با اهل کتاب</w:t>
            </w:r>
            <w:r>
              <w:rPr>
                <w:rStyle w:val="IndexLink"/>
                <w:rtl w:val="true"/>
              </w:rPr>
              <w:tab/>
            </w:r>
            <w:r>
              <w:rPr>
                <w:rStyle w:val="IndexLink"/>
              </w:rPr>
              <w:t>48</w:t>
            </w:r>
          </w:hyperlink>
        </w:p>
        <w:p>
          <w:pPr>
            <w:pStyle w:val="Contents6"/>
            <w:tabs>
              <w:tab w:val="clear" w:pos="7609"/>
              <w:tab w:val="right" w:pos="9026" w:leader="dot"/>
            </w:tabs>
            <w:rPr/>
          </w:pPr>
          <w:hyperlink w:anchor="__RefHeading___Toc4168801_2749589250">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4168803_2749589250">
            <w:r>
              <w:rPr>
                <w:webHidden/>
                <w:rStyle w:val="IndexLink"/>
                <w:rtl w:val="true"/>
              </w:rPr>
              <w:t>الف</w:t>
            </w:r>
            <w:r>
              <w:rPr>
                <w:rStyle w:val="IndexLink"/>
                <w:rtl w:val="true"/>
              </w:rPr>
              <w:t xml:space="preserve">: </w:t>
            </w:r>
            <w:r>
              <w:rPr>
                <w:rStyle w:val="IndexLink"/>
                <w:rtl w:val="true"/>
              </w:rPr>
              <w:t>علی علیه السلام و اسقف مسیحی</w:t>
            </w:r>
            <w:r>
              <w:rPr>
                <w:rStyle w:val="IndexLink"/>
                <w:rtl w:val="true"/>
              </w:rPr>
              <w:tab/>
            </w:r>
            <w:r>
              <w:rPr>
                <w:rStyle w:val="IndexLink"/>
              </w:rPr>
              <w:t>48</w:t>
            </w:r>
          </w:hyperlink>
        </w:p>
        <w:p>
          <w:pPr>
            <w:pStyle w:val="Contents6"/>
            <w:tabs>
              <w:tab w:val="clear" w:pos="7609"/>
              <w:tab w:val="right" w:pos="9026" w:leader="dot"/>
            </w:tabs>
            <w:rPr/>
          </w:pPr>
          <w:hyperlink w:anchor="__RefHeading___Toc4168805_2749589250">
            <w:r>
              <w:rPr>
                <w:webHidden/>
                <w:rStyle w:val="IndexLink"/>
                <w:rtl w:val="true"/>
              </w:rPr>
              <w:t>ب</w:t>
            </w:r>
            <w:r>
              <w:rPr>
                <w:rStyle w:val="IndexLink"/>
                <w:rtl w:val="true"/>
              </w:rPr>
              <w:t xml:space="preserve">: </w:t>
            </w:r>
            <w:r>
              <w:rPr>
                <w:rStyle w:val="IndexLink"/>
                <w:rtl w:val="true"/>
              </w:rPr>
              <w:t>علی علیه السلام و دانشمندان یهود و نصارا</w:t>
            </w:r>
            <w:r>
              <w:rPr>
                <w:rStyle w:val="IndexLink"/>
                <w:rtl w:val="true"/>
              </w:rPr>
              <w:tab/>
            </w:r>
            <w:r>
              <w:rPr>
                <w:rStyle w:val="IndexLink"/>
              </w:rPr>
              <w:t>49</w:t>
            </w:r>
          </w:hyperlink>
        </w:p>
        <w:p>
          <w:pPr>
            <w:pStyle w:val="Contents3"/>
            <w:tabs>
              <w:tab w:val="clear" w:pos="8459"/>
              <w:tab w:val="right" w:pos="9026" w:leader="dot"/>
            </w:tabs>
            <w:rPr/>
          </w:pPr>
          <w:hyperlink w:anchor="__RefHeading___Toc4168807_2749589250">
            <w:r>
              <w:rPr>
                <w:webHidden/>
                <w:rStyle w:val="IndexLink"/>
                <w:rtl w:val="true"/>
              </w:rPr>
              <w:t>فصل دوم</w:t>
            </w:r>
            <w:r>
              <w:rPr>
                <w:rStyle w:val="IndexLink"/>
                <w:rtl w:val="true"/>
              </w:rPr>
              <w:t xml:space="preserve">: </w:t>
            </w:r>
            <w:r>
              <w:rPr>
                <w:rStyle w:val="IndexLink"/>
                <w:rtl w:val="true"/>
              </w:rPr>
              <w:t>امام علی علیه السلام و تساهل اخلاقی</w:t>
            </w:r>
            <w:r>
              <w:rPr>
                <w:rStyle w:val="IndexLink"/>
                <w:rtl w:val="true"/>
              </w:rPr>
              <w:tab/>
            </w:r>
            <w:r>
              <w:rPr>
                <w:rStyle w:val="IndexLink"/>
              </w:rPr>
              <w:t>50</w:t>
            </w:r>
          </w:hyperlink>
        </w:p>
        <w:p>
          <w:pPr>
            <w:pStyle w:val="Contents4"/>
            <w:tabs>
              <w:tab w:val="clear" w:pos="8176"/>
              <w:tab w:val="right" w:pos="9026" w:leader="dot"/>
            </w:tabs>
            <w:rPr/>
          </w:pPr>
          <w:hyperlink w:anchor="__RefHeading___Toc4168809_2749589250">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168811_2749589250">
            <w:r>
              <w:rPr>
                <w:webHidden/>
                <w:rStyle w:val="IndexLink"/>
              </w:rPr>
              <w:t>1</w:t>
            </w:r>
            <w:r>
              <w:rPr>
                <w:rStyle w:val="IndexLink"/>
                <w:rtl w:val="true"/>
              </w:rPr>
              <w:t xml:space="preserve"> </w:t>
            </w:r>
            <w:r>
              <w:rPr>
                <w:rStyle w:val="IndexLink"/>
                <w:rtl w:val="true"/>
              </w:rPr>
              <w:t>ـ عفو عایشه در جنگ جمل</w:t>
            </w:r>
            <w:r>
              <w:rPr>
                <w:rStyle w:val="IndexLink"/>
                <w:rtl w:val="true"/>
              </w:rPr>
              <w:tab/>
            </w:r>
            <w:r>
              <w:rPr>
                <w:rStyle w:val="IndexLink"/>
              </w:rPr>
              <w:t>51</w:t>
            </w:r>
          </w:hyperlink>
        </w:p>
        <w:p>
          <w:pPr>
            <w:pStyle w:val="Contents4"/>
            <w:tabs>
              <w:tab w:val="clear" w:pos="8176"/>
              <w:tab w:val="right" w:pos="9026" w:leader="dot"/>
            </w:tabs>
            <w:rPr/>
          </w:pPr>
          <w:hyperlink w:anchor="__RefHeading___Toc4168813_2749589250">
            <w:r>
              <w:rPr>
                <w:webHidden/>
                <w:rStyle w:val="IndexLink"/>
              </w:rPr>
              <w:t>2</w:t>
            </w:r>
            <w:r>
              <w:rPr>
                <w:rStyle w:val="IndexLink"/>
                <w:rtl w:val="true"/>
              </w:rPr>
              <w:t xml:space="preserve"> </w:t>
            </w:r>
            <w:r>
              <w:rPr>
                <w:rStyle w:val="IndexLink"/>
                <w:rtl w:val="true"/>
              </w:rPr>
              <w:t>ـ دستور منع تعقیب و قتل مجروحان</w:t>
            </w:r>
            <w:r>
              <w:rPr>
                <w:rStyle w:val="IndexLink"/>
                <w:rtl w:val="true"/>
              </w:rPr>
              <w:tab/>
            </w:r>
            <w:r>
              <w:rPr>
                <w:rStyle w:val="IndexLink"/>
              </w:rPr>
              <w:t>51</w:t>
            </w:r>
          </w:hyperlink>
        </w:p>
        <w:p>
          <w:pPr>
            <w:pStyle w:val="Contents4"/>
            <w:tabs>
              <w:tab w:val="clear" w:pos="8176"/>
              <w:tab w:val="right" w:pos="9026" w:leader="dot"/>
            </w:tabs>
            <w:rPr/>
          </w:pPr>
          <w:hyperlink w:anchor="__RefHeading___Toc4168815_2749589250">
            <w:r>
              <w:rPr>
                <w:webHidden/>
                <w:rStyle w:val="IndexLink"/>
              </w:rPr>
              <w:t>3</w:t>
            </w:r>
            <w:r>
              <w:rPr>
                <w:rStyle w:val="IndexLink"/>
                <w:rtl w:val="true"/>
              </w:rPr>
              <w:t xml:space="preserve"> </w:t>
            </w:r>
            <w:r>
              <w:rPr>
                <w:rStyle w:val="IndexLink"/>
                <w:rtl w:val="true"/>
              </w:rPr>
              <w:t>ـ عفو موسی بن طلحه</w:t>
            </w:r>
            <w:r>
              <w:rPr>
                <w:rStyle w:val="IndexLink"/>
                <w:rtl w:val="true"/>
              </w:rPr>
              <w:tab/>
            </w:r>
            <w:r>
              <w:rPr>
                <w:rStyle w:val="IndexLink"/>
              </w:rPr>
              <w:t>52</w:t>
            </w:r>
          </w:hyperlink>
        </w:p>
        <w:p>
          <w:pPr>
            <w:pStyle w:val="Contents4"/>
            <w:tabs>
              <w:tab w:val="clear" w:pos="8176"/>
              <w:tab w:val="right" w:pos="9026" w:leader="dot"/>
            </w:tabs>
            <w:rPr/>
          </w:pPr>
          <w:hyperlink w:anchor="__RefHeading___Toc4168817_2749589250">
            <w:r>
              <w:rPr>
                <w:webHidden/>
                <w:rStyle w:val="IndexLink"/>
              </w:rPr>
              <w:t>4</w:t>
            </w:r>
            <w:r>
              <w:rPr>
                <w:rStyle w:val="IndexLink"/>
                <w:rtl w:val="true"/>
              </w:rPr>
              <w:t xml:space="preserve"> </w:t>
            </w:r>
            <w:r>
              <w:rPr>
                <w:rStyle w:val="IndexLink"/>
                <w:rtl w:val="true"/>
              </w:rPr>
              <w:t>ـ مخالفت با بردگی اسیران</w:t>
            </w:r>
            <w:r>
              <w:rPr>
                <w:rStyle w:val="IndexLink"/>
                <w:rtl w:val="true"/>
              </w:rPr>
              <w:tab/>
            </w:r>
            <w:r>
              <w:rPr>
                <w:rStyle w:val="IndexLink"/>
              </w:rPr>
              <w:t>53</w:t>
            </w:r>
          </w:hyperlink>
        </w:p>
        <w:p>
          <w:pPr>
            <w:pStyle w:val="Contents4"/>
            <w:tabs>
              <w:tab w:val="clear" w:pos="8176"/>
              <w:tab w:val="right" w:pos="9026" w:leader="dot"/>
            </w:tabs>
            <w:rPr/>
          </w:pPr>
          <w:hyperlink w:anchor="__RefHeading___Toc4168819_2749589250">
            <w:r>
              <w:rPr>
                <w:webHidden/>
                <w:rStyle w:val="IndexLink"/>
              </w:rPr>
              <w:t>5</w:t>
            </w:r>
            <w:r>
              <w:rPr>
                <w:rStyle w:val="IndexLink"/>
                <w:rtl w:val="true"/>
              </w:rPr>
              <w:t xml:space="preserve"> </w:t>
            </w:r>
            <w:r>
              <w:rPr>
                <w:rStyle w:val="IndexLink"/>
                <w:rtl w:val="true"/>
              </w:rPr>
              <w:t>ـ عفو مروان حکم</w:t>
            </w:r>
            <w:r>
              <w:rPr>
                <w:rStyle w:val="IndexLink"/>
                <w:rtl w:val="true"/>
              </w:rPr>
              <w:tab/>
            </w:r>
            <w:r>
              <w:rPr>
                <w:rStyle w:val="IndexLink"/>
              </w:rPr>
              <w:t>54</w:t>
            </w:r>
          </w:hyperlink>
        </w:p>
        <w:p>
          <w:pPr>
            <w:pStyle w:val="Contents4"/>
            <w:tabs>
              <w:tab w:val="clear" w:pos="8176"/>
              <w:tab w:val="right" w:pos="9026" w:leader="dot"/>
            </w:tabs>
            <w:rPr/>
          </w:pPr>
          <w:hyperlink w:anchor="__RefHeading___Toc4168821_2749589250">
            <w:r>
              <w:rPr>
                <w:webHidden/>
                <w:rStyle w:val="IndexLink"/>
              </w:rPr>
              <w:t>6</w:t>
            </w:r>
            <w:r>
              <w:rPr>
                <w:rStyle w:val="IndexLink"/>
                <w:rtl w:val="true"/>
              </w:rPr>
              <w:t xml:space="preserve"> </w:t>
            </w:r>
            <w:r>
              <w:rPr>
                <w:rStyle w:val="IndexLink"/>
                <w:rtl w:val="true"/>
              </w:rPr>
              <w:t>ـ عفو عبدالله بن زبیر</w:t>
            </w:r>
            <w:r>
              <w:rPr>
                <w:rStyle w:val="IndexLink"/>
                <w:rtl w:val="true"/>
              </w:rPr>
              <w:tab/>
            </w:r>
            <w:r>
              <w:rPr>
                <w:rStyle w:val="IndexLink"/>
              </w:rPr>
              <w:t>56</w:t>
            </w:r>
          </w:hyperlink>
        </w:p>
        <w:p>
          <w:pPr>
            <w:pStyle w:val="Contents4"/>
            <w:tabs>
              <w:tab w:val="clear" w:pos="8176"/>
              <w:tab w:val="right" w:pos="9026" w:leader="dot"/>
            </w:tabs>
            <w:rPr/>
          </w:pPr>
          <w:hyperlink w:anchor="__RefHeading___Toc4168823_2749589250">
            <w:r>
              <w:rPr>
                <w:webHidden/>
                <w:rStyle w:val="IndexLink"/>
              </w:rPr>
              <w:t>7</w:t>
            </w:r>
            <w:r>
              <w:rPr>
                <w:rStyle w:val="IndexLink"/>
                <w:rtl w:val="true"/>
              </w:rPr>
              <w:t xml:space="preserve"> </w:t>
            </w:r>
            <w:r>
              <w:rPr>
                <w:rStyle w:val="IndexLink"/>
                <w:rtl w:val="true"/>
              </w:rPr>
              <w:t>ـ عفو سعید بن عاص و فرزندان عثمان</w:t>
            </w:r>
            <w:r>
              <w:rPr>
                <w:rStyle w:val="IndexLink"/>
                <w:rtl w:val="true"/>
              </w:rPr>
              <w:tab/>
            </w:r>
            <w:r>
              <w:rPr>
                <w:rStyle w:val="IndexLink"/>
              </w:rPr>
              <w:t>57</w:t>
            </w:r>
          </w:hyperlink>
        </w:p>
        <w:p>
          <w:pPr>
            <w:pStyle w:val="Contents4"/>
            <w:tabs>
              <w:tab w:val="clear" w:pos="8176"/>
              <w:tab w:val="right" w:pos="9026" w:leader="dot"/>
            </w:tabs>
            <w:rPr/>
          </w:pPr>
          <w:hyperlink w:anchor="__RefHeading___Toc4168825_2749589250">
            <w:r>
              <w:rPr>
                <w:webHidden/>
                <w:rStyle w:val="IndexLink"/>
              </w:rPr>
              <w:t>8</w:t>
            </w:r>
            <w:r>
              <w:rPr>
                <w:rStyle w:val="IndexLink"/>
                <w:rtl w:val="true"/>
              </w:rPr>
              <w:t xml:space="preserve"> </w:t>
            </w:r>
            <w:r>
              <w:rPr>
                <w:rStyle w:val="IndexLink"/>
                <w:rtl w:val="true"/>
              </w:rPr>
              <w:t>ـ عفو مردم بصره</w:t>
            </w:r>
            <w:r>
              <w:rPr>
                <w:rStyle w:val="IndexLink"/>
                <w:rtl w:val="true"/>
              </w:rPr>
              <w:tab/>
            </w:r>
            <w:r>
              <w:rPr>
                <w:rStyle w:val="IndexLink"/>
              </w:rPr>
              <w:t>58</w:t>
            </w:r>
          </w:hyperlink>
        </w:p>
        <w:p>
          <w:pPr>
            <w:pStyle w:val="Contents4"/>
            <w:tabs>
              <w:tab w:val="clear" w:pos="8176"/>
              <w:tab w:val="right" w:pos="9026" w:leader="dot"/>
            </w:tabs>
            <w:rPr/>
          </w:pPr>
          <w:hyperlink w:anchor="__RefHeading___Toc4168827_2749589250">
            <w:r>
              <w:rPr>
                <w:webHidden/>
                <w:rStyle w:val="IndexLink"/>
              </w:rPr>
              <w:t>9</w:t>
            </w:r>
            <w:r>
              <w:rPr>
                <w:rStyle w:val="IndexLink"/>
                <w:rtl w:val="true"/>
              </w:rPr>
              <w:t xml:space="preserve"> </w:t>
            </w:r>
            <w:r>
              <w:rPr>
                <w:rStyle w:val="IndexLink"/>
                <w:rtl w:val="true"/>
              </w:rPr>
              <w:t>ـ گفتار نیکوی علی درباره ی کشتگان جمل</w:t>
            </w:r>
            <w:r>
              <w:rPr>
                <w:rStyle w:val="IndexLink"/>
                <w:rtl w:val="true"/>
              </w:rPr>
              <w:tab/>
            </w:r>
            <w:r>
              <w:rPr>
                <w:rStyle w:val="IndexLink"/>
              </w:rPr>
              <w:t>59</w:t>
            </w:r>
          </w:hyperlink>
        </w:p>
        <w:p>
          <w:pPr>
            <w:pStyle w:val="Contents5"/>
            <w:tabs>
              <w:tab w:val="clear" w:pos="7892"/>
              <w:tab w:val="right" w:pos="9026" w:leader="dot"/>
            </w:tabs>
            <w:rPr/>
          </w:pPr>
          <w:hyperlink w:anchor="__RefHeading___Toc4168829_274958925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168831_2749589250">
            <w:r>
              <w:rPr>
                <w:webHidden/>
                <w:rStyle w:val="IndexLink"/>
                <w:rtl w:val="true"/>
              </w:rPr>
              <w:t>بر بالین عبدالله بن خلف</w:t>
            </w:r>
            <w:r>
              <w:rPr>
                <w:rStyle w:val="IndexLink"/>
                <w:rtl w:val="true"/>
              </w:rPr>
              <w:tab/>
            </w:r>
            <w:r>
              <w:rPr>
                <w:rStyle w:val="IndexLink"/>
              </w:rPr>
              <w:t>60</w:t>
            </w:r>
          </w:hyperlink>
        </w:p>
        <w:p>
          <w:pPr>
            <w:pStyle w:val="Contents5"/>
            <w:tabs>
              <w:tab w:val="clear" w:pos="7892"/>
              <w:tab w:val="right" w:pos="9026" w:leader="dot"/>
            </w:tabs>
            <w:rPr/>
          </w:pPr>
          <w:hyperlink w:anchor="__RefHeading___Toc4168833_2749589250">
            <w:r>
              <w:rPr>
                <w:webHidden/>
                <w:rStyle w:val="IndexLink"/>
                <w:rtl w:val="true"/>
              </w:rPr>
              <w:t>بر بالین معبد بن مقداد</w:t>
            </w:r>
            <w:r>
              <w:rPr>
                <w:rStyle w:val="IndexLink"/>
                <w:rtl w:val="true"/>
              </w:rPr>
              <w:tab/>
            </w:r>
            <w:r>
              <w:rPr>
                <w:rStyle w:val="IndexLink"/>
              </w:rPr>
              <w:t>61</w:t>
            </w:r>
          </w:hyperlink>
        </w:p>
        <w:p>
          <w:pPr>
            <w:pStyle w:val="Contents5"/>
            <w:tabs>
              <w:tab w:val="clear" w:pos="7892"/>
              <w:tab w:val="right" w:pos="9026" w:leader="dot"/>
            </w:tabs>
            <w:rPr/>
          </w:pPr>
          <w:hyperlink w:anchor="__RefHeading___Toc4168835_2749589250">
            <w:r>
              <w:rPr>
                <w:webHidden/>
                <w:rStyle w:val="IndexLink"/>
                <w:rtl w:val="true"/>
              </w:rPr>
              <w:t>بر بالین کعب بن سور</w:t>
            </w:r>
            <w:r>
              <w:rPr>
                <w:rStyle w:val="IndexLink"/>
                <w:rtl w:val="true"/>
              </w:rPr>
              <w:tab/>
            </w:r>
            <w:r>
              <w:rPr>
                <w:rStyle w:val="IndexLink"/>
              </w:rPr>
              <w:t>61</w:t>
            </w:r>
          </w:hyperlink>
        </w:p>
        <w:p>
          <w:pPr>
            <w:pStyle w:val="Contents5"/>
            <w:tabs>
              <w:tab w:val="clear" w:pos="7892"/>
              <w:tab w:val="right" w:pos="9026" w:leader="dot"/>
            </w:tabs>
            <w:rPr/>
          </w:pPr>
          <w:hyperlink w:anchor="__RefHeading___Toc4168837_2749589250">
            <w:r>
              <w:rPr>
                <w:webHidden/>
                <w:rStyle w:val="IndexLink"/>
                <w:rtl w:val="true"/>
              </w:rPr>
              <w:t>بر بالین عبدالرحمنِ بن عِتاب بنِ اُسَید</w:t>
            </w:r>
            <w:r>
              <w:rPr>
                <w:rStyle w:val="IndexLink"/>
                <w:rtl w:val="true"/>
              </w:rPr>
              <w:tab/>
            </w:r>
            <w:r>
              <w:rPr>
                <w:rStyle w:val="IndexLink"/>
              </w:rPr>
              <w:t>62</w:t>
            </w:r>
          </w:hyperlink>
        </w:p>
        <w:p>
          <w:pPr>
            <w:pStyle w:val="Contents5"/>
            <w:tabs>
              <w:tab w:val="clear" w:pos="7892"/>
              <w:tab w:val="right" w:pos="9026" w:leader="dot"/>
            </w:tabs>
            <w:rPr/>
          </w:pPr>
          <w:hyperlink w:anchor="__RefHeading___Toc4168839_2749589250">
            <w:r>
              <w:rPr>
                <w:webHidden/>
                <w:rStyle w:val="IndexLink"/>
                <w:rtl w:val="true"/>
              </w:rPr>
              <w:t>خودداری امام علی علیه السلام از آغاز کردن جنگ</w:t>
            </w:r>
            <w:r>
              <w:rPr>
                <w:rStyle w:val="IndexLink"/>
                <w:rtl w:val="true"/>
              </w:rPr>
              <w:tab/>
            </w:r>
            <w:r>
              <w:rPr>
                <w:rStyle w:val="IndexLink"/>
              </w:rPr>
              <w:t>63</w:t>
            </w:r>
          </w:hyperlink>
        </w:p>
        <w:p>
          <w:pPr>
            <w:pStyle w:val="Contents4"/>
            <w:tabs>
              <w:tab w:val="clear" w:pos="8176"/>
              <w:tab w:val="right" w:pos="9026" w:leader="dot"/>
            </w:tabs>
            <w:rPr/>
          </w:pPr>
          <w:hyperlink w:anchor="__RefHeading___Toc4168841_2749589250">
            <w:r>
              <w:rPr>
                <w:webHidden/>
                <w:rStyle w:val="IndexLink"/>
              </w:rPr>
              <w:t>10</w:t>
            </w:r>
            <w:r>
              <w:rPr>
                <w:rStyle w:val="IndexLink"/>
                <w:rtl w:val="true"/>
              </w:rPr>
              <w:t xml:space="preserve"> </w:t>
            </w:r>
            <w:r>
              <w:rPr>
                <w:rStyle w:val="IndexLink"/>
                <w:rtl w:val="true"/>
              </w:rPr>
              <w:t>ـ صلح جویی امام در جنگ جمل</w:t>
            </w:r>
            <w:r>
              <w:rPr>
                <w:rStyle w:val="IndexLink"/>
                <w:rtl w:val="true"/>
              </w:rPr>
              <w:tab/>
            </w:r>
            <w:r>
              <w:rPr>
                <w:rStyle w:val="IndexLink"/>
              </w:rPr>
              <w:t>63</w:t>
            </w:r>
          </w:hyperlink>
        </w:p>
        <w:p>
          <w:pPr>
            <w:pStyle w:val="Contents5"/>
            <w:tabs>
              <w:tab w:val="clear" w:pos="7892"/>
              <w:tab w:val="right" w:pos="9026" w:leader="dot"/>
            </w:tabs>
            <w:rPr/>
          </w:pPr>
          <w:hyperlink w:anchor="__RefHeading___Toc4168843_2749589250">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4168845_2749589250">
            <w:r>
              <w:rPr>
                <w:webHidden/>
                <w:rStyle w:val="IndexLink"/>
                <w:rtl w:val="true"/>
              </w:rPr>
              <w:t>آغاز حمله از سوی سپاه جمل</w:t>
            </w:r>
            <w:r>
              <w:rPr>
                <w:rStyle w:val="IndexLink"/>
                <w:rtl w:val="true"/>
              </w:rPr>
              <w:tab/>
            </w:r>
            <w:r>
              <w:rPr>
                <w:rStyle w:val="IndexLink"/>
              </w:rPr>
              <w:t>64</w:t>
            </w:r>
          </w:hyperlink>
        </w:p>
        <w:p>
          <w:pPr>
            <w:pStyle w:val="Contents5"/>
            <w:tabs>
              <w:tab w:val="clear" w:pos="7892"/>
              <w:tab w:val="right" w:pos="9026" w:leader="dot"/>
            </w:tabs>
            <w:rPr/>
          </w:pPr>
          <w:hyperlink w:anchor="__RefHeading___Toc4168847_2749589250">
            <w:r>
              <w:rPr>
                <w:webHidden/>
                <w:rStyle w:val="IndexLink"/>
                <w:rtl w:val="true"/>
              </w:rPr>
              <w:t>دستور تعقیب نکردن فراریان و مجروحان</w:t>
            </w:r>
            <w:r>
              <w:rPr>
                <w:rStyle w:val="IndexLink"/>
                <w:rtl w:val="true"/>
              </w:rPr>
              <w:tab/>
            </w:r>
            <w:r>
              <w:rPr>
                <w:rStyle w:val="IndexLink"/>
              </w:rPr>
              <w:t>65</w:t>
            </w:r>
          </w:hyperlink>
        </w:p>
        <w:p>
          <w:pPr>
            <w:pStyle w:val="Contents5"/>
            <w:tabs>
              <w:tab w:val="clear" w:pos="7892"/>
              <w:tab w:val="right" w:pos="9026" w:leader="dot"/>
            </w:tabs>
            <w:rPr/>
          </w:pPr>
          <w:hyperlink w:anchor="__RefHeading___Toc4168849_2749589250">
            <w:r>
              <w:rPr>
                <w:webHidden/>
                <w:rStyle w:val="IndexLink"/>
                <w:rtl w:val="true"/>
              </w:rPr>
              <w:t>فرمان عفو عمومی</w:t>
            </w:r>
            <w:r>
              <w:rPr>
                <w:rStyle w:val="IndexLink"/>
                <w:rtl w:val="true"/>
              </w:rPr>
              <w:tab/>
            </w:r>
            <w:r>
              <w:rPr>
                <w:rStyle w:val="IndexLink"/>
              </w:rPr>
              <w:t>65</w:t>
            </w:r>
          </w:hyperlink>
        </w:p>
        <w:p>
          <w:pPr>
            <w:pStyle w:val="Contents4"/>
            <w:tabs>
              <w:tab w:val="clear" w:pos="8176"/>
              <w:tab w:val="right" w:pos="9026" w:leader="dot"/>
            </w:tabs>
            <w:rPr/>
          </w:pPr>
          <w:hyperlink w:anchor="__RefHeading___Toc4168851_2749589250">
            <w:r>
              <w:rPr>
                <w:webHidden/>
                <w:rStyle w:val="IndexLink"/>
              </w:rPr>
              <w:t>11</w:t>
            </w:r>
            <w:r>
              <w:rPr>
                <w:rStyle w:val="IndexLink"/>
                <w:rtl w:val="true"/>
              </w:rPr>
              <w:t xml:space="preserve"> </w:t>
            </w:r>
            <w:r>
              <w:rPr>
                <w:rStyle w:val="IndexLink"/>
                <w:rtl w:val="true"/>
              </w:rPr>
              <w:t>ـ کوشش برای جلوگیری از خون ریزی در صفین</w:t>
            </w:r>
            <w:r>
              <w:rPr>
                <w:rStyle w:val="IndexLink"/>
                <w:rtl w:val="true"/>
              </w:rPr>
              <w:tab/>
            </w:r>
            <w:r>
              <w:rPr>
                <w:rStyle w:val="IndexLink"/>
              </w:rPr>
              <w:t>66</w:t>
            </w:r>
          </w:hyperlink>
        </w:p>
        <w:p>
          <w:pPr>
            <w:pStyle w:val="Contents4"/>
            <w:tabs>
              <w:tab w:val="clear" w:pos="8176"/>
              <w:tab w:val="right" w:pos="9026" w:leader="dot"/>
            </w:tabs>
            <w:rPr/>
          </w:pPr>
          <w:hyperlink w:anchor="__RefHeading___Toc4168853_2749589250">
            <w:r>
              <w:rPr>
                <w:webHidden/>
                <w:rStyle w:val="IndexLink"/>
              </w:rPr>
              <w:t>12</w:t>
            </w:r>
            <w:r>
              <w:rPr>
                <w:rStyle w:val="IndexLink"/>
                <w:rtl w:val="true"/>
              </w:rPr>
              <w:t xml:space="preserve"> </w:t>
            </w:r>
            <w:r>
              <w:rPr>
                <w:rStyle w:val="IndexLink"/>
                <w:rtl w:val="true"/>
              </w:rPr>
              <w:t>ـ صلح جویی امام علیه السلام در جنگ نهروان</w:t>
            </w:r>
            <w:r>
              <w:rPr>
                <w:rStyle w:val="IndexLink"/>
                <w:rtl w:val="true"/>
              </w:rPr>
              <w:tab/>
            </w:r>
            <w:r>
              <w:rPr>
                <w:rStyle w:val="IndexLink"/>
              </w:rPr>
              <w:t>69</w:t>
            </w:r>
          </w:hyperlink>
        </w:p>
        <w:p>
          <w:pPr>
            <w:pStyle w:val="Contents4"/>
            <w:tabs>
              <w:tab w:val="clear" w:pos="8176"/>
              <w:tab w:val="right" w:pos="9026" w:leader="dot"/>
            </w:tabs>
            <w:rPr/>
          </w:pPr>
          <w:hyperlink w:anchor="__RefHeading___Toc4168855_2749589250">
            <w:r>
              <w:rPr>
                <w:webHidden/>
                <w:rStyle w:val="IndexLink"/>
              </w:rPr>
              <w:t>13</w:t>
            </w:r>
            <w:r>
              <w:rPr>
                <w:rStyle w:val="IndexLink"/>
                <w:rtl w:val="true"/>
              </w:rPr>
              <w:t xml:space="preserve"> </w:t>
            </w:r>
            <w:r>
              <w:rPr>
                <w:rStyle w:val="IndexLink"/>
                <w:rtl w:val="true"/>
              </w:rPr>
              <w:t>ـ خوش رفتاری با ابن ملجم و پیشنهاد عفو یا قصاص منصفانه ی او</w:t>
            </w:r>
            <w:r>
              <w:rPr>
                <w:rStyle w:val="IndexLink"/>
                <w:rtl w:val="true"/>
              </w:rPr>
              <w:tab/>
            </w:r>
            <w:r>
              <w:rPr>
                <w:rStyle w:val="IndexLink"/>
              </w:rPr>
              <w:t>70</w:t>
            </w:r>
          </w:hyperlink>
        </w:p>
        <w:p>
          <w:pPr>
            <w:pStyle w:val="Contents5"/>
            <w:tabs>
              <w:tab w:val="clear" w:pos="7892"/>
              <w:tab w:val="right" w:pos="9026" w:leader="dot"/>
            </w:tabs>
            <w:rPr/>
          </w:pPr>
          <w:hyperlink w:anchor="__RefHeading___Toc4168857_274958925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4168859_2749589250">
            <w:r>
              <w:rPr>
                <w:webHidden/>
                <w:rStyle w:val="IndexLink"/>
                <w:rtl w:val="true"/>
              </w:rPr>
              <w:t>فرستادن کاسه ی شیر</w:t>
            </w:r>
            <w:r>
              <w:rPr>
                <w:rStyle w:val="IndexLink"/>
                <w:rtl w:val="true"/>
              </w:rPr>
              <w:tab/>
            </w:r>
            <w:r>
              <w:rPr>
                <w:rStyle w:val="IndexLink"/>
              </w:rPr>
              <w:t>73</w:t>
            </w:r>
          </w:hyperlink>
        </w:p>
        <w:p>
          <w:pPr>
            <w:pStyle w:val="Contents5"/>
            <w:tabs>
              <w:tab w:val="clear" w:pos="7892"/>
              <w:tab w:val="right" w:pos="9026" w:leader="dot"/>
            </w:tabs>
            <w:rPr/>
          </w:pPr>
          <w:hyperlink w:anchor="__RefHeading___Toc4168861_2749589250">
            <w:r>
              <w:rPr>
                <w:webHidden/>
                <w:rStyle w:val="IndexLink"/>
                <w:rtl w:val="true"/>
              </w:rPr>
              <w:t>پیشنهاد عفو یا قصاص منصفانه و پرهیز از خون ریزی</w:t>
            </w:r>
            <w:r>
              <w:rPr>
                <w:rStyle w:val="IndexLink"/>
                <w:rtl w:val="true"/>
              </w:rPr>
              <w:tab/>
            </w:r>
            <w:r>
              <w:rPr>
                <w:rStyle w:val="IndexLink"/>
              </w:rPr>
              <w:t>74</w:t>
            </w:r>
          </w:hyperlink>
        </w:p>
        <w:p>
          <w:pPr>
            <w:pStyle w:val="Contents5"/>
            <w:tabs>
              <w:tab w:val="clear" w:pos="7892"/>
              <w:tab w:val="right" w:pos="9026" w:leader="dot"/>
            </w:tabs>
            <w:rPr/>
          </w:pPr>
          <w:hyperlink w:anchor="__RefHeading___Toc4168863_2749589250">
            <w:r>
              <w:rPr>
                <w:webHidden/>
                <w:rStyle w:val="IndexLink"/>
                <w:rtl w:val="true"/>
              </w:rPr>
              <w:t>سفارش به عفو</w:t>
            </w:r>
            <w:r>
              <w:rPr>
                <w:rStyle w:val="IndexLink"/>
                <w:rtl w:val="true"/>
              </w:rPr>
              <w:tab/>
            </w:r>
            <w:r>
              <w:rPr>
                <w:rStyle w:val="IndexLink"/>
              </w:rPr>
              <w:t>75</w:t>
            </w:r>
          </w:hyperlink>
        </w:p>
        <w:p>
          <w:pPr>
            <w:pStyle w:val="Contents5"/>
            <w:tabs>
              <w:tab w:val="clear" w:pos="7892"/>
              <w:tab w:val="right" w:pos="9026" w:leader="dot"/>
            </w:tabs>
            <w:rPr/>
          </w:pPr>
          <w:hyperlink w:anchor="__RefHeading___Toc4168865_2749589250">
            <w:r>
              <w:rPr>
                <w:webHidden/>
                <w:rStyle w:val="IndexLink"/>
                <w:rtl w:val="true"/>
              </w:rPr>
              <w:t>نهی از خشونت غیرقانونی</w:t>
            </w:r>
            <w:r>
              <w:rPr>
                <w:rStyle w:val="IndexLink"/>
                <w:rtl w:val="true"/>
              </w:rPr>
              <w:tab/>
            </w:r>
            <w:r>
              <w:rPr>
                <w:rStyle w:val="IndexLink"/>
              </w:rPr>
              <w:t>76</w:t>
            </w:r>
          </w:hyperlink>
        </w:p>
        <w:p>
          <w:pPr>
            <w:pStyle w:val="Contents4"/>
            <w:tabs>
              <w:tab w:val="clear" w:pos="8176"/>
              <w:tab w:val="right" w:pos="9026" w:leader="dot"/>
            </w:tabs>
            <w:rPr/>
          </w:pPr>
          <w:hyperlink w:anchor="__RefHeading___Toc4168867_2749589250">
            <w:r>
              <w:rPr>
                <w:webHidden/>
                <w:rStyle w:val="IndexLink"/>
              </w:rPr>
              <w:t>14</w:t>
            </w:r>
            <w:r>
              <w:rPr>
                <w:rStyle w:val="IndexLink"/>
                <w:rtl w:val="true"/>
              </w:rPr>
              <w:t xml:space="preserve"> </w:t>
            </w:r>
            <w:r>
              <w:rPr>
                <w:rStyle w:val="IndexLink"/>
                <w:rtl w:val="true"/>
              </w:rPr>
              <w:t>ـ عفو عمروعاص و بُسْربن ارطاة در جنگ صفین</w:t>
            </w:r>
            <w:r>
              <w:rPr>
                <w:rStyle w:val="IndexLink"/>
                <w:rtl w:val="true"/>
              </w:rPr>
              <w:tab/>
            </w:r>
            <w:r>
              <w:rPr>
                <w:rStyle w:val="IndexLink"/>
              </w:rPr>
              <w:t>77</w:t>
            </w:r>
          </w:hyperlink>
        </w:p>
        <w:p>
          <w:pPr>
            <w:pStyle w:val="Contents5"/>
            <w:tabs>
              <w:tab w:val="clear" w:pos="7892"/>
              <w:tab w:val="right" w:pos="9026" w:leader="dot"/>
            </w:tabs>
            <w:rPr/>
          </w:pPr>
          <w:hyperlink w:anchor="__RefHeading___Toc4168869_274958925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4168871_2749589250">
            <w:r>
              <w:rPr>
                <w:webHidden/>
                <w:rStyle w:val="IndexLink"/>
                <w:rtl w:val="true"/>
              </w:rPr>
              <w:t>عفو عمروعاص</w:t>
            </w:r>
            <w:r>
              <w:rPr>
                <w:rStyle w:val="IndexLink"/>
                <w:rtl w:val="true"/>
              </w:rPr>
              <w:tab/>
            </w:r>
            <w:r>
              <w:rPr>
                <w:rStyle w:val="IndexLink"/>
              </w:rPr>
              <w:t>78</w:t>
            </w:r>
          </w:hyperlink>
        </w:p>
        <w:p>
          <w:pPr>
            <w:pStyle w:val="Contents5"/>
            <w:tabs>
              <w:tab w:val="clear" w:pos="7892"/>
              <w:tab w:val="right" w:pos="9026" w:leader="dot"/>
            </w:tabs>
            <w:rPr/>
          </w:pPr>
          <w:hyperlink w:anchor="__RefHeading___Toc4168873_2749589250">
            <w:r>
              <w:rPr>
                <w:webHidden/>
                <w:rStyle w:val="IndexLink"/>
                <w:rtl w:val="true"/>
              </w:rPr>
              <w:t>عفو بُسربن ارطاة</w:t>
            </w:r>
            <w:r>
              <w:rPr>
                <w:rStyle w:val="IndexLink"/>
                <w:rtl w:val="true"/>
              </w:rPr>
              <w:tab/>
            </w:r>
            <w:r>
              <w:rPr>
                <w:rStyle w:val="IndexLink"/>
              </w:rPr>
              <w:t>81</w:t>
            </w:r>
          </w:hyperlink>
        </w:p>
        <w:p>
          <w:pPr>
            <w:pStyle w:val="Contents4"/>
            <w:tabs>
              <w:tab w:val="clear" w:pos="8176"/>
              <w:tab w:val="right" w:pos="9026" w:leader="dot"/>
            </w:tabs>
            <w:rPr/>
          </w:pPr>
          <w:hyperlink w:anchor="__RefHeading___Toc4168875_2749589250">
            <w:r>
              <w:rPr>
                <w:webHidden/>
                <w:rStyle w:val="IndexLink"/>
              </w:rPr>
              <w:t>15</w:t>
            </w:r>
            <w:r>
              <w:rPr>
                <w:rStyle w:val="IndexLink"/>
                <w:rtl w:val="true"/>
              </w:rPr>
              <w:t xml:space="preserve"> </w:t>
            </w:r>
            <w:r>
              <w:rPr>
                <w:rStyle w:val="IndexLink"/>
                <w:rtl w:val="true"/>
              </w:rPr>
              <w:t>ـ حذف عنوان امیرالمؤمنین علیه السلام در پیمان صلح صفین</w:t>
            </w:r>
            <w:r>
              <w:rPr>
                <w:rStyle w:val="IndexLink"/>
                <w:rtl w:val="true"/>
              </w:rPr>
              <w:tab/>
            </w:r>
            <w:r>
              <w:rPr>
                <w:rStyle w:val="IndexLink"/>
              </w:rPr>
              <w:t>83</w:t>
            </w:r>
          </w:hyperlink>
        </w:p>
        <w:p>
          <w:pPr>
            <w:pStyle w:val="Contents4"/>
            <w:tabs>
              <w:tab w:val="clear" w:pos="8176"/>
              <w:tab w:val="right" w:pos="9026" w:leader="dot"/>
            </w:tabs>
            <w:rPr/>
          </w:pPr>
          <w:hyperlink w:anchor="__RefHeading___Toc4168877_2749589250">
            <w:r>
              <w:rPr>
                <w:webHidden/>
                <w:rStyle w:val="IndexLink"/>
              </w:rPr>
              <w:t>16</w:t>
            </w:r>
            <w:r>
              <w:rPr>
                <w:rStyle w:val="IndexLink"/>
                <w:rtl w:val="true"/>
              </w:rPr>
              <w:t xml:space="preserve"> </w:t>
            </w:r>
            <w:r>
              <w:rPr>
                <w:rStyle w:val="IndexLink"/>
                <w:rtl w:val="true"/>
              </w:rPr>
              <w:t>ـ توبیخ عمروبن حَمِق به دلیل لعنِ مردم شام</w:t>
            </w:r>
            <w:r>
              <w:rPr>
                <w:rStyle w:val="IndexLink"/>
                <w:rtl w:val="true"/>
              </w:rPr>
              <w:tab/>
            </w:r>
            <w:r>
              <w:rPr>
                <w:rStyle w:val="IndexLink"/>
              </w:rPr>
              <w:t>85</w:t>
            </w:r>
          </w:hyperlink>
        </w:p>
        <w:p>
          <w:pPr>
            <w:pStyle w:val="Contents4"/>
            <w:tabs>
              <w:tab w:val="clear" w:pos="8176"/>
              <w:tab w:val="right" w:pos="9026" w:leader="dot"/>
            </w:tabs>
            <w:rPr/>
          </w:pPr>
          <w:hyperlink w:anchor="__RefHeading___Toc4168879_2749589250">
            <w:r>
              <w:rPr>
                <w:webHidden/>
                <w:rStyle w:val="IndexLink"/>
              </w:rPr>
              <w:t>17</w:t>
            </w:r>
            <w:r>
              <w:rPr>
                <w:rStyle w:val="IndexLink"/>
                <w:rtl w:val="true"/>
              </w:rPr>
              <w:t xml:space="preserve"> </w:t>
            </w:r>
            <w:r>
              <w:rPr>
                <w:rStyle w:val="IndexLink"/>
                <w:rtl w:val="true"/>
              </w:rPr>
              <w:t>ـ عفو عمرو بن عَبْدَود دلیل آب دهان انداختن</w:t>
            </w:r>
            <w:r>
              <w:rPr>
                <w:rStyle w:val="IndexLink"/>
                <w:rtl w:val="true"/>
              </w:rPr>
              <w:tab/>
            </w:r>
            <w:r>
              <w:rPr>
                <w:rStyle w:val="IndexLink"/>
              </w:rPr>
              <w:t>87</w:t>
            </w:r>
          </w:hyperlink>
        </w:p>
        <w:p>
          <w:pPr>
            <w:pStyle w:val="Contents5"/>
            <w:tabs>
              <w:tab w:val="clear" w:pos="7892"/>
              <w:tab w:val="right" w:pos="9026" w:leader="dot"/>
            </w:tabs>
            <w:rPr/>
          </w:pPr>
          <w:hyperlink w:anchor="__RefHeading___Toc4168881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4168883_2749589250">
            <w:r>
              <w:rPr>
                <w:webHidden/>
                <w:rStyle w:val="IndexLink"/>
                <w:rtl w:val="true"/>
              </w:rPr>
              <w:t>جسارت عمرو و عفو علی علیه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4168885_2749589250">
            <w:r>
              <w:rPr>
                <w:webHidden/>
                <w:rStyle w:val="IndexLink"/>
                <w:rtl w:val="true"/>
              </w:rPr>
              <w:t>علی علیه السلام؛ الگوی تسامح اخلاقی</w:t>
            </w:r>
            <w:r>
              <w:rPr>
                <w:rStyle w:val="IndexLink"/>
                <w:rtl w:val="true"/>
              </w:rPr>
              <w:tab/>
            </w:r>
            <w:r>
              <w:rPr>
                <w:rStyle w:val="IndexLink"/>
              </w:rPr>
              <w:t>93</w:t>
            </w:r>
          </w:hyperlink>
        </w:p>
        <w:p>
          <w:pPr>
            <w:pStyle w:val="Contents3"/>
            <w:tabs>
              <w:tab w:val="clear" w:pos="8459"/>
              <w:tab w:val="right" w:pos="9026" w:leader="dot"/>
            </w:tabs>
            <w:rPr/>
          </w:pPr>
          <w:hyperlink w:anchor="__RefHeading___Toc4168887_2749589250">
            <w:r>
              <w:rPr>
                <w:webHidden/>
                <w:rStyle w:val="IndexLink"/>
                <w:rtl w:val="true"/>
              </w:rPr>
              <w:t>فصل سوم ـ امام علی علیه السلام و تساهل سیاسی</w:t>
            </w:r>
            <w:r>
              <w:rPr>
                <w:rStyle w:val="IndexLink"/>
                <w:rtl w:val="true"/>
              </w:rPr>
              <w:tab/>
            </w:r>
            <w:r>
              <w:rPr>
                <w:rStyle w:val="IndexLink"/>
              </w:rPr>
              <w:t>94</w:t>
            </w:r>
          </w:hyperlink>
        </w:p>
        <w:p>
          <w:pPr>
            <w:pStyle w:val="Contents4"/>
            <w:tabs>
              <w:tab w:val="clear" w:pos="8176"/>
              <w:tab w:val="right" w:pos="9026" w:leader="dot"/>
            </w:tabs>
            <w:rPr/>
          </w:pPr>
          <w:hyperlink w:anchor="__RefHeading___Toc4168889_274958925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168891_2749589250">
            <w:r>
              <w:rPr>
                <w:webHidden/>
                <w:rStyle w:val="IndexLink"/>
                <w:rtl w:val="true"/>
              </w:rPr>
              <w:t>گفتار اوّل</w:t>
            </w:r>
            <w:r>
              <w:rPr>
                <w:rStyle w:val="IndexLink"/>
                <w:rtl w:val="true"/>
              </w:rPr>
              <w:t xml:space="preserve">: </w:t>
            </w:r>
            <w:r>
              <w:rPr>
                <w:rStyle w:val="IndexLink"/>
                <w:rtl w:val="true"/>
              </w:rPr>
              <w:t>تساهل سیاسی در بینش امام علی علیه السلام</w:t>
            </w:r>
            <w:r>
              <w:rPr>
                <w:rStyle w:val="IndexLink"/>
                <w:rtl w:val="true"/>
              </w:rPr>
              <w:tab/>
            </w:r>
            <w:r>
              <w:rPr>
                <w:rStyle w:val="IndexLink"/>
              </w:rPr>
              <w:t>95</w:t>
            </w:r>
          </w:hyperlink>
        </w:p>
        <w:p>
          <w:pPr>
            <w:pStyle w:val="Contents5"/>
            <w:tabs>
              <w:tab w:val="clear" w:pos="7892"/>
              <w:tab w:val="right" w:pos="9026" w:leader="dot"/>
            </w:tabs>
            <w:rPr/>
          </w:pPr>
          <w:hyperlink w:anchor="__RefHeading___Toc4168893_274958925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4168895_2749589250">
            <w:r>
              <w:rPr>
                <w:webHidden/>
                <w:rStyle w:val="IndexLink"/>
              </w:rPr>
              <w:t>1</w:t>
            </w:r>
            <w:r>
              <w:rPr>
                <w:rStyle w:val="IndexLink"/>
                <w:rtl w:val="true"/>
              </w:rPr>
              <w:t xml:space="preserve"> </w:t>
            </w:r>
            <w:r>
              <w:rPr>
                <w:rStyle w:val="IndexLink"/>
                <w:rtl w:val="true"/>
              </w:rPr>
              <w:t>ـ بازداشتن مردم از ستایش و ثناگویی خود</w:t>
            </w:r>
            <w:r>
              <w:rPr>
                <w:rStyle w:val="IndexLink"/>
                <w:rtl w:val="true"/>
              </w:rPr>
              <w:tab/>
            </w:r>
            <w:r>
              <w:rPr>
                <w:rStyle w:val="IndexLink"/>
              </w:rPr>
              <w:t>95</w:t>
            </w:r>
          </w:hyperlink>
        </w:p>
        <w:p>
          <w:pPr>
            <w:pStyle w:val="Contents5"/>
            <w:tabs>
              <w:tab w:val="clear" w:pos="7892"/>
              <w:tab w:val="right" w:pos="9026" w:leader="dot"/>
            </w:tabs>
            <w:rPr/>
          </w:pPr>
          <w:hyperlink w:anchor="__RefHeading___Toc4168897_2749589250">
            <w:r>
              <w:rPr>
                <w:webHidden/>
                <w:rStyle w:val="IndexLink"/>
              </w:rPr>
              <w:t>2</w:t>
            </w:r>
            <w:r>
              <w:rPr>
                <w:rStyle w:val="IndexLink"/>
                <w:rtl w:val="true"/>
              </w:rPr>
              <w:t xml:space="preserve"> </w:t>
            </w:r>
            <w:r>
              <w:rPr>
                <w:rStyle w:val="IndexLink"/>
                <w:rtl w:val="true"/>
              </w:rPr>
              <w:t>ـ تشویق مردم به حق گویی در برابر حاکم</w:t>
            </w:r>
            <w:r>
              <w:rPr>
                <w:rStyle w:val="IndexLink"/>
                <w:rtl w:val="true"/>
              </w:rPr>
              <w:tab/>
            </w:r>
            <w:r>
              <w:rPr>
                <w:rStyle w:val="IndexLink"/>
              </w:rPr>
              <w:t>96</w:t>
            </w:r>
          </w:hyperlink>
        </w:p>
        <w:p>
          <w:pPr>
            <w:pStyle w:val="Contents5"/>
            <w:tabs>
              <w:tab w:val="clear" w:pos="7892"/>
              <w:tab w:val="right" w:pos="9026" w:leader="dot"/>
            </w:tabs>
            <w:rPr/>
          </w:pPr>
          <w:hyperlink w:anchor="__RefHeading___Toc4168899_2749589250">
            <w:r>
              <w:rPr>
                <w:webHidden/>
                <w:rStyle w:val="IndexLink"/>
              </w:rPr>
              <w:t>3</w:t>
            </w:r>
            <w:r>
              <w:rPr>
                <w:rStyle w:val="IndexLink"/>
                <w:rtl w:val="true"/>
              </w:rPr>
              <w:t xml:space="preserve"> </w:t>
            </w:r>
            <w:r>
              <w:rPr>
                <w:rStyle w:val="IndexLink"/>
                <w:rtl w:val="true"/>
              </w:rPr>
              <w:t>ـ پذیرش احتمال خطا در کار خویش</w:t>
            </w:r>
            <w:r>
              <w:rPr>
                <w:rStyle w:val="IndexLink"/>
                <w:rtl w:val="true"/>
              </w:rPr>
              <w:tab/>
            </w:r>
            <w:r>
              <w:rPr>
                <w:rStyle w:val="IndexLink"/>
              </w:rPr>
              <w:t>97</w:t>
            </w:r>
          </w:hyperlink>
        </w:p>
        <w:p>
          <w:pPr>
            <w:pStyle w:val="Contents5"/>
            <w:tabs>
              <w:tab w:val="clear" w:pos="7892"/>
              <w:tab w:val="right" w:pos="9026" w:leader="dot"/>
            </w:tabs>
            <w:rPr/>
          </w:pPr>
          <w:hyperlink w:anchor="__RefHeading___Toc4168901_2749589250">
            <w:r>
              <w:rPr>
                <w:webHidden/>
                <w:rStyle w:val="IndexLink"/>
              </w:rPr>
              <w:t>4</w:t>
            </w:r>
            <w:r>
              <w:rPr>
                <w:rStyle w:val="IndexLink"/>
                <w:rtl w:val="true"/>
              </w:rPr>
              <w:t xml:space="preserve"> </w:t>
            </w:r>
            <w:r>
              <w:rPr>
                <w:rStyle w:val="IndexLink"/>
                <w:rtl w:val="true"/>
              </w:rPr>
              <w:t>ـ توصیه به کارگزاران خود در ترک خودکامگی و دیکتاتوری</w:t>
            </w:r>
            <w:r>
              <w:rPr>
                <w:rStyle w:val="IndexLink"/>
                <w:rtl w:val="true"/>
              </w:rPr>
              <w:tab/>
            </w:r>
            <w:r>
              <w:rPr>
                <w:rStyle w:val="IndexLink"/>
              </w:rPr>
              <w:t>100</w:t>
            </w:r>
          </w:hyperlink>
        </w:p>
        <w:p>
          <w:pPr>
            <w:pStyle w:val="Contents5"/>
            <w:tabs>
              <w:tab w:val="clear" w:pos="7892"/>
              <w:tab w:val="right" w:pos="9026" w:leader="dot"/>
            </w:tabs>
            <w:rPr/>
          </w:pPr>
          <w:hyperlink w:anchor="__RefHeading___Toc4168903_2749589250">
            <w:r>
              <w:rPr>
                <w:webHidden/>
                <w:rStyle w:val="IndexLink"/>
              </w:rPr>
              <w:t>5</w:t>
            </w:r>
            <w:r>
              <w:rPr>
                <w:rStyle w:val="IndexLink"/>
                <w:rtl w:val="true"/>
              </w:rPr>
              <w:t xml:space="preserve"> </w:t>
            </w:r>
            <w:r>
              <w:rPr>
                <w:rStyle w:val="IndexLink"/>
                <w:rtl w:val="true"/>
              </w:rPr>
              <w:t>ـ سفارش به گرامی داشتن افراد حق گو</w:t>
            </w:r>
            <w:r>
              <w:rPr>
                <w:rStyle w:val="IndexLink"/>
                <w:rtl w:val="true"/>
              </w:rPr>
              <w:tab/>
            </w:r>
            <w:r>
              <w:rPr>
                <w:rStyle w:val="IndexLink"/>
              </w:rPr>
              <w:t>101</w:t>
            </w:r>
          </w:hyperlink>
        </w:p>
        <w:p>
          <w:pPr>
            <w:pStyle w:val="Contents4"/>
            <w:tabs>
              <w:tab w:val="clear" w:pos="8176"/>
              <w:tab w:val="right" w:pos="9026" w:leader="dot"/>
            </w:tabs>
            <w:rPr/>
          </w:pPr>
          <w:hyperlink w:anchor="__RefHeading___Toc4168905_2749589250">
            <w:r>
              <w:rPr>
                <w:webHidden/>
                <w:rStyle w:val="IndexLink"/>
                <w:rtl w:val="true"/>
              </w:rPr>
              <w:t>گفتار دوّم</w:t>
            </w:r>
            <w:r>
              <w:rPr>
                <w:rStyle w:val="IndexLink"/>
                <w:rtl w:val="true"/>
              </w:rPr>
              <w:t xml:space="preserve">: </w:t>
            </w:r>
            <w:r>
              <w:rPr>
                <w:rStyle w:val="IndexLink"/>
                <w:rtl w:val="true"/>
              </w:rPr>
              <w:t>تساهل سیاسی در روش امام علی علیه السلام</w:t>
            </w:r>
            <w:r>
              <w:rPr>
                <w:rStyle w:val="IndexLink"/>
                <w:rtl w:val="true"/>
              </w:rPr>
              <w:tab/>
            </w:r>
            <w:r>
              <w:rPr>
                <w:rStyle w:val="IndexLink"/>
              </w:rPr>
              <w:t>102</w:t>
            </w:r>
          </w:hyperlink>
        </w:p>
        <w:p>
          <w:pPr>
            <w:pStyle w:val="Contents5"/>
            <w:tabs>
              <w:tab w:val="clear" w:pos="7892"/>
              <w:tab w:val="right" w:pos="9026" w:leader="dot"/>
            </w:tabs>
            <w:rPr/>
          </w:pPr>
          <w:hyperlink w:anchor="__RefHeading___Toc4168907_2749589250">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4168909_2749589250">
            <w:r>
              <w:rPr>
                <w:webHidden/>
                <w:rStyle w:val="IndexLink"/>
                <w:rtl w:val="true"/>
              </w:rPr>
              <w:t>الف ـ تساهل علی علیه السلام در دوران سکوت</w:t>
            </w:r>
            <w:r>
              <w:rPr>
                <w:rStyle w:val="IndexLink"/>
                <w:rtl w:val="true"/>
              </w:rPr>
              <w:tab/>
            </w:r>
            <w:r>
              <w:rPr>
                <w:rStyle w:val="IndexLink"/>
              </w:rPr>
              <w:t>103</w:t>
            </w:r>
          </w:hyperlink>
        </w:p>
        <w:p>
          <w:pPr>
            <w:pStyle w:val="Contents6"/>
            <w:tabs>
              <w:tab w:val="clear" w:pos="7609"/>
              <w:tab w:val="right" w:pos="9026" w:leader="dot"/>
            </w:tabs>
            <w:rPr/>
          </w:pPr>
          <w:hyperlink w:anchor="__RefHeading___Toc4168911_2749589250">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4168913_2749589250">
            <w:r>
              <w:rPr>
                <w:webHidden/>
                <w:rStyle w:val="IndexLink"/>
              </w:rPr>
              <w:t>1</w:t>
            </w:r>
            <w:r>
              <w:rPr>
                <w:rStyle w:val="IndexLink"/>
                <w:rtl w:val="true"/>
              </w:rPr>
              <w:t xml:space="preserve"> </w:t>
            </w:r>
            <w:r>
              <w:rPr>
                <w:rStyle w:val="IndexLink"/>
                <w:rtl w:val="true"/>
              </w:rPr>
              <w:t>ـ حلّ مشکلات علمی خلفا</w:t>
            </w:r>
            <w:r>
              <w:rPr>
                <w:rStyle w:val="IndexLink"/>
                <w:rtl w:val="true"/>
              </w:rPr>
              <w:tab/>
            </w:r>
            <w:r>
              <w:rPr>
                <w:rStyle w:val="IndexLink"/>
              </w:rPr>
              <w:t>106</w:t>
            </w:r>
          </w:hyperlink>
        </w:p>
        <w:p>
          <w:pPr>
            <w:pStyle w:val="Contents6"/>
            <w:tabs>
              <w:tab w:val="clear" w:pos="7609"/>
              <w:tab w:val="right" w:pos="9026" w:leader="dot"/>
            </w:tabs>
            <w:rPr/>
          </w:pPr>
          <w:hyperlink w:anchor="__RefHeading___Toc4168915_2749589250">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4168917_2749589250">
            <w:r>
              <w:rPr>
                <w:webHidden/>
                <w:rStyle w:val="IndexLink"/>
              </w:rPr>
              <w:t>1</w:t>
            </w:r>
            <w:r>
              <w:rPr>
                <w:rStyle w:val="IndexLink"/>
                <w:rtl w:val="true"/>
              </w:rPr>
              <w:t>ـ</w:t>
            </w:r>
            <w:r>
              <w:rPr>
                <w:rStyle w:val="IndexLink"/>
              </w:rPr>
              <w:t>1</w:t>
            </w:r>
            <w:r>
              <w:rPr>
                <w:rStyle w:val="IndexLink"/>
                <w:rtl w:val="true"/>
              </w:rPr>
              <w:t>ـ حلّ مشکلات علمی ابوبکر</w:t>
            </w:r>
            <w:r>
              <w:rPr>
                <w:rStyle w:val="IndexLink"/>
                <w:rtl w:val="true"/>
              </w:rPr>
              <w:tab/>
            </w:r>
            <w:r>
              <w:rPr>
                <w:rStyle w:val="IndexLink"/>
              </w:rPr>
              <w:t>107</w:t>
            </w:r>
          </w:hyperlink>
        </w:p>
        <w:p>
          <w:pPr>
            <w:pStyle w:val="Contents6"/>
            <w:tabs>
              <w:tab w:val="clear" w:pos="7609"/>
              <w:tab w:val="right" w:pos="9026" w:leader="dot"/>
            </w:tabs>
            <w:rPr/>
          </w:pPr>
          <w:hyperlink w:anchor="__RefHeading___Toc4168919_2749589250">
            <w:r>
              <w:rPr>
                <w:webHidden/>
                <w:rStyle w:val="IndexLink"/>
              </w:rPr>
              <w:t>2</w:t>
            </w:r>
            <w:r>
              <w:rPr>
                <w:rStyle w:val="IndexLink"/>
                <w:rtl w:val="true"/>
              </w:rPr>
              <w:t>ـ</w:t>
            </w:r>
            <w:r>
              <w:rPr>
                <w:rStyle w:val="IndexLink"/>
              </w:rPr>
              <w:t>1</w:t>
            </w:r>
            <w:r>
              <w:rPr>
                <w:rStyle w:val="IndexLink"/>
                <w:rtl w:val="true"/>
              </w:rPr>
              <w:t>ـ حل مشکلات علمی عمر</w:t>
            </w:r>
            <w:r>
              <w:rPr>
                <w:rStyle w:val="IndexLink"/>
                <w:rtl w:val="true"/>
              </w:rPr>
              <w:tab/>
            </w:r>
            <w:r>
              <w:rPr>
                <w:rStyle w:val="IndexLink"/>
              </w:rPr>
              <w:t>107</w:t>
            </w:r>
          </w:hyperlink>
        </w:p>
        <w:p>
          <w:pPr>
            <w:pStyle w:val="Contents6"/>
            <w:tabs>
              <w:tab w:val="clear" w:pos="7609"/>
              <w:tab w:val="right" w:pos="9026" w:leader="dot"/>
            </w:tabs>
            <w:rPr/>
          </w:pPr>
          <w:hyperlink w:anchor="__RefHeading___Toc4168921_2749589250">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4168923_2749589250">
            <w:r>
              <w:rPr>
                <w:webHidden/>
                <w:rStyle w:val="IndexLink"/>
              </w:rPr>
              <w:t>1</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ـ مشورت در تعیین مبدأ برای تاریخ اسلام</w:t>
            </w:r>
            <w:r>
              <w:rPr>
                <w:rStyle w:val="IndexLink"/>
                <w:rtl w:val="true"/>
              </w:rPr>
              <w:tab/>
            </w:r>
            <w:r>
              <w:rPr>
                <w:rStyle w:val="IndexLink"/>
              </w:rPr>
              <w:t>108</w:t>
            </w:r>
          </w:hyperlink>
        </w:p>
        <w:p>
          <w:pPr>
            <w:pStyle w:val="Contents6"/>
            <w:tabs>
              <w:tab w:val="clear" w:pos="7609"/>
              <w:tab w:val="right" w:pos="9026" w:leader="dot"/>
            </w:tabs>
            <w:rPr/>
          </w:pPr>
          <w:hyperlink w:anchor="__RefHeading___Toc4168925_2749589250">
            <w:r>
              <w:rPr>
                <w:webHidden/>
                <w:rStyle w:val="IndexLink"/>
              </w:rPr>
              <w:t>2</w:t>
            </w:r>
            <w:r>
              <w:rPr>
                <w:rStyle w:val="IndexLink"/>
                <w:rtl w:val="true"/>
              </w:rPr>
              <w:t>ـ</w:t>
            </w:r>
            <w:r>
              <w:rPr>
                <w:rStyle w:val="IndexLink"/>
              </w:rPr>
              <w:t>2</w:t>
            </w:r>
            <w:r>
              <w:rPr>
                <w:rStyle w:val="IndexLink"/>
                <w:rtl w:val="true"/>
              </w:rPr>
              <w:t>ـ</w:t>
            </w:r>
            <w:r>
              <w:rPr>
                <w:rStyle w:val="IndexLink"/>
              </w:rPr>
              <w:t>1</w:t>
            </w:r>
            <w:r>
              <w:rPr>
                <w:rStyle w:val="IndexLink"/>
                <w:rtl w:val="true"/>
              </w:rPr>
              <w:t xml:space="preserve"> </w:t>
            </w:r>
            <w:r>
              <w:rPr>
                <w:rStyle w:val="IndexLink"/>
                <w:rtl w:val="true"/>
              </w:rPr>
              <w:t>ـ صدور حکم قضایی در موارد مشکل</w:t>
            </w:r>
            <w:r>
              <w:rPr>
                <w:rStyle w:val="IndexLink"/>
                <w:rtl w:val="true"/>
              </w:rPr>
              <w:tab/>
            </w:r>
            <w:r>
              <w:rPr>
                <w:rStyle w:val="IndexLink"/>
              </w:rPr>
              <w:t>108</w:t>
            </w:r>
          </w:hyperlink>
        </w:p>
        <w:p>
          <w:pPr>
            <w:pStyle w:val="Contents6"/>
            <w:tabs>
              <w:tab w:val="clear" w:pos="7609"/>
              <w:tab w:val="right" w:pos="9026" w:leader="dot"/>
            </w:tabs>
            <w:rPr/>
          </w:pPr>
          <w:hyperlink w:anchor="__RefHeading___Toc4168927_2749589250">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ـ حلّ مشکلات علمی عثمان</w:t>
            </w:r>
            <w:r>
              <w:rPr>
                <w:rStyle w:val="IndexLink"/>
                <w:rtl w:val="true"/>
              </w:rPr>
              <w:tab/>
            </w:r>
            <w:r>
              <w:rPr>
                <w:rStyle w:val="IndexLink"/>
              </w:rPr>
              <w:t>110</w:t>
            </w:r>
          </w:hyperlink>
        </w:p>
        <w:p>
          <w:pPr>
            <w:pStyle w:val="Contents6"/>
            <w:tabs>
              <w:tab w:val="clear" w:pos="7609"/>
              <w:tab w:val="right" w:pos="9026" w:leader="dot"/>
            </w:tabs>
            <w:rPr/>
          </w:pPr>
          <w:hyperlink w:anchor="__RefHeading___Toc4168929_2749589250">
            <w:r>
              <w:rPr>
                <w:webHidden/>
                <w:rStyle w:val="IndexLink"/>
              </w:rPr>
              <w:t>2</w:t>
            </w:r>
            <w:r>
              <w:rPr>
                <w:rStyle w:val="IndexLink"/>
                <w:rtl w:val="true"/>
              </w:rPr>
              <w:t xml:space="preserve"> </w:t>
            </w:r>
            <w:r>
              <w:rPr>
                <w:rStyle w:val="IndexLink"/>
                <w:rtl w:val="true"/>
              </w:rPr>
              <w:t>ـ حلّ مشکلات سیاسی خلفا</w:t>
            </w:r>
            <w:r>
              <w:rPr>
                <w:rStyle w:val="IndexLink"/>
                <w:rtl w:val="true"/>
              </w:rPr>
              <w:tab/>
            </w:r>
            <w:r>
              <w:rPr>
                <w:rStyle w:val="IndexLink"/>
              </w:rPr>
              <w:t>111</w:t>
            </w:r>
          </w:hyperlink>
        </w:p>
        <w:p>
          <w:pPr>
            <w:pStyle w:val="Contents6"/>
            <w:tabs>
              <w:tab w:val="clear" w:pos="7609"/>
              <w:tab w:val="right" w:pos="9026" w:leader="dot"/>
            </w:tabs>
            <w:rPr/>
          </w:pPr>
          <w:hyperlink w:anchor="__RefHeading___Toc4168931_2749589250">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4168933_2749589250">
            <w:r>
              <w:rPr>
                <w:webHidden/>
                <w:rStyle w:val="IndexLink"/>
              </w:rPr>
              <w:t>1</w:t>
            </w:r>
            <w:r>
              <w:rPr>
                <w:rStyle w:val="IndexLink"/>
                <w:rtl w:val="true"/>
              </w:rPr>
              <w:t>ـ</w:t>
            </w:r>
            <w:r>
              <w:rPr>
                <w:rStyle w:val="IndexLink"/>
              </w:rPr>
              <w:t>2</w:t>
            </w:r>
            <w:r>
              <w:rPr>
                <w:rStyle w:val="IndexLink"/>
                <w:rtl w:val="true"/>
              </w:rPr>
              <w:t xml:space="preserve"> </w:t>
            </w:r>
            <w:r>
              <w:rPr>
                <w:rStyle w:val="IndexLink"/>
                <w:rtl w:val="true"/>
              </w:rPr>
              <w:t>ـ رایزنی ابوبکر با علی علیه السلام</w:t>
            </w:r>
            <w:r>
              <w:rPr>
                <w:rStyle w:val="IndexLink"/>
                <w:rtl w:val="true"/>
              </w:rPr>
              <w:tab/>
            </w:r>
            <w:r>
              <w:rPr>
                <w:rStyle w:val="IndexLink"/>
              </w:rPr>
              <w:t>111</w:t>
            </w:r>
          </w:hyperlink>
        </w:p>
        <w:p>
          <w:pPr>
            <w:pStyle w:val="Contents6"/>
            <w:tabs>
              <w:tab w:val="clear" w:pos="7609"/>
              <w:tab w:val="right" w:pos="9026" w:leader="dot"/>
            </w:tabs>
            <w:rPr/>
          </w:pPr>
          <w:hyperlink w:anchor="__RefHeading___Toc4168935_2749589250">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ـ رایزنی عمر با علی علیه السلام</w:t>
            </w:r>
            <w:r>
              <w:rPr>
                <w:rStyle w:val="IndexLink"/>
                <w:rtl w:val="true"/>
              </w:rPr>
              <w:tab/>
            </w:r>
            <w:r>
              <w:rPr>
                <w:rStyle w:val="IndexLink"/>
              </w:rPr>
              <w:t>112</w:t>
            </w:r>
          </w:hyperlink>
        </w:p>
        <w:p>
          <w:pPr>
            <w:pStyle w:val="Contents6"/>
            <w:tabs>
              <w:tab w:val="clear" w:pos="7609"/>
              <w:tab w:val="right" w:pos="9026" w:leader="dot"/>
            </w:tabs>
            <w:rPr/>
          </w:pPr>
          <w:hyperlink w:anchor="__RefHeading___Toc4168937_2749589250">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4168939_2749589250">
            <w:r>
              <w:rPr>
                <w:webHidden/>
                <w:rStyle w:val="IndexLink"/>
                <w:rtl w:val="true"/>
              </w:rPr>
              <w:t>الف ـ مشورت در فتح ایران</w:t>
            </w:r>
            <w:r>
              <w:rPr>
                <w:rStyle w:val="IndexLink"/>
                <w:rtl w:val="true"/>
              </w:rPr>
              <w:tab/>
            </w:r>
            <w:r>
              <w:rPr>
                <w:rStyle w:val="IndexLink"/>
              </w:rPr>
              <w:t>112</w:t>
            </w:r>
          </w:hyperlink>
        </w:p>
        <w:p>
          <w:pPr>
            <w:pStyle w:val="Contents6"/>
            <w:tabs>
              <w:tab w:val="clear" w:pos="7609"/>
              <w:tab w:val="right" w:pos="9026" w:leader="dot"/>
            </w:tabs>
            <w:rPr/>
          </w:pPr>
          <w:hyperlink w:anchor="__RefHeading___Toc4168941_2749589250">
            <w:r>
              <w:rPr>
                <w:webHidden/>
                <w:rStyle w:val="IndexLink"/>
                <w:rtl w:val="true"/>
              </w:rPr>
              <w:t>ب ـ مشورت در فتح بیت المقدّس</w:t>
            </w:r>
            <w:r>
              <w:rPr>
                <w:rStyle w:val="IndexLink"/>
                <w:rtl w:val="true"/>
              </w:rPr>
              <w:tab/>
            </w:r>
            <w:r>
              <w:rPr>
                <w:rStyle w:val="IndexLink"/>
              </w:rPr>
              <w:t>114</w:t>
            </w:r>
          </w:hyperlink>
        </w:p>
        <w:p>
          <w:pPr>
            <w:pStyle w:val="Contents6"/>
            <w:tabs>
              <w:tab w:val="clear" w:pos="7609"/>
              <w:tab w:val="right" w:pos="9026" w:leader="dot"/>
            </w:tabs>
            <w:rPr/>
          </w:pPr>
          <w:hyperlink w:anchor="__RefHeading___Toc4168943_2749589250">
            <w:r>
              <w:rPr>
                <w:webHidden/>
                <w:rStyle w:val="IndexLink"/>
              </w:rPr>
              <w:t>3</w:t>
            </w:r>
            <w:r>
              <w:rPr>
                <w:rStyle w:val="IndexLink"/>
                <w:rtl w:val="true"/>
              </w:rPr>
              <w:t>ـ</w:t>
            </w:r>
            <w:r>
              <w:rPr>
                <w:rStyle w:val="IndexLink"/>
              </w:rPr>
              <w:t>2</w:t>
            </w:r>
            <w:r>
              <w:rPr>
                <w:rStyle w:val="IndexLink"/>
                <w:rtl w:val="true"/>
              </w:rPr>
              <w:t xml:space="preserve"> </w:t>
            </w:r>
            <w:r>
              <w:rPr>
                <w:rStyle w:val="IndexLink"/>
                <w:rtl w:val="true"/>
              </w:rPr>
              <w:t>ـ کمک علی علیه السلام به حلّ مشکل عثمان</w:t>
            </w:r>
            <w:r>
              <w:rPr>
                <w:rStyle w:val="IndexLink"/>
                <w:rtl w:val="true"/>
              </w:rPr>
              <w:tab/>
            </w:r>
            <w:r>
              <w:rPr>
                <w:rStyle w:val="IndexLink"/>
              </w:rPr>
              <w:t>115</w:t>
            </w:r>
          </w:hyperlink>
        </w:p>
        <w:p>
          <w:pPr>
            <w:pStyle w:val="Contents6"/>
            <w:tabs>
              <w:tab w:val="clear" w:pos="7609"/>
              <w:tab w:val="right" w:pos="9026" w:leader="dot"/>
            </w:tabs>
            <w:rPr/>
          </w:pPr>
          <w:hyperlink w:anchor="__RefHeading___Toc4168945_2749589250">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4168947_2749589250">
            <w:r>
              <w:rPr>
                <w:webHidden/>
                <w:rStyle w:val="IndexLink"/>
                <w:rtl w:val="true"/>
              </w:rPr>
              <w:t>الف ـ تلاش برای شکستن محاصره</w:t>
            </w:r>
            <w:r>
              <w:rPr>
                <w:rStyle w:val="IndexLink"/>
                <w:rtl w:val="true"/>
              </w:rPr>
              <w:tab/>
            </w:r>
            <w:r>
              <w:rPr>
                <w:rStyle w:val="IndexLink"/>
              </w:rPr>
              <w:t>115</w:t>
            </w:r>
          </w:hyperlink>
        </w:p>
        <w:p>
          <w:pPr>
            <w:pStyle w:val="Contents6"/>
            <w:tabs>
              <w:tab w:val="clear" w:pos="7609"/>
              <w:tab w:val="right" w:pos="9026" w:leader="dot"/>
            </w:tabs>
            <w:rPr/>
          </w:pPr>
          <w:hyperlink w:anchor="__RefHeading___Toc4168949_2749589250">
            <w:r>
              <w:rPr>
                <w:webHidden/>
                <w:rStyle w:val="IndexLink"/>
                <w:rtl w:val="true"/>
              </w:rPr>
              <w:t>ب ـ تلاش علی علیه السلام برای رساندن آب به عثمان</w:t>
            </w:r>
            <w:r>
              <w:rPr>
                <w:rStyle w:val="IndexLink"/>
                <w:rtl w:val="true"/>
              </w:rPr>
              <w:tab/>
            </w:r>
            <w:r>
              <w:rPr>
                <w:rStyle w:val="IndexLink"/>
              </w:rPr>
              <w:t>116</w:t>
            </w:r>
          </w:hyperlink>
        </w:p>
        <w:p>
          <w:pPr>
            <w:pStyle w:val="Contents5"/>
            <w:tabs>
              <w:tab w:val="clear" w:pos="7892"/>
              <w:tab w:val="right" w:pos="9026" w:leader="dot"/>
            </w:tabs>
            <w:rPr/>
          </w:pPr>
          <w:hyperlink w:anchor="__RefHeading___Toc4168951_2749589250">
            <w:r>
              <w:rPr>
                <w:webHidden/>
                <w:rStyle w:val="IndexLink"/>
                <w:rtl w:val="true"/>
              </w:rPr>
              <w:t>ب ـ تساهل علی علیه السلام در دوران حکومت</w:t>
            </w:r>
            <w:r>
              <w:rPr>
                <w:rStyle w:val="IndexLink"/>
                <w:rtl w:val="true"/>
              </w:rPr>
              <w:tab/>
            </w:r>
            <w:r>
              <w:rPr>
                <w:rStyle w:val="IndexLink"/>
              </w:rPr>
              <w:t>118</w:t>
            </w:r>
          </w:hyperlink>
        </w:p>
        <w:p>
          <w:pPr>
            <w:pStyle w:val="Contents6"/>
            <w:tabs>
              <w:tab w:val="clear" w:pos="7609"/>
              <w:tab w:val="right" w:pos="9026" w:leader="dot"/>
            </w:tabs>
            <w:rPr/>
          </w:pPr>
          <w:hyperlink w:anchor="__RefHeading___Toc4168953_2749589250">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4168955_2749589250">
            <w:r>
              <w:rPr>
                <w:webHidden/>
                <w:rStyle w:val="IndexLink"/>
              </w:rPr>
              <w:t>1</w:t>
            </w:r>
            <w:r>
              <w:rPr>
                <w:rStyle w:val="IndexLink"/>
                <w:rtl w:val="true"/>
              </w:rPr>
              <w:t xml:space="preserve"> </w:t>
            </w:r>
            <w:r>
              <w:rPr>
                <w:rStyle w:val="IndexLink"/>
                <w:rtl w:val="true"/>
              </w:rPr>
              <w:t>ـ آزادی خوارج تا پیش از اقدام مسلّحانه</w:t>
            </w:r>
            <w:r>
              <w:rPr>
                <w:rStyle w:val="IndexLink"/>
                <w:rtl w:val="true"/>
              </w:rPr>
              <w:tab/>
            </w:r>
            <w:r>
              <w:rPr>
                <w:rStyle w:val="IndexLink"/>
              </w:rPr>
              <w:t>118</w:t>
            </w:r>
          </w:hyperlink>
        </w:p>
        <w:p>
          <w:pPr>
            <w:pStyle w:val="Contents6"/>
            <w:tabs>
              <w:tab w:val="clear" w:pos="7609"/>
              <w:tab w:val="right" w:pos="9026" w:leader="dot"/>
            </w:tabs>
            <w:rPr/>
          </w:pPr>
          <w:hyperlink w:anchor="__RefHeading___Toc4168957_2749589250">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4168959_2749589250">
            <w:r>
              <w:rPr>
                <w:webHidden/>
                <w:rStyle w:val="IndexLink"/>
              </w:rPr>
              <w:t>1</w:t>
            </w:r>
            <w:r>
              <w:rPr>
                <w:rStyle w:val="IndexLink"/>
                <w:rtl w:val="true"/>
              </w:rPr>
              <w:t>ـ</w:t>
            </w:r>
            <w:r>
              <w:rPr>
                <w:rStyle w:val="IndexLink"/>
              </w:rPr>
              <w:t>1</w:t>
            </w:r>
            <w:r>
              <w:rPr>
                <w:rStyle w:val="IndexLink"/>
                <w:rtl w:val="true"/>
              </w:rPr>
              <w:t xml:space="preserve"> </w:t>
            </w:r>
            <w:r>
              <w:rPr>
                <w:rStyle w:val="IndexLink"/>
                <w:rtl w:val="true"/>
              </w:rPr>
              <w:t>ـ توهین ابن کوّاء و تحمّل علی علیه السلام</w:t>
            </w:r>
            <w:r>
              <w:rPr>
                <w:rStyle w:val="IndexLink"/>
                <w:rtl w:val="true"/>
              </w:rPr>
              <w:tab/>
            </w:r>
            <w:r>
              <w:rPr>
                <w:rStyle w:val="IndexLink"/>
              </w:rPr>
              <w:t>119</w:t>
            </w:r>
          </w:hyperlink>
        </w:p>
        <w:p>
          <w:pPr>
            <w:pStyle w:val="Contents6"/>
            <w:tabs>
              <w:tab w:val="clear" w:pos="7609"/>
              <w:tab w:val="right" w:pos="9026" w:leader="dot"/>
            </w:tabs>
            <w:rPr/>
          </w:pPr>
          <w:hyperlink w:anchor="__RefHeading___Toc4168961_2749589250">
            <w:r>
              <w:rPr>
                <w:webHidden/>
                <w:rStyle w:val="IndexLink"/>
              </w:rPr>
              <w:t>2</w:t>
            </w:r>
            <w:r>
              <w:rPr>
                <w:rStyle w:val="IndexLink"/>
                <w:rtl w:val="true"/>
              </w:rPr>
              <w:t>ـ</w:t>
            </w:r>
            <w:r>
              <w:rPr>
                <w:rStyle w:val="IndexLink"/>
              </w:rPr>
              <w:t>1</w:t>
            </w:r>
            <w:r>
              <w:rPr>
                <w:rStyle w:val="IndexLink"/>
                <w:rtl w:val="true"/>
              </w:rPr>
              <w:t xml:space="preserve"> </w:t>
            </w:r>
            <w:r>
              <w:rPr>
                <w:rStyle w:val="IndexLink"/>
                <w:rtl w:val="true"/>
              </w:rPr>
              <w:t>ـ شعار دادن علیه علی علیه السلام در مسجد</w:t>
            </w:r>
            <w:r>
              <w:rPr>
                <w:rStyle w:val="IndexLink"/>
                <w:rtl w:val="true"/>
              </w:rPr>
              <w:tab/>
            </w:r>
            <w:r>
              <w:rPr>
                <w:rStyle w:val="IndexLink"/>
              </w:rPr>
              <w:t>121</w:t>
            </w:r>
          </w:hyperlink>
        </w:p>
        <w:p>
          <w:pPr>
            <w:pStyle w:val="Contents6"/>
            <w:tabs>
              <w:tab w:val="clear" w:pos="7609"/>
              <w:tab w:val="right" w:pos="9026" w:leader="dot"/>
            </w:tabs>
            <w:rPr/>
          </w:pPr>
          <w:hyperlink w:anchor="__RefHeading___Toc4168963_2749589250">
            <w:r>
              <w:rPr>
                <w:webHidden/>
                <w:rStyle w:val="IndexLink"/>
              </w:rPr>
              <w:t>3</w:t>
            </w:r>
            <w:r>
              <w:rPr>
                <w:rStyle w:val="IndexLink"/>
                <w:rtl w:val="true"/>
              </w:rPr>
              <w:t>ـ</w:t>
            </w:r>
            <w:r>
              <w:rPr>
                <w:rStyle w:val="IndexLink"/>
              </w:rPr>
              <w:t>1</w:t>
            </w:r>
            <w:r>
              <w:rPr>
                <w:rStyle w:val="IndexLink"/>
                <w:rtl w:val="true"/>
              </w:rPr>
              <w:t xml:space="preserve"> </w:t>
            </w:r>
            <w:r>
              <w:rPr>
                <w:rStyle w:val="IndexLink"/>
                <w:rtl w:val="true"/>
              </w:rPr>
              <w:t>ـ اعطای امتیازهای سه گانه به خوارج</w:t>
            </w:r>
            <w:r>
              <w:rPr>
                <w:rStyle w:val="IndexLink"/>
                <w:rtl w:val="true"/>
              </w:rPr>
              <w:tab/>
            </w:r>
            <w:r>
              <w:rPr>
                <w:rStyle w:val="IndexLink"/>
              </w:rPr>
              <w:t>122</w:t>
            </w:r>
          </w:hyperlink>
        </w:p>
        <w:p>
          <w:pPr>
            <w:pStyle w:val="Contents6"/>
            <w:tabs>
              <w:tab w:val="clear" w:pos="7609"/>
              <w:tab w:val="right" w:pos="9026" w:leader="dot"/>
            </w:tabs>
            <w:rPr/>
          </w:pPr>
          <w:hyperlink w:anchor="__RefHeading___Toc4168965_2749589250">
            <w:r>
              <w:rPr>
                <w:webHidden/>
                <w:rStyle w:val="IndexLink"/>
              </w:rPr>
              <w:t>2</w:t>
            </w:r>
            <w:r>
              <w:rPr>
                <w:rStyle w:val="IndexLink"/>
                <w:rtl w:val="true"/>
              </w:rPr>
              <w:t xml:space="preserve"> </w:t>
            </w:r>
            <w:r>
              <w:rPr>
                <w:rStyle w:val="IndexLink"/>
                <w:rtl w:val="true"/>
              </w:rPr>
              <w:t>ـ اجبار نکردن مردم و شخصیت های سیاسی به بیعت</w:t>
            </w:r>
            <w:r>
              <w:rPr>
                <w:rStyle w:val="IndexLink"/>
                <w:rtl w:val="true"/>
              </w:rPr>
              <w:tab/>
            </w:r>
            <w:r>
              <w:rPr>
                <w:rStyle w:val="IndexLink"/>
              </w:rPr>
              <w:t>124</w:t>
            </w:r>
          </w:hyperlink>
        </w:p>
        <w:p>
          <w:pPr>
            <w:pStyle w:val="Contents6"/>
            <w:tabs>
              <w:tab w:val="clear" w:pos="7609"/>
              <w:tab w:val="right" w:pos="9026" w:leader="dot"/>
            </w:tabs>
            <w:rPr/>
          </w:pPr>
          <w:hyperlink w:anchor="__RefHeading___Toc4168967_2749589250">
            <w:r>
              <w:rPr>
                <w:webHidden/>
                <w:rStyle w:val="IndexLink"/>
              </w:rPr>
              <w:t>3</w:t>
            </w:r>
            <w:r>
              <w:rPr>
                <w:rStyle w:val="IndexLink"/>
                <w:rtl w:val="true"/>
              </w:rPr>
              <w:t xml:space="preserve"> </w:t>
            </w:r>
            <w:r>
              <w:rPr>
                <w:rStyle w:val="IndexLink"/>
                <w:rtl w:val="true"/>
              </w:rPr>
              <w:t>ـ آزاد گذاردن طلحه و زبیر برای خروج از مدینه</w:t>
            </w:r>
            <w:r>
              <w:rPr>
                <w:rStyle w:val="IndexLink"/>
                <w:rtl w:val="true"/>
              </w:rPr>
              <w:tab/>
            </w:r>
            <w:r>
              <w:rPr>
                <w:rStyle w:val="IndexLink"/>
              </w:rPr>
              <w:t>127</w:t>
            </w:r>
          </w:hyperlink>
        </w:p>
        <w:p>
          <w:pPr>
            <w:pStyle w:val="Contents6"/>
            <w:tabs>
              <w:tab w:val="clear" w:pos="7609"/>
              <w:tab w:val="right" w:pos="9026" w:leader="dot"/>
            </w:tabs>
            <w:rPr/>
          </w:pPr>
          <w:hyperlink w:anchor="__RefHeading___Toc4168969_2749589250">
            <w:r>
              <w:rPr>
                <w:webHidden/>
                <w:rStyle w:val="IndexLink"/>
              </w:rPr>
              <w:t>4</w:t>
            </w:r>
            <w:r>
              <w:rPr>
                <w:rStyle w:val="IndexLink"/>
                <w:rtl w:val="true"/>
              </w:rPr>
              <w:t xml:space="preserve"> </w:t>
            </w:r>
            <w:r>
              <w:rPr>
                <w:rStyle w:val="IndexLink"/>
                <w:rtl w:val="true"/>
              </w:rPr>
              <w:t>ـ پرداخت دیه برای مخالفِ مقتول</w:t>
            </w:r>
            <w:r>
              <w:rPr>
                <w:rStyle w:val="IndexLink"/>
                <w:rtl w:val="true"/>
              </w:rPr>
              <w:tab/>
            </w:r>
            <w:r>
              <w:rPr>
                <w:rStyle w:val="IndexLink"/>
              </w:rPr>
              <w:t>128</w:t>
            </w:r>
          </w:hyperlink>
        </w:p>
        <w:p>
          <w:pPr>
            <w:pStyle w:val="Contents6"/>
            <w:tabs>
              <w:tab w:val="clear" w:pos="7609"/>
              <w:tab w:val="right" w:pos="9026" w:leader="dot"/>
            </w:tabs>
            <w:rPr/>
          </w:pPr>
          <w:hyperlink w:anchor="__RefHeading___Toc4168971_2749589250">
            <w:r>
              <w:rPr>
                <w:webHidden/>
                <w:rStyle w:val="IndexLink"/>
              </w:rPr>
              <w:t>5</w:t>
            </w:r>
            <w:r>
              <w:rPr>
                <w:rStyle w:val="IndexLink"/>
                <w:rtl w:val="true"/>
              </w:rPr>
              <w:t xml:space="preserve"> </w:t>
            </w:r>
            <w:r>
              <w:rPr>
                <w:rStyle w:val="IndexLink"/>
                <w:rtl w:val="true"/>
              </w:rPr>
              <w:t>ـ مجبور نکردن مردم به همراهی خود در جنگ</w:t>
            </w:r>
            <w:r>
              <w:rPr>
                <w:rStyle w:val="IndexLink"/>
                <w:rtl w:val="true"/>
              </w:rPr>
              <w:tab/>
            </w:r>
            <w:r>
              <w:rPr>
                <w:rStyle w:val="IndexLink"/>
              </w:rPr>
              <w:t>129</w:t>
            </w:r>
          </w:hyperlink>
        </w:p>
        <w:p>
          <w:pPr>
            <w:pStyle w:val="Contents6"/>
            <w:tabs>
              <w:tab w:val="clear" w:pos="7609"/>
              <w:tab w:val="right" w:pos="9026" w:leader="dot"/>
            </w:tabs>
            <w:rPr/>
          </w:pPr>
          <w:hyperlink w:anchor="__RefHeading___Toc4168973_2749589250">
            <w:r>
              <w:rPr>
                <w:webHidden/>
                <w:rStyle w:val="IndexLink"/>
              </w:rPr>
              <w:t>6</w:t>
            </w:r>
            <w:r>
              <w:rPr>
                <w:rStyle w:val="IndexLink"/>
                <w:rtl w:val="true"/>
              </w:rPr>
              <w:t xml:space="preserve"> </w:t>
            </w:r>
            <w:r>
              <w:rPr>
                <w:rStyle w:val="IndexLink"/>
                <w:rtl w:val="true"/>
              </w:rPr>
              <w:t>ـ مجبور نکردن مردم رقّه به نصب پل</w:t>
            </w:r>
            <w:r>
              <w:rPr>
                <w:rStyle w:val="IndexLink"/>
                <w:rtl w:val="true"/>
              </w:rPr>
              <w:tab/>
            </w:r>
            <w:r>
              <w:rPr>
                <w:rStyle w:val="IndexLink"/>
              </w:rPr>
              <w:t>129</w:t>
            </w:r>
          </w:hyperlink>
        </w:p>
        <w:p>
          <w:pPr>
            <w:pStyle w:val="Contents3"/>
            <w:tabs>
              <w:tab w:val="clear" w:pos="8459"/>
              <w:tab w:val="right" w:pos="9026" w:leader="dot"/>
            </w:tabs>
            <w:rPr/>
          </w:pPr>
          <w:hyperlink w:anchor="__RefHeading___Toc4168975_2749589250">
            <w:r>
              <w:rPr>
                <w:webHidden/>
                <w:rStyle w:val="IndexLink"/>
                <w:rtl w:val="true"/>
              </w:rPr>
              <w:t>نتیجه گیری</w:t>
            </w:r>
            <w:r>
              <w:rPr>
                <w:rStyle w:val="IndexLink"/>
                <w:rtl w:val="true"/>
              </w:rPr>
              <w:tab/>
            </w:r>
            <w:r>
              <w:rPr>
                <w:rStyle w:val="IndexLink"/>
              </w:rPr>
              <w:t>130</w:t>
            </w:r>
          </w:hyperlink>
        </w:p>
        <w:p>
          <w:pPr>
            <w:pStyle w:val="Contents2"/>
            <w:tabs>
              <w:tab w:val="clear" w:pos="8743"/>
              <w:tab w:val="right" w:pos="9026" w:leader="dot"/>
            </w:tabs>
            <w:rPr/>
          </w:pPr>
          <w:hyperlink w:anchor="__RefHeading___Toc4168977_2749589250">
            <w:r>
              <w:rPr>
                <w:webHidden/>
                <w:rStyle w:val="IndexLink"/>
                <w:rtl w:val="true"/>
              </w:rPr>
              <w:t>بخش چهارم</w:t>
            </w:r>
            <w:r>
              <w:rPr>
                <w:rStyle w:val="IndexLink"/>
                <w:rtl w:val="true"/>
              </w:rPr>
              <w:t xml:space="preserve">: </w:t>
            </w:r>
            <w:r>
              <w:rPr>
                <w:rStyle w:val="IndexLink"/>
                <w:rtl w:val="true"/>
              </w:rPr>
              <w:t>صدا و سیما و تساهل و تسامح</w:t>
            </w:r>
            <w:r>
              <w:rPr>
                <w:rStyle w:val="IndexLink"/>
                <w:rtl w:val="true"/>
              </w:rPr>
              <w:tab/>
            </w:r>
            <w:r>
              <w:rPr>
                <w:rStyle w:val="IndexLink"/>
              </w:rPr>
              <w:t>131</w:t>
            </w:r>
          </w:hyperlink>
        </w:p>
        <w:p>
          <w:pPr>
            <w:pStyle w:val="Contents3"/>
            <w:tabs>
              <w:tab w:val="clear" w:pos="8459"/>
              <w:tab w:val="right" w:pos="9026" w:leader="dot"/>
            </w:tabs>
            <w:rPr/>
          </w:pPr>
          <w:hyperlink w:anchor="__RefHeading___Toc4168979_274958925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4168981_2749589250">
            <w:r>
              <w:rPr>
                <w:webHidden/>
                <w:rStyle w:val="IndexLink"/>
                <w:rtl w:val="true"/>
              </w:rPr>
              <w:t>نقش رسانه در موضوع تساهل و تسامح</w:t>
            </w:r>
            <w:r>
              <w:rPr>
                <w:rStyle w:val="IndexLink"/>
                <w:rtl w:val="true"/>
              </w:rPr>
              <w:tab/>
            </w:r>
            <w:r>
              <w:rPr>
                <w:rStyle w:val="IndexLink"/>
              </w:rPr>
              <w:t>131</w:t>
            </w:r>
          </w:hyperlink>
        </w:p>
        <w:p>
          <w:pPr>
            <w:pStyle w:val="Contents3"/>
            <w:tabs>
              <w:tab w:val="clear" w:pos="8459"/>
              <w:tab w:val="right" w:pos="9026" w:leader="dot"/>
            </w:tabs>
            <w:rPr/>
          </w:pPr>
          <w:hyperlink w:anchor="__RefHeading___Toc4168983_2749589250">
            <w:r>
              <w:rPr>
                <w:webHidden/>
                <w:rStyle w:val="IndexLink"/>
                <w:rtl w:val="true"/>
              </w:rPr>
              <w:t>بررسی عملکرد رسانه در موضوعِ تساهل و تسامح</w:t>
            </w:r>
            <w:r>
              <w:rPr>
                <w:rStyle w:val="IndexLink"/>
                <w:rtl w:val="true"/>
              </w:rPr>
              <w:tab/>
            </w:r>
            <w:r>
              <w:rPr>
                <w:rStyle w:val="IndexLink"/>
              </w:rPr>
              <w:t>132</w:t>
            </w:r>
          </w:hyperlink>
        </w:p>
        <w:p>
          <w:pPr>
            <w:pStyle w:val="Contents3"/>
            <w:tabs>
              <w:tab w:val="clear" w:pos="8459"/>
              <w:tab w:val="right" w:pos="9026" w:leader="dot"/>
            </w:tabs>
            <w:rPr/>
          </w:pPr>
          <w:hyperlink w:anchor="__RefHeading___Toc4168985_2749589250">
            <w:r>
              <w:rPr>
                <w:webHidden/>
                <w:rStyle w:val="IndexLink"/>
                <w:rtl w:val="true"/>
              </w:rPr>
              <w:t>توصیه به برنامه ریزان رسانه در سطح کلان</w:t>
            </w:r>
            <w:r>
              <w:rPr>
                <w:rStyle w:val="IndexLink"/>
                <w:rtl w:val="true"/>
              </w:rPr>
              <w:tab/>
            </w:r>
            <w:r>
              <w:rPr>
                <w:rStyle w:val="IndexLink"/>
              </w:rPr>
              <w:t>134</w:t>
            </w:r>
          </w:hyperlink>
        </w:p>
        <w:p>
          <w:pPr>
            <w:pStyle w:val="Contents3"/>
            <w:tabs>
              <w:tab w:val="clear" w:pos="8459"/>
              <w:tab w:val="right" w:pos="9026" w:leader="dot"/>
            </w:tabs>
            <w:rPr/>
          </w:pPr>
          <w:hyperlink w:anchor="__RefHeading___Toc4168987_2749589250">
            <w:r>
              <w:rPr>
                <w:webHidden/>
                <w:rStyle w:val="IndexLink"/>
                <w:rtl w:val="true"/>
              </w:rPr>
              <w:t>ارایه ی راه کارهای اصلاحی و پیشنهادهای برنامه ای</w:t>
            </w:r>
            <w:r>
              <w:rPr>
                <w:rStyle w:val="IndexLink"/>
                <w:rtl w:val="true"/>
              </w:rPr>
              <w:tab/>
            </w:r>
            <w:r>
              <w:rPr>
                <w:rStyle w:val="IndexLink"/>
              </w:rPr>
              <w:t>135</w:t>
            </w:r>
          </w:hyperlink>
        </w:p>
        <w:p>
          <w:pPr>
            <w:pStyle w:val="Contents3"/>
            <w:tabs>
              <w:tab w:val="clear" w:pos="8459"/>
              <w:tab w:val="right" w:pos="9026" w:leader="dot"/>
            </w:tabs>
            <w:rPr/>
          </w:pPr>
          <w:hyperlink w:anchor="__RefHeading___Toc4168989_2749589250">
            <w:r>
              <w:rPr>
                <w:webHidden/>
                <w:rStyle w:val="IndexLink"/>
                <w:rtl w:val="true"/>
              </w:rPr>
              <w:t>معرفی مراکز و نهادهای مرتبط با موضوع تساهل و تسامح</w:t>
            </w:r>
            <w:r>
              <w:rPr>
                <w:rStyle w:val="IndexLink"/>
                <w:rtl w:val="true"/>
              </w:rPr>
              <w:tab/>
            </w:r>
            <w:r>
              <w:rPr>
                <w:rStyle w:val="IndexLink"/>
              </w:rPr>
              <w:t>137</w:t>
            </w:r>
          </w:hyperlink>
        </w:p>
        <w:p>
          <w:pPr>
            <w:pStyle w:val="Contents3"/>
            <w:tabs>
              <w:tab w:val="clear" w:pos="8459"/>
              <w:tab w:val="right" w:pos="9026" w:leader="dot"/>
            </w:tabs>
            <w:rPr/>
          </w:pPr>
          <w:hyperlink w:anchor="__RefHeading___Toc4168991_2749589250">
            <w:r>
              <w:rPr>
                <w:webHidden/>
                <w:rStyle w:val="IndexLink"/>
                <w:rtl w:val="true"/>
              </w:rPr>
              <w:t>معرفی کارشناسان خبره با دیدگاه های گوناگون</w:t>
            </w:r>
            <w:r>
              <w:rPr>
                <w:rStyle w:val="IndexLink"/>
                <w:rtl w:val="true"/>
              </w:rPr>
              <w:tab/>
            </w:r>
            <w:r>
              <w:rPr>
                <w:rStyle w:val="IndexLink"/>
              </w:rPr>
              <w:t>138</w:t>
            </w:r>
          </w:hyperlink>
        </w:p>
        <w:p>
          <w:pPr>
            <w:pStyle w:val="Contents3"/>
            <w:tabs>
              <w:tab w:val="clear" w:pos="8459"/>
              <w:tab w:val="right" w:pos="9026" w:leader="dot"/>
            </w:tabs>
            <w:rPr/>
          </w:pPr>
          <w:hyperlink w:anchor="__RefHeading___Toc4168993_2749589250">
            <w:r>
              <w:rPr>
                <w:webHidden/>
                <w:rStyle w:val="IndexLink"/>
                <w:rtl w:val="true"/>
              </w:rPr>
              <w:t>پرسش هایی برای گفت وگو با مردم</w:t>
            </w:r>
            <w:r>
              <w:rPr>
                <w:rStyle w:val="IndexLink"/>
                <w:rtl w:val="true"/>
              </w:rPr>
              <w:tab/>
            </w:r>
            <w:r>
              <w:rPr>
                <w:rStyle w:val="IndexLink"/>
              </w:rPr>
              <w:t>141</w:t>
            </w:r>
          </w:hyperlink>
        </w:p>
        <w:p>
          <w:pPr>
            <w:pStyle w:val="Contents3"/>
            <w:tabs>
              <w:tab w:val="clear" w:pos="8459"/>
              <w:tab w:val="right" w:pos="9026" w:leader="dot"/>
            </w:tabs>
            <w:rPr/>
          </w:pPr>
          <w:hyperlink w:anchor="__RefHeading___Toc4168995_2749589250">
            <w:r>
              <w:rPr>
                <w:webHidden/>
                <w:rStyle w:val="IndexLink"/>
                <w:rtl w:val="true"/>
              </w:rPr>
              <w:t>پرسش های کارشناسی</w:t>
            </w:r>
            <w:r>
              <w:rPr>
                <w:rStyle w:val="IndexLink"/>
                <w:rtl w:val="true"/>
              </w:rPr>
              <w:tab/>
            </w:r>
            <w:r>
              <w:rPr>
                <w:rStyle w:val="IndexLink"/>
              </w:rPr>
              <w:t>141</w:t>
            </w:r>
          </w:hyperlink>
        </w:p>
        <w:p>
          <w:pPr>
            <w:pStyle w:val="Contents3"/>
            <w:tabs>
              <w:tab w:val="clear" w:pos="8459"/>
              <w:tab w:val="right" w:pos="9026" w:leader="dot"/>
            </w:tabs>
            <w:rPr/>
          </w:pPr>
          <w:hyperlink w:anchor="__RefHeading___Toc4168997_2749589250">
            <w:r>
              <w:rPr>
                <w:webHidden/>
                <w:rStyle w:val="IndexLink"/>
                <w:rtl w:val="true"/>
              </w:rPr>
              <w:t>سخن پایانی</w:t>
            </w:r>
            <w:r>
              <w:rPr>
                <w:rStyle w:val="IndexLink"/>
                <w:rtl w:val="true"/>
              </w:rPr>
              <w:tab/>
            </w:r>
            <w:r>
              <w:rPr>
                <w:rStyle w:val="IndexLink"/>
              </w:rPr>
              <w:t>144</w:t>
            </w:r>
          </w:hyperlink>
        </w:p>
        <w:p>
          <w:pPr>
            <w:pStyle w:val="Contents3"/>
            <w:tabs>
              <w:tab w:val="clear" w:pos="8459"/>
              <w:tab w:val="right" w:pos="9026" w:leader="dot"/>
            </w:tabs>
            <w:rPr/>
          </w:pPr>
          <w:hyperlink w:anchor="__RefHeading___Toc4168999_2749589250">
            <w:r>
              <w:rPr>
                <w:webHidden/>
                <w:rStyle w:val="IndexLink"/>
                <w:rtl w:val="true"/>
              </w:rPr>
              <w:t>معرفی کتاب هایی در زمینه ی تساهل و تسامح</w:t>
            </w:r>
            <w:r>
              <w:rPr>
                <w:rStyle w:val="IndexLink"/>
                <w:rtl w:val="true"/>
              </w:rPr>
              <w:tab/>
            </w:r>
            <w:r>
              <w:rPr>
                <w:rStyle w:val="IndexLink"/>
              </w:rPr>
              <w:t>145</w:t>
            </w:r>
          </w:hyperlink>
        </w:p>
        <w:p>
          <w:pPr>
            <w:pStyle w:val="Contents2"/>
            <w:tabs>
              <w:tab w:val="clear" w:pos="8743"/>
              <w:tab w:val="right" w:pos="9026" w:leader="dot"/>
            </w:tabs>
            <w:rPr/>
          </w:pPr>
          <w:hyperlink w:anchor="__RefHeading___Toc4169001_2749589250">
            <w:r>
              <w:rPr>
                <w:webHidden/>
                <w:rStyle w:val="IndexLink"/>
                <w:rtl w:val="true"/>
              </w:rPr>
              <w:t>فهرست منابع</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03_20892"/>
      <w:bookmarkStart w:id="1" w:name="pg3603_20892"/>
      <w:bookmarkEnd w:id="1"/>
    </w:p>
    <w:p>
      <w:pPr>
        <w:pStyle w:val="Heading2"/>
        <w:numPr>
          <w:ilvl w:val="1"/>
          <w:numId w:val="1"/>
        </w:numPr>
        <w:rPr/>
      </w:pPr>
      <w:bookmarkStart w:id="2" w:name="pg3603_20892"/>
      <w:bookmarkStart w:id="3" w:name="__RefHeading___Toc416869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آقاجانی‌قناد، محمدرضا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تسامح از دیدگاه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آقاجانی‌قناد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۱۱۵۳۰۲۲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68695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603_20894"/>
      <w:bookmarkStart w:id="8" w:name="pg3603_20894"/>
      <w:bookmarkEnd w:id="8"/>
    </w:p>
    <w:p>
      <w:pPr>
        <w:pStyle w:val="Heading2"/>
        <w:numPr>
          <w:ilvl w:val="1"/>
          <w:numId w:val="1"/>
        </w:numPr>
        <w:rPr/>
      </w:pPr>
      <w:bookmarkStart w:id="9" w:name="pg3603_20894"/>
      <w:bookmarkStart w:id="10" w:name="__RefHeading___Toc4168697_2749589250"/>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امامان معصوم علیهم السلام، همچون پیامبر خدا صلی الله علیه و آله، الگوی کاملی برای انسانهای عصر خویش و دورانهای آینده تا دامنه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قالب زمان خویش محدود نبوده اند بلکه برای بشرِ قرن بیست و یکم نیز سرمشق زندگی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نوشیدن افکار و ایده های بشر و پیشرفت های علمی و تکنیکی، بازهم باید به زندگی امامان چشم دوخت و با دقت بیشتر چراغی برای آینده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افکاری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که در چند سده ی اخیر بر اساس ضرورت های اجتماعی پدیدار شده و در چند سال گذشته در کشور اسلامی ما ایران نیز، طرفداران و مخالفانی پیدا کرده است، ما را بر آن می دارد تا به مبانی فکری و الگوهای عملی خود در قرآن و سنت و سیره ی معصومان علیهم السلام نظری دوباره بیفکنیم و موضع خود را نسبت به این پدیده ی فکری و اجتماعی مشخص کنیم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کاوش در زندگی امام علی علیه السلام، به عنوان اسوه بزرگ اسلامی، و دریافت میزان رد یا قبول مبانی تسامح از دیدگاه آن بزرگوار، اهمیتی به 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حضرت علاوه بر پشت سرگذاشتن تلخی ها و فراز و نشیب های دوران ظهور اسلام،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عین مخالف بودن با حکومت خلفا با آنان همکاری داشت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آخر عمر خویش نیز، که زمام امور را به دست گرفت، مخالفانی جدی پیدا کرد که برخورد آن </w:t>
      </w:r>
    </w:p>
    <w:p>
      <w:pPr>
        <w:pStyle w:val="BookText"/>
        <w:rPr/>
      </w:pPr>
      <w:r>
        <w:rPr>
          <w:rFonts w:ascii="IRNazanin" w:hAnsi="IRNazanin" w:eastAsia="IRNazanin"/>
          <w:color w:val="111111"/>
          <w:sz w:val="28"/>
          <w:sz w:val="28"/>
          <w:szCs w:val="28"/>
          <w:rtl w:val="true"/>
          <w:lang w:bidi="fa-IR"/>
        </w:rPr>
        <w:t>گرامی با ایشان، برای ما شیعیان، الگو و حجت شرعی و برای تمامی انسانها درس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هدفهای زیر را دنبال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تعیین معنا و مفهوم تسامح و تساهل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بررسی مبانی فکری و تاریخی تساهل در غرب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میزان انطباق تساهل و تسامح به معنای امروزی با بینش و روش امام علی علیه السلام</w:t>
      </w:r>
    </w:p>
    <w:p>
      <w:pPr>
        <w:pStyle w:val="BookText"/>
        <w:rPr/>
      </w:pPr>
      <w:r>
        <w:rPr>
          <w:rFonts w:ascii="IRNazanin" w:hAnsi="IRNazanin" w:eastAsia="IRNazanin"/>
          <w:color w:val="111111"/>
          <w:sz w:val="28"/>
          <w:sz w:val="28"/>
          <w:szCs w:val="28"/>
          <w:rtl w:val="true"/>
          <w:lang w:bidi="fa-IR"/>
        </w:rPr>
        <w:t>روش تحقیق در این پژوهش، اسناد کتابخانه ای است که در آن، از نهج البلاغه به عنوان سند مکتوب سخنان آن حضرت و نیز از کتابهای تاریخی معتبر برای کشف سیره ی آن امام،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نوشتار، راه گشای عاشقان ولایت و تشنگان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تلاش ارزنده ی پژوهش گر ارجمند جناب دکتر محمدرضا آقاجانی قناد قدردانی می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پژوهشی مرکز پژوهشهای اسلامی صدا و سیما</w:t>
      </w:r>
      <w:r>
        <w:rPr>
          <w:rFonts w:eastAsia="IRNazanin" w:cs="IRNazanin"/>
          <w:color w:val="111111"/>
          <w:sz w:val="28"/>
          <w:szCs w:val="28"/>
          <w:rtl w:val="true"/>
          <w:lang w:bidi="fa-IR"/>
        </w:rPr>
        <w:t xml:space="preserve">» </w:t>
      </w:r>
      <w:bookmarkStart w:id="12" w:name="pg3603_20896"/>
    </w:p>
    <w:p>
      <w:pPr>
        <w:pStyle w:val="Heading2"/>
        <w:numPr>
          <w:ilvl w:val="1"/>
          <w:numId w:val="1"/>
        </w:numPr>
        <w:rPr/>
      </w:pPr>
      <w:bookmarkStart w:id="13" w:name="__RefHeading___Toc4168699_2749589250"/>
      <w:bookmarkStart w:id="14" w:name="_Toc4"/>
      <w:bookmarkEnd w:id="12"/>
      <w:bookmarkEnd w:id="13"/>
      <w:r>
        <w:rPr>
          <w:rtl w:val="true"/>
        </w:rPr>
        <w:t>بخش اوّل</w:t>
      </w:r>
      <w:r>
        <w:rPr>
          <w:rtl w:val="true"/>
        </w:rPr>
        <w:t xml:space="preserve">: </w:t>
      </w:r>
      <w:r>
        <w:rPr>
          <w:rtl w:val="true"/>
        </w:rPr>
        <w:t>معنای لغوی و اصطلاحی تساهل و تسامح</w:t>
      </w:r>
      <w:bookmarkEnd w:id="14"/>
    </w:p>
    <w:p>
      <w:pPr>
        <w:pStyle w:val="Heading3"/>
        <w:numPr>
          <w:ilvl w:val="2"/>
          <w:numId w:val="1"/>
        </w:numPr>
        <w:rPr/>
      </w:pPr>
      <w:bookmarkStart w:id="15" w:name="__RefHeading___Toc4168701_274958925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و اصطلاحی تساهل و تسامح</w:t>
      </w:r>
    </w:p>
    <w:p>
      <w:pPr>
        <w:pStyle w:val="BookText"/>
        <w:rPr/>
      </w:pPr>
      <w:r>
        <w:rPr>
          <w:rFonts w:ascii="IRNazanin" w:hAnsi="IRNazanin" w:eastAsia="IRNazanin"/>
          <w:color w:val="111111"/>
          <w:sz w:val="28"/>
          <w:sz w:val="28"/>
          <w:szCs w:val="28"/>
          <w:rtl w:val="true"/>
          <w:lang w:bidi="fa-IR"/>
        </w:rPr>
        <w:t>در فرهنگ اسلام و غرب، تسامح و تساهل، معنای مخصوص به خود را دارد که البته با معنای لغوی آن هم آهنگ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بنگریم که از این دو واژه، چه معنایی دریافت می شود و هریک از معانی در کدام تقسیم بندی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متون دینی و سیره ی معصومان به ویژه سیره ی امام علی علیه السلام می پردازیم تا جایگاه تساهل و تسامح را در فرهنگ اسلامی دریابیم</w:t>
      </w:r>
      <w:r>
        <w:rPr>
          <w:rFonts w:eastAsia="IRNazanin" w:cs="IRNazanin"/>
          <w:color w:val="111111"/>
          <w:sz w:val="28"/>
          <w:szCs w:val="28"/>
          <w:rtl w:val="true"/>
          <w:lang w:bidi="fa-IR"/>
        </w:rPr>
        <w:t>.</w:t>
      </w:r>
    </w:p>
    <w:p>
      <w:pPr>
        <w:pStyle w:val="Heading3"/>
        <w:numPr>
          <w:ilvl w:val="2"/>
          <w:numId w:val="1"/>
        </w:numPr>
        <w:rPr/>
      </w:pPr>
      <w:bookmarkStart w:id="17" w:name="__RefHeading___Toc4168703_2749589250"/>
      <w:bookmarkStart w:id="18" w:name="_Toc6"/>
      <w:bookmarkEnd w:id="17"/>
      <w:r>
        <w:rPr>
          <w:rtl w:val="true"/>
        </w:rPr>
        <w:t>فصل اوّل</w:t>
      </w:r>
      <w:r>
        <w:rPr>
          <w:rtl w:val="true"/>
        </w:rPr>
        <w:t xml:space="preserve">: </w:t>
      </w:r>
      <w:r>
        <w:rPr>
          <w:rtl w:val="true"/>
        </w:rPr>
        <w:t>معنای لغوی تساهل و تسامح</w:t>
      </w:r>
      <w:bookmarkEnd w:id="18"/>
    </w:p>
    <w:p>
      <w:pPr>
        <w:pStyle w:val="Heading4"/>
        <w:numPr>
          <w:ilvl w:val="3"/>
          <w:numId w:val="1"/>
        </w:numPr>
        <w:rPr/>
      </w:pPr>
      <w:bookmarkStart w:id="19" w:name="__RefHeading___Toc4168705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تساهل و تسامح</w:t>
      </w:r>
    </w:p>
    <w:p>
      <w:pPr>
        <w:pStyle w:val="BookText"/>
        <w:rPr/>
      </w:pPr>
      <w:r>
        <w:rPr>
          <w:rFonts w:ascii="IRNazanin" w:hAnsi="IRNazanin" w:eastAsia="IRNazanin"/>
          <w:color w:val="111111"/>
          <w:sz w:val="28"/>
          <w:sz w:val="28"/>
          <w:szCs w:val="28"/>
          <w:rtl w:val="true"/>
          <w:lang w:bidi="fa-IR"/>
        </w:rPr>
        <w:t>برای دریافت معنای این دو واژه، ابتدا به منابع فارسی و سپس به منابع عربی مراجعه می کنیم</w:t>
      </w:r>
      <w:r>
        <w:rPr>
          <w:rFonts w:eastAsia="IRNazanin" w:cs="IRNazanin"/>
          <w:color w:val="111111"/>
          <w:sz w:val="28"/>
          <w:szCs w:val="28"/>
          <w:rtl w:val="true"/>
          <w:lang w:bidi="fa-IR"/>
        </w:rPr>
        <w:t>.</w:t>
      </w:r>
    </w:p>
    <w:p>
      <w:pPr>
        <w:pStyle w:val="Heading4"/>
        <w:numPr>
          <w:ilvl w:val="3"/>
          <w:numId w:val="1"/>
        </w:numPr>
        <w:rPr/>
      </w:pPr>
      <w:bookmarkStart w:id="21" w:name="__RefHeading___Toc4168707_2749589250"/>
      <w:bookmarkStart w:id="22" w:name="_Toc8"/>
      <w:bookmarkEnd w:id="21"/>
      <w:r>
        <w:rPr>
          <w:rtl w:val="true"/>
        </w:rPr>
        <w:t>گفتار اول</w:t>
      </w:r>
      <w:r>
        <w:rPr>
          <w:rtl w:val="true"/>
        </w:rPr>
        <w:t xml:space="preserve">: </w:t>
      </w:r>
      <w:r>
        <w:rPr>
          <w:rtl w:val="true"/>
        </w:rPr>
        <w:t>منابع فارسی</w:t>
      </w:r>
      <w:bookmarkEnd w:id="22"/>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فارسی</w:t>
      </w:r>
    </w:p>
    <w:p>
      <w:pPr>
        <w:pStyle w:val="BookText"/>
        <w:rPr/>
      </w:pPr>
      <w:r>
        <w:rPr>
          <w:rFonts w:ascii="IRNazanin" w:hAnsi="IRNazanin" w:eastAsia="IRNazanin"/>
          <w:color w:val="111111"/>
          <w:sz w:val="28"/>
          <w:sz w:val="28"/>
          <w:szCs w:val="28"/>
          <w:rtl w:val="true"/>
          <w:lang w:bidi="fa-IR"/>
        </w:rPr>
        <w:t>الف ـ فرهنگ معین</w:t>
      </w:r>
    </w:p>
    <w:p>
      <w:pPr>
        <w:pStyle w:val="BookText"/>
        <w:rPr/>
      </w:pPr>
      <w:r>
        <w:rPr>
          <w:rFonts w:ascii="IRNazanin" w:hAnsi="IRNazanin" w:eastAsia="IRNazanin"/>
          <w:color w:val="111111"/>
          <w:sz w:val="28"/>
          <w:sz w:val="28"/>
          <w:szCs w:val="28"/>
          <w:rtl w:val="true"/>
          <w:lang w:bidi="fa-IR"/>
        </w:rPr>
        <w:t>فرهنگ معین، تسامح را دارای سه معنی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آسان گرفتن، مدارا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کوتاهی کردن، فروگذار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سهل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تساهل نیز سه معنی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سهل گرفتن بر یکدیگر، آسان گرفتن، به نرمی رفتار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لازم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آسان گفتن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سهل انگاری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که دیدید، این دو واژه در بیشتر موارد، معنای واحدی دارند و تنها تفاوت قابل تشخیص آن ها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تسامح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نرمی رفتار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تساهل است که به نظر می رسد می توانند با هم رابطه ی عِلّی و معلولی داشته باشند؛ زیرا فروگذار کردن خطاهای دیگران و واکنش نشان ندادن به کژی ها و کاستی های رفتار آدمیان می تواند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نرم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را به انسان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بگوییم تسامح، زمینه ساز تساهل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لغت نامه ی دهخدا</w:t>
      </w:r>
    </w:p>
    <w:p>
      <w:pPr>
        <w:pStyle w:val="BookText"/>
        <w:rPr/>
      </w:pPr>
      <w:r>
        <w:rPr>
          <w:rFonts w:ascii="IRNazanin" w:hAnsi="IRNazanin" w:eastAsia="IRNazanin"/>
          <w:color w:val="111111"/>
          <w:sz w:val="28"/>
          <w:sz w:val="28"/>
          <w:szCs w:val="28"/>
          <w:rtl w:val="true"/>
          <w:lang w:bidi="fa-IR"/>
        </w:rPr>
        <w:t>در لغت نامه دهخدا به جای لفظ تسامح، لفظ تسمّح و تسمیح که با واژه ی تسامح هم خانواده است، معنی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تسمّح به معنای مسامحه و سهل کاری آمده و برای تسمیح معانی زیر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نرم رفتن؛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آسان 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راست کردن نیزه؛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شتاب 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گریختن؛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آسان کردن و آسانی کردن با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کتاب های گوناگون لغوی</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 ـ فرهنگ سیّاح</w:t>
      </w:r>
    </w:p>
    <w:p>
      <w:pPr>
        <w:pStyle w:val="BookText"/>
        <w:rPr/>
      </w:pPr>
      <w:r>
        <w:rPr>
          <w:rFonts w:ascii="IRNazanin" w:hAnsi="IRNazanin" w:eastAsia="IRNazanin"/>
          <w:color w:val="111111"/>
          <w:sz w:val="28"/>
          <w:sz w:val="28"/>
          <w:szCs w:val="28"/>
          <w:rtl w:val="true"/>
          <w:lang w:bidi="fa-IR"/>
        </w:rPr>
        <w:t xml:space="preserve">در فرهنگ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ی واژه های تسامح و تساهل چنین معنی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سَمَح ـ سَماحا و 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و بخشش کرد</w:t>
      </w:r>
      <w:r>
        <w:rPr>
          <w:rFonts w:eastAsia="IRNazanin" w:cs="IRNazanin"/>
          <w:color w:val="111111"/>
          <w:sz w:val="28"/>
          <w:szCs w:val="28"/>
          <w:rtl w:val="true"/>
          <w:lang w:bidi="fa-IR"/>
        </w:rPr>
        <w:t xml:space="preserve">. </w:t>
      </w:r>
      <w:bookmarkStart w:id="23" w:name="pg3603_20898"/>
    </w:p>
    <w:p>
      <w:pPr>
        <w:pStyle w:val="BookText"/>
        <w:rPr/>
      </w:pPr>
      <w:bookmarkEnd w:id="23"/>
      <w:r>
        <w:rPr>
          <w:rFonts w:ascii="Amiri" w:hAnsi="Amiri" w:eastAsia="Amiri" w:cs="Amiri"/>
          <w:color w:val="111111"/>
          <w:sz w:val="28"/>
          <w:sz w:val="28"/>
          <w:szCs w:val="28"/>
          <w:rtl w:val="true"/>
          <w:lang w:bidi="ar-SA"/>
        </w:rPr>
        <w:t>سَمَحَ له بالشّی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او عطا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سَمَح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نرم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سَمَحَتِ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نرم و تابع شد و تند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درباره ی ریشه ی تساهل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الأَمُر سُهولةً و سهالةً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 آسان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تسهیلاً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آسان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نرم، نرم از هر چیز، زاغ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پرریگ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سَهْلُ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خوش خوی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 الخَدَّیْنِ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رخسارش بلند نباشد ـ کم گوشت رخسار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میان معانی بالا می توان به نوعی ارتباط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بخشش می کند، نوعی نرمش از خود نشان می دهد و جویبار پر ریگ هم، به آسانی و نرمی، آب را در خود عبور می دهد و مرد خوش خوی، کسی است که نرمی و سهولت در رفتار و کردار او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محور اصلی دو لفظ تساهل و تسامح، نرمی و همواری و عدم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معانی ارایه شده در منابع قدیمی تر عربی، این تحلیل را تأیید می کند</w:t>
      </w:r>
      <w:r>
        <w:rPr>
          <w:rFonts w:eastAsia="IRNazanin" w:cs="IRNazanin"/>
          <w:color w:val="111111"/>
          <w:sz w:val="28"/>
          <w:szCs w:val="28"/>
          <w:rtl w:val="true"/>
          <w:lang w:bidi="fa-IR"/>
        </w:rPr>
        <w:t>.</w:t>
      </w:r>
    </w:p>
    <w:p>
      <w:pPr>
        <w:pStyle w:val="Heading4"/>
        <w:numPr>
          <w:ilvl w:val="3"/>
          <w:numId w:val="1"/>
        </w:numPr>
        <w:rPr/>
      </w:pPr>
      <w:bookmarkStart w:id="24" w:name="__RefHeading___Toc4168709_2749589250"/>
      <w:bookmarkStart w:id="25" w:name="_Toc9"/>
      <w:bookmarkEnd w:id="24"/>
      <w:r>
        <w:rPr>
          <w:rtl w:val="true"/>
        </w:rPr>
        <w:t>گفتار دوم</w:t>
      </w:r>
      <w:r>
        <w:rPr>
          <w:rtl w:val="true"/>
        </w:rPr>
        <w:t xml:space="preserve">: </w:t>
      </w:r>
      <w:r>
        <w:rPr>
          <w:rtl w:val="true"/>
        </w:rPr>
        <w:t>منابع عربی</w:t>
      </w:r>
      <w:bookmarkEnd w:id="25"/>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عربی</w:t>
      </w:r>
    </w:p>
    <w:p>
      <w:pPr>
        <w:pStyle w:val="BookText"/>
        <w:rPr/>
      </w:pPr>
      <w:r>
        <w:rPr>
          <w:rFonts w:ascii="IRNazanin" w:hAnsi="IRNazanin" w:eastAsia="IRNazanin"/>
          <w:color w:val="111111"/>
          <w:sz w:val="28"/>
          <w:sz w:val="28"/>
          <w:szCs w:val="28"/>
          <w:rtl w:val="true"/>
          <w:lang w:bidi="fa-IR"/>
        </w:rPr>
        <w:t>الف ـ مصباح المنیر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سَمَحَ بکذا یَسْمَحُ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 وَ أعْطی اَوْ وافَقَ عَلی ما اُرِیدَ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فلان چیز </w:t>
      </w:r>
    </w:p>
    <w:p>
      <w:pPr>
        <w:pStyle w:val="BookText"/>
        <w:rPr/>
      </w:pPr>
      <w:r>
        <w:rPr>
          <w:rFonts w:ascii="IRNazanin" w:hAnsi="IRNazanin" w:eastAsia="IRNazanin"/>
          <w:color w:val="111111"/>
          <w:sz w:val="28"/>
          <w:sz w:val="28"/>
          <w:szCs w:val="28"/>
          <w:rtl w:val="true"/>
          <w:lang w:bidi="fa-IR"/>
        </w:rPr>
        <w:t>سماحت ورزید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 عطا کرد یا بر آن چه از او خواسته شد،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سامَحَهُ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اَعْطاهُ وَ تَسامَحَ وَ تَسَمَّحَ وَ اَصْلُهُ الاِتِّساعُ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فلان چیز مسامحه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عطا کرد و دو واژه ی تسامح و تَسَمُّح هم به همین معناست و اصل و ریشه ی آن ها، اتّساع و گشادگی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 ـ تاجُ العروس</w:t>
      </w:r>
    </w:p>
    <w:p>
      <w:pPr>
        <w:pStyle w:val="BookText"/>
        <w:rPr/>
      </w:pP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 ءٍ اِلَی اللّینِ و قِلَّةِ الخُشُونَةِ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اللّهُ عَلَیْکَ الاَمْرَ 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حَمَلَ مَؤُنَتَهُ عَنْکَ و خَفَّفَ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به معنای هرچیزی است که به نرمی و کمی خشونت متمایل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 را بر تو و برای تو سهل گرداند؛ یعنی بارِ آن را از دوش تو بردارد و آن را سبک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 ـ لسان العرب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والسُّهولَةُ ضِدُّ الحَزُونَةِ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التَّیسیرُ والتَساهُلُ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التَّسامُحُ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زمین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سهولت، ضدّ ناهمواری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کردن است و 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تسامح و چشم پوشی است</w:t>
      </w:r>
      <w:r>
        <w:rPr>
          <w:rFonts w:eastAsia="IRNazanin" w:cs="IRNazanin"/>
          <w:color w:val="111111"/>
          <w:sz w:val="28"/>
          <w:szCs w:val="28"/>
          <w:rtl w:val="true"/>
          <w:lang w:bidi="fa-IR"/>
        </w:rPr>
        <w:t>).</w:t>
      </w:r>
      <w:r>
        <w:rPr>
          <w:rStyle w:val="FootnoteAnchor"/>
          <w:rtl w:val="true"/>
        </w:rPr>
        <w:footnoteReference w:id="7"/>
      </w:r>
      <w:bookmarkStart w:id="26" w:name="pg3603_20900"/>
    </w:p>
    <w:p>
      <w:pPr>
        <w:pStyle w:val="BookText"/>
        <w:rPr/>
      </w:pPr>
      <w:bookmarkEnd w:id="26"/>
      <w:r>
        <w:rPr>
          <w:rFonts w:ascii="IRNazanin" w:hAnsi="IRNazanin" w:eastAsia="IRNazanin"/>
          <w:color w:val="111111"/>
          <w:sz w:val="28"/>
          <w:sz w:val="28"/>
          <w:szCs w:val="28"/>
          <w:rtl w:val="true"/>
          <w:lang w:bidi="fa-IR"/>
        </w:rPr>
        <w:t>د ـ المنجد</w:t>
      </w:r>
    </w:p>
    <w:p>
      <w:pPr>
        <w:pStyle w:val="BookText"/>
        <w:rPr/>
      </w:pP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جا صاف و هموار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آسان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ساهل مساهلهً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ملایمت و آسانی رفتار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صاف و هموار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بعیرٌ سَهْلیٌّ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در دشت و زمین هموار می چرد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اخلاق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اهلاً و سهلاً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خوش آمد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 خانواده و اهل خود هستی نه با بیگانگان و به جای هموار و مأنوس قدم گذاشتی نه در جای موحش و ناهموار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بخشش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بخشنده و سخاوت 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آسانی و نرمی رفتار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سامحه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آن کار هم دلی و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تَسمَّح و تسامح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کار سهل گرفت و تسامح به خرج داد</w:t>
      </w:r>
      <w:r>
        <w:rPr>
          <w:rFonts w:eastAsia="IRNazanin" w:cs="IRNazanin"/>
          <w:color w:val="111111"/>
          <w:sz w:val="28"/>
          <w:szCs w:val="28"/>
          <w:rtl w:val="true"/>
          <w:lang w:bidi="fa-IR"/>
        </w:rPr>
        <w:t>.</w:t>
      </w:r>
    </w:p>
    <w:p>
      <w:pPr>
        <w:pStyle w:val="Heading4"/>
        <w:numPr>
          <w:ilvl w:val="3"/>
          <w:numId w:val="1"/>
        </w:numPr>
        <w:rPr/>
      </w:pPr>
      <w:bookmarkStart w:id="27" w:name="__RefHeading___Toc4168711_2749589250"/>
      <w:bookmarkStart w:id="28" w:name="_Toc10"/>
      <w:bookmarkEnd w:id="27"/>
      <w:r>
        <w:rPr>
          <w:rtl w:val="true"/>
        </w:rPr>
        <w:t>جمع بندی معنای لغوی</w:t>
      </w:r>
      <w:bookmarkEnd w:id="28"/>
    </w:p>
    <w:p>
      <w:pPr>
        <w:pStyle w:val="BookText"/>
        <w:rPr/>
      </w:pPr>
      <w:r>
        <w:rPr>
          <w:rFonts w:ascii="IRNazanin" w:hAnsi="IRNazanin" w:eastAsia="IRNazanin"/>
          <w:color w:val="111111"/>
          <w:sz w:val="28"/>
          <w:sz w:val="28"/>
          <w:szCs w:val="28"/>
          <w:rtl w:val="true"/>
          <w:lang w:bidi="fa-IR"/>
        </w:rPr>
        <w:t>جمع بندی معنای لغوی</w:t>
      </w:r>
    </w:p>
    <w:p>
      <w:pPr>
        <w:pStyle w:val="BookText"/>
        <w:rPr/>
      </w:pPr>
      <w:r>
        <w:rPr>
          <w:rFonts w:ascii="IRNazanin" w:hAnsi="IRNazanin" w:eastAsia="IRNazanin"/>
          <w:color w:val="111111"/>
          <w:sz w:val="28"/>
          <w:sz w:val="28"/>
          <w:szCs w:val="28"/>
          <w:rtl w:val="true"/>
          <w:lang w:bidi="fa-IR"/>
        </w:rPr>
        <w:t>از بررسی سخن لغت شناسان قدیم و جدید، نتایج زیر را می توان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تساهل و تسامح، معنایی نزدیک به هم دارند و در بیشتر موارد می توانند به جای هم به کار روند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تسامح از ریشه ی سَمَحَ و سماحت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تواند به معنی آسان گرفتن و فروگذاردن یا به معنی جود و سخاوت و عفو و اغماض باشد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تساهل نیز که به </w:t>
      </w:r>
      <w:bookmarkStart w:id="29" w:name="pg3603_20901"/>
    </w:p>
    <w:p>
      <w:pPr>
        <w:pStyle w:val="BookText"/>
        <w:rPr/>
      </w:pPr>
      <w:bookmarkEnd w:id="29"/>
      <w:r>
        <w:rPr>
          <w:rFonts w:ascii="IRNazanin" w:hAnsi="IRNazanin" w:eastAsia="IRNazanin"/>
          <w:color w:val="111111"/>
          <w:sz w:val="28"/>
          <w:sz w:val="28"/>
          <w:szCs w:val="28"/>
          <w:rtl w:val="true"/>
          <w:lang w:bidi="fa-IR"/>
        </w:rPr>
        <w:t>معنای آسان گیری است، می تواند ناشی از چشم پوشی، اغماض و بزرگ منشی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تساهل می تواند معلول تسامح باشد</w:t>
      </w:r>
      <w:r>
        <w:rPr>
          <w:rFonts w:eastAsia="IRNazanin" w:cs="IRNazanin"/>
          <w:color w:val="111111"/>
          <w:sz w:val="28"/>
          <w:szCs w:val="28"/>
          <w:rtl w:val="true"/>
          <w:lang w:bidi="fa-IR"/>
        </w:rPr>
        <w:t>.</w:t>
      </w:r>
    </w:p>
    <w:p>
      <w:pPr>
        <w:pStyle w:val="Heading3"/>
        <w:numPr>
          <w:ilvl w:val="2"/>
          <w:numId w:val="1"/>
        </w:numPr>
        <w:rPr/>
      </w:pPr>
      <w:bookmarkStart w:id="30" w:name="__RefHeading___Toc4168713_2749589250"/>
      <w:bookmarkStart w:id="31" w:name="_Toc11"/>
      <w:bookmarkEnd w:id="30"/>
      <w:r>
        <w:rPr>
          <w:rtl w:val="true"/>
        </w:rPr>
        <w:t>فصل دوم</w:t>
      </w:r>
      <w:r>
        <w:rPr>
          <w:rtl w:val="true"/>
        </w:rPr>
        <w:t xml:space="preserve">: </w:t>
      </w:r>
      <w:r>
        <w:rPr>
          <w:rtl w:val="true"/>
        </w:rPr>
        <w:t>معنای اصطلاحی تساهل و تسامح</w:t>
      </w:r>
      <w:bookmarkEnd w:id="31"/>
    </w:p>
    <w:p>
      <w:pPr>
        <w:pStyle w:val="Heading4"/>
        <w:numPr>
          <w:ilvl w:val="3"/>
          <w:numId w:val="1"/>
        </w:numPr>
        <w:rPr/>
      </w:pPr>
      <w:bookmarkStart w:id="32" w:name="__RefHeading___Toc4168715_2749589250"/>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تساهل و تسامح</w:t>
      </w:r>
    </w:p>
    <w:p>
      <w:pPr>
        <w:pStyle w:val="BookText"/>
        <w:rPr/>
      </w:pPr>
      <w:r>
        <w:rPr>
          <w:rFonts w:ascii="IRNazanin" w:hAnsi="IRNazanin" w:eastAsia="IRNazanin"/>
          <w:color w:val="111111"/>
          <w:sz w:val="28"/>
          <w:sz w:val="28"/>
          <w:szCs w:val="28"/>
          <w:rtl w:val="true"/>
          <w:lang w:bidi="fa-IR"/>
        </w:rPr>
        <w:t>تسامح در علوم گوناگون، معانی گوناگونی دارد که باید آن ها را از یکدیگر باز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ادبیات، فقه، حقوق و فلسفه تعریف مستقلی دارد که در زیر به آن ها اشاره می کنیم</w:t>
      </w:r>
      <w:r>
        <w:rPr>
          <w:rFonts w:eastAsia="IRNazanin" w:cs="IRNazanin"/>
          <w:color w:val="111111"/>
          <w:sz w:val="28"/>
          <w:szCs w:val="28"/>
          <w:rtl w:val="true"/>
          <w:lang w:bidi="fa-IR"/>
        </w:rPr>
        <w:t>:</w:t>
      </w:r>
    </w:p>
    <w:p>
      <w:pPr>
        <w:pStyle w:val="Heading4"/>
        <w:numPr>
          <w:ilvl w:val="3"/>
          <w:numId w:val="1"/>
        </w:numPr>
        <w:rPr/>
      </w:pPr>
      <w:bookmarkStart w:id="34" w:name="__RefHeading___Toc4168717_2749589250"/>
      <w:bookmarkStart w:id="35" w:name="_Toc13"/>
      <w:bookmarkEnd w:id="34"/>
      <w:r>
        <w:rPr>
          <w:rtl w:val="true"/>
        </w:rPr>
        <w:t>الف</w:t>
      </w:r>
      <w:r>
        <w:rPr>
          <w:rtl w:val="true"/>
        </w:rPr>
        <w:t xml:space="preserve">: </w:t>
      </w:r>
      <w:r>
        <w:rPr>
          <w:rtl w:val="true"/>
        </w:rPr>
        <w:t>اصطلاح ادبی تسامح</w:t>
      </w:r>
      <w:bookmarkEnd w:id="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ادبی تسامح</w:t>
      </w:r>
    </w:p>
    <w:p>
      <w:pPr>
        <w:pStyle w:val="BookText"/>
        <w:rPr/>
      </w:pPr>
      <w:r>
        <w:rPr>
          <w:rFonts w:ascii="IRNazanin" w:hAnsi="IRNazanin" w:eastAsia="IRNazanin"/>
          <w:color w:val="111111"/>
          <w:sz w:val="28"/>
          <w:sz w:val="28"/>
          <w:szCs w:val="28"/>
          <w:rtl w:val="true"/>
          <w:lang w:bidi="fa-IR"/>
        </w:rPr>
        <w:t>در علوم ادبی، تسامح به معنای استعمال لفظ در معنای غیرحقیقی آن بدون علاقه و ارتباط مقبول با معنای حقیقی و بدون نصب قرینه و تنها با اعتماد بر فهم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تهانوی هندی،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اصطلاحات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میرشریف جرجانی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تسامح آن است که غرض از کلام گوینده روشن نباشد و برای فهم آن، به تقدیر گرفتن لفظی دیگر نیازمند باشیم</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6" w:name="__RefHeading___Toc4168719_2749589250"/>
      <w:bookmarkStart w:id="37" w:name="_Toc14"/>
      <w:bookmarkEnd w:id="36"/>
      <w:r>
        <w:rPr>
          <w:rtl w:val="true"/>
        </w:rPr>
        <w:t>ب</w:t>
      </w:r>
      <w:r>
        <w:rPr>
          <w:rtl w:val="true"/>
        </w:rPr>
        <w:t xml:space="preserve">: </w:t>
      </w:r>
      <w:r>
        <w:rPr>
          <w:rtl w:val="true"/>
        </w:rPr>
        <w:t>اصطلاح فقهی تسامح</w:t>
      </w:r>
      <w:bookmarkEnd w:id="3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فقهی تسامح</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تسامح در اصطلاح فقهی، به معنی سهل گرفتن نسبت به مدارک احکام از قبیل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 توانند روایاتی را که از نظر سند یا دلالت، چندان قوی نیستند و حامل حکم فقهی در باب مستحبّات یا مکروهات هستند،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چنین </w:t>
      </w:r>
      <w:bookmarkStart w:id="38" w:name="pg3603_20902"/>
    </w:p>
    <w:p>
      <w:pPr>
        <w:pStyle w:val="BookText"/>
        <w:rPr/>
      </w:pPr>
      <w:bookmarkEnd w:id="38"/>
      <w:r>
        <w:rPr>
          <w:rFonts w:ascii="IRNazanin" w:hAnsi="IRNazanin" w:eastAsia="IRNazanin"/>
          <w:color w:val="111111"/>
          <w:sz w:val="28"/>
          <w:sz w:val="28"/>
          <w:szCs w:val="28"/>
          <w:rtl w:val="true"/>
          <w:lang w:bidi="fa-IR"/>
        </w:rPr>
        <w:t>تسامحی در باب واجبات و محرّمات روا نیست و دلایل این دو نوع حکم، باید از نظر سند و دلالت، کاملاً رسا و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قاعده ای را در علم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ادلّه ی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احکام غیر وجوبی و غیر تحریمی است که شامل احکام مستحب و مکروه می شود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9" w:name="__RefHeading___Toc4168721_2749589250"/>
      <w:bookmarkStart w:id="40" w:name="_Toc15"/>
      <w:bookmarkEnd w:id="39"/>
      <w:r>
        <w:rPr>
          <w:rtl w:val="true"/>
        </w:rPr>
        <w:t>ج</w:t>
      </w:r>
      <w:r>
        <w:rPr>
          <w:rtl w:val="true"/>
        </w:rPr>
        <w:t xml:space="preserve">: </w:t>
      </w:r>
      <w:r>
        <w:rPr>
          <w:rtl w:val="true"/>
        </w:rPr>
        <w:t>اصطلاح حقوقی تسامح</w:t>
      </w:r>
      <w:bookmarkEnd w:id="4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حقوقی تسامح</w:t>
      </w:r>
    </w:p>
    <w:p>
      <w:pPr>
        <w:pStyle w:val="BookText"/>
        <w:rPr/>
      </w:pPr>
      <w:r>
        <w:rPr>
          <w:rFonts w:ascii="IRNazanin" w:hAnsi="IRNazanin" w:eastAsia="IRNazanin"/>
          <w:color w:val="111111"/>
          <w:sz w:val="28"/>
          <w:sz w:val="28"/>
          <w:szCs w:val="28"/>
          <w:rtl w:val="true"/>
          <w:lang w:bidi="fa-IR"/>
        </w:rPr>
        <w:t>تسامح در علم حقوق، به معنای آسان گرفتن بر مردم و به کارگیری انعطاف و اغماض در اجرای قوانین برای رعایت مصالح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اغماض و انعطاف، به انحراف و قانون شکنی نیانجامد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 اساس قاعده ی تسامح، کسی که چند دقیقه دیرتر به جلسه ی دادگاه رسیده است، باز هم می تواند دفاعیات خود را مطرح کند و استماع آن از سوی دادگاه،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محمدجعفر جعفری لنگرودی در توضیح این قاعده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و نیز قواعد حقوقی در قلمرو خود باید حکومت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برای رعایت مصلحت مردم، اگر این قوانین و قواعد، تصلّب زاید بر حدّ معقول نشان دهند، لطف و صفای خود را از دست می دهند و صورت خشن و گاه تحمل ناپذیر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برای رعایت مصالح همان مردم، تسامح و اغماض در حدی که صورت ملعبه پیدا نکند، عقلاً پسندیده است در حد انعطاف نه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زنده موضوع را روشن می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محاکم، یک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نیم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به یک پرونده وقت معین می کنند و پس از گذشتن این وقت، از غایب که دیرتر به جلسه رسیده است، لایحه دریافت نمی کنند و سخنان او را استماع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چند دقیقه پس از انقضای ساعت رسیدگی، اصحاب دعوی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تمیزی شماره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3/6/1318</w:t>
      </w:r>
      <w:r>
        <w:rPr>
          <w:rFonts w:eastAsia="IRNazanin" w:cs="IRNazanin"/>
          <w:color w:val="111111"/>
          <w:sz w:val="28"/>
          <w:szCs w:val="28"/>
          <w:rtl w:val="true"/>
          <w:lang w:bidi="fa-IR"/>
        </w:rPr>
        <w:t xml:space="preserve"> </w:t>
      </w:r>
      <w:bookmarkStart w:id="41" w:name="pg3603_20903"/>
    </w:p>
    <w:p>
      <w:pPr>
        <w:pStyle w:val="BookText"/>
        <w:rPr/>
      </w:pPr>
      <w:bookmarkEnd w:id="41"/>
      <w:r>
        <w:rPr>
          <w:rFonts w:ascii="IRNazanin" w:hAnsi="IRNazanin" w:eastAsia="IRNazanin"/>
          <w:color w:val="111111"/>
          <w:sz w:val="28"/>
          <w:sz w:val="28"/>
          <w:szCs w:val="28"/>
          <w:rtl w:val="true"/>
          <w:lang w:bidi="fa-IR"/>
        </w:rPr>
        <w:t>قاعده ی تسامح را به شکلی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گذشتن چند دقیقه از مهلت قانونی قابل تسامح بوده و جزء آخر وقت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ماهوی هم جریان دارد که نمونه ای از آن در ماده ی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صلحی که در مورد تنازع یا مبنی بر تسامح باشد، قاطع بین طرفین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42" w:name="__RefHeading___Toc4168723_2749589250"/>
      <w:bookmarkStart w:id="43" w:name="_Toc16"/>
      <w:bookmarkEnd w:id="42"/>
      <w:r>
        <w:rPr>
          <w:rtl w:val="true"/>
        </w:rPr>
        <w:t>د</w:t>
      </w:r>
      <w:r>
        <w:rPr>
          <w:rtl w:val="true"/>
        </w:rPr>
        <w:t xml:space="preserve">: </w:t>
      </w:r>
      <w:r>
        <w:rPr>
          <w:rtl w:val="true"/>
        </w:rPr>
        <w:t>اصطلاح فلسفی و سیاسی تسامح</w:t>
      </w:r>
      <w:bookmarkEnd w:id="4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فلسفی و سیاسی تسامح</w:t>
      </w:r>
    </w:p>
    <w:p>
      <w:pPr>
        <w:pStyle w:val="BookText"/>
        <w:rPr/>
      </w:pPr>
      <w:r>
        <w:rPr>
          <w:rFonts w:ascii="IRNazanin" w:hAnsi="IRNazanin" w:eastAsia="IRNazanin"/>
          <w:color w:val="111111"/>
          <w:sz w:val="28"/>
          <w:sz w:val="28"/>
          <w:szCs w:val="28"/>
          <w:rtl w:val="true"/>
          <w:lang w:bidi="fa-IR"/>
        </w:rPr>
        <w:t>تسامح در اصطلاح فلسفی و سیاسی، چنین تعریف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خودداری از اَعمال خصمانه بر ضدّ آن چه قبول نداریم یا نمی پسندیم یا از نظر سیاسی مخالف آن هستیم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این تعریف در می یابیم که در تسامح، برخلاف دوست داشتن یا نیکی کردن، همیشه چیزی ناپسند و نامقبول وجود دارد و اهمیت تسامح نیز در مدارا با همین چیزی است که نمی پسندیم و نمی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معنای اصطلاحی تسامح، تحمّل عقیده ی مخالف و اجازه دادن به انسان ها در داشتن تفکر و اعتقادی ناموافق با اعتقاد ما و نیز اجازه ی ابراز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سیاسی و فلسفی معاصر، تسامح را می توان نقطه ی مقابل تعصّب خشک و خشونت قرار داد؛ زیرا پیدایش فرهنگ تسامح پس از یک دوره خشونت و قلع و قمع مخالفان مذهبی و سیاسی در اروپا صورت گرفته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نویسندگان، تسامح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آن را چنین تعریف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یعنی فضیلت پرهیز کردن از توسل به قدرت در برابر عقیده یا عمل دیگران، در حالی که آن عقیده یا عمل با عقیده و عمل ما هم آهنگ نباشد، یا از نظر اخلاقی آن را نپسندیم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هرچند نویسندگان دیگر، ناپسندی اخلاقی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اند، اما همه بر عامل قدرت تأکید دارند؛ زیرا در جایی که قدرتی در میان نباشد و نتوان مخالف را سرکوب کرد، ادّعای تسامح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مجتبی مینوی هنگام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تأکید بیشتر بر جنبه ی تحمّل مخالفان دینی و عقیدتی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تساهل به معنای سهل گرفتن بر دیگران و سعه ی صدر داشتن نسبت به اعمال و عقاید دینی دیگران و تحمّلِ هر طریقه ی نو و کهنه ای است که با طریقه ی مقبوله ی خود انسان مخالف است، و اظهار نفرت نکردن از آداب و اعتقادات دینی و مذهبی دیگران، که به زبان های اروپایی با لفظ </w:t>
      </w:r>
      <w:r>
        <w:rPr>
          <w:rFonts w:eastAsia="Times New Roman" w:cs="Times New Roman" w:ascii="Times New Roman" w:hAnsi="Times New Roman"/>
          <w:color w:val="111111"/>
          <w:sz w:val="28"/>
          <w:szCs w:val="28"/>
          <w:lang w:val="en-US" w:bidi="en-US"/>
        </w:rPr>
        <w:t>Tolerance,Toleration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تساهل و تسامح در فرهنگ سیاسی و فلسفی امروز به معنای تحمل و احترام به مخالفان عقیدتی و مخالفان سیاسی حکومت و نیز پرهیز از اِعمال خشونت علیه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تسامح با تساهل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نویسندگان با متفاوت دانستن این دو واژه، تسامح را دارای بار اخلاقی </w:t>
      </w:r>
    </w:p>
    <w:p>
      <w:pPr>
        <w:pStyle w:val="BookText"/>
        <w:rPr/>
      </w:pPr>
      <w:r>
        <w:rPr>
          <w:rFonts w:ascii="IRNazanin" w:hAnsi="IRNazanin" w:eastAsia="IRNazanin"/>
          <w:color w:val="111111"/>
          <w:sz w:val="28"/>
          <w:sz w:val="28"/>
          <w:szCs w:val="28"/>
          <w:rtl w:val="true"/>
          <w:lang w:bidi="fa-IR"/>
        </w:rPr>
        <w:t>بیشتری نسبت به تساهل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در تسامح، جبنه ی جوان مردی و مروّت و عفو و اغماض نهفته است، در حالی که تساهل، تنها به معنای آسان گرفتن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مینوی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در میان ملل متمدن، تعصّب نداشتن و وسعت صدر و مدارا و تساهل و تسامح داشتن جزو شرایط انسانیت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 نیست که ما در کتاب های قدیم و به ویژه کتب لغت عربی و فارسی بگردیم و ببینیم این مفهوم را به چه لفظی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لغت تسامح را پسندیده ام، برای این که در آن، هم یک جنبه ی جوان مردی مندرج است و هم مفهومی دوجانبه دارد؛ یعنی همه ی مردم نسبت به یکدیگر آسان بگیرند و جوان مردی داشته باشند و عقاید و اعمال همدیگر را در مواردی که با آزادی و زندگانی خودشان منافی نیست، در فشار حدود و قیود ناشی از تعصب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هم لفظ خوبی است، ولی آن جنبه ی جوان مردی در آن مندرج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مجموع، می توان گفت اصطلاح تساهل و تسامح، دست کم دو معنای مهم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آزادی مخالف عقیدتی و سیاسی در اظهار عقیده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پرهیز از خشونت غیرقانونی در برابر خطاکار و اقدام به عفو و اغماض در حدّ ممکن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به این مطلب خواهیم پرداخت که اعطای آزادی در عرصه ی اندیشه و عمل و روآوردن به عفو و اغماض خطاکاران، بر اساس کدام مبانی فکری و فلسفی تفسیر می شود</w:t>
      </w:r>
      <w:r>
        <w:rPr>
          <w:rFonts w:eastAsia="IRNazanin" w:cs="IRNazanin"/>
          <w:color w:val="111111"/>
          <w:sz w:val="28"/>
          <w:szCs w:val="28"/>
          <w:rtl w:val="true"/>
          <w:lang w:bidi="fa-IR"/>
        </w:rPr>
        <w:t xml:space="preserve">. </w:t>
      </w:r>
      <w:bookmarkStart w:id="44" w:name="pg3603_20906"/>
    </w:p>
    <w:p>
      <w:pPr>
        <w:pStyle w:val="Heading2"/>
        <w:numPr>
          <w:ilvl w:val="1"/>
          <w:numId w:val="1"/>
        </w:numPr>
        <w:rPr/>
      </w:pPr>
      <w:bookmarkStart w:id="45" w:name="__RefHeading___Toc4168725_2749589250"/>
      <w:bookmarkStart w:id="46" w:name="_Toc17"/>
      <w:bookmarkEnd w:id="44"/>
      <w:bookmarkEnd w:id="45"/>
      <w:r>
        <w:rPr>
          <w:rtl w:val="true"/>
        </w:rPr>
        <w:t>بخش دوم</w:t>
      </w:r>
      <w:r>
        <w:rPr>
          <w:rtl w:val="true"/>
        </w:rPr>
        <w:t xml:space="preserve">: </w:t>
      </w:r>
      <w:r>
        <w:rPr>
          <w:rtl w:val="true"/>
        </w:rPr>
        <w:t>بررسی تاریخ و مبانی تساهل و تسامح از دیدگاه امام علی علیه السلام و غرب</w:t>
      </w:r>
      <w:bookmarkEnd w:id="46"/>
    </w:p>
    <w:p>
      <w:pPr>
        <w:pStyle w:val="Heading3"/>
        <w:numPr>
          <w:ilvl w:val="2"/>
          <w:numId w:val="1"/>
        </w:numPr>
        <w:rPr/>
      </w:pPr>
      <w:bookmarkStart w:id="47" w:name="__RefHeading___Toc4168727_2749589250"/>
      <w:bookmarkStart w:id="48" w:name="_Toc18"/>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و مبانی تساهل و تسامح از دیدگاه امام علی علیه السلام و غرب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تاریخی تساهل و تسامح در غرب</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مبانی تسامح از دیدگاه امام علی علیه السلام و غرب</w:t>
      </w:r>
    </w:p>
    <w:p>
      <w:pPr>
        <w:pStyle w:val="Heading3"/>
        <w:numPr>
          <w:ilvl w:val="2"/>
          <w:numId w:val="1"/>
        </w:numPr>
        <w:rPr/>
      </w:pPr>
      <w:bookmarkStart w:id="49" w:name="__RefHeading___Toc4168729_2749589250"/>
      <w:bookmarkStart w:id="50" w:name="_Toc19"/>
      <w:bookmarkEnd w:id="49"/>
      <w:r>
        <w:rPr>
          <w:rtl w:val="true"/>
        </w:rPr>
        <w:t>فصل اوّل</w:t>
      </w:r>
      <w:r>
        <w:rPr>
          <w:rtl w:val="true"/>
        </w:rPr>
        <w:t xml:space="preserve">: </w:t>
      </w:r>
      <w:r>
        <w:rPr>
          <w:rtl w:val="true"/>
        </w:rPr>
        <w:t>پیشینه ی تاریخی تساهل و تسامح در غرب</w:t>
      </w:r>
      <w:bookmarkEnd w:id="50"/>
    </w:p>
    <w:p>
      <w:pPr>
        <w:pStyle w:val="Heading4"/>
        <w:numPr>
          <w:ilvl w:val="3"/>
          <w:numId w:val="1"/>
        </w:numPr>
        <w:rPr/>
      </w:pPr>
      <w:bookmarkStart w:id="51" w:name="__RefHeading___Toc4168731_2749589250"/>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ی تاریخی تساهل و تسامح در غرب</w:t>
      </w:r>
    </w:p>
    <w:p>
      <w:pPr>
        <w:pStyle w:val="BookText"/>
        <w:rPr/>
      </w:pPr>
      <w:r>
        <w:rPr>
          <w:rFonts w:ascii="IRNazanin" w:hAnsi="IRNazanin" w:eastAsia="IRNazanin"/>
          <w:color w:val="111111"/>
          <w:sz w:val="28"/>
          <w:sz w:val="28"/>
          <w:szCs w:val="28"/>
          <w:rtl w:val="true"/>
          <w:lang w:bidi="fa-IR"/>
        </w:rPr>
        <w:t>فرهنگ تسامح در غرب، از عوامل گوناگون اجتماعی، سیاسی و مذهبی ریشه گرفته است که با بررسی آن، خاست گاه و شرایط اجتماعی تحقّق مفهوم تساهل و تسامح را بهتر می توان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امروزه پذیرش آرای گوناگون در درون حاکمیت دولت ها و دادن اجازه ی ابراز نظر به گروه ها و نحله های فکری، امری بدیهی به نظر می رسد، اما آسان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قرن ها می گذشت، جنگ های خانمان سوز در می گرفت، جان و مال و حکومت ها و حتی کشورها نابود می شدند تا تناقض استدلال های تسامح ستیزان و خشونت گران درعمل و نظر ثابت می شد و فرهیختگان سیاست و دین، بدین نتیجه می رسیدند که نفع طرفین دعوا در تسامح و مداراست</w:t>
      </w:r>
      <w:r>
        <w:rPr>
          <w:rFonts w:eastAsia="IRNazanin" w:cs="IRNazanin"/>
          <w:color w:val="111111"/>
          <w:sz w:val="28"/>
          <w:szCs w:val="28"/>
          <w:rtl w:val="true"/>
          <w:lang w:bidi="fa-IR"/>
        </w:rPr>
        <w:t>.</w:t>
      </w:r>
    </w:p>
    <w:p>
      <w:pPr>
        <w:pStyle w:val="Heading4"/>
        <w:numPr>
          <w:ilvl w:val="3"/>
          <w:numId w:val="1"/>
        </w:numPr>
        <w:rPr/>
      </w:pPr>
      <w:bookmarkStart w:id="53" w:name="__RefHeading___Toc4168733_2749589250"/>
      <w:bookmarkStart w:id="54" w:name="_Toc21"/>
      <w:bookmarkEnd w:id="53"/>
      <w:r>
        <w:rPr>
          <w:rtl w:val="true"/>
        </w:rPr>
        <w:t>نقش کلیسا در پیدایش تسامح</w:t>
      </w:r>
      <w:bookmarkEnd w:id="54"/>
    </w:p>
    <w:p>
      <w:pPr>
        <w:pStyle w:val="BookText"/>
        <w:rPr/>
      </w:pPr>
      <w:r>
        <w:rPr>
          <w:rFonts w:ascii="IRNazanin" w:hAnsi="IRNazanin" w:eastAsia="IRNazanin"/>
          <w:color w:val="111111"/>
          <w:sz w:val="28"/>
          <w:sz w:val="28"/>
          <w:szCs w:val="28"/>
          <w:rtl w:val="true"/>
          <w:lang w:bidi="fa-IR"/>
        </w:rPr>
        <w:t>نقش کلیسا در پیدایش تسامح</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کلیسا مانند شکنجه ی مخالفان، تفتیش عقاید، سخت گیری بر منتقدان، حمایت از ستم پادشاهان، در کنار خرافات پروری و پیرایه بستن به دین مسیح، در اواخر قرون وُسطی، خشم اندیشمندان و مصلحان اروپا را بر انگیخت که سرانجام با حمایت توده ها </w:t>
      </w:r>
      <w:bookmarkStart w:id="55" w:name="pg3603_20907"/>
    </w:p>
    <w:p>
      <w:pPr>
        <w:pStyle w:val="BookText"/>
        <w:rPr/>
      </w:pPr>
      <w:bookmarkEnd w:id="55"/>
      <w:r>
        <w:rPr>
          <w:rFonts w:ascii="IRNazanin" w:hAnsi="IRNazanin" w:eastAsia="IRNazanin"/>
          <w:color w:val="111111"/>
          <w:sz w:val="28"/>
          <w:sz w:val="28"/>
          <w:szCs w:val="28"/>
          <w:rtl w:val="true"/>
          <w:lang w:bidi="fa-IR"/>
        </w:rPr>
        <w:t xml:space="preserve">در انقلاب فرانسه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گام برای اعتراض به عملکرد کلیسا در قرون وسطی، پیدایش مذهب پروتستان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معترضان به کلیسای رسمی 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لوتر </w:t>
      </w:r>
      <w:r>
        <w:rPr>
          <w:rFonts w:eastAsia="IRNazanin" w:cs="IRNazanin"/>
          <w:color w:val="111111"/>
          <w:sz w:val="28"/>
          <w:szCs w:val="28"/>
          <w:rtl w:val="true"/>
          <w:lang w:bidi="fa-IR"/>
        </w:rPr>
        <w:t>(</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آرای فیلسوفانی مانند پیربیل </w:t>
      </w:r>
      <w:r>
        <w:rPr>
          <w:rFonts w:eastAsia="IRNazanin" w:cs="IRNazanin"/>
          <w:color w:val="111111"/>
          <w:sz w:val="28"/>
          <w:szCs w:val="28"/>
          <w:rtl w:val="true"/>
          <w:lang w:bidi="fa-IR"/>
        </w:rPr>
        <w:t>(</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لاک </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ژاک روسو </w:t>
      </w:r>
      <w:r>
        <w:rPr>
          <w:rFonts w:eastAsia="IRNazanin" w:cs="IRNazanin"/>
          <w:color w:val="111111"/>
          <w:sz w:val="28"/>
          <w:szCs w:val="28"/>
          <w:rtl w:val="true"/>
          <w:lang w:bidi="fa-IR"/>
        </w:rPr>
        <w:t>(</w:t>
      </w:r>
      <w:r>
        <w:rPr>
          <w:rFonts w:eastAsia="IRNazanin" w:cs="IRNazanin"/>
          <w:color w:val="111111"/>
          <w:sz w:val="28"/>
          <w:szCs w:val="28"/>
          <w:lang w:bidi="fa-IR"/>
        </w:rPr>
        <w:t>1778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استوارت میل </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تکمیل کرد</w:t>
      </w:r>
      <w:r>
        <w:rPr>
          <w:rFonts w:eastAsia="IRNazanin" w:cs="IRNazanin"/>
          <w:color w:val="111111"/>
          <w:sz w:val="28"/>
          <w:szCs w:val="28"/>
          <w:rtl w:val="true"/>
          <w:lang w:bidi="fa-IR"/>
        </w:rPr>
        <w:t>.</w:t>
      </w:r>
    </w:p>
    <w:p>
      <w:pPr>
        <w:pStyle w:val="Heading4"/>
        <w:numPr>
          <w:ilvl w:val="3"/>
          <w:numId w:val="1"/>
        </w:numPr>
        <w:rPr/>
      </w:pPr>
      <w:bookmarkStart w:id="56" w:name="__RefHeading___Toc4168735_2749589250"/>
      <w:bookmarkStart w:id="57" w:name="_Toc22"/>
      <w:bookmarkEnd w:id="56"/>
      <w:r>
        <w:rPr>
          <w:rtl w:val="true"/>
        </w:rPr>
        <w:t>نگرش منفی و مثبت به تسامح</w:t>
      </w:r>
      <w:bookmarkEnd w:id="57"/>
    </w:p>
    <w:p>
      <w:pPr>
        <w:pStyle w:val="BookText"/>
        <w:rPr/>
      </w:pPr>
      <w:r>
        <w:rPr>
          <w:rFonts w:ascii="IRNazanin" w:hAnsi="IRNazanin" w:eastAsia="IRNazanin"/>
          <w:color w:val="111111"/>
          <w:sz w:val="28"/>
          <w:sz w:val="28"/>
          <w:szCs w:val="28"/>
          <w:rtl w:val="true"/>
          <w:lang w:bidi="fa-IR"/>
        </w:rPr>
        <w:t>نگرش منفی و مثبت به تسامح</w:t>
      </w:r>
    </w:p>
    <w:p>
      <w:pPr>
        <w:pStyle w:val="BookText"/>
        <w:rPr/>
      </w:pPr>
      <w:r>
        <w:rPr>
          <w:rFonts w:ascii="IRNazanin" w:hAnsi="IRNazanin" w:eastAsia="IRNazanin"/>
          <w:color w:val="111111"/>
          <w:sz w:val="28"/>
          <w:sz w:val="28"/>
          <w:szCs w:val="28"/>
          <w:rtl w:val="true"/>
          <w:lang w:bidi="fa-IR"/>
        </w:rPr>
        <w:t>در آغاز، تسامح در غرب، یک صفت ناپسند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بوسوئه </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کاتولیک فرانسوی، در برابر پروتستان ها افتخار می کرد که تسامح در مذهب کاتولیک، نسبت به دیگر مذاهب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بدانیم در روزگارانی که آبای نخستین کلیسای مسیحی مورد شکنجه و آزار رومی ها قرار داشتند، خود از مدافعان تسامح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کنستانتین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مسیحیت را دین رسمی اعلام کرد، همه ی آن دفاعیه ها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شدگان دیروز، به شکنجه گران امروز و تسامح ستیزان دیروز به تسامح اندیشان امروز تبدیل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کاتولیک ها، به اعتبار اکثریت خود، معتقد بودند حقیقت مطلق، ملک طِلق آنان است و هرکس از کلیسای کاتولیک روی برتابد، از خداوند روی برتافته و مستحق مجازات مرگ است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8" w:name="__RefHeading___Toc4168737_2749589250"/>
      <w:bookmarkStart w:id="59" w:name="_Toc23"/>
      <w:bookmarkEnd w:id="58"/>
      <w:r>
        <w:rPr>
          <w:rtl w:val="true"/>
        </w:rPr>
        <w:t>استدلال کاتولیک ها</w:t>
      </w:r>
      <w:bookmarkEnd w:id="59"/>
    </w:p>
    <w:p>
      <w:pPr>
        <w:pStyle w:val="BookText"/>
        <w:rPr/>
      </w:pPr>
      <w:r>
        <w:rPr>
          <w:rFonts w:ascii="IRNazanin" w:hAnsi="IRNazanin" w:eastAsia="IRNazanin"/>
          <w:color w:val="111111"/>
          <w:sz w:val="28"/>
          <w:sz w:val="28"/>
          <w:szCs w:val="28"/>
          <w:rtl w:val="true"/>
          <w:lang w:bidi="fa-IR"/>
        </w:rPr>
        <w:t>استدلال کاتولیک 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پردازان کاتولیک، برای مجازات نیز دلیل هایی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کسی را مجازات نکنی، خداوند خشمگین می شود و همه را به پای او مجازات </w:t>
      </w:r>
      <w:bookmarkStart w:id="60" w:name="pg3603_20908"/>
    </w:p>
    <w:p>
      <w:pPr>
        <w:pStyle w:val="BookText"/>
        <w:rPr/>
      </w:pPr>
      <w:bookmarkEnd w:id="60"/>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کسی زنده بماند، بیشتر گناه می کند و اصلاً مصلحت او در این است که با کشتن، وی را از گناه بیشتر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نمی فهمیدند یا نمی خواستند دریابند، این بود که نظریه پردازان ادیان دیگر نیز می توانند همین استدلال ها را بر ضدّ کاتولیک ها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این اعتقاد راسخ به حقیقت مطلق و ایمان راستین را در کاتولیک ها متزلزل کرد، پیدایش مذهب پروتستان بود؛ زیرا در نتیجه ی آن، ایمان راستین، معنای خود را از دست داد و اعتماد به کارآیی و تأثیر منع و سرکوب عقاید در آثار نویسندگان متزلزل شد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61" w:name="__RefHeading___Toc4168739_2749589250"/>
      <w:bookmarkStart w:id="62" w:name="_Toc24"/>
      <w:bookmarkEnd w:id="61"/>
      <w:r>
        <w:rPr>
          <w:rtl w:val="true"/>
        </w:rPr>
        <w:t>فرمان نانت و الغای آن</w:t>
      </w:r>
      <w:bookmarkEnd w:id="62"/>
    </w:p>
    <w:p>
      <w:pPr>
        <w:pStyle w:val="BookText"/>
        <w:rPr/>
      </w:pPr>
      <w:r>
        <w:rPr>
          <w:rFonts w:ascii="IRNazanin" w:hAnsi="IRNazanin" w:eastAsia="IRNazanin"/>
          <w:color w:val="111111"/>
          <w:sz w:val="28"/>
          <w:sz w:val="28"/>
          <w:szCs w:val="28"/>
          <w:rtl w:val="true"/>
          <w:lang w:bidi="fa-IR"/>
        </w:rPr>
        <w:t>فرمان نانت و الغای آن</w:t>
      </w:r>
    </w:p>
    <w:p>
      <w:pPr>
        <w:pStyle w:val="BookText"/>
        <w:rPr/>
      </w:pPr>
      <w:r>
        <w:rPr>
          <w:rFonts w:ascii="IRNazanin" w:hAnsi="IRNazanin" w:eastAsia="IRNazanin"/>
          <w:color w:val="111111"/>
          <w:sz w:val="28"/>
          <w:sz w:val="28"/>
          <w:szCs w:val="28"/>
          <w:rtl w:val="true"/>
          <w:lang w:bidi="fa-IR"/>
        </w:rPr>
        <w:t xml:space="preserve">درگیری کاتولیک ها و پروتستان ها که از دهه ی دوم قرن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1517</w:t>
      </w:r>
      <w:r>
        <w:rPr>
          <w:rFonts w:ascii="IRNazanin" w:hAnsi="IRNazanin" w:eastAsia="IRNazanin"/>
          <w:color w:val="111111"/>
          <w:sz w:val="28"/>
          <w:sz w:val="28"/>
          <w:szCs w:val="28"/>
          <w:rtl w:val="true"/>
          <w:lang w:bidi="fa-IR"/>
        </w:rPr>
        <w:t>؛ سال انتشار نخستین کتاب لوتر در اعتراض به مذهب 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بود، تا سال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آثار مخربی بر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لویی چهارم، شاهزاده ی فرانسوی که تازه به پادشاهی رسیده و افکار پروتستانی را در سر می پروراند، با صدور فرمانی، در شهر نانت برای پروتستان ها حق حیات قایل شد و آنان را مشروع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فشار کشیشان کاتولیک سبب شد تا در سال </w:t>
      </w:r>
      <w:r>
        <w:rPr>
          <w:rFonts w:eastAsia="IRNazanin" w:cs="IRNazanin"/>
          <w:color w:val="111111"/>
          <w:sz w:val="28"/>
          <w:szCs w:val="28"/>
          <w:lang w:bidi="fa-IR"/>
        </w:rPr>
        <w:t>1685</w:t>
      </w:r>
      <w:r>
        <w:rPr>
          <w:rFonts w:ascii="IRNazanin" w:hAnsi="IRNazanin" w:eastAsia="IRNazanin"/>
          <w:color w:val="111111"/>
          <w:sz w:val="28"/>
          <w:sz w:val="28"/>
          <w:szCs w:val="28"/>
          <w:rtl w:val="true"/>
          <w:lang w:bidi="fa-IR"/>
        </w:rPr>
        <w:t>، لویی چهاردهم این فرمان را لغو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بار دیگر سه میلیون فرانسوی پروتستان، مجبور به ترک فرانسه شدند</w:t>
      </w:r>
      <w:r>
        <w:rPr>
          <w:rFonts w:eastAsia="IRNazanin" w:cs="IRNazanin"/>
          <w:color w:val="111111"/>
          <w:sz w:val="28"/>
          <w:szCs w:val="28"/>
          <w:rtl w:val="true"/>
          <w:lang w:bidi="fa-IR"/>
        </w:rPr>
        <w:t>.</w:t>
      </w:r>
    </w:p>
    <w:p>
      <w:pPr>
        <w:pStyle w:val="Heading4"/>
        <w:numPr>
          <w:ilvl w:val="3"/>
          <w:numId w:val="1"/>
        </w:numPr>
        <w:rPr/>
      </w:pPr>
      <w:bookmarkStart w:id="63" w:name="__RefHeading___Toc4168741_2749589250"/>
      <w:bookmarkStart w:id="64" w:name="_Toc25"/>
      <w:bookmarkEnd w:id="63"/>
      <w:r>
        <w:rPr>
          <w:rtl w:val="true"/>
        </w:rPr>
        <w:t>تساهل در فرهنگ اروپا</w:t>
      </w:r>
      <w:bookmarkEnd w:id="64"/>
    </w:p>
    <w:p>
      <w:pPr>
        <w:pStyle w:val="BookText"/>
        <w:rPr/>
      </w:pPr>
      <w:r>
        <w:rPr>
          <w:rFonts w:ascii="IRNazanin" w:hAnsi="IRNazanin" w:eastAsia="IRNazanin"/>
          <w:color w:val="111111"/>
          <w:sz w:val="28"/>
          <w:sz w:val="28"/>
          <w:szCs w:val="28"/>
          <w:rtl w:val="true"/>
          <w:lang w:bidi="fa-IR"/>
        </w:rPr>
        <w:t>تساهل در فرهنگ اروپا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تساهل، گونه ای از آزادی است که اساسا در تاریخ تحوّلات اروپا ریشه داشته است و بنیاد تجربه ی دموکراسی اروپایی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دیگر آزادی در دیگر تمدن ها </w:t>
      </w:r>
      <w:bookmarkStart w:id="65" w:name="pg3603_20909"/>
    </w:p>
    <w:p>
      <w:pPr>
        <w:pStyle w:val="BookText"/>
        <w:rPr/>
      </w:pPr>
      <w:bookmarkEnd w:id="65"/>
      <w:r>
        <w:rPr>
          <w:rFonts w:ascii="IRNazanin" w:hAnsi="IRNazanin" w:eastAsia="IRNazanin"/>
          <w:color w:val="111111"/>
          <w:sz w:val="28"/>
          <w:sz w:val="28"/>
          <w:szCs w:val="28"/>
          <w:rtl w:val="true"/>
          <w:lang w:bidi="fa-IR"/>
        </w:rPr>
        <w:t>پدید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آزادی مشارکت سیاسی در امور عمومی در جوامع گوناگون سنتی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آزادی به معنی بهره مندی از حقوق بر اساس سنت یا قانون یا به عبارت دیگر حق انجام دادن آن چه منع نشده و خودداری از انجام دادن آن چه به انجامش حکم نشده است، در هر جامعه ی دارای نظام حقوقی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جوامع، قدرت قانون گذاری حاکم نیز، محدود به حدودی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دو معنای اخیر، خاص اروپا نیست ولی آزادی به معنای تساهل، سنتی اساسا اروپایی است که آن هم در دوران رقابت شدید فرقه های مذهبی در قرن شانزدهم حاصل شد</w:t>
      </w:r>
      <w:r>
        <w:rPr>
          <w:rFonts w:eastAsia="IRNazanin" w:cs="IRNazanin"/>
          <w:color w:val="111111"/>
          <w:sz w:val="28"/>
          <w:szCs w:val="28"/>
          <w:rtl w:val="true"/>
          <w:lang w:bidi="fa-IR"/>
        </w:rPr>
        <w:t>.</w:t>
      </w:r>
    </w:p>
    <w:p>
      <w:pPr>
        <w:pStyle w:val="Heading4"/>
        <w:numPr>
          <w:ilvl w:val="3"/>
          <w:numId w:val="1"/>
        </w:numPr>
        <w:rPr/>
      </w:pPr>
      <w:bookmarkStart w:id="66" w:name="__RefHeading___Toc4168743_2749589250"/>
      <w:bookmarkStart w:id="67" w:name="_Toc26"/>
      <w:bookmarkEnd w:id="66"/>
      <w:r>
        <w:rPr>
          <w:rtl w:val="true"/>
        </w:rPr>
        <w:t>اعتقاد به حقانیّت مطلق و خشونت متقابل</w:t>
      </w:r>
      <w:bookmarkEnd w:id="67"/>
    </w:p>
    <w:p>
      <w:pPr>
        <w:pStyle w:val="BookText"/>
        <w:rPr/>
      </w:pPr>
      <w:r>
        <w:rPr>
          <w:rFonts w:ascii="IRNazanin" w:hAnsi="IRNazanin" w:eastAsia="IRNazanin"/>
          <w:color w:val="111111"/>
          <w:sz w:val="28"/>
          <w:sz w:val="28"/>
          <w:szCs w:val="28"/>
          <w:rtl w:val="true"/>
          <w:lang w:bidi="fa-IR"/>
        </w:rPr>
        <w:t>اعتقاد به حقانیّت مطلق و خشونت متقابل</w:t>
      </w:r>
    </w:p>
    <w:p>
      <w:pPr>
        <w:pStyle w:val="BookText"/>
        <w:rPr/>
      </w:pPr>
      <w:r>
        <w:rPr>
          <w:rFonts w:ascii="IRNazanin" w:hAnsi="IRNazanin" w:eastAsia="IRNazanin"/>
          <w:color w:val="111111"/>
          <w:sz w:val="28"/>
          <w:sz w:val="28"/>
          <w:szCs w:val="28"/>
          <w:rtl w:val="true"/>
          <w:lang w:bidi="fa-IR"/>
        </w:rPr>
        <w:t>در این دوران، همه ی فرقه ها به حقانیّت مطلق خود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کلیسای کاتولیک و هم کلیسای پروتستان، خود را حقّ مطلق و تردیدناپذیر دانسته و مخالفان خود را انسان هایی شرور به حساب می آوردند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کینگ می گوید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مذهبی چنان مبرهن تلقّی می شد که مخالفت با آن، نه اشتباه بلکه شرارت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رفورماسیون، نه تنها کاتولیک ها بلکه پروتستان های اولیه نیز بر این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کاتولیک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هوبمایر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سوزاندند </w:t>
      </w:r>
      <w:r>
        <w:rPr>
          <w:rFonts w:eastAsia="IRNazanin" w:cs="IRNazanin"/>
          <w:color w:val="111111"/>
          <w:sz w:val="28"/>
          <w:szCs w:val="28"/>
          <w:rtl w:val="true"/>
          <w:lang w:bidi="fa-IR"/>
        </w:rPr>
        <w:t>(</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کالوینیست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سروتیوس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آتش کشیدند </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سوزاندند </w:t>
      </w:r>
      <w:r>
        <w:rPr>
          <w:rFonts w:eastAsia="IRNazanin" w:cs="IRNazanin"/>
          <w:color w:val="111111"/>
          <w:sz w:val="28"/>
          <w:szCs w:val="28"/>
          <w:rtl w:val="true"/>
          <w:lang w:bidi="fa-IR"/>
        </w:rPr>
        <w:t>(</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زونیگلیان 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غرق کردند </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w:t>
      </w:r>
      <w:r>
        <w:rPr>
          <w:rStyle w:val="FootnoteAnchor"/>
          <w:rtl w:val="true"/>
        </w:rPr>
        <w:footnoteReference w:id="19"/>
      </w:r>
      <w:bookmarkStart w:id="68" w:name="pg3603_20910"/>
    </w:p>
    <w:p>
      <w:pPr>
        <w:pStyle w:val="Heading4"/>
        <w:numPr>
          <w:ilvl w:val="3"/>
          <w:numId w:val="1"/>
        </w:numPr>
        <w:rPr/>
      </w:pPr>
      <w:bookmarkStart w:id="69" w:name="__RefHeading___Toc4168745_2749589250"/>
      <w:bookmarkStart w:id="70" w:name="_Toc27"/>
      <w:bookmarkEnd w:id="68"/>
      <w:bookmarkEnd w:id="69"/>
      <w:r>
        <w:rPr>
          <w:rtl w:val="true"/>
        </w:rPr>
        <w:t>سه دیدگاه در دفاع از تساهل</w:t>
      </w:r>
      <w:bookmarkEnd w:id="70"/>
    </w:p>
    <w:p>
      <w:pPr>
        <w:pStyle w:val="Heading5"/>
        <w:numPr>
          <w:ilvl w:val="4"/>
          <w:numId w:val="1"/>
        </w:numPr>
        <w:rPr/>
      </w:pPr>
      <w:bookmarkStart w:id="71" w:name="__RefHeading___Toc4168747_2749589250"/>
      <w:bookmarkStart w:id="72" w:name="_Toc28"/>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سه دیدگاه در دفاع از تساهل</w:t>
      </w:r>
    </w:p>
    <w:p>
      <w:pPr>
        <w:pStyle w:val="BookText"/>
        <w:rPr/>
      </w:pPr>
      <w:r>
        <w:rPr>
          <w:rFonts w:ascii="IRNazanin" w:hAnsi="IRNazanin" w:eastAsia="IRNazanin"/>
          <w:color w:val="111111"/>
          <w:sz w:val="28"/>
          <w:sz w:val="28"/>
          <w:szCs w:val="28"/>
          <w:rtl w:val="true"/>
          <w:lang w:bidi="fa-IR"/>
        </w:rPr>
        <w:t>روی هم رفته با سه دیدگاه، می توان از اندیشه ی تساهل یا عدم تساهل دفاع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سیاسی؛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مذهبی؛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دیدگاه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دیدگاه را به اجمال بررسی خواهیم کرد</w:t>
      </w:r>
      <w:r>
        <w:rPr>
          <w:rFonts w:eastAsia="IRNazanin" w:cs="IRNazanin"/>
          <w:color w:val="111111"/>
          <w:sz w:val="28"/>
          <w:szCs w:val="28"/>
          <w:rtl w:val="true"/>
          <w:lang w:bidi="fa-IR"/>
        </w:rPr>
        <w:t>.</w:t>
      </w:r>
    </w:p>
    <w:p>
      <w:pPr>
        <w:pStyle w:val="Heading5"/>
        <w:numPr>
          <w:ilvl w:val="4"/>
          <w:numId w:val="1"/>
        </w:numPr>
        <w:rPr/>
      </w:pPr>
      <w:bookmarkStart w:id="73" w:name="__RefHeading___Toc4168749_2749589250"/>
      <w:bookmarkStart w:id="74" w:name="_Toc29"/>
      <w:bookmarkEnd w:id="73"/>
      <w:r>
        <w:rPr/>
        <w:t>1</w:t>
      </w:r>
      <w:r>
        <w:rPr>
          <w:rtl w:val="true"/>
        </w:rPr>
        <w:t>ـ</w:t>
      </w:r>
      <w:r>
        <w:rPr/>
        <w:t>1</w:t>
      </w:r>
      <w:r>
        <w:rPr>
          <w:rtl w:val="true"/>
        </w:rPr>
        <w:t xml:space="preserve"> </w:t>
      </w:r>
      <w:r>
        <w:rPr>
          <w:rtl w:val="true"/>
        </w:rPr>
        <w:t>دفاع سیاسی از عدم تساهل</w:t>
      </w:r>
      <w:bookmarkEnd w:id="7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سیاسی از عدم تساهل</w:t>
      </w:r>
    </w:p>
    <w:p>
      <w:pPr>
        <w:pStyle w:val="BookText"/>
        <w:rPr/>
      </w:pPr>
      <w:r>
        <w:rPr>
          <w:rFonts w:ascii="IRNazanin" w:hAnsi="IRNazanin" w:eastAsia="IRNazanin"/>
          <w:color w:val="111111"/>
          <w:sz w:val="28"/>
          <w:sz w:val="28"/>
          <w:szCs w:val="28"/>
          <w:rtl w:val="true"/>
          <w:lang w:bidi="fa-IR"/>
        </w:rPr>
        <w:t>مهم ترین استدلال سیاسی در دفاع از عدم تساهل آن است که هم گونی عقاید که با عدم تساهل حاصل می شود، لازمه ی حفظ امنیّت جامعه و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گروهی بخواهد عقیده ی مخصوص خود را ابراز کند و برای اجرای آن در جامعه، در پی دست یابی به مراکز قدرت باشد، کشمکش، درگیری و اختلاف، همه ی جامعه را فرا خواهد گرفت</w:t>
      </w:r>
      <w:r>
        <w:rPr>
          <w:rFonts w:eastAsia="IRNazanin" w:cs="IRNazanin"/>
          <w:color w:val="111111"/>
          <w:sz w:val="28"/>
          <w:szCs w:val="28"/>
          <w:rtl w:val="true"/>
          <w:lang w:bidi="fa-IR"/>
        </w:rPr>
        <w:t>.</w:t>
      </w:r>
    </w:p>
    <w:p>
      <w:pPr>
        <w:pStyle w:val="Heading5"/>
        <w:numPr>
          <w:ilvl w:val="4"/>
          <w:numId w:val="1"/>
        </w:numPr>
        <w:rPr/>
      </w:pPr>
      <w:bookmarkStart w:id="75" w:name="__RefHeading___Toc4168751_2749589250"/>
      <w:bookmarkStart w:id="76" w:name="_Toc30"/>
      <w:bookmarkEnd w:id="75"/>
      <w:r>
        <w:rPr/>
        <w:t>2</w:t>
      </w:r>
      <w:r>
        <w:rPr>
          <w:rtl w:val="true"/>
        </w:rPr>
        <w:t>ـ</w:t>
      </w:r>
      <w:r>
        <w:rPr/>
        <w:t>1</w:t>
      </w:r>
      <w:r>
        <w:rPr>
          <w:rtl w:val="true"/>
        </w:rPr>
        <w:t xml:space="preserve"> </w:t>
      </w:r>
      <w:r>
        <w:rPr>
          <w:rtl w:val="true"/>
        </w:rPr>
        <w:t>دفاع سیاسی از تساهل</w:t>
      </w:r>
      <w:bookmarkEnd w:id="76"/>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سیاسی از تساهل</w:t>
      </w:r>
    </w:p>
    <w:p>
      <w:pPr>
        <w:pStyle w:val="BookText"/>
        <w:rPr/>
      </w:pPr>
      <w:r>
        <w:rPr>
          <w:rFonts w:ascii="IRNazanin" w:hAnsi="IRNazanin" w:eastAsia="IRNazanin"/>
          <w:color w:val="111111"/>
          <w:sz w:val="28"/>
          <w:sz w:val="28"/>
          <w:szCs w:val="28"/>
          <w:rtl w:val="true"/>
          <w:lang w:bidi="fa-IR"/>
        </w:rPr>
        <w:t>از سوی دیگر در دفاع از تساهل، چنین استدلال می شود که کوشش برای تحمیل هم گونی عقاید، پرهزینه، دشوار و بی فایده است؛ زیرا پدید آوردن چنین وحدتی تنها با خون ریزی، دهشت افکنی و سرکوب استعدادها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وحدتی، به یقین شکننده خواهد بود</w:t>
      </w:r>
      <w:r>
        <w:rPr>
          <w:rFonts w:eastAsia="IRNazanin" w:cs="IRNazanin"/>
          <w:color w:val="111111"/>
          <w:sz w:val="28"/>
          <w:szCs w:val="28"/>
          <w:rtl w:val="true"/>
          <w:lang w:bidi="fa-IR"/>
        </w:rPr>
        <w:t>.</w:t>
      </w:r>
    </w:p>
    <w:p>
      <w:pPr>
        <w:pStyle w:val="Heading5"/>
        <w:numPr>
          <w:ilvl w:val="4"/>
          <w:numId w:val="1"/>
        </w:numPr>
        <w:rPr/>
      </w:pPr>
      <w:bookmarkStart w:id="77" w:name="__RefHeading___Toc4168753_2749589250"/>
      <w:bookmarkStart w:id="78" w:name="_Toc31"/>
      <w:bookmarkEnd w:id="77"/>
      <w:r>
        <w:rPr/>
        <w:t>1</w:t>
      </w:r>
      <w:r>
        <w:rPr>
          <w:rtl w:val="true"/>
        </w:rPr>
        <w:t>ـ</w:t>
      </w:r>
      <w:r>
        <w:rPr/>
        <w:t>2</w:t>
      </w:r>
      <w:r>
        <w:rPr>
          <w:rtl w:val="true"/>
        </w:rPr>
        <w:t xml:space="preserve"> </w:t>
      </w:r>
      <w:r>
        <w:rPr>
          <w:rtl w:val="true"/>
        </w:rPr>
        <w:t>دفاع مذهبی از عدم تساهل</w:t>
      </w:r>
      <w:bookmarkEnd w:id="7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مذهبی از عدم تساهل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 استدلال همه ی آنان که به دلایل مذهبی از عدم تساهل دفاع کرده اند، این است که سرکوب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رشد و رواج آن ها و افزایش هواداران شان پیش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امکان اغفال مؤمنان ساده لوح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این که هواداران عقاید ضالّه را باید برای حفظ مصالح دیگران، سرکوب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اگوست و مارتین لوتر، با این استدلال از سرکوب عقاید مخالف، دفاع می کردند</w:t>
      </w:r>
      <w:r>
        <w:rPr>
          <w:rFonts w:eastAsia="IRNazanin" w:cs="IRNazanin"/>
          <w:color w:val="111111"/>
          <w:sz w:val="28"/>
          <w:szCs w:val="28"/>
          <w:rtl w:val="true"/>
          <w:lang w:bidi="fa-IR"/>
        </w:rPr>
        <w:t xml:space="preserve">. </w:t>
      </w:r>
      <w:bookmarkStart w:id="79" w:name="pg3603_20911"/>
    </w:p>
    <w:p>
      <w:pPr>
        <w:pStyle w:val="BookText"/>
        <w:rPr/>
      </w:pPr>
      <w:bookmarkEnd w:id="79"/>
      <w:r>
        <w:rPr>
          <w:rFonts w:ascii="IRNazanin" w:hAnsi="IRNazanin" w:eastAsia="IRNazanin"/>
          <w:color w:val="111111"/>
          <w:sz w:val="28"/>
          <w:sz w:val="28"/>
          <w:szCs w:val="28"/>
          <w:rtl w:val="true"/>
          <w:lang w:bidi="fa-IR"/>
        </w:rPr>
        <w:t>از این دیدگاه، آدمیان موجودات غیرعقلانی و هوسناکی هستند و بهترین استدلال ها نیز لزوما متقاعد کننده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لحاظ هوسناکی و خردناپذیری، به آسانی از زیر بار دین شانه خالی می کنند و به عقاید آسان تر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 زور و عدم تساهل نه برای جبران ضعف استدلال و اقناع، بلکه از باب ضرورت باید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نادرست است که هرگاه عقیده آزاد باشد، حقیقت به کرسی خواهد نشست؛ زیرا با توجه به طبع گمراه و مغرور آدمی، ممکن است غیرحقیقت مستولی شود</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80" w:name="__RefHeading___Toc4168755_2749589250"/>
      <w:bookmarkStart w:id="81" w:name="_Toc32"/>
      <w:bookmarkEnd w:id="80"/>
      <w:r>
        <w:rPr/>
        <w:t>2</w:t>
      </w:r>
      <w:r>
        <w:rPr>
          <w:rtl w:val="true"/>
        </w:rPr>
        <w:t>ـ</w:t>
      </w:r>
      <w:r>
        <w:rPr/>
        <w:t>2</w:t>
      </w:r>
      <w:r>
        <w:rPr>
          <w:rtl w:val="true"/>
        </w:rPr>
        <w:t xml:space="preserve"> </w:t>
      </w:r>
      <w:r>
        <w:rPr>
          <w:rtl w:val="true"/>
        </w:rPr>
        <w:t>دفاع مذهبی از تساهل</w:t>
      </w:r>
      <w:bookmarkEnd w:id="81"/>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مذهبی از تساهل</w:t>
      </w:r>
    </w:p>
    <w:p>
      <w:pPr>
        <w:pStyle w:val="BookText"/>
        <w:rPr/>
      </w:pPr>
      <w:r>
        <w:rPr>
          <w:rFonts w:ascii="IRNazanin" w:hAnsi="IRNazanin" w:eastAsia="IRNazanin"/>
          <w:color w:val="111111"/>
          <w:sz w:val="28"/>
          <w:sz w:val="28"/>
          <w:szCs w:val="28"/>
          <w:rtl w:val="true"/>
          <w:lang w:bidi="fa-IR"/>
        </w:rPr>
        <w:t>جوهر دفاع از تساهل بر مبنای دلایل مذهبی از این قرار است که ایمان واقعی، ایمان قلبی و صمیمانه است و تظاهر به اعتقاد، به معنی اعتقاد راستین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تحمیل عقاید و عدم تساهل، سبب گسترش ریاکاری می شود و از نظر دینی ناموجه است؛ زیرا ریاکاری بدتر از بی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عدم تساهل، تشخیص مؤمن را از منافق در جامعه دشوار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بازار این گونه استدلال های مذهبی در غرب، در قرن شانزدهم به اوج خود رسید و جان لاک </w:t>
      </w:r>
      <w:r>
        <w:rPr>
          <w:rFonts w:eastAsia="IRNazanin" w:cs="IRNazanin"/>
          <w:color w:val="111111"/>
          <w:sz w:val="28"/>
          <w:szCs w:val="28"/>
          <w:rtl w:val="true"/>
          <w:lang w:bidi="fa-IR"/>
        </w:rPr>
        <w:t>(</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قهرمان این میدان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استدلال و سخن او را بیشتر توضیح خواهیم داد</w:t>
      </w:r>
      <w:r>
        <w:rPr>
          <w:rFonts w:eastAsia="IRNazanin" w:cs="IRNazanin"/>
          <w:color w:val="111111"/>
          <w:sz w:val="28"/>
          <w:szCs w:val="28"/>
          <w:rtl w:val="true"/>
          <w:lang w:bidi="fa-IR"/>
        </w:rPr>
        <w:t>.</w:t>
      </w:r>
    </w:p>
    <w:p>
      <w:pPr>
        <w:pStyle w:val="Heading5"/>
        <w:numPr>
          <w:ilvl w:val="4"/>
          <w:numId w:val="1"/>
        </w:numPr>
        <w:rPr/>
      </w:pPr>
      <w:bookmarkStart w:id="82" w:name="__RefHeading___Toc4168757_2749589250"/>
      <w:bookmarkStart w:id="83" w:name="_Toc33"/>
      <w:bookmarkEnd w:id="82"/>
      <w:r>
        <w:rPr/>
        <w:t>1</w:t>
      </w:r>
      <w:r>
        <w:rPr>
          <w:rtl w:val="true"/>
        </w:rPr>
        <w:t>ـ</w:t>
      </w:r>
      <w:r>
        <w:rPr/>
        <w:t>3</w:t>
      </w:r>
      <w:r>
        <w:rPr>
          <w:rtl w:val="true"/>
        </w:rPr>
        <w:t xml:space="preserve"> </w:t>
      </w:r>
      <w:r>
        <w:rPr>
          <w:rtl w:val="true"/>
        </w:rPr>
        <w:t>دفاع فلسفی از عدم تساهل</w:t>
      </w:r>
      <w:bookmarkEnd w:id="8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فلسفی از عدم تساهل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ی هوادار عدم تساهل، حقیقت را گوهری دست یافتنی برای بشر می دانند و </w:t>
      </w:r>
      <w:bookmarkStart w:id="84" w:name="pg3603_20912"/>
    </w:p>
    <w:p>
      <w:pPr>
        <w:pStyle w:val="BookText"/>
        <w:rPr/>
      </w:pPr>
      <w:bookmarkEnd w:id="84"/>
      <w:r>
        <w:rPr>
          <w:rFonts w:ascii="IRNazanin" w:hAnsi="IRNazanin" w:eastAsia="IRNazanin"/>
          <w:color w:val="111111"/>
          <w:sz w:val="28"/>
          <w:sz w:val="28"/>
          <w:szCs w:val="28"/>
          <w:rtl w:val="true"/>
          <w:lang w:bidi="fa-IR"/>
        </w:rPr>
        <w:t>بر این باورند که همه ی راه ها نمی تواند به حقیقت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اندیشمندان، حکما و فلاسفه که به عقل فعّال متصل اند باید هدایت جامعه را بر عهده گیرند و مخالفان و بی اعتقادان را سرکوب کنند تا راه جامعه به سوی رستگاری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ی فاضله ی فارابی را می توان نمونه ای از جامعه ی نامتساهل دانست؛ زیرا به اعتقاد او ریاست این جامعه، بر عهده ی رییس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رییس علی الاطلاق و بی نیاز از مرشد و رییس دیگر و صاحب تدبیر و عالم به همه ی دانش ها و معرفت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همه را مرهون اتصال به عقل فعّال و استمداد بی واسطه از مدد و فیض آن می داند و او پادشاه است که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فارابی، در برابر مدینه ی فاضله، مدینه های جاهله، فاسقه و ضالّه قرار دارد که افراد آن، در اثر ناتوانی تشخیص حقیقت خیر و سعادت را نمی شناسند و بر وهم و خیال تکیه می کنند یا اگر آگاهی دارند، در عمل، از علم خود پیروی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فارابی، مدینه ی فاضله، یکنواخت نیست؛ یعنی همیشه نیروهای ناسازگار و فاسد که شخصیت شان با نظام یکی از مدینه های فاسده متناسب است، در آن وجود دارند که باید کشته یا سرکوب شوند تا رهبران متّصل به عقل فعّال از گزند ایشان در امان بمانند</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85" w:name="__RefHeading___Toc4168759_2749589250"/>
      <w:bookmarkStart w:id="86" w:name="_Toc34"/>
      <w:bookmarkEnd w:id="85"/>
      <w:r>
        <w:rPr/>
        <w:t>2</w:t>
      </w:r>
      <w:r>
        <w:rPr>
          <w:rtl w:val="true"/>
        </w:rPr>
        <w:t>ـ</w:t>
      </w:r>
      <w:r>
        <w:rPr/>
        <w:t>3</w:t>
      </w:r>
      <w:r>
        <w:rPr>
          <w:rtl w:val="true"/>
        </w:rPr>
        <w:t xml:space="preserve"> </w:t>
      </w:r>
      <w:r>
        <w:rPr>
          <w:rtl w:val="true"/>
        </w:rPr>
        <w:t>دفاع فلسفی از تساهل</w:t>
      </w:r>
      <w:bookmarkEnd w:id="86"/>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فلسفی از تساهل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فلسفی از تساهل، به فرد به عنوان غایت و هدف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هرکس به عنوان موجودی تام و تمام، حق اظهار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اظهار آن به مصلحت دین یا دولت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فرد حق ندارد با اظهار عقیده خود به دیگران </w:t>
      </w:r>
    </w:p>
    <w:p>
      <w:pPr>
        <w:pStyle w:val="BookText"/>
        <w:rPr/>
      </w:pPr>
      <w:r>
        <w:rPr>
          <w:rFonts w:ascii="IRNazanin" w:hAnsi="IRNazanin" w:eastAsia="IRNazanin"/>
          <w:color w:val="111111"/>
          <w:sz w:val="28"/>
          <w:sz w:val="28"/>
          <w:szCs w:val="28"/>
          <w:rtl w:val="true"/>
          <w:lang w:bidi="fa-IR"/>
        </w:rPr>
        <w:t>زیان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استدلالی هواداران تساهل این است که اعتقاد به دین، ضرورتا با پذیرش اختیاری و داوطلبانه ی آن همراه است و زور و اجبار هیچ گاه نمی تواند اعتقاد قلبی و حقیقی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برهان به شکل دیگری نیز بیان شده و آن این که، هدف همه ی ادیان، رستگاری انسان است و این هدف تنها با اعتقاد آزادانه و داوطلبانه ی مذهبی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اضطرار و اجبار، ابزارهایی هستند که با غایت و هدف دین متعارض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امکان پیشرفت جامعه و بروز خلاقیت ها از طریق آزادی بیان و عقیده تأکید می کرد، خود استدلالی دگرگونه به شمار می آید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واقع می توان گفت در دفاع از تساهل، دوگونه استدلال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استدلال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ایمان را امر شخصی و قلبی دانسته و آن را با زور قابل درک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استدلال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کاربرد زور و اجبار را برای غایت دین؛ یعنی رستگاری ارواح آدمیان، ناکارآمد می شمارد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استوارت میل، استفاده از زور را برای پیشرفت مذهب و تعالی جامعه زیان بار می دانست</w:t>
      </w:r>
      <w:r>
        <w:rPr>
          <w:rFonts w:eastAsia="IRNazanin" w:cs="IRNazanin"/>
          <w:color w:val="111111"/>
          <w:sz w:val="28"/>
          <w:szCs w:val="28"/>
          <w:rtl w:val="true"/>
          <w:lang w:bidi="fa-IR"/>
        </w:rPr>
        <w:t xml:space="preserve">.. </w:t>
      </w:r>
      <w:bookmarkStart w:id="87" w:name="pg3603_20914"/>
    </w:p>
    <w:p>
      <w:pPr>
        <w:pStyle w:val="Heading4"/>
        <w:numPr>
          <w:ilvl w:val="3"/>
          <w:numId w:val="1"/>
        </w:numPr>
        <w:rPr/>
      </w:pPr>
      <w:bookmarkStart w:id="88" w:name="__RefHeading___Toc4168761_2749589250"/>
      <w:bookmarkStart w:id="89" w:name="_Toc35"/>
      <w:bookmarkEnd w:id="87"/>
      <w:bookmarkEnd w:id="88"/>
      <w:r>
        <w:rPr>
          <w:rtl w:val="true"/>
        </w:rPr>
        <w:t>استدلال پوپر درباره ی تساهل تئوریک</w:t>
      </w:r>
      <w:bookmarkEnd w:id="89"/>
    </w:p>
    <w:p>
      <w:pPr>
        <w:pStyle w:val="BookText"/>
        <w:rPr/>
      </w:pPr>
      <w:r>
        <w:rPr>
          <w:rFonts w:ascii="IRNazanin" w:hAnsi="IRNazanin" w:eastAsia="IRNazanin"/>
          <w:color w:val="111111"/>
          <w:sz w:val="28"/>
          <w:sz w:val="28"/>
          <w:szCs w:val="28"/>
          <w:rtl w:val="true"/>
          <w:lang w:bidi="fa-IR"/>
        </w:rPr>
        <w:t>استدلال پوپر درباره ی تساهل تئوریک</w:t>
      </w:r>
    </w:p>
    <w:p>
      <w:pPr>
        <w:pStyle w:val="BookText"/>
        <w:rPr/>
      </w:pPr>
      <w:r>
        <w:rPr>
          <w:rFonts w:ascii="IRNazanin" w:hAnsi="IRNazanin" w:eastAsia="IRNazanin"/>
          <w:color w:val="111111"/>
          <w:sz w:val="28"/>
          <w:sz w:val="28"/>
          <w:szCs w:val="28"/>
          <w:rtl w:val="true"/>
          <w:lang w:bidi="fa-IR"/>
        </w:rPr>
        <w:t>هرچند تساهل در آغاز، انگیزه ی مذهبی داشت، اما سرانجام به تساهل تئوریک انجامید و این باور پدید آمد که اصولاً هیچ کس نمی تواند به حقیقت دست یابد و وضع حقیقت تنها از جانب خداوند، آن هم برای به جست و جو واداشتن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بخشی از حقیقت را می بیند و هیچ کس به همه ی آن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در حالی که تفکر لاک، در گذشته به اندیشه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جدایی دین از سیاست منتهی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پوپر؛ فیلسوف انگلیسی قرن بیستم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ی باز و دشمنانش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تساهل سیاسی بر مبنای پلورالیسم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هر نظریه ای یک قضیه ی کلی است در برابر یک قضیه ی جزئی، و چون مصادیق بی نهایت دارد که قابل دسترسی برای انسان نیست، هیچ گاه نمی توان به طور یقینی، آن را تأیید کرد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دست آورد اندیشه های پوپر، نفی جزم اندیشی و یقین نسبت به همه ی آگاهی 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حقانیت ادیان را نیز در بر می گیرد و پیروان مذهب های گوناگون را به ترک اعتقاد جزمی نسبت به حقانیت خود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ی فرقه ها و گروه های مذهبی تا اندازه ای بر حقّ اند و هیچ گروهی به طور مطلق بر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 که از دیدگاه قرآن و پیشوایان دینی از جمله امام علی علیه السلام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سخن یکی از نویسندگان معاصر درباره ارتباط تساهل و لیبرالیسم و پلورالیسم اشاره می کنیم که می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مشرب اصالت تکثّر و پلورالیزم که آن را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اند، به درستی قابل تفسیر نیست مگر پس از توجه به معرفت شناسی لیبرالی که اساسا برای معقولات کلی و مفاهیم فلسفی و غیرتجربی اعتباری قایل نیست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حقیقت</w:t>
      </w:r>
      <w:r>
        <w:rPr>
          <w:rFonts w:eastAsia="IRNazanin" w:cs="IRNazanin"/>
          <w:color w:val="111111"/>
          <w:sz w:val="28"/>
          <w:szCs w:val="28"/>
          <w:rtl w:val="true"/>
          <w:lang w:bidi="fa-IR"/>
        </w:rPr>
        <w:t xml:space="preserve">» </w:t>
      </w:r>
      <w:bookmarkStart w:id="90" w:name="pg3603_20915"/>
    </w:p>
    <w:p>
      <w:pPr>
        <w:pStyle w:val="BookText"/>
        <w:rPr/>
      </w:pPr>
      <w:bookmarkEnd w:id="90"/>
      <w:r>
        <w:rPr>
          <w:rFonts w:ascii="IRNazanin" w:hAnsi="IRNazanin" w:eastAsia="IRNazanin"/>
          <w:color w:val="111111"/>
          <w:sz w:val="28"/>
          <w:sz w:val="28"/>
          <w:szCs w:val="28"/>
          <w:rtl w:val="true"/>
          <w:lang w:bidi="fa-IR"/>
        </w:rPr>
        <w:t xml:space="preserve">و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تولرانس لیبرالی دو پیش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هیچ عقیده ای، بر دیگری رجحان عقلی و برهانی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سود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باید اختلاف ها را مهار کرد تا جامعه ی مدنی، گرچه باطن جنگلی دارد، ظاهری آرام و به اصطلاح قانون مند و متساهل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به عقیده، به مثابه ی نوعی غریزه، نگریسته می شود که به هر حال باید دفع و ارضا شود، ولی بهره ای از عقلانیت و حقیقت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ما می گوییم یک عقیده، با معیار عقل و وحی، یا حق است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رفق و مدارا، اساس رفتار تعلیمی و تربیتی انبیا و اولیا بوده که هرگز به معنی بی مقداری حق و ارزش ها یا به معنی غیرقابل شناخت بودن آن ها نیست، بلکه به معنی رعایت ظرفیت هاست</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91" w:name="__RefHeading___Toc4168763_2749589250"/>
      <w:bookmarkStart w:id="92" w:name="_Toc36"/>
      <w:bookmarkEnd w:id="91"/>
      <w:r>
        <w:rPr>
          <w:rtl w:val="true"/>
        </w:rPr>
        <w:t>نتیجه</w:t>
      </w:r>
      <w:bookmarkEnd w:id="92"/>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نتیجه ی پژوهش در این فصل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تساهل، معلول تضادها و اختلاف های مذهبی در اروپا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تساهل، به تدریج نزد فیلسوفان اروپایی به دو نتیجه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نسبیت در حقیقت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جدایی دین از سیاست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بریم</w:t>
      </w:r>
      <w:r>
        <w:rPr>
          <w:rFonts w:eastAsia="IRNazanin" w:cs="IRNazanin"/>
          <w:color w:val="111111"/>
          <w:sz w:val="28"/>
          <w:szCs w:val="28"/>
          <w:rtl w:val="true"/>
          <w:lang w:bidi="fa-IR"/>
        </w:rPr>
        <w:t>.</w:t>
      </w:r>
      <w:r>
        <w:rPr>
          <w:rStyle w:val="FootnoteAnchor"/>
          <w:rtl w:val="true"/>
        </w:rPr>
        <w:footnoteReference w:id="26"/>
      </w:r>
      <w:bookmarkStart w:id="93" w:name="pg3603_20916"/>
    </w:p>
    <w:p>
      <w:pPr>
        <w:pStyle w:val="Heading3"/>
        <w:numPr>
          <w:ilvl w:val="2"/>
          <w:numId w:val="1"/>
        </w:numPr>
        <w:rPr/>
      </w:pPr>
      <w:bookmarkStart w:id="94" w:name="__RefHeading___Toc4168765_2749589250"/>
      <w:bookmarkStart w:id="95" w:name="_Toc37"/>
      <w:bookmarkEnd w:id="93"/>
      <w:bookmarkEnd w:id="94"/>
      <w:r>
        <w:rPr>
          <w:rtl w:val="true"/>
        </w:rPr>
        <w:t>فصل دوم</w:t>
      </w:r>
      <w:r>
        <w:rPr>
          <w:rtl w:val="true"/>
        </w:rPr>
        <w:t xml:space="preserve">: </w:t>
      </w:r>
      <w:r>
        <w:rPr>
          <w:rtl w:val="true"/>
        </w:rPr>
        <w:t>مقایسه ی مبانی تسامح از دیدگاه امام علی علیه السلام و غرب</w:t>
      </w:r>
      <w:bookmarkEnd w:id="95"/>
    </w:p>
    <w:p>
      <w:pPr>
        <w:pStyle w:val="Heading4"/>
        <w:numPr>
          <w:ilvl w:val="3"/>
          <w:numId w:val="1"/>
        </w:numPr>
        <w:rPr/>
      </w:pPr>
      <w:bookmarkStart w:id="96" w:name="__RefHeading___Toc4168767_2749589250"/>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مبانی تسامح از دیدگاه امام علی علیه السلام و غرب</w:t>
      </w:r>
    </w:p>
    <w:p>
      <w:pPr>
        <w:pStyle w:val="BookText"/>
        <w:rPr/>
      </w:pPr>
      <w:r>
        <w:rPr>
          <w:rFonts w:ascii="IRNazanin" w:hAnsi="IRNazanin" w:eastAsia="IRNazanin"/>
          <w:color w:val="111111"/>
          <w:sz w:val="28"/>
          <w:sz w:val="28"/>
          <w:szCs w:val="28"/>
          <w:rtl w:val="true"/>
          <w:lang w:bidi="fa-IR"/>
        </w:rPr>
        <w:t>همان گونه که گفتیم در پی خشونت کلیسا علیه مخالفان و حمایت امپراطور از کلیسا، تسامح در غرب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تسامح به نفی مطلق انگاری در حقانیت گروه های مذهبی و مخالفت با هم دستی حاکمان با اربابان کلیسا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تساهل و تسامح از دیدگاه امام علی علیه السلام فاصله ی بسیار دارد</w:t>
      </w:r>
      <w:r>
        <w:rPr>
          <w:rFonts w:eastAsia="IRNazanin" w:cs="IRNazanin"/>
          <w:color w:val="111111"/>
          <w:sz w:val="28"/>
          <w:szCs w:val="28"/>
          <w:rtl w:val="true"/>
          <w:lang w:bidi="fa-IR"/>
        </w:rPr>
        <w:t>.</w:t>
      </w:r>
    </w:p>
    <w:p>
      <w:pPr>
        <w:pStyle w:val="Heading4"/>
        <w:numPr>
          <w:ilvl w:val="3"/>
          <w:numId w:val="1"/>
        </w:numPr>
        <w:rPr/>
      </w:pPr>
      <w:bookmarkStart w:id="98" w:name="__RefHeading___Toc4168769_2749589250"/>
      <w:bookmarkStart w:id="99" w:name="_Toc39"/>
      <w:bookmarkEnd w:id="98"/>
      <w:r>
        <w:rPr>
          <w:rtl w:val="true"/>
        </w:rPr>
        <w:t>حقانیت مطلق اسلام از دیدگاه امام علی علیه السلام</w:t>
      </w:r>
      <w:bookmarkEnd w:id="99"/>
    </w:p>
    <w:p>
      <w:pPr>
        <w:pStyle w:val="BookText"/>
        <w:rPr/>
      </w:pPr>
      <w:r>
        <w:rPr>
          <w:rFonts w:ascii="IRNazanin" w:hAnsi="IRNazanin" w:eastAsia="IRNazanin"/>
          <w:color w:val="111111"/>
          <w:sz w:val="28"/>
          <w:sz w:val="28"/>
          <w:szCs w:val="28"/>
          <w:rtl w:val="true"/>
          <w:lang w:bidi="fa-IR"/>
        </w:rPr>
        <w:t>حقانیت مطلق اسلام از دیدگاه امام علی علیه السلام</w:t>
      </w:r>
    </w:p>
    <w:p>
      <w:pPr>
        <w:pStyle w:val="BookText"/>
        <w:rPr/>
      </w:pPr>
      <w:r>
        <w:rPr>
          <w:rFonts w:ascii="IRNazanin" w:hAnsi="IRNazanin" w:eastAsia="IRNazanin"/>
          <w:color w:val="111111"/>
          <w:sz w:val="28"/>
          <w:sz w:val="28"/>
          <w:szCs w:val="28"/>
          <w:rtl w:val="true"/>
          <w:lang w:bidi="fa-IR"/>
        </w:rPr>
        <w:t>امام علی علیه السلام تنها دین اسلام را حق می دانست و حاضر بود برای آن بر روی خویشاوندان و برادران خود شمشیر بکشد تا شرک و بت پرستی را که باطل مطلق می دانست از صفحه ی روزگار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خطبه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وصف جهاد خویش در راه خدا و مقابله با خویشاوندان مشرک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کُنّا مع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آباءنا و أبناءَنا و اِخوانَنا و اَعْمامَنا، مایَزیدُنا ذلک اِلاّ ایمانا و تسلیما، و مُضیّا علی اللَّقَم، و صَبْرا عَلی مَضَضِ الأَلَمِ، و جِدّا فی جِهادِ العَدُوِّ، و لَقَد کانَ الرَّجُلُ مِنّا و الآخَرُ مِن عَدُوِّنا یَتَصاوَلانِ تَصاوُلَ الفَحْلَیْن، یَتَخالَسانِ أَنفُسَهُما، أَیُّهُما یَسقی صاحِبَه کَأْسَ المَنُونِ، فَمَرَّةً لَنا مِن عدوّنا، و مَرَّةً لِعَدوِّنا مِنّا، فَلَمّا رَأَی اللّهُ صِدْقَنا أَنْزَلَ بِعَدُوِّنا الکَبْتَ وَ أَنْزَلَ عَلَیْنا النَّصْرَ حَتّی اسْتَقَرَّ الاِسْلامُ مُلقِیا جَرّانَهُ وَ مُتَبَوِّئا أَوْطانَهُ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رسول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فرزندان و برادران و عموهای خود را می کشتیم و این جز به ایمان و تسلیم ما نمی افزود؛ زیرا بر راه راست بودیم و بر سوزش آلام، شکیبایی می ورزیدیم و در جهاد با دشمن به جدّ ایستاده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مردی از ما و مردی از دشمنان ما، مردانه پنجه در پنجه ی هم می افکندند تا کدام یک دیگری را </w:t>
      </w:r>
    </w:p>
    <w:p>
      <w:pPr>
        <w:pStyle w:val="BookText"/>
        <w:rPr/>
      </w:pPr>
      <w:r>
        <w:rPr>
          <w:rFonts w:ascii="IRNazanin" w:hAnsi="IRNazanin" w:eastAsia="IRNazanin"/>
          <w:color w:val="111111"/>
          <w:sz w:val="28"/>
          <w:sz w:val="28"/>
          <w:szCs w:val="28"/>
          <w:rtl w:val="true"/>
          <w:lang w:bidi="fa-IR"/>
        </w:rPr>
        <w:t>شرنگ مرگ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 بودیم که جام مرگ را از دست دشمن می گرفتیم و گاه دشمن از دست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صداقت ما را در پیکار دید، دشمن ما را خوار و زبون ساخت و ما را پیروزی داده تا اسلام استقرار یافت و از خوف دشمنان آرمید و در منزل گاه های خود مأوا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شیوه و سیرت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گرفته بودیم، حتی ستونی از این بنا برپا نمی شد و درخت اسلام را شاخه ی تری نمی رویید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علی علیه السلام و مخالفان عقیدتی</w:t>
      </w:r>
    </w:p>
    <w:p>
      <w:pPr>
        <w:pStyle w:val="BookText"/>
        <w:rPr/>
      </w:pPr>
      <w:r>
        <w:rPr>
          <w:rFonts w:ascii="IRNazanin" w:hAnsi="IRNazanin" w:eastAsia="IRNazanin"/>
          <w:color w:val="111111"/>
          <w:sz w:val="28"/>
          <w:sz w:val="28"/>
          <w:szCs w:val="28"/>
          <w:rtl w:val="true"/>
          <w:lang w:bidi="fa-IR"/>
        </w:rPr>
        <w:t>هرچند امیرالمؤمنان علی علیه السلام در حیطه ی حکومت اسلامی با مخالفان عقیدتی خود مانند یهودیان و مسیحیان رفتاری انسانی داشت، اما این را نباید با تساهل غربی یکسان دانست؛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همان حال، اسلام را حق مطلق و ادیان تحریف شده را باطل می دانست و احترام او به اهل کتاب از موضع شکاکیّت و نسبیّت نبود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اقلیّت مورد احترام او کسانی بودند که حکومت اسلامی را پذیرفته و با حاکم اسلامی عقد ذمّه بسته بودند و جزیه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در تساهل غربی، شهروند جامعه ی مدنی از هر دین و مسلکی با دیگر شهروندان، حقوقی برابر دارد و اهل هیچ فرقه ای، مالیاتی فزون تر نمی پردازد و از حقوق شهروندی کمتری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اهل کتاب به وظایف خود عمل کنند؛ برای مثال، از تظاهر به شراب خواری خودداری ورزند، ناقوس ننوازند و شؤون جامعه ی اسلامی را رعایت کنند، حتما مورد محبت و حمایت حاکم جامعه ی اسلامی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علی علیه السلام به مالک اشتر</w:t>
      </w:r>
      <w:r>
        <w:rPr>
          <w:rStyle w:val="FootnoteAnchor"/>
          <w:rtl w:val="true"/>
        </w:rPr>
        <w:footnoteReference w:id="28"/>
      </w:r>
      <w:r>
        <w:rPr>
          <w:rFonts w:ascii="IRNazanin" w:hAnsi="IRNazanin" w:eastAsia="IRNazanin"/>
          <w:color w:val="111111"/>
          <w:sz w:val="28"/>
          <w:sz w:val="28"/>
          <w:szCs w:val="28"/>
          <w:rtl w:val="true"/>
          <w:lang w:bidi="fa-IR"/>
        </w:rPr>
        <w:t xml:space="preserve">که در آن شهروندان را یا برادر دینی حاکم و یا شبیه او در خلقت و انسانیت </w:t>
      </w:r>
      <w:bookmarkStart w:id="100" w:name="pg3603_20918"/>
    </w:p>
    <w:p>
      <w:pPr>
        <w:pStyle w:val="BookText"/>
        <w:rPr/>
      </w:pPr>
      <w:bookmarkEnd w:id="100"/>
      <w:r>
        <w:rPr>
          <w:rFonts w:ascii="IRNazanin" w:hAnsi="IRNazanin" w:eastAsia="IRNazanin"/>
          <w:color w:val="111111"/>
          <w:sz w:val="28"/>
          <w:sz w:val="28"/>
          <w:szCs w:val="28"/>
          <w:rtl w:val="true"/>
          <w:lang w:bidi="fa-IR"/>
        </w:rPr>
        <w:t>می داند، پس مالک را به محبت با آنان سفارش می کند، بر همین اساس تفسیر می شود</w:t>
      </w:r>
      <w:r>
        <w:rPr>
          <w:rFonts w:eastAsia="IRNazanin" w:cs="IRNazanin"/>
          <w:color w:val="111111"/>
          <w:sz w:val="28"/>
          <w:szCs w:val="28"/>
          <w:rtl w:val="true"/>
          <w:lang w:bidi="fa-IR"/>
        </w:rPr>
        <w:t>.</w:t>
      </w:r>
    </w:p>
    <w:p>
      <w:pPr>
        <w:pStyle w:val="Heading4"/>
        <w:numPr>
          <w:ilvl w:val="3"/>
          <w:numId w:val="1"/>
        </w:numPr>
        <w:rPr/>
      </w:pPr>
      <w:bookmarkStart w:id="101" w:name="__RefHeading___Toc4168771_2749589250"/>
      <w:bookmarkStart w:id="102" w:name="_Toc40"/>
      <w:bookmarkEnd w:id="101"/>
      <w:r>
        <w:rPr>
          <w:rtl w:val="true"/>
        </w:rPr>
        <w:t>اتحاد دین با سیاست از دیدگاه امام علی علیه السلام</w:t>
      </w:r>
      <w:bookmarkEnd w:id="102"/>
    </w:p>
    <w:p>
      <w:pPr>
        <w:pStyle w:val="BookText"/>
        <w:rPr/>
      </w:pPr>
      <w:r>
        <w:rPr>
          <w:rFonts w:ascii="IRNazanin" w:hAnsi="IRNazanin" w:eastAsia="IRNazanin"/>
          <w:color w:val="111111"/>
          <w:sz w:val="28"/>
          <w:sz w:val="28"/>
          <w:szCs w:val="28"/>
          <w:rtl w:val="true"/>
          <w:lang w:bidi="fa-IR"/>
        </w:rPr>
        <w:t>اتحاد دین با سیاست از دیدگاه امام علی علیه السلام</w:t>
      </w:r>
    </w:p>
    <w:p>
      <w:pPr>
        <w:pStyle w:val="BookText"/>
        <w:rPr/>
      </w:pPr>
      <w:r>
        <w:rPr>
          <w:rFonts w:ascii="IRNazanin" w:hAnsi="IRNazanin" w:eastAsia="IRNazanin"/>
          <w:color w:val="111111"/>
          <w:sz w:val="28"/>
          <w:sz w:val="28"/>
          <w:szCs w:val="28"/>
          <w:rtl w:val="true"/>
          <w:lang w:bidi="fa-IR"/>
        </w:rPr>
        <w:t>مبنای دوم برای تساهل غربی، جدایی دین از سیاست بود که امام علی علیه السلام این را نیز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 را در جامعه، مأمور و موظف می داند تا حکم خدا را که در قالب شریعت اسلامی به پیامبر نازل شده است اجرا کند و در آن سستی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احکام، برای جلوگیری از تجاوز انسان ها به حقوق یکدیگر است و در صورت تخلّف، حاکم مدنی در مکتب سکولاریزم نیز باید واکنش نشان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سرقت، غصب، تجاوز به نوامیس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دیگر مانند شرب خمر، زنا، لواط و رباخواری، چون به طور مستقیم، دیگر به شهروندان آسیب نمی رساند و به اصطلاح و شاکی خصوصی ندارد، از محدوده ی واکنش حاکم مدنی خارج است و او حق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امام علی علیه السلام در این مورد نیز خود را موظف به واکنش می دانست و هزینه ی گزاف آن را می پرداخت</w:t>
      </w:r>
      <w:r>
        <w:rPr>
          <w:rFonts w:eastAsia="IRNazanin" w:cs="IRNazanin"/>
          <w:color w:val="111111"/>
          <w:sz w:val="28"/>
          <w:szCs w:val="28"/>
          <w:rtl w:val="true"/>
          <w:lang w:bidi="fa-IR"/>
        </w:rPr>
        <w:t>.</w:t>
      </w:r>
    </w:p>
    <w:p>
      <w:pPr>
        <w:pStyle w:val="Heading4"/>
        <w:numPr>
          <w:ilvl w:val="3"/>
          <w:numId w:val="1"/>
        </w:numPr>
        <w:rPr/>
      </w:pPr>
      <w:bookmarkStart w:id="103" w:name="__RefHeading___Toc4168773_2749589250"/>
      <w:bookmarkStart w:id="104" w:name="_Toc41"/>
      <w:bookmarkEnd w:id="103"/>
      <w:r>
        <w:rPr>
          <w:rtl w:val="true"/>
        </w:rPr>
        <w:t>اقامه ی حدود الهی؛ وظیفه ی حاکم اسلامی</w:t>
      </w:r>
      <w:bookmarkEnd w:id="104"/>
    </w:p>
    <w:p>
      <w:pPr>
        <w:pStyle w:val="BookText"/>
        <w:rPr/>
      </w:pPr>
      <w:r>
        <w:rPr>
          <w:rFonts w:ascii="IRNazanin" w:hAnsi="IRNazanin" w:eastAsia="IRNazanin"/>
          <w:color w:val="111111"/>
          <w:sz w:val="28"/>
          <w:sz w:val="28"/>
          <w:szCs w:val="28"/>
          <w:rtl w:val="true"/>
          <w:lang w:bidi="fa-IR"/>
        </w:rPr>
        <w:t>اقامه ی حدود الهی؛ وظیفه ی حاکم اسلامی</w:t>
      </w:r>
    </w:p>
    <w:p>
      <w:pPr>
        <w:pStyle w:val="BookText"/>
        <w:rPr/>
      </w:pPr>
      <w:r>
        <w:rPr>
          <w:rFonts w:ascii="IRNazanin" w:hAnsi="IRNazanin" w:eastAsia="IRNazanin"/>
          <w:color w:val="111111"/>
          <w:sz w:val="28"/>
          <w:sz w:val="28"/>
          <w:szCs w:val="28"/>
          <w:rtl w:val="true"/>
          <w:lang w:bidi="fa-IR"/>
        </w:rPr>
        <w:t xml:space="preserve">امام علی علیه السلام در خطبه 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درباره ی دلایل پذیرش خلافت و اوصاف امام بر حق بیان کرده است، یکی از ویژگی های پیشوای حقیقی را اقامه ی حدود الهی می داند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اِنَّکَ تَعْلَمُ اِنَّهُ لَم یَکُن الَّذی کانَ مِنّا مُنافَسَةً فی سُلطانٍ و لاَ التِماس شَی ءٍ مِنْ فُضُولِ الحُطامِ، وَ لکِنْ لِنَرُدَّ الْمَعالِمَ مِن دینِکَ وَ نُظْهِرَ الاِصْلاحَ فی بِلادِکَ فَیَأْمَنُ الْمَظْلُومُونَ مِنْ عِبادِکَ، تُقامَ المُعَطَّلَةُ مِنْ حُدُودِکَ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عَلِمْتُمْ اِنَّه لایَنْبَغی أَن یَکُونَ الْوالی عَلَی الْفُروُج و الدِّماءِ و الْمَغانِمِ وَ الاَحْکامِ و اِمامَةِ الْمُسلمینَ البَخیلُ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لاالمُعَطِّلُ لِلسُّنَّةِ فَیُهلِکَ الأُمَّةَ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آن کارها که از ما سر زد، نه برای هم چشمی بود و نه رقابت در قدرت و نه خواستیم از این دنیای ناچیز، چیزی افزون به چنگ آوریم، بلکه می خواستیم نشانه های دین تو را که دگرگون شده بود، باز گردانیم و بلاد تو را به صلاح آوریم تا بندگان ستم دیده ات در امان مانند و حدودی که مقرّر داشته ای و بر زمین مانده بود،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دانسته اید که سزاوار نیست کسی که بر ناموس ها و جان ها و غنیمت ها و احکام مسلمین، ولایت دارد و پیشوایی مسلمانان به عهده ی اوست، مردی بخیل و تنگ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باشد که سنّت را فرو می گذارد تا امّت را به هلاکت اندازد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ایشان در خطبه ی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دوباره بر فرایض الهی، مردم را به پاسداری از آن ها ترغیب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اَلفَرائِضَ، اَلْفَرائِضَ، أَدوّها اِلَی اللّهِ تَؤُدُّکُمْ اِلَی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باد به واجبات، آن ها را برای خدا به جا آورید تا شما را به بهشت برد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در حالی است که بر اساس نظریه ی جان لاک و دیگران، حاکم نباید به دیانت کاری داشته باشد و وظیفه ی اجرای احکام دین بر عهده 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تبلیغ دین هم، بر عهده ی کلیساست که تنها با ابزار تشویق و ترغیب و بدون به کارگیری خشونت، می تواند آن را به اجرا بگذارد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هم چنین در خطبه ی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به صراحت، وظیفه ی امام را بر دوش کشیدن اوامر پروردگار و اقامه ی حدود معرفی کرده می فرماید</w:t>
      </w:r>
      <w:r>
        <w:rPr>
          <w:rFonts w:eastAsia="IRNazanin" w:cs="IRNazanin"/>
          <w:color w:val="111111"/>
          <w:sz w:val="28"/>
          <w:szCs w:val="28"/>
          <w:rtl w:val="true"/>
          <w:lang w:bidi="fa-IR"/>
        </w:rPr>
        <w:t xml:space="preserve">: </w:t>
      </w:r>
      <w:bookmarkStart w:id="105" w:name="pg3603_20920"/>
    </w:p>
    <w:p>
      <w:pPr>
        <w:pStyle w:val="BookText"/>
        <w:rPr/>
      </w:pPr>
      <w:bookmarkEnd w:id="105"/>
      <w:r>
        <w:rPr>
          <w:rFonts w:ascii="Amiri" w:hAnsi="Amiri" w:eastAsia="Amiri" w:cs="Amiri"/>
          <w:color w:val="111111"/>
          <w:sz w:val="28"/>
          <w:sz w:val="28"/>
          <w:szCs w:val="28"/>
          <w:rtl w:val="true"/>
          <w:lang w:bidi="ar-SA"/>
        </w:rPr>
        <w:t>اِنَّهُ لَیْسَ عَلَی الإِمامِ إِلاّ ما حُمِّلَ مِنْ اَمْرِ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إقامةُ الْحُدُودِ عَلی مُسْتَحَقیها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 عهده ی امام نیست جز آن چه از امر پروردگار بر عهده ی او واگذار شده است و جاری ساختن حدود بر مستحقّان</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106" w:name="__RefHeading___Toc4168775_2749589250"/>
      <w:bookmarkStart w:id="107" w:name="_Toc42"/>
      <w:bookmarkEnd w:id="106"/>
      <w:r>
        <w:rPr>
          <w:rtl w:val="true"/>
        </w:rPr>
        <w:t>اجرای حدّ شرب خمر بر نجاشی شاعر و قطع دست دزد</w:t>
      </w:r>
      <w:bookmarkEnd w:id="107"/>
    </w:p>
    <w:p>
      <w:pPr>
        <w:pStyle w:val="BookText"/>
        <w:rPr/>
      </w:pPr>
      <w:r>
        <w:rPr>
          <w:rFonts w:ascii="IRNazanin" w:hAnsi="IRNazanin" w:eastAsia="IRNazanin"/>
          <w:color w:val="111111"/>
          <w:sz w:val="28"/>
          <w:sz w:val="28"/>
          <w:szCs w:val="28"/>
          <w:rtl w:val="true"/>
          <w:lang w:bidi="fa-IR"/>
        </w:rPr>
        <w:t>اجرای حدّ شرب خمر بر نجاشی شاعر و قطع دست دزد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دوران حکومت خود، با پشتوانه ی قدرتی که خدا و مردم در اختیار او نهاده بودند، احکام جزایی و کیفری اسلام را در قالب حدود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شرب خمر بر نجاشی شاعر که از یاران و مدافعان حضرت بود و قطع دست دزد، از همین نمونه هاست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بنابراین باید گفت علی علیه السلام تساهل داشت اما نه با مبانی غربی، زیرا تأکید امام علی علیه السلام بر اجرای امر به معروف و نهی از منکر و حدود الهی بدون اغماض بود</w:t>
      </w:r>
      <w:r>
        <w:rPr>
          <w:rFonts w:eastAsia="IRNazanin" w:cs="IRNazanin"/>
          <w:color w:val="111111"/>
          <w:sz w:val="28"/>
          <w:szCs w:val="28"/>
          <w:rtl w:val="true"/>
          <w:lang w:bidi="fa-IR"/>
        </w:rPr>
        <w:t xml:space="preserve">. </w:t>
      </w:r>
      <w:bookmarkStart w:id="108" w:name="pg3603_20921"/>
    </w:p>
    <w:p>
      <w:pPr>
        <w:pStyle w:val="Heading2"/>
        <w:numPr>
          <w:ilvl w:val="1"/>
          <w:numId w:val="1"/>
        </w:numPr>
        <w:rPr/>
      </w:pPr>
      <w:bookmarkStart w:id="109" w:name="__RefHeading___Toc4168777_2749589250"/>
      <w:bookmarkStart w:id="110" w:name="_Toc43"/>
      <w:bookmarkEnd w:id="108"/>
      <w:bookmarkEnd w:id="109"/>
      <w:r>
        <w:rPr>
          <w:rtl w:val="true"/>
        </w:rPr>
        <w:t>بخش سوم</w:t>
      </w:r>
      <w:r>
        <w:rPr>
          <w:rtl w:val="true"/>
        </w:rPr>
        <w:t xml:space="preserve">: </w:t>
      </w:r>
      <w:r>
        <w:rPr>
          <w:rtl w:val="true"/>
        </w:rPr>
        <w:t>بررسی تاریخ تسامح در سیره ی امام علی علیه السلام</w:t>
      </w:r>
      <w:bookmarkEnd w:id="110"/>
    </w:p>
    <w:p>
      <w:pPr>
        <w:pStyle w:val="Heading3"/>
        <w:numPr>
          <w:ilvl w:val="2"/>
          <w:numId w:val="1"/>
        </w:numPr>
        <w:rPr/>
      </w:pPr>
      <w:bookmarkStart w:id="111" w:name="__RefHeading___Toc4168779_2749589250"/>
      <w:bookmarkStart w:id="112" w:name="_Toc44"/>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تسامح در سیره ی امام علی علیه السلام</w:t>
      </w:r>
    </w:p>
    <w:p>
      <w:pPr>
        <w:pStyle w:val="BookText"/>
        <w:rPr/>
      </w:pPr>
      <w:r>
        <w:rPr>
          <w:rFonts w:ascii="IRNazanin" w:hAnsi="IRNazanin" w:eastAsia="IRNazanin"/>
          <w:color w:val="111111"/>
          <w:sz w:val="28"/>
          <w:sz w:val="28"/>
          <w:szCs w:val="28"/>
          <w:rtl w:val="true"/>
          <w:lang w:bidi="fa-IR"/>
        </w:rPr>
        <w:t>اگر تساهل را به معنای سهل گرفتن بر مخالف و دادن حق ابراز نظر به انسان ها در برابر حاکم بدانیم به راستی علی علیه السلام از پیروان مکتب تساهل است؛ زیرا وی در آغاز دوران خلافت، به کسانی که به هر دلیل نمی خواستند با او بیعت کنند، اجازه ی مخالفت داد و با آنان رفتاری جبّارانه و دیکتاتورمآبانه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حکومت خویش نیز صداها را در گلو خفه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بارز این بینش، برخورد او با خوارج است که در مسجد و هنگام سخنرانی آن حضرت، با وی مخالفت می کردند و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تساهل سیاسی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تساهل را به معنای آزاد گذاردن انسان ها در انتخاب دین و مذهبی که برای رستگاری روحی و معنوی خویش مفید و مؤثر می دانند، بگیریم باز هم علی علیه السلام اهل تساهل است؛ زیرا آن جا که بر لشکریان خود بانگ برمی آورد که چرا سستی کرده اند تا لشکریان معاویه در یکی از مرزهای کشور اسلامی، خلخال و زیور از پای یک زن یهودی بربایند، شهروند جامعه ی اسلامی را که بر مذهب مسیح و یهود است، در برخورداری از امنیّت، با شهروندان مسلمان یکسان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علی علیه السلام را می توان هوادار تساهل مذهبی دانست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تساهل به معنای اخلاقی آن مدّ نظر باشد بازهم علی علیه السلام اهل تساهل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اخلاقی عبارت است از گذشت از خطاکاران و شتاب نکردن در مجازات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خشونت و انتقام جویی با مخالفان مسلح خود که به جنگ با او اقدام کرده بودند، دست کشید و با آنان با بزرگی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را که محور معنوی جنگ </w:t>
      </w:r>
      <w:bookmarkStart w:id="113" w:name="pg3603_20922"/>
    </w:p>
    <w:p>
      <w:pPr>
        <w:pStyle w:val="BookText"/>
        <w:rPr/>
      </w:pPr>
      <w:bookmarkEnd w:id="113"/>
      <w:r>
        <w:rPr>
          <w:rFonts w:ascii="IRNazanin" w:hAnsi="IRNazanin" w:eastAsia="IRNazanin"/>
          <w:color w:val="111111"/>
          <w:sz w:val="28"/>
          <w:sz w:val="28"/>
          <w:szCs w:val="28"/>
          <w:rtl w:val="true"/>
          <w:lang w:bidi="fa-IR"/>
        </w:rPr>
        <w:t>جمل بود، پس از پیروزی در جنگ، بخشید و با احترام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مروان نیز همین گونه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یابی سپاه علی بر شریعه ی فرات پس از آن که معاویه و سپاه شام بر شریعه چیره شده و علی و سپاهش را از برداشتن آب منع کرده بودند، زمینه دیگری برای ظهور تساهل اخلاقی در رفتار امام علی علیه السلام است؛ زیرا با وجود عمل ناپسند و ضداخلاقی معاویه، امام علی علیه السلام به یارانش دستور داد راه سپاه معاویه را باز گذارند تا خود و اسبان شان از آب سیراب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ی تاریخ زندگانی امیرمؤمنان علیه السلام در خواهیم یافت که ایشان اهل تسامح و تساهل به معنای صحیح اسلامی آن است</w:t>
      </w:r>
      <w:r>
        <w:rPr>
          <w:rFonts w:eastAsia="IRNazanin" w:cs="IRNazanin"/>
          <w:color w:val="111111"/>
          <w:sz w:val="28"/>
          <w:szCs w:val="28"/>
          <w:rtl w:val="true"/>
          <w:lang w:bidi="fa-IR"/>
        </w:rPr>
        <w:t>.</w:t>
      </w:r>
    </w:p>
    <w:p>
      <w:pPr>
        <w:pStyle w:val="Heading3"/>
        <w:numPr>
          <w:ilvl w:val="2"/>
          <w:numId w:val="1"/>
        </w:numPr>
        <w:rPr/>
      </w:pPr>
      <w:bookmarkStart w:id="114" w:name="__RefHeading___Toc4168781_2749589250"/>
      <w:bookmarkStart w:id="115" w:name="_Toc45"/>
      <w:bookmarkEnd w:id="114"/>
      <w:r>
        <w:rPr>
          <w:rtl w:val="true"/>
        </w:rPr>
        <w:t>فصل اوّل</w:t>
      </w:r>
      <w:r>
        <w:rPr>
          <w:rtl w:val="true"/>
        </w:rPr>
        <w:t xml:space="preserve">: </w:t>
      </w:r>
      <w:r>
        <w:rPr>
          <w:rtl w:val="true"/>
        </w:rPr>
        <w:t>امام علی علیه السلام و تساهل مذهبی</w:t>
      </w:r>
      <w:bookmarkEnd w:id="115"/>
    </w:p>
    <w:p>
      <w:pPr>
        <w:pStyle w:val="Heading4"/>
        <w:numPr>
          <w:ilvl w:val="3"/>
          <w:numId w:val="1"/>
        </w:numPr>
        <w:rPr/>
      </w:pPr>
      <w:bookmarkStart w:id="116" w:name="__RefHeading___Toc4168783_2749589250"/>
      <w:bookmarkStart w:id="117" w:name="_Toc46"/>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تساهل مذهبی</w:t>
      </w:r>
    </w:p>
    <w:p>
      <w:pPr>
        <w:pStyle w:val="BookText"/>
        <w:rPr/>
      </w:pPr>
      <w:r>
        <w:rPr>
          <w:rFonts w:ascii="IRNazanin" w:hAnsi="IRNazanin" w:eastAsia="IRNazanin"/>
          <w:color w:val="111111"/>
          <w:sz w:val="28"/>
          <w:sz w:val="28"/>
          <w:szCs w:val="28"/>
          <w:rtl w:val="true"/>
          <w:lang w:bidi="fa-IR"/>
        </w:rPr>
        <w:t>تساهل رایج در جوامع امروزی، در تساهل اروپایی ریشه دارد که از قرن شانزدهم میلادی به طور آشکار در جوامع مسیحی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های مذهبی و فرقه ای میان مسیحیان اروپا نیز عامل اصلی طرح موضوع تساهل است، از این رو، در نخستین گام، به وادی تساهل مذهبی وارد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گفتیم که تساهل</w:t>
      </w:r>
      <w:r>
        <w:rPr>
          <w:rStyle w:val="FootnoteAnchor"/>
          <w:rtl w:val="true"/>
        </w:rPr>
        <w:footnoteReference w:id="33"/>
      </w:r>
      <w:r>
        <w:rPr>
          <w:rFonts w:ascii="IRNazanin" w:hAnsi="IRNazanin" w:eastAsia="IRNazanin"/>
          <w:color w:val="111111"/>
          <w:sz w:val="28"/>
          <w:sz w:val="28"/>
          <w:szCs w:val="28"/>
          <w:rtl w:val="true"/>
          <w:lang w:bidi="fa-IR"/>
        </w:rPr>
        <w:t>به معنای تحمل کسانی است که در عقیده و عمل با انسان اختلاف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جورج جرداق، نویسنده ی مسیحی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صدای عدالت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صراحت آن حضرت را اهل تساهل دانسته و در گفتاری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تعصب و نه بی بند </w:t>
      </w:r>
    </w:p>
    <w:p>
      <w:pPr>
        <w:pStyle w:val="BookText"/>
        <w:rPr/>
      </w:pPr>
      <w:r>
        <w:rPr>
          <w:rFonts w:ascii="IRNazanin" w:hAnsi="IRNazanin" w:eastAsia="IRNazanin"/>
          <w:color w:val="111111"/>
          <w:sz w:val="28"/>
          <w:sz w:val="28"/>
          <w:szCs w:val="28"/>
          <w:rtl w:val="true"/>
          <w:lang w:bidi="fa-IR"/>
        </w:rPr>
        <w:t>و باری</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در آن راه وسیعی که سیر می کرد، همیشه روی در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معاش برای انسان مقرر می کرد و افزون بر آن، حقوق دیگری را نیز که کامل شدن حقوق انسان جز با آن ها میسر نمی شد،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مراعات یک مذهب و عقیده نکرد و نظر به یک قوم و نژاد نیافکند، همه ی جنس بشر را مراعات فرمود، از هر نژاد و جنس و خوی و سرشت و با هر اختلاف که در زندگی آنان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از این که عقیده ی معینی را درباره ی دین و مذهب بر مردم تحمیل کند، امتناع می ورزید و در عبادات ظاهری و مسایلی که به وجدان و حیات درونی انسان مرتبط است، کسی را اجبار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که جانشین پیغمبر و سنگر دین اسلام و امیر مسلمانان بود، هیچ یک از مردم را بر ایمان آوردن به آن چه مسلمانان به آن ایمان داشتند، وادار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 و، مردم آزادند که به خدای تعالی آن گونه که خود تشخیص می دهند، ایمان آورند و به هر طریقه که خود می پسندند معتقد باشند، البته به شرط آن که آزاری به دیگران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مخلوق و بنده خدایند و دین، رابطه ای است میان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 صفت انسان بودن به تنهایی کافی بود که شخص را محترم بداند و دوست بدارد و درباره اش مهر بورزد و حق اش را تباه نسازد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او در نامه ای به مالک اشتر می 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ولاتکونَنَّ عَلَیْهِمْ سَبُعا ضارِیا تَغْتَنِمُ اَکْلَهُم فَاِنَّهُم صِنْفانِ اِمّا اَخٌ لَکَ فِی الدّینِ اَو نَظیرٌ لَکَ فِی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فَأَعْطِهِمْ مِنْ عَفْوِکَ وَ صَفْحِکَ مِثْلَ الَّذی تُحِبُّ اَن یُعطِیکَ اللّهُ مِن عَفْوِه وَ </w:t>
      </w:r>
      <w:bookmarkStart w:id="118" w:name="pg3603_20924"/>
    </w:p>
    <w:p>
      <w:pPr>
        <w:pStyle w:val="BookText"/>
        <w:rPr/>
      </w:pPr>
      <w:bookmarkEnd w:id="118"/>
      <w:r>
        <w:rPr>
          <w:rFonts w:ascii="Amiri" w:hAnsi="Amiri" w:eastAsia="Amiri" w:cs="Amiri"/>
          <w:color w:val="111111"/>
          <w:sz w:val="28"/>
          <w:sz w:val="28"/>
          <w:szCs w:val="28"/>
          <w:rtl w:val="true"/>
          <w:lang w:bidi="ar-SA"/>
        </w:rPr>
        <w:t>صَفْحِه وَلا تَنْدِ مَنَّ عَلی عَفْوٍ وَ لا تَبْحِجَنَّ بِعُقُوبَةٍ</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مباد که مردم را درنده ای خون آشام باشی که خوردن شان را غنیمت بشماری؛ زیرا مردم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دین برادر تواند، یا در آفرینش، هم نوعان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می لغزند، به آفت ها دچار می شوند و دانسته یا ندانسته به کارهایی دست می یازند و تو باید از گذشت و چشم پوشی چندان بهره مندشان کنی که چشم پوشی و گذشت خدا را در مورد خود چشم داری</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19" w:name="__RefHeading___Toc4168785_2749589250"/>
      <w:bookmarkStart w:id="120" w:name="_Toc47"/>
      <w:bookmarkEnd w:id="119"/>
      <w:r>
        <w:rPr>
          <w:rtl w:val="true"/>
        </w:rPr>
        <w:t>علی علیه السلام و اهل کتاب</w:t>
      </w:r>
      <w:bookmarkEnd w:id="120"/>
    </w:p>
    <w:p>
      <w:pPr>
        <w:pStyle w:val="Heading5"/>
        <w:numPr>
          <w:ilvl w:val="4"/>
          <w:numId w:val="1"/>
        </w:numPr>
        <w:rPr/>
      </w:pPr>
      <w:bookmarkStart w:id="121" w:name="__RefHeading___Toc4168787_2749589250"/>
      <w:bookmarkStart w:id="122" w:name="_Toc48"/>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علی علیه السلام و اهل کتاب</w:t>
      </w:r>
    </w:p>
    <w:p>
      <w:pPr>
        <w:pStyle w:val="BookText"/>
        <w:rPr/>
      </w:pPr>
      <w:r>
        <w:rPr>
          <w:rFonts w:ascii="IRNazanin" w:hAnsi="IRNazanin" w:eastAsia="IRNazanin"/>
          <w:color w:val="111111"/>
          <w:sz w:val="28"/>
          <w:sz w:val="28"/>
          <w:szCs w:val="28"/>
          <w:rtl w:val="true"/>
          <w:lang w:bidi="fa-IR"/>
        </w:rPr>
        <w:t>درنگی کوتاه در حقوق اقلیت ها در اسلام نشان می دهد که این مکتب و رهبران واقعی آن تا چه حد بینشی گسترده و عمیق نسبت به انسان و هستی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حدیث قدسی نقل می کند که خدای تبارک و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عِیالی، فَأَحبُّهُم اِلَیَّ اَلْطَفُهُم بِهِم وَ أَسْعاهُمْ فی حَوائِجِهِمْ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ی مردم اعضای خانواده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افراد نزد من، مهربان ترین آنان به هم و کوشاترین آنان در رفع نیازهای یکدیگرند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نیز احترام به شخصیت انسان را هیچ گاه از نظر دور نمی داشت و همیشه بدون توجه به ویژگی های نژادی و طبقاتی به انسان ها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قلمرو وسیعی که </w:t>
      </w:r>
      <w:bookmarkStart w:id="123" w:name="pg3603_20925"/>
    </w:p>
    <w:p>
      <w:pPr>
        <w:pStyle w:val="BookText"/>
        <w:rPr/>
      </w:pPr>
      <w:bookmarkEnd w:id="123"/>
      <w:r>
        <w:rPr>
          <w:rFonts w:ascii="IRNazanin" w:hAnsi="IRNazanin" w:eastAsia="IRNazanin"/>
          <w:color w:val="111111"/>
          <w:sz w:val="28"/>
          <w:sz w:val="28"/>
          <w:szCs w:val="28"/>
          <w:rtl w:val="true"/>
          <w:lang w:bidi="fa-IR"/>
        </w:rPr>
        <w:t>علی علیه السلام حکومت می راند، اقلیت های دینی و غیرمسلمانان در کمال آسایش و امنیت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فرمانداران و استانداران خود، رعایت حال همه ی مردم از جمله اهل کتاب را توصیه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فرمان خود به مالک اشتر استدلال می کند که رحمت و محبت به مردم تحت فرمان تو یا به دلیل برادری دینی و یا به خاطر تشابه انسانی و هم نوع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قسمت دوم، بر انسان بودن انسان، به عنوان یک ارزش تأکید می کند یعنی هر انسان، به دلیل خلقت انسانی و فارغ از دین و مذهب، شایسته ی محبت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طول زندگانی آن حضرت تبلور عینی یافته است که نمونه هایی از آن در ادامه خواهد آمد</w:t>
      </w:r>
      <w:r>
        <w:rPr>
          <w:rFonts w:eastAsia="IRNazanin" w:cs="IRNazanin"/>
          <w:color w:val="111111"/>
          <w:sz w:val="28"/>
          <w:szCs w:val="28"/>
          <w:rtl w:val="true"/>
          <w:lang w:bidi="fa-IR"/>
        </w:rPr>
        <w:t>.</w:t>
      </w:r>
    </w:p>
    <w:p>
      <w:pPr>
        <w:pStyle w:val="Heading5"/>
        <w:numPr>
          <w:ilvl w:val="4"/>
          <w:numId w:val="1"/>
        </w:numPr>
        <w:rPr/>
      </w:pPr>
      <w:bookmarkStart w:id="124" w:name="__RefHeading___Toc4168789_2749589250"/>
      <w:bookmarkStart w:id="125" w:name="_Toc49"/>
      <w:bookmarkEnd w:id="124"/>
      <w:r>
        <w:rPr/>
        <w:t>1</w:t>
      </w:r>
      <w:r>
        <w:rPr>
          <w:rtl w:val="true"/>
        </w:rPr>
        <w:t xml:space="preserve"> </w:t>
      </w:r>
      <w:r>
        <w:rPr>
          <w:rtl w:val="true"/>
        </w:rPr>
        <w:t>ـ علی علیه السلام و همسفر کتابی</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 السلام و همسفر کتابی</w:t>
      </w:r>
    </w:p>
    <w:p>
      <w:pPr>
        <w:pStyle w:val="BookText"/>
        <w:rPr/>
      </w:pPr>
      <w:r>
        <w:rPr>
          <w:rFonts w:ascii="IRNazanin" w:hAnsi="IRNazanin" w:eastAsia="IRNazanin"/>
          <w:color w:val="111111"/>
          <w:sz w:val="28"/>
          <w:sz w:val="28"/>
          <w:szCs w:val="28"/>
          <w:rtl w:val="true"/>
          <w:lang w:bidi="fa-IR"/>
        </w:rPr>
        <w:t>یکی از موارد برخورد انسانی امام علی علیه السلام با اهل کتاب، داستان هم سفر شدن آن حضرت با مردی مسیحی یا یهودی</w:t>
      </w:r>
      <w:r>
        <w:rPr>
          <w:rStyle w:val="FootnoteAnchor"/>
          <w:rtl w:val="true"/>
        </w:rPr>
        <w:footnoteReference w:id="39"/>
      </w:r>
      <w:r>
        <w:rPr>
          <w:rFonts w:ascii="IRNazanin" w:hAnsi="IRNazanin" w:eastAsia="IRNazanin"/>
          <w:color w:val="111111"/>
          <w:sz w:val="28"/>
          <w:sz w:val="28"/>
          <w:szCs w:val="28"/>
          <w:rtl w:val="true"/>
          <w:lang w:bidi="fa-IR"/>
        </w:rPr>
        <w:t>است که شرح آن را با اندکی تصرف از اصول کافی و از امام صادق علیه السلام نقل می کنیم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بیرون شهر کوفه، علی علیه السلام با یک نفر کافر کتابی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کتابی، علی علیه السلام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مقصد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امام به کوفه می رود و مرد کتابی به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مشترک را بر صمیمیت و دوستی پیمودند تا به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کتابی با کمال تعجب مشاهده کرد که رفیق مسلمانش از آن طرف که راه کوفه بود نرفت و در مسیری که او انتخاب کرد، به همراهی با 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نگفتید که می خواهم به کوفه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 آن که خود را معرفی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کتابی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این مسیر می آیی، حال آن که راه کوفه از آن 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 دانم، ولی از شرایط مصاحبت خوب این است که هنگام </w:t>
      </w:r>
      <w:bookmarkStart w:id="126" w:name="pg3603_20926"/>
    </w:p>
    <w:p>
      <w:pPr>
        <w:pStyle w:val="BookText"/>
        <w:rPr/>
      </w:pPr>
      <w:bookmarkEnd w:id="126"/>
      <w:r>
        <w:rPr>
          <w:rFonts w:ascii="IRNazanin" w:hAnsi="IRNazanin" w:eastAsia="IRNazanin"/>
          <w:color w:val="111111"/>
          <w:sz w:val="28"/>
          <w:sz w:val="28"/>
          <w:szCs w:val="28"/>
          <w:rtl w:val="true"/>
          <w:lang w:bidi="fa-IR"/>
        </w:rPr>
        <w:t>جدایی، انسان رفیق خود را مقداری بدرقه کند و پیامبر ما این چنین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کتابی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پیغمبر شما چنین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پیغمبر شما که این چنین نفوذ و قدرتی در میان مردم پیدا کرد و به این سرعت دینش در جهان رایج شد، حتما به دلیل همین اخلاق کریمه اش بوده است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پس من هم شهادت می دهم که بر دین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حضرت به کوفه آمد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27" w:name="__RefHeading___Toc4168791_2749589250"/>
      <w:bookmarkStart w:id="128" w:name="_Toc50"/>
      <w:bookmarkEnd w:id="127"/>
      <w:r>
        <w:rPr/>
        <w:t>2</w:t>
      </w:r>
      <w:r>
        <w:rPr>
          <w:rtl w:val="true"/>
        </w:rPr>
        <w:t xml:space="preserve"> </w:t>
      </w:r>
      <w:r>
        <w:rPr>
          <w:rtl w:val="true"/>
        </w:rPr>
        <w:t>ـ علی علیه السلام و مرد یهودی در دادگاه</w:t>
      </w:r>
      <w:bookmarkEnd w:id="12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 السلام و مرد یهودی در دادگاه</w:t>
      </w:r>
    </w:p>
    <w:p>
      <w:pPr>
        <w:pStyle w:val="BookText"/>
        <w:rPr/>
      </w:pPr>
      <w:r>
        <w:rPr>
          <w:rFonts w:ascii="IRNazanin" w:hAnsi="IRNazanin" w:eastAsia="IRNazanin"/>
          <w:color w:val="111111"/>
          <w:sz w:val="28"/>
          <w:sz w:val="28"/>
          <w:szCs w:val="28"/>
          <w:rtl w:val="true"/>
          <w:lang w:bidi="fa-IR"/>
        </w:rPr>
        <w:t>علی علیه السلام با آن که حاکم سرزمین بزرگ اسلامی بود، خود را در برابر عدالت و قانون با یک شهروند عادی برابر می دید، خواه مسلمان باشد یا غیر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زره علی علیه السلام در جنگ صفین گم شد، مردی یهودی آن را پیدا کرد و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علیه السلام زره خود را به تن آن مرد دید و ادعا کرد که این زره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غیرمسلمان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خودم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شریح قاضی دادگاه شرع که خود امام علیه السلام او را به این مقام نصب کرده بود ـ شکایت برد ـ مرد یهودی با امیرمؤمنان در کنار هم نشستند و طرح دعوا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از امام شاهد خواست و امام فرزندش حسن علیه السلام و غلامش قنبر را به شهادت طلبید، ولی شریح شهادت آنان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نیز دعوای حضرت را رد کرد</w:t>
      </w:r>
      <w:r>
        <w:rPr>
          <w:rFonts w:eastAsia="IRNazanin" w:cs="IRNazanin"/>
          <w:color w:val="111111"/>
          <w:sz w:val="28"/>
          <w:szCs w:val="28"/>
          <w:rtl w:val="true"/>
          <w:lang w:bidi="fa-IR"/>
        </w:rPr>
        <w:t xml:space="preserve">. </w:t>
      </w:r>
      <w:bookmarkStart w:id="129" w:name="pg3603_20927"/>
    </w:p>
    <w:p>
      <w:pPr>
        <w:pStyle w:val="BookText"/>
        <w:rPr/>
      </w:pPr>
      <w:bookmarkEnd w:id="129"/>
      <w:r>
        <w:rPr>
          <w:rFonts w:ascii="IRNazanin" w:hAnsi="IRNazanin" w:eastAsia="IRNazanin"/>
          <w:color w:val="111111"/>
          <w:sz w:val="28"/>
          <w:sz w:val="28"/>
          <w:szCs w:val="28"/>
          <w:rtl w:val="true"/>
          <w:lang w:bidi="fa-IR"/>
        </w:rPr>
        <w:t>سرانجام قاضی محکمه، به نفع مرد یهودی رأی داد و جلسه پایان یافت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مرد یهودی با دیدن این گونه قضاوت چون حق را با علی می دانست و عدالت واقعی را در حکومت علی علیه السلام لمس کرد، زره را به آن حضرت پس داد و اسلام آورد و از یاران وفادار علی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رکاب آن امام بزرگوار در جنگ نهروان مردانه جنگید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منابع اهل سنت آمده است که علی علیه السلام، زره را به یهودی تازه مسلمان هبه کرد و افزون بر آن، هفتصد درهم به او جایزه داد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این واقعه در می یابیم که امام علی علیه السلام اهل کتاب را مانند مسلمانان صاحب حق می دانست و برای آنان حقوق شهروندی قایل بود</w:t>
      </w:r>
      <w:r>
        <w:rPr>
          <w:rFonts w:eastAsia="IRNazanin" w:cs="IRNazanin"/>
          <w:color w:val="111111"/>
          <w:sz w:val="28"/>
          <w:szCs w:val="28"/>
          <w:rtl w:val="true"/>
          <w:lang w:bidi="fa-IR"/>
        </w:rPr>
        <w:t>.</w:t>
      </w:r>
    </w:p>
    <w:p>
      <w:pPr>
        <w:pStyle w:val="Heading5"/>
        <w:numPr>
          <w:ilvl w:val="4"/>
          <w:numId w:val="1"/>
        </w:numPr>
        <w:rPr/>
      </w:pPr>
      <w:bookmarkStart w:id="130" w:name="__RefHeading___Toc4168793_2749589250"/>
      <w:bookmarkStart w:id="131" w:name="_Toc51"/>
      <w:bookmarkEnd w:id="130"/>
      <w:r>
        <w:rPr/>
        <w:t>3</w:t>
      </w:r>
      <w:r>
        <w:rPr>
          <w:rtl w:val="true"/>
        </w:rPr>
        <w:t xml:space="preserve"> </w:t>
      </w:r>
      <w:r>
        <w:rPr>
          <w:rtl w:val="true"/>
        </w:rPr>
        <w:t>ـ توبیخ حاکم فارس به دلیل بدرفتاری با زرتشتیان</w:t>
      </w:r>
      <w:bookmarkEnd w:id="13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توبیخ حاکم فارس به دلیل بدرفتاری با زرتشتیان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در نامه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ابی سلمه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فارس و بحرین می نویسد، او را به دلیل بدرفتاری و سخت گیری با ساکنان غیرمسلمان آن دیار که بنا بر گفته ی برخی شارحان نهج البلاغه</w:t>
      </w:r>
      <w:r>
        <w:rPr>
          <w:rStyle w:val="FootnoteAnchor"/>
          <w:rtl w:val="true"/>
        </w:rPr>
        <w:footnoteReference w:id="45"/>
      </w:r>
      <w:r>
        <w:rPr>
          <w:rFonts w:ascii="IRNazanin" w:hAnsi="IRNazanin" w:eastAsia="IRNazanin"/>
          <w:color w:val="111111"/>
          <w:sz w:val="28"/>
          <w:sz w:val="28"/>
          <w:szCs w:val="28"/>
          <w:rtl w:val="true"/>
          <w:lang w:bidi="fa-IR"/>
        </w:rPr>
        <w:t xml:space="preserve">زرتشتی بوده اند، سرزنش می کند و </w:t>
      </w:r>
    </w:p>
    <w:p>
      <w:pPr>
        <w:pStyle w:val="BookText"/>
        <w:rPr/>
      </w:pPr>
      <w:r>
        <w:rPr>
          <w:rFonts w:ascii="IRNazanin" w:hAnsi="IRNazanin" w:eastAsia="IRNazanin"/>
          <w:color w:val="111111"/>
          <w:sz w:val="28"/>
          <w:sz w:val="28"/>
          <w:szCs w:val="28"/>
          <w:rtl w:val="true"/>
          <w:lang w:bidi="fa-IR"/>
        </w:rPr>
        <w:t>به وی توصیه می کند که طریق اعتدال را در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چنان نرمی کند که غیر مسلمان در دین و حکومت وی طمع کنند و از ادای حقوق واجب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و نه تا آن مقدار درشتی کند که از وی دور شوند و هم دلی میان حاکم و رعیّت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نامه ی کوتاه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بعد، فَاِنَّ دَهاقینَ اَهلِ بَلَدِک شَکَوا منکَ غِلْظةً و قَسوةً، و احتقارا و َجفوةً، و نَظَرْتُ فَلَم أَرْهُم أهلاً لأَن یُدنَوا لِشِرْکِهِم، ولا أَن یُقْصَوا و یُجْفَوا لعَهْدِهِم، فالْبَسْ لَهُم جَلْبابا من اللّین تَشُوبُهُ بِطَرَفٍ مِنَ الشِّدَّة، و داوِلْ لَهُم بَیْنَ القَسْوَةِ والرَّأْفةِ، وامْزُجْ لَهُم بَیْنَ التَّقریبِ و الأِدْناءِ، وَ الأِبْعادِ و الأِقْصاء، اِنْ 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حمد و ثنای یزدان؛ دهقان های مردم شهر تو، از تندخویی و قساوت و تحقیر و جفاکاری های تو درباره ی آنان شکایت کرده اند و من دیدم که آنان چون مردم مشرکی هستند، نباید به تو نزدیک شوند و نباید از تو دور شوند و جفا ببینند؛ زیرا آنان معاهده ی پناهندگی و هم زیستی با مسلمانان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کار آنان درشتی و نرمی را به هم آمیز و با آنان گاه با شدّت و گاه با نرمش رفتار کن و برای آنان نزدیکی را با دورداشتن درهم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Style w:val="FootnoteAnchor"/>
          <w:rtl w:val="true"/>
        </w:rPr>
        <w:footnoteReference w:id="4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نشان گر حریم و حرمت غیرمسلمانان در نگاه یک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نامه به زرتشتی بودن مردم فارس و نام عامل و استاندار آن اشاره نشده،</w:t>
      </w:r>
      <w:r>
        <w:rPr>
          <w:rStyle w:val="FootnoteAnchor"/>
          <w:rtl w:val="true"/>
        </w:rPr>
        <w:footnoteReference w:id="47"/>
      </w:r>
      <w:bookmarkStart w:id="132" w:name="pg3603_20929"/>
    </w:p>
    <w:p>
      <w:pPr>
        <w:pStyle w:val="BookText"/>
        <w:rPr/>
      </w:pPr>
      <w:bookmarkEnd w:id="132"/>
      <w:r>
        <w:rPr>
          <w:rFonts w:ascii="IRNazanin" w:hAnsi="IRNazanin" w:eastAsia="IRNazanin"/>
          <w:color w:val="111111"/>
          <w:sz w:val="28"/>
          <w:sz w:val="28"/>
          <w:szCs w:val="28"/>
          <w:rtl w:val="true"/>
          <w:lang w:bidi="fa-IR"/>
        </w:rPr>
        <w:t>امّا پی جویی این سند، در منابع دیگر بیان گر این نکته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هم چنین استدلال امام بر دوری حاکم از آنان به دلیل شرک شان و نیز اجازه ی نرم خویی و مدارا با آنان به دلیل عهد ذمّه، ظهور در زرتشتی بودن مردم دارد؛ زیرا ساکنان فارس و بحرین پیش از اسلام، زرتشتی بوده اند و ممکن است تا آن زمان نیز بر دین مجوس باقی مانده باشند</w:t>
      </w:r>
      <w:r>
        <w:rPr>
          <w:rFonts w:eastAsia="IRNazanin" w:cs="IRNazanin"/>
          <w:color w:val="111111"/>
          <w:sz w:val="28"/>
          <w:szCs w:val="28"/>
          <w:rtl w:val="true"/>
          <w:lang w:bidi="fa-IR"/>
        </w:rPr>
        <w:t>.</w:t>
      </w:r>
    </w:p>
    <w:p>
      <w:pPr>
        <w:pStyle w:val="Heading5"/>
        <w:numPr>
          <w:ilvl w:val="4"/>
          <w:numId w:val="1"/>
        </w:numPr>
        <w:rPr/>
      </w:pPr>
      <w:bookmarkStart w:id="133" w:name="__RefHeading___Toc4168795_2749589250"/>
      <w:bookmarkStart w:id="134" w:name="_Toc52"/>
      <w:bookmarkEnd w:id="133"/>
      <w:r>
        <w:rPr/>
        <w:t>4</w:t>
      </w:r>
      <w:r>
        <w:rPr>
          <w:rtl w:val="true"/>
        </w:rPr>
        <w:t xml:space="preserve"> </w:t>
      </w:r>
      <w:r>
        <w:rPr>
          <w:rtl w:val="true"/>
        </w:rPr>
        <w:t>ـ حقوق بازنشستگی برای مرد نصرانی</w:t>
      </w:r>
      <w:bookmarkEnd w:id="13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حقوق بازنشستگی برای مرد نصرانی</w:t>
      </w:r>
    </w:p>
    <w:p>
      <w:pPr>
        <w:pStyle w:val="BookText"/>
        <w:rPr/>
      </w:pPr>
      <w:r>
        <w:rPr>
          <w:rFonts w:ascii="IRNazanin" w:hAnsi="IRNazanin" w:eastAsia="IRNazanin"/>
          <w:color w:val="111111"/>
          <w:sz w:val="28"/>
          <w:sz w:val="28"/>
          <w:szCs w:val="28"/>
          <w:rtl w:val="true"/>
          <w:lang w:bidi="fa-IR"/>
        </w:rPr>
        <w:t>پیرمردی نصرانی و نابینا در کنار کوچه می ایستاد و گدایی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به او ترحم کردند و چیزی به عنوان صدقه به او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امیرمؤمنان علیه السلام از آن کوچه گذر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نصرانی را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نصرانی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سخت متأثر شد و از سر شفقت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 جوانی و سلامت او را به کار گماشتید، اکنون که هم جوانی خود را از دست داده و هم نابینا شده و قدرت کارکردن ندارد، او را از حق خویش محروم ساخته و به حال خود واگذاشته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ی حکومت است که تا این مرد زنده است، خرج او را تکفّل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خازن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او را از صندوق دولت بپرداز تا زندگی مرفّه و مکفی داشته باشد</w:t>
      </w:r>
      <w:r>
        <w:rPr>
          <w:rFonts w:eastAsia="IRNazanin" w:cs="IRNazanin"/>
          <w:color w:val="111111"/>
          <w:sz w:val="28"/>
          <w:szCs w:val="28"/>
          <w:rtl w:val="true"/>
          <w:lang w:bidi="fa-IR"/>
        </w:rPr>
        <w:t>».</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 به توضیح ندارد که این برخورد علی علیه السلام با یک مرد نامسلمان، از جمله شواهد درخشنده در تاریخ احترام به انسانیت، قطع نظر از عقیده و نژاد دیگر عناوین است</w:t>
      </w:r>
      <w:r>
        <w:rPr>
          <w:rFonts w:eastAsia="IRNazanin" w:cs="IRNazanin"/>
          <w:color w:val="111111"/>
          <w:sz w:val="28"/>
          <w:szCs w:val="28"/>
          <w:rtl w:val="true"/>
          <w:lang w:bidi="fa-IR"/>
        </w:rPr>
        <w:t>.</w:t>
      </w:r>
      <w:r>
        <w:rPr>
          <w:rStyle w:val="FootnoteAnchor"/>
          <w:rtl w:val="true"/>
        </w:rPr>
        <w:footnoteReference w:id="50"/>
      </w:r>
      <w:bookmarkStart w:id="135" w:name="pg3603_20930"/>
    </w:p>
    <w:p>
      <w:pPr>
        <w:pStyle w:val="BookText"/>
        <w:rPr/>
      </w:pPr>
      <w:bookmarkEnd w:id="135"/>
      <w:r>
        <w:rPr>
          <w:rFonts w:ascii="IRNazanin" w:hAnsi="IRNazanin" w:eastAsia="IRNazanin"/>
          <w:color w:val="111111"/>
          <w:sz w:val="28"/>
          <w:sz w:val="28"/>
          <w:szCs w:val="28"/>
          <w:rtl w:val="true"/>
          <w:lang w:bidi="fa-IR"/>
        </w:rPr>
        <w:t>اگر تساهل مورد بحث در عصر حاضر به معنای احترام گذاشتن به صاحبان عقیده های مختلف و پیروان ادیان گوناگون و هم زیستی مسالمت آمیز میان آنان باشد، باید علی علیه السلام را به دلیل این گونه برخوردها از مصادیق بارز تساهل مذهبی بدانیم</w:t>
      </w:r>
      <w:r>
        <w:rPr>
          <w:rFonts w:eastAsia="IRNazanin" w:cs="IRNazanin"/>
          <w:color w:val="111111"/>
          <w:sz w:val="28"/>
          <w:szCs w:val="28"/>
          <w:rtl w:val="true"/>
          <w:lang w:bidi="fa-IR"/>
        </w:rPr>
        <w:t>.</w:t>
      </w:r>
    </w:p>
    <w:p>
      <w:pPr>
        <w:pStyle w:val="Heading5"/>
        <w:numPr>
          <w:ilvl w:val="4"/>
          <w:numId w:val="1"/>
        </w:numPr>
        <w:rPr/>
      </w:pPr>
      <w:bookmarkStart w:id="136" w:name="__RefHeading___Toc4168797_2749589250"/>
      <w:bookmarkStart w:id="137" w:name="_Toc53"/>
      <w:bookmarkEnd w:id="136"/>
      <w:r>
        <w:rPr/>
        <w:t>5</w:t>
      </w:r>
      <w:r>
        <w:rPr>
          <w:rtl w:val="true"/>
        </w:rPr>
        <w:t xml:space="preserve"> </w:t>
      </w:r>
      <w:r>
        <w:rPr>
          <w:rtl w:val="true"/>
        </w:rPr>
        <w:t>ـ اندوه شدید علی علیه السلام از تعدّی به یک زن نامسلمان</w:t>
      </w:r>
      <w:bookmarkEnd w:id="13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اندوه شدید علی علیه السلام از تعدّی به یک زن نامسلمان</w:t>
      </w:r>
    </w:p>
    <w:p>
      <w:pPr>
        <w:pStyle w:val="BookText"/>
        <w:rPr/>
      </w:pPr>
      <w:r>
        <w:rPr>
          <w:rFonts w:ascii="IRNazanin" w:hAnsi="IRNazanin" w:eastAsia="IRNazanin"/>
          <w:color w:val="111111"/>
          <w:sz w:val="28"/>
          <w:sz w:val="28"/>
          <w:szCs w:val="28"/>
          <w:rtl w:val="true"/>
          <w:lang w:bidi="fa-IR"/>
        </w:rPr>
        <w:t>پس از جنگ صفین، معاویه به برخی مناطق سرزمین اسلامی تسلط یافت و به کشتار مسلمانان و غارت اموال آنان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 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داد تا به شهر انبار یا مداین در جوار کوفه پایتخت خلافت علی علیه السلام بود، حمله برد، مخالفان حکومت او را بکشد و اموال آنان را غارت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بن عوف به دستور معاویه، ابتدا به منطقه ای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چون در آن جا مقاومتی ندید، به انبار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والی انبار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اسرس بن حسان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همراه با سی تن از یارانش مردانه مقاومت می کردند،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شهر انبار را غارت کرد، اموال مردم را ربود و به نزد معاویه بازگشت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خبر ناگوار قتل و غارت مردم انبار به امام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خبر تأسف بار، برای مردم کوفه سخنرانی کرد و آنان را به یاری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شارح نهج البلاغه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ساکت شد به امید آن که دعوتش را اجابت کنند یا کسی از میان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حمایت از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حتی کلمه ای بر لب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سکوت آنان را دید، از منبر به زیر آمد و پیاده به سوی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آمادگاه لشکر در بیرون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سر او حرکت کردند تا این که گروهی از بزرگان کوفه پیرامون او را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ما برای تو کافی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مرا کفایت می کنید و نه 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دست از امام برنداشتند تا این </w:t>
      </w:r>
    </w:p>
    <w:p>
      <w:pPr>
        <w:pStyle w:val="BookText"/>
        <w:rPr/>
      </w:pPr>
      <w:r>
        <w:rPr>
          <w:rFonts w:ascii="IRNazanin" w:hAnsi="IRNazanin" w:eastAsia="IRNazanin"/>
          <w:color w:val="111111"/>
          <w:sz w:val="28"/>
          <w:sz w:val="28"/>
          <w:szCs w:val="28"/>
          <w:rtl w:val="true"/>
          <w:lang w:bidi="fa-IR"/>
        </w:rPr>
        <w:t>که او را به خانه اش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پیوسته آن بزرگوار را اندوهگین و گرفته خاطر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رسیده بود که سفیان بن عوف با لشکر زیادی به سوی کوفه حرکت کرده است، علی علیه السلام سعید بن قیس را با هشت هزار نفر به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پس از رسیدن به عانات</w:t>
      </w:r>
      <w:r>
        <w:rPr>
          <w:rStyle w:val="FootnoteAnchor"/>
          <w:rtl w:val="true"/>
        </w:rPr>
        <w:footnoteReference w:id="52"/>
      </w:r>
      <w:r>
        <w:rPr>
          <w:rFonts w:ascii="IRNazanin" w:hAnsi="IRNazanin" w:eastAsia="IRNazanin"/>
          <w:color w:val="111111"/>
          <w:sz w:val="28"/>
          <w:sz w:val="28"/>
          <w:szCs w:val="28"/>
          <w:rtl w:val="true"/>
          <w:lang w:bidi="fa-IR"/>
        </w:rPr>
        <w:t xml:space="preserve">و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اراضی قنّسرین، آگاه شد که سفیان بن عوف به شام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نیز با همراهان خود به کوفه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سعید بن قیس از مأموریت نظامی بازگشت، علی علیه السلام بیمار و بستری بود و قدرت نداشت تا در میان مردم سخرانی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مسجد کوفه متصل می شد، نشست در حالی که دو فرزندش حسن و حسین علیه السلام، و عبدالله بن جعفر نیز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غلام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صدا زد و نوشته ای به او داد و دستور داد بر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پا ایستاد و در حالی که علی علیه السلام صدای او را می شنید و از پاسخ مردم آگاه می شد، این خطبه را قرائت کرد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خطبه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با بیان فضیلت جهاد آغاز می شود و با شکایت امام از مردم به دلیل سستی و سردی در جنگ با معاویه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اندوه فراوان امام از ماجرای حمله ی سردار معاویه به انبار و تعرّض به زنان مسلمان و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شگفتی آور در این عبارت آن است که امام علیه السلام تعرّض به زن کتابی و اهل ذمّه را در کنار تعرض و جسارت به زن مسلمان قرار داده است و به طور یکسان از هر دو واقعه شکایت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اخو غامةٍ قَدْ وَرَدَتْ خَیْلُه الاَنْبارَ وَ قَد قَتَلَ حَسّانَ بْنَ حَسّانِ البَکْریِّ و اَزالَ </w:t>
      </w:r>
    </w:p>
    <w:p>
      <w:pPr>
        <w:pStyle w:val="BookText"/>
        <w:rPr/>
      </w:pPr>
      <w:r>
        <w:rPr>
          <w:rFonts w:ascii="Amiri" w:hAnsi="Amiri" w:eastAsia="Amiri" w:cs="Amiri"/>
          <w:color w:val="111111"/>
          <w:sz w:val="28"/>
          <w:sz w:val="28"/>
          <w:szCs w:val="28"/>
          <w:rtl w:val="true"/>
          <w:lang w:bidi="ar-SA"/>
        </w:rPr>
        <w:t>خَیْلَکُمْ عَن مَسالحِهِا و لَقَد بَلَغَنی اَنَّ الرَّجُلَ مِنْهُمْ کانَ یَدْخُلُ عَلَی الْمَرأَةِ المُسْلِمَةِ وَ الأُخری المُعاهَدَةِ فَیَنْتَزِعُ حِجْلَها و قُلْبَها و قَلائِدَها و رِعاثَها ما تَمْتَنِع مِنْهُ الاّ بالإسْتِرْجاعِ و الإسْتِرْحام، ثُمَّ انْصَرَفُوا وافِرینَ، مانالَ رَجُلاً مِنْهُمْ کَلْمٌ ولااُریقَ لَهُمْ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امْرَأً مُسْلِما ماتَ من بَعدِ هذا أَسَفَا ما کانَ بِه مَلُوما بَل کانَ به عِنْدی جَدیرا</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اکنون این شخص غامدی است که سواران او وارد شهر انبار شده و حسان بن حسان بکری را کشته و لشکریان شما را از حدود آن شهر دور گردانیده است شنیده ام که مردی از لشکریان او به خانه ی زن مسلمان و زن دیگر غیرمسلمانی که در پناه اسلام جان و مال شان محفوظ بوده است، وارد شده اند و خلخال از پا و دست بند از دست و گردن بند از گردن و گوشواره های آن ها را از گوش شان بیرون آورده و ربوده اند، در حالی که هیچ وسیله ای برای دفاع جز گریه و التماس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غنیمت فراوان برگشته اند بدون این که حتی یک نفرشان زخمی گردد یا قطره خونی از ایشان ریخته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اگر از این پس، مسلمانی از غم چنین حادثه ای بمیرد، جای ملامت نیست، بلکه به نظر من سزاوار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ربوده شدن زیور از پای یک زن یهودی یا مسیحی را آن چنان دردآور </w:t>
      </w:r>
      <w:bookmarkStart w:id="138" w:name="pg3603_20933"/>
    </w:p>
    <w:p>
      <w:pPr>
        <w:pStyle w:val="BookText"/>
        <w:rPr/>
      </w:pPr>
      <w:bookmarkEnd w:id="138"/>
      <w:r>
        <w:rPr>
          <w:rFonts w:ascii="IRNazanin" w:hAnsi="IRNazanin" w:eastAsia="IRNazanin"/>
          <w:color w:val="111111"/>
          <w:sz w:val="28"/>
          <w:sz w:val="28"/>
          <w:szCs w:val="28"/>
          <w:rtl w:val="true"/>
          <w:lang w:bidi="fa-IR"/>
        </w:rPr>
        <w:t>می داند که مرگ انسان مسلمان را برای آن شایسته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اعطای حق حیات و امنیت به اقلیت غیرمسلمان و دگراندیش در حکومت اسلام نیست؟ آیا به همین دلیل، نمی توان علی را اهل تساهل مذهبی ـ به معنای درست آن ـ دانست؟</w:t>
      </w:r>
    </w:p>
    <w:p>
      <w:pPr>
        <w:pStyle w:val="Heading5"/>
        <w:numPr>
          <w:ilvl w:val="4"/>
          <w:numId w:val="1"/>
        </w:numPr>
        <w:rPr/>
      </w:pPr>
      <w:bookmarkStart w:id="139" w:name="__RefHeading___Toc4168799_2749589250"/>
      <w:bookmarkStart w:id="140" w:name="_Toc54"/>
      <w:bookmarkEnd w:id="139"/>
      <w:r>
        <w:rPr/>
        <w:t>6</w:t>
      </w:r>
      <w:r>
        <w:rPr>
          <w:rtl w:val="true"/>
        </w:rPr>
        <w:t xml:space="preserve"> </w:t>
      </w:r>
      <w:r>
        <w:rPr>
          <w:rtl w:val="true"/>
        </w:rPr>
        <w:t>ـ علی علیه السلام و بحث آزاد با اهل کتاب</w:t>
      </w:r>
      <w:bookmarkEnd w:id="140"/>
    </w:p>
    <w:p>
      <w:pPr>
        <w:pStyle w:val="Heading6"/>
        <w:numPr>
          <w:ilvl w:val="5"/>
          <w:numId w:val="1"/>
        </w:numPr>
        <w:rPr/>
      </w:pPr>
      <w:bookmarkStart w:id="141" w:name="__RefHeading___Toc4168801_2749589250"/>
      <w:bookmarkStart w:id="142" w:name="_Toc55"/>
      <w:bookmarkEnd w:id="141"/>
      <w:r>
        <w:rPr>
          <w:rtl w:val="true"/>
        </w:rPr>
        <w:t>اشاره</w:t>
      </w:r>
      <w:bookmarkEnd w:id="14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 السلام و بحث آزاد با اهل کتاب</w:t>
      </w:r>
    </w:p>
    <w:p>
      <w:pPr>
        <w:pStyle w:val="BookText"/>
        <w:rPr/>
      </w:pPr>
      <w:r>
        <w:rPr>
          <w:rFonts w:ascii="IRNazanin" w:hAnsi="IRNazanin" w:eastAsia="IRNazanin"/>
          <w:color w:val="111111"/>
          <w:sz w:val="28"/>
          <w:sz w:val="28"/>
          <w:szCs w:val="28"/>
          <w:rtl w:val="true"/>
          <w:lang w:bidi="fa-IR"/>
        </w:rPr>
        <w:t>یکی از نتایج تساهل مذهبی، حق ابراز نظر به اقلیت 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حق، محیط گفت و گو و مباحثات کلامی، امن و بازار استدلال و منطق، گرم می شود و ضریب کشمکش، خون ریزی و خشونت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امیر و قهرمان صحنه های جنگ، هنگامی که به بحث های علمی و دینی وارد می شود، با تواضع و متانت، گمراهان و ناآگاهان را ارشاد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کسی را از سخن گفتن و بحث و مناظره، منع نمی کند، بلکه آنان را تشویق می کند تا از طرح پرسش های دینی و علمی خود، هراسی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بحث و مناظره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هدایت و ارشاد گمراهان، در سیره ی ائمه معصومین علیه السلام فراوان دیده می شود و حتی بعضی از آنان، تعدادی از اصحاب خود را برای چنین کاری تربیت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گوهای امام علی علیه السلام با اهل کتاب نیز با همین هدف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بحث ها، آنان که عنادی نداشته اند، با شنیدن پاسخ های منطقی علی علیه السلام به اسلام می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بحث ها پس از رحلت پیامبر و در زمان خلافت ابوبکر بوده ا ست که به برخی از آن ها اشاره می کنیم</w:t>
      </w:r>
      <w:r>
        <w:rPr>
          <w:rFonts w:eastAsia="IRNazanin" w:cs="IRNazanin"/>
          <w:color w:val="111111"/>
          <w:sz w:val="28"/>
          <w:szCs w:val="28"/>
          <w:rtl w:val="true"/>
          <w:lang w:bidi="fa-IR"/>
        </w:rPr>
        <w:t>:</w:t>
      </w:r>
    </w:p>
    <w:p>
      <w:pPr>
        <w:pStyle w:val="Heading6"/>
        <w:numPr>
          <w:ilvl w:val="5"/>
          <w:numId w:val="1"/>
        </w:numPr>
        <w:rPr/>
      </w:pPr>
      <w:bookmarkStart w:id="143" w:name="__RefHeading___Toc4168803_2749589250"/>
      <w:bookmarkStart w:id="144" w:name="_Toc56"/>
      <w:bookmarkEnd w:id="143"/>
      <w:r>
        <w:rPr>
          <w:rtl w:val="true"/>
        </w:rPr>
        <w:t>الف</w:t>
      </w:r>
      <w:r>
        <w:rPr>
          <w:rtl w:val="true"/>
        </w:rPr>
        <w:t xml:space="preserve">: </w:t>
      </w:r>
      <w:r>
        <w:rPr>
          <w:rtl w:val="true"/>
        </w:rPr>
        <w:t>علی علیه السلام و اسقف مسیحی</w:t>
      </w:r>
      <w:bookmarkEnd w:id="1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اسقف مسیحی</w:t>
      </w:r>
    </w:p>
    <w:p>
      <w:pPr>
        <w:pStyle w:val="BookText"/>
        <w:rPr/>
      </w:pPr>
      <w:r>
        <w:rPr>
          <w:rFonts w:ascii="IRNazanin" w:hAnsi="IRNazanin" w:eastAsia="IRNazanin"/>
          <w:color w:val="111111"/>
          <w:sz w:val="28"/>
          <w:sz w:val="28"/>
          <w:szCs w:val="28"/>
          <w:rtl w:val="true"/>
          <w:lang w:bidi="fa-IR"/>
        </w:rPr>
        <w:t>پس از درگذشت پیامبر صلی الله علیه و آله، گروهی از مسیحیان به سرپرستی یک اسقف، وارد مدینه شدند و در حضور ابوبکر، پرسش هایی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آنان را به حضور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 ها این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آتشی افروخت و 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این آتش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مسیحی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آتشی </w:t>
      </w:r>
      <w:bookmarkStart w:id="145" w:name="pg3603_20934"/>
    </w:p>
    <w:p>
      <w:pPr>
        <w:pStyle w:val="BookText"/>
        <w:rPr/>
      </w:pPr>
      <w:bookmarkEnd w:id="145"/>
      <w:r>
        <w:rPr>
          <w:rFonts w:ascii="IRNazanin" w:hAnsi="IRNazanin" w:eastAsia="IRNazanin"/>
          <w:color w:val="111111"/>
          <w:sz w:val="28"/>
          <w:sz w:val="28"/>
          <w:szCs w:val="28"/>
          <w:rtl w:val="true"/>
          <w:lang w:bidi="fa-IR"/>
        </w:rPr>
        <w:t>که مصنوع خداست، طرف خاصی نیست، خالق آن که هرگز شبیه آن نیست، بالاتر از آن است که پشت و رو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مغرب از آن خداست و به هر طرف روکنی، وجه و روی خداست و چیزی از او پنهان نیست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گونه برخورد، نشان گر ظرفیت بالای علی علیه السلام در پذیرش سخن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میدان جنگ آن چنان غیرت و شجاعت نشان می دهد و می خروشد، در میدان گفت و گو این چنین متین و آرام است</w:t>
      </w:r>
      <w:r>
        <w:rPr>
          <w:rFonts w:eastAsia="IRNazanin" w:cs="IRNazanin"/>
          <w:color w:val="111111"/>
          <w:sz w:val="28"/>
          <w:szCs w:val="28"/>
          <w:rtl w:val="true"/>
          <w:lang w:bidi="fa-IR"/>
        </w:rPr>
        <w:t>.</w:t>
      </w:r>
    </w:p>
    <w:p>
      <w:pPr>
        <w:pStyle w:val="Heading6"/>
        <w:numPr>
          <w:ilvl w:val="5"/>
          <w:numId w:val="1"/>
        </w:numPr>
        <w:rPr/>
      </w:pPr>
      <w:bookmarkStart w:id="146" w:name="__RefHeading___Toc4168805_2749589250"/>
      <w:bookmarkStart w:id="147" w:name="_Toc57"/>
      <w:bookmarkEnd w:id="146"/>
      <w:r>
        <w:rPr>
          <w:rtl w:val="true"/>
        </w:rPr>
        <w:t>ب</w:t>
      </w:r>
      <w:r>
        <w:rPr>
          <w:rtl w:val="true"/>
        </w:rPr>
        <w:t xml:space="preserve">: </w:t>
      </w:r>
      <w:r>
        <w:rPr>
          <w:rtl w:val="true"/>
        </w:rPr>
        <w:t>علی علیه السلام و دانشمندان یهود و نصارا</w:t>
      </w:r>
      <w:bookmarkEnd w:id="14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دانشمندان یهود و نصارا</w:t>
      </w:r>
    </w:p>
    <w:p>
      <w:pPr>
        <w:pStyle w:val="BookText"/>
        <w:rPr/>
      </w:pPr>
      <w:r>
        <w:rPr>
          <w:rFonts w:ascii="IRNazanin" w:hAnsi="IRNazanin" w:eastAsia="IRNazanin"/>
          <w:color w:val="111111"/>
          <w:sz w:val="28"/>
          <w:sz w:val="28"/>
          <w:szCs w:val="28"/>
          <w:rtl w:val="true"/>
          <w:lang w:bidi="fa-IR"/>
        </w:rPr>
        <w:t>گروهی از دانشمندان یهود و نصارا، پس از رحلت پیامبر صلی الله علیه و آله وارد مدینه شدند و از ابوبکر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چنین می خوانیم که جانشین پیامبران، دانشمندترین امت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شما خلیفه ی پیامبر خدا هستید، پاسخ دهید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کجاست؟ آیا در آسمان هاست یا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پاسخی داد که آنان را قانع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خدا در عرش، مکان قایل شد که با انتقاد دانشمندان یهودی روبه رو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باید زمین از خدا تهی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پرسش خود را نزد امام علی علیه السلام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منطقی استوار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اَیَّنَ الأَیْنَ فَلا أَیْنَ لَهُ، جَلَّ اَنْ یَحْوِیَهُ مَکانٌ، فَهُوَ فی کُلِّ مَکانٍ بِغَیْرِ مُماسَّةٍ ولامُجاوَرَةٍ، یُحیطُ عِلْما بِما فیها وَ لایَخْلُو شَی ءٌ مِنْ تَدْبیرِه</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ها و جهت ها همه با قدرت او مکان و جهت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خود او مکان و </w:t>
      </w:r>
      <w:bookmarkStart w:id="148" w:name="pg3603_20935"/>
    </w:p>
    <w:p>
      <w:pPr>
        <w:pStyle w:val="BookText"/>
        <w:rPr/>
      </w:pPr>
      <w:bookmarkEnd w:id="148"/>
      <w:r>
        <w:rPr>
          <w:rFonts w:ascii="IRNazanin" w:hAnsi="IRNazanin" w:eastAsia="IRNazanin"/>
          <w:color w:val="111111"/>
          <w:sz w:val="28"/>
          <w:sz w:val="28"/>
          <w:szCs w:val="28"/>
          <w:rtl w:val="true"/>
          <w:lang w:bidi="fa-IR"/>
        </w:rPr>
        <w:t>جهت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از آن است که مکانی وی را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جا هست، ولی هرگز با موجودی تماس و مجاورت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چیز احاطه ی علمی دارد و چیزی از قلمروی تدبیر او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پاسخ، با روشن ترین برهان، محاط بودن خداوند را در مکان نفی کرد و دانشمندان یهودی را آن چنان شگفت زده ساخت که بی اختیار به حقانیّت گفتار علی اعتراف کردند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اسلام آوردند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49" w:name="__RefHeading___Toc4168807_2749589250"/>
      <w:bookmarkStart w:id="150" w:name="_Toc58"/>
      <w:bookmarkEnd w:id="149"/>
      <w:r>
        <w:rPr>
          <w:rtl w:val="true"/>
        </w:rPr>
        <w:t>فصل دوم</w:t>
      </w:r>
      <w:r>
        <w:rPr>
          <w:rtl w:val="true"/>
        </w:rPr>
        <w:t xml:space="preserve">: </w:t>
      </w:r>
      <w:r>
        <w:rPr>
          <w:rtl w:val="true"/>
        </w:rPr>
        <w:t>امام علی علیه السلام و تساهل اخلاقی</w:t>
      </w:r>
      <w:bookmarkEnd w:id="150"/>
    </w:p>
    <w:p>
      <w:pPr>
        <w:pStyle w:val="Heading4"/>
        <w:numPr>
          <w:ilvl w:val="3"/>
          <w:numId w:val="1"/>
        </w:numPr>
        <w:rPr/>
      </w:pPr>
      <w:bookmarkStart w:id="151" w:name="__RefHeading___Toc4168809_2749589250"/>
      <w:bookmarkStart w:id="152" w:name="_Toc59"/>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تساهل اخلاقی</w:t>
      </w:r>
    </w:p>
    <w:p>
      <w:pPr>
        <w:pStyle w:val="BookText"/>
        <w:rPr/>
      </w:pPr>
      <w:r>
        <w:rPr>
          <w:rFonts w:ascii="IRNazanin" w:hAnsi="IRNazanin" w:eastAsia="IRNazanin"/>
          <w:color w:val="111111"/>
          <w:sz w:val="28"/>
          <w:sz w:val="28"/>
          <w:szCs w:val="28"/>
          <w:rtl w:val="true"/>
          <w:lang w:bidi="fa-IR"/>
        </w:rPr>
        <w:t>اگر تساهل اخلاقی را یکی از شاخه های تساهل بدانیم و آن را چنین تعریف کنیم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چشم پوشی از خطای دیگران و گذشت و بزرگواری با وجود قدرت بر انتقام و مجازات و تعقیب، در آن صورت با صراحت می توان علی علیه السلام را نمونه ی اعلای تساهل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امام علی علیه السلام پس از دست یابی بر دشمنان مسلح خویش از آنان گذشت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 چه درباره ی عایشه، مروان و ابن ملجم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 امکان از به کارگیری قوه ی قهریه امتناع می کرد و پیش از آغاز هر درگیری، تا آخرین لحظه به گفت و گو به استدلال پرداخت، نشان گر تساهل و آسان گیری او در برخورد با مخاطبان و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موارد اشاره می کنیم</w:t>
      </w:r>
      <w:r>
        <w:rPr>
          <w:rFonts w:eastAsia="IRNazanin" w:cs="IRNazanin"/>
          <w:color w:val="111111"/>
          <w:sz w:val="28"/>
          <w:szCs w:val="28"/>
          <w:rtl w:val="true"/>
          <w:lang w:bidi="fa-IR"/>
        </w:rPr>
        <w:t xml:space="preserve">. </w:t>
      </w:r>
      <w:bookmarkStart w:id="153" w:name="pg3603_20936"/>
    </w:p>
    <w:p>
      <w:pPr>
        <w:pStyle w:val="Heading4"/>
        <w:numPr>
          <w:ilvl w:val="3"/>
          <w:numId w:val="1"/>
        </w:numPr>
        <w:rPr/>
      </w:pPr>
      <w:bookmarkStart w:id="154" w:name="__RefHeading___Toc4168811_2749589250"/>
      <w:bookmarkStart w:id="155" w:name="_Toc60"/>
      <w:bookmarkEnd w:id="153"/>
      <w:bookmarkEnd w:id="154"/>
      <w:r>
        <w:rPr/>
        <w:t>1</w:t>
      </w:r>
      <w:r>
        <w:rPr>
          <w:rtl w:val="true"/>
        </w:rPr>
        <w:t xml:space="preserve"> </w:t>
      </w:r>
      <w:r>
        <w:rPr>
          <w:rtl w:val="true"/>
        </w:rPr>
        <w:t>ـ عفو عایشه در جنگ جمل</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عفو عایشه در جنگ جمل</w:t>
      </w:r>
    </w:p>
    <w:p>
      <w:pPr>
        <w:pStyle w:val="BookText"/>
        <w:rPr/>
      </w:pPr>
      <w:r>
        <w:rPr>
          <w:rFonts w:ascii="IRNazanin" w:hAnsi="IRNazanin" w:eastAsia="IRNazanin"/>
          <w:color w:val="111111"/>
          <w:sz w:val="28"/>
          <w:sz w:val="28"/>
          <w:szCs w:val="28"/>
          <w:rtl w:val="true"/>
          <w:lang w:bidi="fa-IR"/>
        </w:rPr>
        <w:t>عایشه، دختر ابوبکر و همسر پیامبر به همراه طلحه و زبیر، سه رکن اصلی برپایی جنگ جمل بودند که با شکستن بیعت خود، خون های بسیاری از مسلمانان را بر زمین ریختند و در همان سال نخست خلافت علی علیه السلام، مشکلات بسیاری برای حکومت آن حضرت ایجاد کردند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با این حال علی علیه السلام، پس از جنگ جمل او را مورد عفو و بخشش قرار می دهد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56" w:name="__RefHeading___Toc4168813_2749589250"/>
      <w:bookmarkStart w:id="157" w:name="_Toc61"/>
      <w:bookmarkEnd w:id="156"/>
      <w:r>
        <w:rPr/>
        <w:t>2</w:t>
      </w:r>
      <w:r>
        <w:rPr>
          <w:rtl w:val="true"/>
        </w:rPr>
        <w:t xml:space="preserve"> </w:t>
      </w:r>
      <w:r>
        <w:rPr>
          <w:rtl w:val="true"/>
        </w:rPr>
        <w:t>ـ دستور منع تعقیب و قتل مجروحان</w:t>
      </w:r>
      <w:bookmarkEnd w:id="15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دستور منع تعقیب و قتل مجروحان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جمل، امام علی علیه السلام دستور داد تا کسی را تعقیب نکنند، هرکس تسیلم شد، او را نکشند و مجروحی را از بین نبرند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عبدالفتاح عبدالمقصود با قلم زیبای خود، بزرگ منشی علی علیه السلام را چنین تصویر می کند</w:t>
      </w:r>
      <w:r>
        <w:rPr>
          <w:rFonts w:eastAsia="IRNazanin" w:cs="IRNazanin"/>
          <w:color w:val="111111"/>
          <w:sz w:val="28"/>
          <w:szCs w:val="28"/>
          <w:rtl w:val="true"/>
          <w:lang w:bidi="fa-IR"/>
        </w:rPr>
        <w:t xml:space="preserve">: </w:t>
      </w:r>
      <w:bookmarkStart w:id="158" w:name="pg3603_20937"/>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چادر خود را بر همگان، پیروز و شکست خورده می گسترد و سرمای زمستان در هوایش جریان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هنوز به حصارهای شهری که دست دوستی خود را به سوی وی دراز کرد، پناه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هم چنان در میدان بماند تا یک باره کار اسیران و سلاح و غنیمت ها به سامان رسد و مردم هم به کار دفن مردگان و نجات زخمیان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پنداشتند پس از این که خدا او را بر دشمنان پیروز گردانیده است، یک تن از آنان را هم زنده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خدمتش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بکشم؟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اسیری از اهل قبله را که از نظر خود برگردد و دست بکشد نمی کشیم</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59" w:name="__RefHeading___Toc4168815_2749589250"/>
      <w:bookmarkStart w:id="160" w:name="_Toc62"/>
      <w:bookmarkEnd w:id="159"/>
      <w:r>
        <w:rPr/>
        <w:t>3</w:t>
      </w:r>
      <w:r>
        <w:rPr>
          <w:rtl w:val="true"/>
        </w:rPr>
        <w:t xml:space="preserve"> </w:t>
      </w:r>
      <w:r>
        <w:rPr>
          <w:rtl w:val="true"/>
        </w:rPr>
        <w:t>ـ عفو موسی بن طلحه</w:t>
      </w:r>
      <w:bookmarkEnd w:id="16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عفو موسی بن طلحه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ساعات، موسی بن طلحه را که اسیر شده بود، خدمت حضرت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مردم شایع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نخستین کسی است که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نمی کردند حضرت، نسبت به فرزند رهبر مخالفان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گردنش زیر تیزی شمشیر اوست، اندک نرمشی به خرج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جوان پیش آمد و بیعت کرد و چنان مدارا و نرمشی از علی دید که دل او را آرام ساخت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بنابر نقل ابن قتیبه</w:t>
      </w:r>
      <w:r>
        <w:rPr>
          <w:rStyle w:val="FootnoteAnchor"/>
          <w:rtl w:val="true"/>
        </w:rPr>
        <w:footnoteReference w:id="66"/>
      </w:r>
      <w:bookmarkStart w:id="161" w:name="pg3603_20938"/>
    </w:p>
    <w:p>
      <w:pPr>
        <w:pStyle w:val="BookText"/>
        <w:rPr/>
      </w:pPr>
      <w:bookmarkEnd w:id="161"/>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داشتم که من و پدرت از کسانی باشیم که خداوند درباره ی آن 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نزعناما فی صدورهم من غل اخوانا علی سررٍ متقابلین؛ ما کینه های آنان را از سینه هاشان بیرون می کنیم تا برادرانه روبه روی هم بر تخت ها تکیه زنند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آری اگر علی علیه السلام مردی کینه توز و ریاست طلب بود و به معیارهای انسانی و اخلاقی و الهی پای بندی نداشت و برای ملک و حکومت شمشیر می زد، می بایست به نشانه ی فرادستی خود، موسی را از پای در می آورد، اما علی علیه السلام که همیشه در پی حفظ خون مسلمانان و حرمت انسان ها بود، چنین کاری نکرد تا نشانه ای بر حقیقت جویی او باشد</w:t>
      </w:r>
      <w:r>
        <w:rPr>
          <w:rFonts w:eastAsia="IRNazanin" w:cs="IRNazanin"/>
          <w:color w:val="111111"/>
          <w:sz w:val="28"/>
          <w:szCs w:val="28"/>
          <w:rtl w:val="true"/>
          <w:lang w:bidi="fa-IR"/>
        </w:rPr>
        <w:t>.</w:t>
      </w:r>
    </w:p>
    <w:p>
      <w:pPr>
        <w:pStyle w:val="Heading4"/>
        <w:numPr>
          <w:ilvl w:val="3"/>
          <w:numId w:val="1"/>
        </w:numPr>
        <w:rPr/>
      </w:pPr>
      <w:bookmarkStart w:id="162" w:name="__RefHeading___Toc4168817_2749589250"/>
      <w:bookmarkStart w:id="163" w:name="_Toc63"/>
      <w:bookmarkEnd w:id="162"/>
      <w:r>
        <w:rPr/>
        <w:t>4</w:t>
      </w:r>
      <w:r>
        <w:rPr>
          <w:rtl w:val="true"/>
        </w:rPr>
        <w:t xml:space="preserve"> </w:t>
      </w:r>
      <w:r>
        <w:rPr>
          <w:rtl w:val="true"/>
        </w:rPr>
        <w:t>ـ مخالفت با بردگی اسیران</w:t>
      </w:r>
      <w:bookmarkEnd w:id="16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مخالفت با بردگی اسیران</w:t>
      </w:r>
    </w:p>
    <w:p>
      <w:pPr>
        <w:pStyle w:val="BookText"/>
        <w:rPr/>
      </w:pPr>
      <w:r>
        <w:rPr>
          <w:rFonts w:ascii="IRNazanin" w:hAnsi="IRNazanin" w:eastAsia="IRNazanin"/>
          <w:color w:val="111111"/>
          <w:sz w:val="28"/>
          <w:sz w:val="28"/>
          <w:szCs w:val="28"/>
          <w:rtl w:val="true"/>
          <w:lang w:bidi="fa-IR"/>
        </w:rPr>
        <w:t>گروهی از یاران امام اصرار می ورزیدند که با ناکثان، هم چون مشرکان معامله کنند؛ یعنی دستگیرشدگان برده و کنیز محسوب شده و اموال شان قسمت شود، امام علی علیه السلام با این درخواست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 کشتگان ناکثان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همه ی اموال مردم را به خودشان برگردانند به جز اسلحه ای که در آن ها علامت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مردم یک حکم فقهی جدید بیان کرد و آن این که از مال مسلمان مرده و مقتول، جز به وارثان قانونی آن ها چیزی به دیگر مسلمانان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لِمُسلمٍ من المسلم المتوفّی شی ء</w:t>
      </w:r>
      <w:r>
        <w:rPr>
          <w:rFonts w:eastAsia="IRNazanin" w:cs="IRNazanin"/>
          <w:color w:val="111111"/>
          <w:sz w:val="28"/>
          <w:szCs w:val="28"/>
          <w:rtl w:val="true"/>
          <w:lang w:bidi="fa-IR"/>
        </w:rPr>
        <w:t>».</w:t>
      </w:r>
      <w:r>
        <w:rPr>
          <w:rStyle w:val="FootnoteAnchor"/>
          <w:rtl w:val="true"/>
        </w:rPr>
        <w:footnoteReference w:id="6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توجیه غلام و کنیز نبودن اسیران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اَیُّکُمْ یَأْخُذُ اُمَّ الْمُؤْمِنینَ فی سَهْمِه؟ اگر قرار باشد زنان آن ها کنیز باشند، ام المؤمنین عایشه سهم چه کسی خواهد </w:t>
      </w:r>
      <w:bookmarkStart w:id="164" w:name="pg3603_20939"/>
    </w:p>
    <w:p>
      <w:pPr>
        <w:pStyle w:val="BookText"/>
        <w:rPr/>
      </w:pPr>
      <w:bookmarkEnd w:id="164"/>
      <w:r>
        <w:rPr>
          <w:rFonts w:ascii="IRNazanin" w:hAnsi="IRNazanin" w:eastAsia="IRNazanin"/>
          <w:color w:val="111111"/>
          <w:sz w:val="28"/>
          <w:sz w:val="28"/>
          <w:szCs w:val="28"/>
          <w:rtl w:val="true"/>
          <w:lang w:bidi="fa-IR"/>
        </w:rPr>
        <w:t>بود؟ یعنی آیا ممکن است مسلمانی، زن پیغمبر خود را هرچند فتنه گر باشد، به عنوان کنیزی ببرد؟ دیگر زنان نیز، همسران برادران ایمانی ما هستند و نباید برده محسوب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بنابرنقل ابن قتیبه، در این هنگام مردی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ما حلال است و زنان و فرزندان شان برای ما جایز نیست؟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حلال نیست و چون سخن در این باره زیاد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بیاندازید، با تیرهای تان قرعه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مادرتان عایشه را با سهم خود می برد؟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و از او آمرزش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خدا آمرزش می طلبم</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65" w:name="__RefHeading___Toc4168819_2749589250"/>
      <w:bookmarkStart w:id="166" w:name="_Toc64"/>
      <w:bookmarkEnd w:id="165"/>
      <w:r>
        <w:rPr/>
        <w:t>5</w:t>
      </w:r>
      <w:r>
        <w:rPr>
          <w:rtl w:val="true"/>
        </w:rPr>
        <w:t xml:space="preserve"> </w:t>
      </w:r>
      <w:r>
        <w:rPr>
          <w:rtl w:val="true"/>
        </w:rPr>
        <w:t>ـ عفو مروان حکم</w:t>
      </w:r>
      <w:bookmarkEnd w:id="16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عفو مروان حکم</w:t>
      </w:r>
    </w:p>
    <w:p>
      <w:pPr>
        <w:pStyle w:val="BookText"/>
        <w:rPr/>
      </w:pPr>
      <w:r>
        <w:rPr>
          <w:rFonts w:ascii="IRNazanin" w:hAnsi="IRNazanin" w:eastAsia="IRNazanin"/>
          <w:color w:val="111111"/>
          <w:sz w:val="28"/>
          <w:sz w:val="28"/>
          <w:szCs w:val="28"/>
          <w:rtl w:val="true"/>
          <w:lang w:bidi="fa-IR"/>
        </w:rPr>
        <w:t>امیرمؤمنان پس از پیروزی بر اصحاب جمل، متعرض مسبّبان واقعی جنگ مانند مروان حکم و عبدالله بن زبیر نیز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خانواده ای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 و امام حسن و امام حسین علیه السلام آن گونه که از سخنان علی علیه السلام در نهج البلاغه استفاده می شود، برای او از علی علیه السلام امان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امام علیه السلام به او یادآور شدند که مروان بیعت خواهد کرد، امام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اَوَلَم یُبایعنی بعدَ قتَل عثمانَ؟ لاحاجَةَ لی فی بیعته، إِنَّها کَفٌّ یهودیَّةٌ لَوبا یَعَنی بِکَفِّهِ لَغَدرَ بِسُبَّـتِه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 لَهُ اِمْرَةً کَلَعْقَةِ الکَلبِ أَنْفَه، و هواَبوُالاَکْبُشِ الأَرْبَعَةِ و سَتَلْقی الأُمَّةُ مِنْهُ وَ مِنْ وُلْدِه یَوْما أَحْمَرَ</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مگر او پس از کشته شدن عثمان با من بیعت نکرد؟ مرا به بیعت او نیازی نیست؛ که بیعت شکن است و غدّار، با دستی چون دست جهود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 اگر آشکارا با دست خود بیعت کند، رو گرداند و در نها ن با ریش خند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وی بر مردم حکومت کند اما کوتاه، چندان که سگ بینی خود را لیسد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چهار فرمان رواست، و زودا که امّت از او و فرزندان او روزی سرخ ـ خونین ـ ببینند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مروان حکم فرزند حکم بن ابی العاص است که رفتار و حرکات پیامبر را مسخره می کرد و حضرت، او و فرزندانش را به طایف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هم جرأت بازگرداندن او را نداشتند، تا این که عثمان خلیفه شد و حکم را که عمویش بود به مدینه آورد و مروان را کاتب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بود که با خودخواهی ها و استبداد، زمینه ی قتل عثمان به دست شورشیان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دشمنی عمیقی با علی علیه السلام و فرزندان او داشت و امام علیه السلام به حیله گری و نفاق او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تسامح اخلاقی و اسلامی امام، شامل حال او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او را عفو کرد و هیچ گونه تضییقی برایش قایل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حبس، نه 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از اخبار غیبی امیرمؤمنان است که به حکومت آینده ی مروان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خلیفه بود و پس از وی عبدالملک مروان و سه فرزندش سلیمان بن عبدالملک و یزید بن عبدالملک و هشام بن عبدالملک به خلافت رسیدند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امام از فجایعی که به دست او و فرزندانش بر سر مسلمانان خواهد آمد، سبب نشد که وی از سماحت و عفو امام محروم شود</w:t>
      </w:r>
      <w:r>
        <w:rPr>
          <w:rFonts w:eastAsia="IRNazanin" w:cs="IRNazanin"/>
          <w:color w:val="111111"/>
          <w:sz w:val="28"/>
          <w:szCs w:val="28"/>
          <w:rtl w:val="true"/>
          <w:lang w:bidi="fa-IR"/>
        </w:rPr>
        <w:t xml:space="preserve">. </w:t>
      </w:r>
      <w:bookmarkStart w:id="167" w:name="pg3603_20941"/>
    </w:p>
    <w:p>
      <w:pPr>
        <w:pStyle w:val="Heading4"/>
        <w:numPr>
          <w:ilvl w:val="3"/>
          <w:numId w:val="1"/>
        </w:numPr>
        <w:rPr/>
      </w:pPr>
      <w:bookmarkStart w:id="168" w:name="__RefHeading___Toc4168821_2749589250"/>
      <w:bookmarkStart w:id="169" w:name="_Toc65"/>
      <w:bookmarkEnd w:id="167"/>
      <w:bookmarkEnd w:id="168"/>
      <w:r>
        <w:rPr/>
        <w:t>6</w:t>
      </w:r>
      <w:r>
        <w:rPr>
          <w:rtl w:val="true"/>
        </w:rPr>
        <w:t xml:space="preserve"> </w:t>
      </w:r>
      <w:r>
        <w:rPr>
          <w:rtl w:val="true"/>
        </w:rPr>
        <w:t>ـ عفو عبدالله بن زبیر</w:t>
      </w:r>
      <w:bookmarkEnd w:id="16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عفو عبدالله بن زبیر</w:t>
      </w:r>
    </w:p>
    <w:p>
      <w:pPr>
        <w:pStyle w:val="BookText"/>
        <w:rPr/>
      </w:pPr>
      <w:r>
        <w:rPr>
          <w:rFonts w:ascii="IRNazanin" w:hAnsi="IRNazanin" w:eastAsia="IRNazanin"/>
          <w:color w:val="111111"/>
          <w:sz w:val="28"/>
          <w:sz w:val="28"/>
          <w:szCs w:val="28"/>
          <w:rtl w:val="true"/>
          <w:lang w:bidi="fa-IR"/>
        </w:rPr>
        <w:t>عبدالله بن زبیر نیز از عوامل مؤثر در برپایی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است که به خانه ی عایشه ـ خاله ی خود ـ در مکه رفت و پس از گفت و گوی بسیار، او را برای خروج همراه طلحه و زبیر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در شرکت پدرش زبیر در جنگ با علی علیه السلام نقش کلیدی داشت؛ زیرا پیش از آغاز جنگ، امیرالمؤمنین علیه السلام با زبیر از طریق نامه های ارسالی خود به بصره که صعصعة بن صوحان آن ها را می برد، گفت و گو کرده بود، عبدالله، همیشه پدرش را به پای مردی و نترسیدن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از قتل زبیر به دست عمروبن جرموح با خبر شد و سر بریده ی او را به همراه شمشیرش به آن حضرت دادند،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از طلحه به من نزدیک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از ما اهل بیت بود تا آن که پسرش عبدالله بزرگ شد و بین ما و او جدایی انداخت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نقش عبدالله بن زبیر در تحریک پدر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پیش از آغاز جنگ در میدان نبرد زبیر را به مذاکره طلبید و آن دو آن قدر به هم نزدیک شدند که گردن های مرکب آن دو به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او را به یاد حدیثی از پیامبر انداخت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علی خواهی جنگید و در آن حال، بر او ستم کار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زبیر مردّد شد و به سوی لشکریانش بازگشت، هنگامی که عبدالله دگرگونی رأی پدر را مشاهده کرد،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ات دگرگون شده و با چهره ای بازگشتی که گاه رفتن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مرا به یاد حدیثی انداخت که روزگار آن را از یادم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من با او نخواهم جنگید و بازخواهم گشت و امروز از شما جدا خواهم شد</w:t>
      </w:r>
      <w:r>
        <w:rPr>
          <w:rFonts w:eastAsia="IRNazanin" w:cs="IRNazanin"/>
          <w:color w:val="111111"/>
          <w:sz w:val="28"/>
          <w:szCs w:val="28"/>
          <w:rtl w:val="true"/>
          <w:lang w:bidi="fa-IR"/>
        </w:rPr>
        <w:t xml:space="preserve">. </w:t>
      </w:r>
      <w:bookmarkStart w:id="170" w:name="pg3603_20942"/>
    </w:p>
    <w:p>
      <w:pPr>
        <w:pStyle w:val="BookText"/>
        <w:rPr/>
      </w:pPr>
      <w:bookmarkEnd w:id="170"/>
      <w:r>
        <w:rPr>
          <w:rFonts w:ascii="IRNazanin" w:hAnsi="IRNazanin" w:eastAsia="IRNazanin"/>
          <w:color w:val="111111"/>
          <w:sz w:val="28"/>
          <w:sz w:val="28"/>
          <w:szCs w:val="28"/>
          <w:rtl w:val="true"/>
          <w:lang w:bidi="fa-IR"/>
        </w:rPr>
        <w:t>عبدالله که از این جریان سخت ناراحت شده بود و می خواست به هر قیمتی پدر را از رفتن باز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فکر می کنم تو از شمشیرهای فرزندان عبدالمطلب ترسیده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جنگ با علی تحریک می کنی؟ بدان که من سوگند خورده ام که با او جنگ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ی قسم خود را بده و بایست، تا زنان قریش نگویند که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که تحریک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کفاره ی قسم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نیزه ی خود را به حرکت درآورد و به میمنه ی لشکر علی علیه 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فراست، حال او را دریافت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روی اجبار این کار را می کند، او را تحریک کرده اند، راه را بر او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بار حمله، زبیر به نزد عبدالله فرزندش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ترسو این کار را می کند؟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ادا کردی و دیگر راه عذری به جای نگذاردی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آری، عبدالله بن زبیر چنین سابقه ی تاریکی در جنگ جمل دارد و علی علیه السلام نیز به نقش شیطانی او در تحکیم جنایت ناکثان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وی را که پس از پایان جنگ به خانه ی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وساطت محمد بن ابی بکر به خانه ی محل حفاظت عایشه در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 عبدالله بن خلف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بود، مورد عفو و بخشش قرار داد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71" w:name="__RefHeading___Toc4168823_2749589250"/>
      <w:bookmarkStart w:id="172" w:name="_Toc66"/>
      <w:bookmarkEnd w:id="171"/>
      <w:r>
        <w:rPr/>
        <w:t>7</w:t>
      </w:r>
      <w:r>
        <w:rPr>
          <w:rtl w:val="true"/>
        </w:rPr>
        <w:t xml:space="preserve"> </w:t>
      </w:r>
      <w:r>
        <w:rPr>
          <w:rtl w:val="true"/>
        </w:rPr>
        <w:t>ـ عفو سعید بن عاص و فرزندان عثمان</w:t>
      </w:r>
      <w:bookmarkEnd w:id="172"/>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عفو سعید بن عاص و فرزندان عثمان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آتش افروز جنگ جمل بودند و علی علیه السلام آنان را مورد عفو و بزرگواری خود قرار داد، سعید بن عاص و فرزندان عثمان بودند</w:t>
      </w:r>
      <w:r>
        <w:rPr>
          <w:rFonts w:eastAsia="IRNazanin" w:cs="IRNazanin"/>
          <w:color w:val="111111"/>
          <w:sz w:val="28"/>
          <w:szCs w:val="28"/>
          <w:rtl w:val="true"/>
          <w:lang w:bidi="fa-IR"/>
        </w:rPr>
        <w:t xml:space="preserve">. </w:t>
      </w:r>
      <w:bookmarkStart w:id="173" w:name="pg3603_20943"/>
    </w:p>
    <w:p>
      <w:pPr>
        <w:pStyle w:val="Heading4"/>
        <w:numPr>
          <w:ilvl w:val="3"/>
          <w:numId w:val="1"/>
        </w:numPr>
        <w:rPr/>
      </w:pPr>
      <w:bookmarkStart w:id="174" w:name="__RefHeading___Toc4168825_2749589250"/>
      <w:bookmarkStart w:id="175" w:name="_Toc67"/>
      <w:bookmarkEnd w:id="173"/>
      <w:bookmarkEnd w:id="174"/>
      <w:r>
        <w:rPr/>
        <w:t>8</w:t>
      </w:r>
      <w:r>
        <w:rPr>
          <w:rtl w:val="true"/>
        </w:rPr>
        <w:t xml:space="preserve"> </w:t>
      </w:r>
      <w:r>
        <w:rPr>
          <w:rtl w:val="true"/>
        </w:rPr>
        <w:t>ـ عفو مردم بصره</w:t>
      </w:r>
      <w:bookmarkEnd w:id="175"/>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عفو مردم بصره</w:t>
      </w:r>
    </w:p>
    <w:p>
      <w:pPr>
        <w:pStyle w:val="BookText"/>
        <w:rPr/>
      </w:pPr>
      <w:r>
        <w:rPr>
          <w:rFonts w:ascii="IRNazanin" w:hAnsi="IRNazanin" w:eastAsia="IRNazanin"/>
          <w:color w:val="111111"/>
          <w:sz w:val="28"/>
          <w:sz w:val="28"/>
          <w:szCs w:val="28"/>
          <w:rtl w:val="true"/>
          <w:lang w:bidi="fa-IR"/>
        </w:rPr>
        <w:t>پس از شکست سپاه بصره در جنگ جمل و کشته شدن طلحه و فرزندش محمد و به هلاکت رسیدن زبیر و سقوط هودج عایشه، امام علی علیه السلام وارد بصره شد و در منطقه ی مرکزی شهر، مردم را به دلیل پیمان شکنی و سست عنصری سرزنش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سپاهیان آن زن و پیروان آن شتر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 کرد، او را پاسخ گفتید و وقتی پی شد، فرار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شما پست و پیمان شما غدر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شما نفاق و آب شما شور است و آن کس که در شهر شما اقامت گزیند، در دام گناهان تان گرفتار آید و آن کس که از شما دوری گزیند، رحمت حق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عذاب خدا از آسمان و زمین بر شما فرود می آید و به گمانم همگی غرق شده اید و تنها قله ی مسجدتان، هم چون سینه ی کشتی، بر روی آب نمایان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 اهل بصره، درباره ی من چه گمان دارید؟ در این هنگام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خیر و نیکی درباره ی تو نسبت به خود، گمان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مجازات کنی جا دارد؛ زیرا ما گناه کاریم و اگر ما را ببخشی، عفو برای خدا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جویی دوری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نخستین کسانی هستید که بیعت را شکستید و عصای امت را دو نیم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بازگردید و خالصانه توبه کنید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بنابر نقل مسعودی در مروج الذهب، علی علیه السلام خطاب به همه ی مخالفان اعلام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اسلحه ی خود را بر زمین بگذارد، در امان است و هرکس به خانه ی خود </w:t>
      </w:r>
      <w:bookmarkStart w:id="176" w:name="pg3603_20944"/>
    </w:p>
    <w:p>
      <w:pPr>
        <w:pStyle w:val="BookText"/>
        <w:rPr/>
      </w:pPr>
      <w:bookmarkEnd w:id="176"/>
      <w:r>
        <w:rPr>
          <w:rFonts w:ascii="IRNazanin" w:hAnsi="IRNazanin" w:eastAsia="IRNazanin"/>
          <w:color w:val="111111"/>
          <w:sz w:val="28"/>
          <w:sz w:val="28"/>
          <w:szCs w:val="28"/>
          <w:rtl w:val="true"/>
          <w:lang w:bidi="fa-IR"/>
        </w:rPr>
        <w:t>رود در امان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طلحه و زبیر هنگام جنگ به مردم بصره اعلام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علیه السلام پیروز شود، همه را خواهد کشت و تمام حرمت ها را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بچه ها را می کشد و زن ها را اسیر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حمایت از حریم خود بجنگید و مرگ را بر رسوایی ترجیح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این دروغ وحشتناک مردم را بر ضد حضرت شوراندند، ولی امام علیه السلام پس از پیروزی، بر خلاف شایعه های مسموم طلحه و زبیر، همه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ابوصالح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 علیه السلام از اهل بصره صرف نظر کرد؟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پیغمبر با اهل مکه رفتار کرد؛ زیرا دوست داشت آنان هدایت شوند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آری، از شخصیتی چون علی که بر اساس روایات منقول از رسول خدا، حلیم ترین مردم روی زمین بود،</w:t>
      </w:r>
      <w:r>
        <w:rPr>
          <w:rStyle w:val="FootnoteAnchor"/>
          <w:rtl w:val="true"/>
        </w:rPr>
        <w:footnoteReference w:id="80"/>
      </w:r>
      <w:r>
        <w:rPr>
          <w:rFonts w:ascii="IRNazanin" w:hAnsi="IRNazanin" w:eastAsia="IRNazanin"/>
          <w:color w:val="111111"/>
          <w:sz w:val="28"/>
          <w:sz w:val="28"/>
          <w:szCs w:val="28"/>
          <w:rtl w:val="true"/>
          <w:lang w:bidi="fa-IR"/>
        </w:rPr>
        <w:t xml:space="preserve">رفتاری جز این شایسته نیست و این، نشان دیگری از صبر و عفو و گذشت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Heading4"/>
        <w:numPr>
          <w:ilvl w:val="3"/>
          <w:numId w:val="1"/>
        </w:numPr>
        <w:rPr/>
      </w:pPr>
      <w:bookmarkStart w:id="177" w:name="__RefHeading___Toc4168827_2749589250"/>
      <w:bookmarkStart w:id="178" w:name="_Toc68"/>
      <w:bookmarkEnd w:id="177"/>
      <w:r>
        <w:rPr/>
        <w:t>9</w:t>
      </w:r>
      <w:r>
        <w:rPr>
          <w:rtl w:val="true"/>
        </w:rPr>
        <w:t xml:space="preserve"> </w:t>
      </w:r>
      <w:r>
        <w:rPr>
          <w:rtl w:val="true"/>
        </w:rPr>
        <w:t>ـ گفتار نیکوی علی درباره ی کشتگان جمل</w:t>
      </w:r>
      <w:bookmarkEnd w:id="178"/>
    </w:p>
    <w:p>
      <w:pPr>
        <w:pStyle w:val="Heading5"/>
        <w:numPr>
          <w:ilvl w:val="4"/>
          <w:numId w:val="1"/>
        </w:numPr>
        <w:rPr/>
      </w:pPr>
      <w:bookmarkStart w:id="179" w:name="__RefHeading___Toc4168829_2749589250"/>
      <w:bookmarkStart w:id="180" w:name="_Toc69"/>
      <w:bookmarkEnd w:id="179"/>
      <w:r>
        <w:rPr>
          <w:rtl w:val="true"/>
        </w:rPr>
        <w:t>اشاره</w:t>
      </w:r>
      <w:bookmarkEnd w:id="180"/>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گفتار نیکوی علی درباره ی کشتگان جمل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سرداری که بر دشمنان خود پیروز می شود و با سینه ای پر از کینه و حسّ </w:t>
      </w:r>
      <w:bookmarkStart w:id="181" w:name="pg3603_20945"/>
    </w:p>
    <w:p>
      <w:pPr>
        <w:pStyle w:val="BookText"/>
        <w:rPr/>
      </w:pPr>
      <w:bookmarkEnd w:id="181"/>
      <w:r>
        <w:rPr>
          <w:rFonts w:ascii="IRNazanin" w:hAnsi="IRNazanin" w:eastAsia="IRNazanin"/>
          <w:color w:val="111111"/>
          <w:sz w:val="28"/>
          <w:sz w:val="28"/>
          <w:szCs w:val="28"/>
          <w:rtl w:val="true"/>
          <w:lang w:bidi="fa-IR"/>
        </w:rPr>
        <w:t>انتقام جویی، بر کشته ی دشمن خویش حاضر می گردد، چه انتظاری داریم؟ انتظار مدح و ستایش و بیان فضایل آنان یا انتظار دشنام و شماتت و عیب جویی و تحقیر و سرزنش؟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دشمن دنیاطلب، هواپرست و جاهل خویش، به بزرگی و کرامت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گاه که بر بالین کشته گان جمل حاضر شد، به بیان فضایل آنان زبان گشود</w:t>
      </w:r>
      <w:r>
        <w:rPr>
          <w:rFonts w:eastAsia="IRNazanin" w:cs="IRNazanin"/>
          <w:color w:val="111111"/>
          <w:sz w:val="28"/>
          <w:szCs w:val="28"/>
          <w:rtl w:val="true"/>
          <w:lang w:bidi="fa-IR"/>
        </w:rPr>
        <w:t>.</w:t>
      </w:r>
    </w:p>
    <w:p>
      <w:pPr>
        <w:pStyle w:val="Heading5"/>
        <w:numPr>
          <w:ilvl w:val="4"/>
          <w:numId w:val="1"/>
        </w:numPr>
        <w:rPr/>
      </w:pPr>
      <w:bookmarkStart w:id="182" w:name="__RefHeading___Toc4168831_2749589250"/>
      <w:bookmarkStart w:id="183" w:name="_Toc70"/>
      <w:bookmarkEnd w:id="182"/>
      <w:r>
        <w:rPr>
          <w:rtl w:val="true"/>
        </w:rPr>
        <w:t>بر بالین عبدالله بن خلف</w:t>
      </w:r>
      <w:bookmarkEnd w:id="183"/>
    </w:p>
    <w:p>
      <w:pPr>
        <w:pStyle w:val="BookText"/>
        <w:rPr/>
      </w:pPr>
      <w:r>
        <w:rPr>
          <w:rFonts w:ascii="IRNazanin" w:hAnsi="IRNazanin" w:eastAsia="IRNazanin"/>
          <w:color w:val="111111"/>
          <w:sz w:val="28"/>
          <w:sz w:val="28"/>
          <w:szCs w:val="28"/>
          <w:rtl w:val="true"/>
          <w:lang w:bidi="fa-IR"/>
        </w:rPr>
        <w:t>بر بالین عبدالله بن خلف</w:t>
      </w:r>
    </w:p>
    <w:p>
      <w:pPr>
        <w:pStyle w:val="BookText"/>
        <w:rPr/>
      </w:pPr>
      <w:r>
        <w:rPr>
          <w:rFonts w:ascii="IRNazanin" w:hAnsi="IRNazanin" w:eastAsia="IRNazanin"/>
          <w:color w:val="111111"/>
          <w:sz w:val="28"/>
          <w:sz w:val="28"/>
          <w:szCs w:val="28"/>
          <w:rtl w:val="true"/>
          <w:lang w:bidi="fa-IR"/>
        </w:rPr>
        <w:t xml:space="preserve">هنگامی که علی علیه السلام بر 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خلف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 دید لباسی زیبا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رییس پیمان شکنان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جای آن که بر طعن آنان بیافزاید،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نبود، بلکه او انسانی شریف و بلند طبع بود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این سخن درباره ی مردی است که به گفته ی سید محسن امین، در روز نبرد به صراحت کینه ی خود را نسبت به علی علیه السلام ابراز کرده و او را به مبارزه طلبیده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خلف خزاعی، رییس بصره و توان گرترین آنان در مال و زمین، از سپاه عایشه بیرون آمد و هم آورد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درخواست کرد کس دیگری جز علی علیه السلام برای جنگ با او قدم ننهد و این رجز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به نزدیک من بیا که من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شیری به تو نزدیک شده ام در سینه ام نسبت به تو کینه دارم </w:t>
      </w:r>
      <w:bookmarkStart w:id="184" w:name="pg3603_20946"/>
    </w:p>
    <w:p>
      <w:pPr>
        <w:pStyle w:val="BookText"/>
        <w:rPr/>
      </w:pPr>
      <w:bookmarkEnd w:id="184"/>
      <w:r>
        <w:rPr>
          <w:rFonts w:ascii="IRNazanin" w:hAnsi="IRNazanin" w:eastAsia="IRNazanin"/>
          <w:color w:val="111111"/>
          <w:sz w:val="28"/>
          <w:sz w:val="28"/>
          <w:szCs w:val="28"/>
          <w:rtl w:val="true"/>
          <w:lang w:bidi="fa-IR"/>
        </w:rPr>
        <w:t>علی علیه السلام به سوی او آمد و به او امان نداد تا ضربه ای وارد کند و مغز او را از هم شکافت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باری، کینه ی عبدالله خلف نسبت به علی که خود، آن را اعلام کرده بود و جدال شخصی او با علی، سبب نشد که آن حضرت، او را تحقیر کند و دشنام دهد یا نقایص وی را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شیوه ی جوان مردان است</w:t>
      </w:r>
      <w:r>
        <w:rPr>
          <w:rFonts w:eastAsia="IRNazanin" w:cs="IRNazanin"/>
          <w:color w:val="111111"/>
          <w:sz w:val="28"/>
          <w:szCs w:val="28"/>
          <w:rtl w:val="true"/>
          <w:lang w:bidi="fa-IR"/>
        </w:rPr>
        <w:t>.</w:t>
      </w:r>
    </w:p>
    <w:p>
      <w:pPr>
        <w:pStyle w:val="Heading5"/>
        <w:numPr>
          <w:ilvl w:val="4"/>
          <w:numId w:val="1"/>
        </w:numPr>
        <w:rPr/>
      </w:pPr>
      <w:bookmarkStart w:id="185" w:name="__RefHeading___Toc4168833_2749589250"/>
      <w:bookmarkStart w:id="186" w:name="_Toc71"/>
      <w:bookmarkEnd w:id="185"/>
      <w:r>
        <w:rPr>
          <w:rtl w:val="true"/>
        </w:rPr>
        <w:t>بر بالین معبد بن مقداد</w:t>
      </w:r>
      <w:bookmarkEnd w:id="186"/>
    </w:p>
    <w:p>
      <w:pPr>
        <w:pStyle w:val="BookText"/>
        <w:rPr/>
      </w:pPr>
      <w:r>
        <w:rPr>
          <w:rFonts w:ascii="IRNazanin" w:hAnsi="IRNazanin" w:eastAsia="IRNazanin"/>
          <w:color w:val="111111"/>
          <w:sz w:val="28"/>
          <w:sz w:val="28"/>
          <w:szCs w:val="28"/>
          <w:rtl w:val="true"/>
          <w:lang w:bidi="fa-IR"/>
        </w:rPr>
        <w:t>بر بالین معبد بن مقداد</w:t>
      </w:r>
    </w:p>
    <w:p>
      <w:pPr>
        <w:pStyle w:val="BookText"/>
        <w:rPr/>
      </w:pPr>
      <w:r>
        <w:rPr>
          <w:rFonts w:ascii="IRNazanin" w:hAnsi="IRNazanin" w:eastAsia="IRNazanin"/>
          <w:color w:val="111111"/>
          <w:sz w:val="28"/>
          <w:sz w:val="28"/>
          <w:szCs w:val="28"/>
          <w:rtl w:val="true"/>
          <w:lang w:bidi="fa-IR"/>
        </w:rPr>
        <w:t>سپس علی علیه السلام بر کشته ی معبد بن مقداد گذر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 این مرد را بیامرزد که اگر زنده بود، تدبیرش بهتر از تدبیر این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این مرد را نابود کرد و صورت او را بر خاک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از کسی که از حق روی گرداند، ترسی نداریم چه پدر باشد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باز هم حرمت مقتول را نگه داشت و زبان به شماتت او نگشود، بلکه خطاب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بیامرزد و به تو اجر نیکو دهد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87" w:name="__RefHeading___Toc4168835_2749589250"/>
      <w:bookmarkStart w:id="188" w:name="_Toc72"/>
      <w:bookmarkEnd w:id="187"/>
      <w:r>
        <w:rPr>
          <w:rtl w:val="true"/>
        </w:rPr>
        <w:t>بر بالین کعب بن سور</w:t>
      </w:r>
      <w:bookmarkEnd w:id="188"/>
    </w:p>
    <w:p>
      <w:pPr>
        <w:pStyle w:val="BookText"/>
        <w:rPr/>
      </w:pPr>
      <w:r>
        <w:rPr>
          <w:rFonts w:ascii="IRNazanin" w:hAnsi="IRNazanin" w:eastAsia="IRNazanin"/>
          <w:color w:val="111111"/>
          <w:sz w:val="28"/>
          <w:sz w:val="28"/>
          <w:szCs w:val="28"/>
          <w:rtl w:val="true"/>
          <w:lang w:bidi="fa-IR"/>
        </w:rPr>
        <w:t>بر بالین کعب بن سور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بن سور، قاضی بصره و قاری قرآن بود که در میان قبیله اش نفوذ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هرچه کردند نتوانستند او را با خود همراه کنند تا آن که عایشه را به ملاقات حضوری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شنیدن سخنان عایشه، برای حضور در سپاه جمل اعلان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افسار شتر عایشه را در میدان جنگ در دست </w:t>
      </w:r>
      <w:bookmarkStart w:id="189" w:name="pg3603_20947"/>
    </w:p>
    <w:p>
      <w:pPr>
        <w:pStyle w:val="BookText"/>
        <w:rPr/>
      </w:pPr>
      <w:bookmarkEnd w:id="189"/>
      <w:r>
        <w:rPr>
          <w:rFonts w:ascii="IRNazanin" w:hAnsi="IRNazanin" w:eastAsia="IRNazanin"/>
          <w:color w:val="111111"/>
          <w:sz w:val="28"/>
          <w:sz w:val="28"/>
          <w:szCs w:val="28"/>
          <w:rtl w:val="true"/>
          <w:lang w:bidi="fa-IR"/>
        </w:rPr>
        <w:t>داشت و قرآنی به سینه خود آویزان کرده بود و مردم را به یاری عایشه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امیرمؤمنان علی علیه السلام از میان کشتگان جمل می گذشت، چشمش بر جسد قاضی بصره افتاد که همان قرآن را بر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قرآن را از گردن وی باز کنند و به مکان پاکی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همان سخنی را به وی گفت که رسول خدا به کشتگان بدر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خدای من به من وعده کرده بود، درست و استوار یافتم، آیا تو هم آن چه را پروردگارت وعده کرده بود، درست و استوار یافتی؟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سپس دستور داد او را بخوابانند</w:t>
      </w:r>
      <w:r>
        <w:rPr>
          <w:rFonts w:eastAsia="IRNazanin" w:cs="IRNazanin"/>
          <w:color w:val="111111"/>
          <w:sz w:val="28"/>
          <w:szCs w:val="28"/>
          <w:rtl w:val="true"/>
          <w:lang w:bidi="fa-IR"/>
        </w:rPr>
        <w:t>.</w:t>
      </w:r>
    </w:p>
    <w:p>
      <w:pPr>
        <w:pStyle w:val="Heading5"/>
        <w:numPr>
          <w:ilvl w:val="4"/>
          <w:numId w:val="1"/>
        </w:numPr>
        <w:rPr/>
      </w:pPr>
      <w:bookmarkStart w:id="190" w:name="__RefHeading___Toc4168837_2749589250"/>
      <w:bookmarkStart w:id="191" w:name="_Toc73"/>
      <w:bookmarkEnd w:id="190"/>
      <w:r>
        <w:rPr>
          <w:rtl w:val="true"/>
        </w:rPr>
        <w:t>بر بالین عبدالرحمنِ بن عِتاب بنِ اُسَید</w:t>
      </w:r>
      <w:bookmarkEnd w:id="191"/>
    </w:p>
    <w:p>
      <w:pPr>
        <w:pStyle w:val="BookText"/>
        <w:rPr/>
      </w:pPr>
      <w:r>
        <w:rPr>
          <w:rFonts w:ascii="Amiri" w:hAnsi="Amiri" w:eastAsia="Amiri" w:cs="Amiri"/>
          <w:color w:val="111111"/>
          <w:sz w:val="28"/>
          <w:sz w:val="28"/>
          <w:szCs w:val="28"/>
          <w:rtl w:val="true"/>
          <w:lang w:bidi="ar-SA"/>
        </w:rPr>
        <w:t>بر بالین عبدالرحمنِ بن عِتاب بنِ اُسَید</w:t>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بر بالین عبدالرحمن بن عِتاب بنِ اُسَید که پسر ابوالعاص و او پسر امیّه می باشد، حاضر شد، در حالی که میان کشتگان افتاده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و اندوه بر تو ای دلیر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بنی عبد مناف را کشتی و مرا تیره روز و آشفته حال کردی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مالک اشتر که خود، عبدالرحمن را کشته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غم آنان می خوری در حالی که آنان سرنوشت خویش را برای تو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من و آن ها را آورده اند که تو را نیاورده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جمله علی علیه السلام چه نکته ای را به اشتر گوشزد می کند؟ به نظر می رسد او </w:t>
      </w:r>
      <w:bookmarkStart w:id="192" w:name="pg3603_20948"/>
    </w:p>
    <w:p>
      <w:pPr>
        <w:pStyle w:val="BookText"/>
        <w:rPr/>
      </w:pPr>
      <w:bookmarkEnd w:id="192"/>
      <w:r>
        <w:rPr>
          <w:rFonts w:ascii="IRNazanin" w:hAnsi="IRNazanin" w:eastAsia="IRNazanin"/>
          <w:color w:val="111111"/>
          <w:sz w:val="28"/>
          <w:sz w:val="28"/>
          <w:szCs w:val="28"/>
          <w:rtl w:val="true"/>
          <w:lang w:bidi="fa-IR"/>
        </w:rPr>
        <w:t>می خواهد بر ارتباط قبیلگی خود با عبدالرحمن که او نیز از قریش است تأکید کند و همان را مایه احترام خویش بر کشته ی عبدالرحمن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از هر دست مایه ای برای ابراز محبت و افسوس خود به کشته گان جمل سود می بَرَد، به جای آن که به فکر مرهم نهادن بر دل پردرد خویش باشد</w:t>
      </w:r>
      <w:r>
        <w:rPr>
          <w:rFonts w:eastAsia="IRNazanin" w:cs="IRNazanin"/>
          <w:color w:val="111111"/>
          <w:sz w:val="28"/>
          <w:szCs w:val="28"/>
          <w:rtl w:val="true"/>
          <w:lang w:bidi="fa-IR"/>
        </w:rPr>
        <w:t>.</w:t>
      </w:r>
    </w:p>
    <w:p>
      <w:pPr>
        <w:pStyle w:val="Heading5"/>
        <w:numPr>
          <w:ilvl w:val="4"/>
          <w:numId w:val="1"/>
        </w:numPr>
        <w:rPr/>
      </w:pPr>
      <w:bookmarkStart w:id="193" w:name="__RefHeading___Toc4168839_2749589250"/>
      <w:bookmarkStart w:id="194" w:name="_Toc74"/>
      <w:bookmarkEnd w:id="193"/>
      <w:r>
        <w:rPr>
          <w:rtl w:val="true"/>
        </w:rPr>
        <w:t>خودداری امام علی علیه السلام از آغاز کردن جنگ</w:t>
      </w:r>
      <w:bookmarkEnd w:id="194"/>
    </w:p>
    <w:p>
      <w:pPr>
        <w:pStyle w:val="BookText"/>
        <w:rPr/>
      </w:pPr>
      <w:r>
        <w:rPr>
          <w:rFonts w:ascii="IRNazanin" w:hAnsi="IRNazanin" w:eastAsia="IRNazanin"/>
          <w:color w:val="111111"/>
          <w:sz w:val="28"/>
          <w:sz w:val="28"/>
          <w:szCs w:val="28"/>
          <w:rtl w:val="true"/>
          <w:lang w:bidi="fa-IR"/>
        </w:rPr>
        <w:t>خودداری امام علی علیه السلام از آغاز کردن جنگ</w:t>
      </w:r>
    </w:p>
    <w:p>
      <w:pPr>
        <w:pStyle w:val="BookText"/>
        <w:rPr/>
      </w:pPr>
      <w:r>
        <w:rPr>
          <w:rFonts w:ascii="IRNazanin" w:hAnsi="IRNazanin" w:eastAsia="IRNazanin"/>
          <w:color w:val="111111"/>
          <w:sz w:val="28"/>
          <w:sz w:val="28"/>
          <w:szCs w:val="28"/>
          <w:rtl w:val="true"/>
          <w:lang w:bidi="fa-IR"/>
        </w:rPr>
        <w:t>امام علی علیه السلام با همه ی صلابت و قاطعیتی که در پاسداری از حق و حدود الهی و اجرای احکام خداوند داشت و با همه رشادت هایی که در جنگ با دشمنان خدا از خود بروز می داد، هیچ گاه آغازگر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خواست خون مسلمانان و حتی کافران به ناحق بر زمین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ارسال نامه به مخالفان و حتی ملاقات حضوری می کوشید آنان را متقاعد سازد و به 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امام علی علیه السلام، پاسخ خوبی است به کسانی که آن حضرت را اهل خشونت و شمشیر و خون ریزی می دانند و از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که به معنی رأفت و رحمت و آزادی مخالفان تا قبل از اقدام عملی علیه جامعه ی اسلامی است، بیم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امام را می توان به دلیل همین خویشتن داری ها، اهل تسامح اخلاقی و سیاسی دانست؛ زیرا دست به شمشیر نمی برد مگر هنگامی که مخالفانش دست به شمشیر بردند و خون مسلمانان را بر زمین ریختند</w:t>
      </w:r>
      <w:r>
        <w:rPr>
          <w:rFonts w:eastAsia="IRNazanin" w:cs="IRNazanin"/>
          <w:color w:val="111111"/>
          <w:sz w:val="28"/>
          <w:szCs w:val="28"/>
          <w:rtl w:val="true"/>
          <w:lang w:bidi="fa-IR"/>
        </w:rPr>
        <w:t>.</w:t>
      </w:r>
    </w:p>
    <w:p>
      <w:pPr>
        <w:pStyle w:val="Heading4"/>
        <w:numPr>
          <w:ilvl w:val="3"/>
          <w:numId w:val="1"/>
        </w:numPr>
        <w:rPr/>
      </w:pPr>
      <w:bookmarkStart w:id="195" w:name="__RefHeading___Toc4168841_2749589250"/>
      <w:bookmarkStart w:id="196" w:name="_Toc75"/>
      <w:bookmarkEnd w:id="195"/>
      <w:r>
        <w:rPr/>
        <w:t>10</w:t>
      </w:r>
      <w:r>
        <w:rPr>
          <w:rtl w:val="true"/>
        </w:rPr>
        <w:t xml:space="preserve"> </w:t>
      </w:r>
      <w:r>
        <w:rPr>
          <w:rtl w:val="true"/>
        </w:rPr>
        <w:t>ـ صلح جویی امام در جنگ جمل</w:t>
      </w:r>
      <w:bookmarkEnd w:id="196"/>
    </w:p>
    <w:p>
      <w:pPr>
        <w:pStyle w:val="Heading5"/>
        <w:numPr>
          <w:ilvl w:val="4"/>
          <w:numId w:val="1"/>
        </w:numPr>
        <w:rPr/>
      </w:pPr>
      <w:bookmarkStart w:id="197" w:name="__RefHeading___Toc4168843_2749589250"/>
      <w:bookmarkStart w:id="198" w:name="_Toc76"/>
      <w:bookmarkEnd w:id="197"/>
      <w:r>
        <w:rPr>
          <w:rtl w:val="true"/>
        </w:rPr>
        <w:t>اشاره</w:t>
      </w:r>
      <w:bookmarkEnd w:id="198"/>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صلح جویی امام در جنگ جمل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ماجرای جنگ جمل، همین رفتار را از امام علی علیه السلام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دوبار توسط صعصعة بن صوحان و عبدالله بن عباس، برای بصریان نامه فرستاد که مؤثر واقع نشده پیش از آغاز جنگ نیز برای بار سوم، قرآنی به دست ابن عباس داد تا نزد طلحه و زبیر رود و آنان را به قرآن دعوت کند</w:t>
      </w:r>
      <w:r>
        <w:rPr>
          <w:rFonts w:eastAsia="IRNazanin" w:cs="IRNazanin"/>
          <w:color w:val="111111"/>
          <w:sz w:val="28"/>
          <w:szCs w:val="28"/>
          <w:rtl w:val="true"/>
          <w:lang w:bidi="fa-IR"/>
        </w:rPr>
        <w:t>.</w:t>
      </w:r>
      <w:r>
        <w:rPr>
          <w:rStyle w:val="FootnoteAnchor"/>
          <w:rtl w:val="true"/>
        </w:rPr>
        <w:footnoteReference w:id="86"/>
      </w:r>
      <w:bookmarkStart w:id="199" w:name="pg3603_20949"/>
    </w:p>
    <w:p>
      <w:pPr>
        <w:pStyle w:val="BookText"/>
        <w:rPr/>
      </w:pPr>
      <w:bookmarkEnd w:id="199"/>
      <w:r>
        <w:rPr>
          <w:rFonts w:ascii="IRNazanin" w:hAnsi="IRNazanin" w:eastAsia="IRNazanin"/>
          <w:color w:val="111111"/>
          <w:sz w:val="28"/>
          <w:sz w:val="28"/>
          <w:szCs w:val="28"/>
          <w:rtl w:val="true"/>
          <w:lang w:bidi="fa-IR"/>
        </w:rPr>
        <w:t>یک بار نیز زبیر را در میدان به مذاکره فرا خواند و توانست او را تا حدودی نسبت به ادامه جنگ مردّد سازد</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200" w:name="__RefHeading___Toc4168845_2749589250"/>
      <w:bookmarkStart w:id="201" w:name="_Toc77"/>
      <w:bookmarkEnd w:id="200"/>
      <w:r>
        <w:rPr>
          <w:rtl w:val="true"/>
        </w:rPr>
        <w:t>آغاز حمله از سوی سپاه جمل</w:t>
      </w:r>
      <w:bookmarkEnd w:id="201"/>
    </w:p>
    <w:p>
      <w:pPr>
        <w:pStyle w:val="BookText"/>
        <w:rPr/>
      </w:pPr>
      <w:r>
        <w:rPr>
          <w:rFonts w:ascii="IRNazanin" w:hAnsi="IRNazanin" w:eastAsia="IRNazanin"/>
          <w:color w:val="111111"/>
          <w:sz w:val="28"/>
          <w:sz w:val="28"/>
          <w:szCs w:val="28"/>
          <w:rtl w:val="true"/>
          <w:lang w:bidi="fa-IR"/>
        </w:rPr>
        <w:t>آغاز حمله از سوی سپاه جمل</w:t>
      </w:r>
    </w:p>
    <w:p>
      <w:pPr>
        <w:pStyle w:val="BookText"/>
        <w:rPr/>
      </w:pPr>
      <w:r>
        <w:rPr>
          <w:rFonts w:ascii="IRNazanin" w:hAnsi="IRNazanin" w:eastAsia="IRNazanin"/>
          <w:color w:val="111111"/>
          <w:sz w:val="28"/>
          <w:sz w:val="28"/>
          <w:szCs w:val="28"/>
          <w:rtl w:val="true"/>
          <w:lang w:bidi="fa-IR"/>
        </w:rPr>
        <w:t>با وجود خیرخواهی علی علیه السلام و فرستادن قرآن برای حکمیت، لشکر بصره قانع نشد و تشنگی خود را برای آغاز نبرد با قتل نوجوان داوطلب،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طبری در این جا بود که علی علیه السلام به سپاه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 شما نبرد، سزاوار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البته شیخ مفید آغاز درگیری را این گونه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امام علی علیه السلام سرگرم بیان فرمان های جنگی به سپاهیان خود بود، ناگهان رگبار تیر دشمن، لشکرگاه امام را فرا گرفت که بر اثر آن، چند تن از یاران امام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تیری به فرزند عبدالله بن بدیل اصابت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نعش فرزند خود را نزد امام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 هم باید صبر و بردباری از خود نشان دهیم تا دشمن ما را یکی پس از دیگری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هدف اتمام حجت باشد، تو حجت را بر آنان تمام کردی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عبدالله سبب شد که امام آماده ی نبرد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زره رسول خدا </w:t>
      </w:r>
      <w:bookmarkStart w:id="202" w:name="pg3603_20950"/>
    </w:p>
    <w:p>
      <w:pPr>
        <w:pStyle w:val="BookText"/>
        <w:rPr/>
      </w:pPr>
      <w:bookmarkEnd w:id="202"/>
      <w:r>
        <w:rPr>
          <w:rFonts w:ascii="IRNazanin" w:hAnsi="IRNazanin" w:eastAsia="IRNazanin"/>
          <w:color w:val="111111"/>
          <w:sz w:val="28"/>
          <w:sz w:val="28"/>
          <w:szCs w:val="28"/>
          <w:rtl w:val="true"/>
          <w:lang w:bidi="fa-IR"/>
        </w:rPr>
        <w:t>صلی الله علیه و آله را پوشید و استر او را که به همراه داشت، سوار شد و در برابر صفوف یاران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فرزندش، محمد حنفیه داد و فرمان پیش روی صادر کرد</w:t>
      </w:r>
      <w:r>
        <w:rPr>
          <w:rStyle w:val="FootnoteAnchor"/>
          <w:rtl w:val="true"/>
        </w:rPr>
        <w:footnoteReference w:id="89"/>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کوه ها از جای خود کنده شوند، تو بر جای خود استوار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ها را بر هم بفشار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ی سرت را به خدا عاریت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خود را بر زمین میخ کوب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آخر لشکر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 جا پیش 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بپوش و بدان که پیروزی از جانب خدای سبحان است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03" w:name="__RefHeading___Toc4168847_2749589250"/>
      <w:bookmarkStart w:id="204" w:name="_Toc78"/>
      <w:bookmarkEnd w:id="203"/>
      <w:r>
        <w:rPr>
          <w:rtl w:val="true"/>
        </w:rPr>
        <w:t>دستور تعقیب نکردن فراریان و مجروحان</w:t>
      </w:r>
      <w:bookmarkEnd w:id="204"/>
    </w:p>
    <w:p>
      <w:pPr>
        <w:pStyle w:val="BookText"/>
        <w:rPr/>
      </w:pPr>
      <w:r>
        <w:rPr>
          <w:rFonts w:ascii="IRNazanin" w:hAnsi="IRNazanin" w:eastAsia="IRNazanin"/>
          <w:color w:val="111111"/>
          <w:sz w:val="28"/>
          <w:sz w:val="28"/>
          <w:szCs w:val="28"/>
          <w:rtl w:val="true"/>
          <w:lang w:bidi="fa-IR"/>
        </w:rPr>
        <w:t>دستور تعقیب نکردن فراریان و مجروحان</w:t>
      </w:r>
    </w:p>
    <w:p>
      <w:pPr>
        <w:pStyle w:val="BookText"/>
        <w:rPr/>
      </w:pPr>
      <w:r>
        <w:rPr>
          <w:rFonts w:ascii="IRNazanin" w:hAnsi="IRNazanin" w:eastAsia="IRNazanin"/>
          <w:color w:val="111111"/>
          <w:sz w:val="28"/>
          <w:sz w:val="28"/>
          <w:szCs w:val="28"/>
          <w:rtl w:val="true"/>
          <w:lang w:bidi="fa-IR"/>
        </w:rPr>
        <w:t>پس از آن همه خویشتن داری علی علیه السلام، وقتی تیرباران سپاه بصره آغاز شد، حضرت اجازه ی نبرد داد، اما در این فرمان نیز، روح رأفت و رحمت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 جمل را شکست دادید، مجروحان را نکشید، اسیران را نکشید، فراریان را تعقیب نکنید، عورت کسی را رو نکنید، کشته ای را گوش و بینی نبرید، مال کسی را نبرید، مگر آن چه در میدان جنگ گذارده اند</w:t>
      </w:r>
      <w:r>
        <w:rPr>
          <w:rFonts w:eastAsia="IRNazanin" w:cs="IRNazanin"/>
          <w:color w:val="111111"/>
          <w:sz w:val="28"/>
          <w:szCs w:val="28"/>
          <w:rtl w:val="true"/>
          <w:lang w:bidi="fa-IR"/>
        </w:rPr>
        <w:t>.</w:t>
      </w:r>
      <w:r>
        <w:rPr>
          <w:rStyle w:val="FootnoteAnchor"/>
          <w:rtl w:val="true"/>
        </w:rPr>
        <w:footnoteReference w:id="91"/>
      </w:r>
    </w:p>
    <w:p>
      <w:pPr>
        <w:pStyle w:val="Heading5"/>
        <w:numPr>
          <w:ilvl w:val="4"/>
          <w:numId w:val="1"/>
        </w:numPr>
        <w:rPr/>
      </w:pPr>
      <w:bookmarkStart w:id="205" w:name="__RefHeading___Toc4168849_2749589250"/>
      <w:bookmarkStart w:id="206" w:name="_Toc79"/>
      <w:bookmarkEnd w:id="205"/>
      <w:r>
        <w:rPr>
          <w:rtl w:val="true"/>
        </w:rPr>
        <w:t>فرمان عفو عمومی</w:t>
      </w:r>
      <w:bookmarkEnd w:id="206"/>
    </w:p>
    <w:p>
      <w:pPr>
        <w:pStyle w:val="BookText"/>
        <w:rPr/>
      </w:pPr>
      <w:r>
        <w:rPr>
          <w:rFonts w:ascii="IRNazanin" w:hAnsi="IRNazanin" w:eastAsia="IRNazanin"/>
          <w:color w:val="111111"/>
          <w:sz w:val="28"/>
          <w:sz w:val="28"/>
          <w:szCs w:val="28"/>
          <w:rtl w:val="true"/>
          <w:lang w:bidi="fa-IR"/>
        </w:rPr>
        <w:t>فرمان عفو عمومی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جنگ نیز، پس از کشته شدن محافظان شتر عایشه و سقوط هودج او که با خونریزی فراوان و هلاکت دست کم چهل تن از محافظان جمل میسر شد، علی علیه السلام به </w:t>
      </w:r>
      <w:bookmarkStart w:id="207" w:name="pg3603_20951"/>
    </w:p>
    <w:p>
      <w:pPr>
        <w:pStyle w:val="BookText"/>
        <w:rPr/>
      </w:pPr>
      <w:bookmarkEnd w:id="207"/>
      <w:r>
        <w:rPr>
          <w:rFonts w:ascii="IRNazanin" w:hAnsi="IRNazanin" w:eastAsia="IRNazanin"/>
          <w:color w:val="111111"/>
          <w:sz w:val="28"/>
          <w:sz w:val="28"/>
          <w:szCs w:val="28"/>
          <w:rtl w:val="true"/>
          <w:lang w:bidi="fa-IR"/>
        </w:rPr>
        <w:t>منادی خود دستور داد تا فریاد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فراریان را تعقیب نکنید، بر مجروحان حمله نبرید، به خانه ها قدم ننهید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سلاح و لباس و کالایی برندارید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سلاح خود را بر زمین افکند، امان یافته و هرکه در خانه اش را ببندد، در امان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اگر علی علیه السلام مردی قدرت طلب و کینه توز بود، نباید چنین فرمان انسانی را صادر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می داد افراد بیشتری از سپاه دشمن کشته شوند تا قدرت خود را هرچه بیشتر به رخ اهل بصره بکشد، ولی او جنگ را برای تربیت مردم و اصلاح امور آنان می خواست، همان گونه که قدرت را برای اقامه ی عدل 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است علی علیه السلام، این است مهر علی بر دشمن این است رحمت علی بر بشر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تاریخ بشر کسی دیده است که حکومتی با یاغیان و طاغیان، چنین کند؟</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208" w:name="__RefHeading___Toc4168851_2749589250"/>
      <w:bookmarkStart w:id="209" w:name="_Toc80"/>
      <w:bookmarkEnd w:id="208"/>
      <w:r>
        <w:rPr/>
        <w:t>11</w:t>
      </w:r>
      <w:r>
        <w:rPr>
          <w:rtl w:val="true"/>
        </w:rPr>
        <w:t xml:space="preserve"> </w:t>
      </w:r>
      <w:r>
        <w:rPr>
          <w:rtl w:val="true"/>
        </w:rPr>
        <w:t>ـ کوشش برای جلوگیری از خون ریزی در صفین</w:t>
      </w:r>
      <w:bookmarkEnd w:id="20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کوشش برای جلوگیری از خون ریزی در صفین</w:t>
      </w:r>
    </w:p>
    <w:p>
      <w:pPr>
        <w:pStyle w:val="BookText"/>
        <w:rPr/>
      </w:pPr>
      <w:r>
        <w:rPr>
          <w:rFonts w:ascii="IRNazanin" w:hAnsi="IRNazanin" w:eastAsia="IRNazanin"/>
          <w:color w:val="111111"/>
          <w:sz w:val="28"/>
          <w:sz w:val="28"/>
          <w:szCs w:val="28"/>
          <w:rtl w:val="true"/>
          <w:lang w:bidi="fa-IR"/>
        </w:rPr>
        <w:t>علی علیه السلام، پس از انتخاب به خلافت مسلمانان، خلیفه ی مشروع و مقبول جامعه بود و حق داشت بر اساس صلاح دید خود، استانداران و کارگزاران مناطق گوناگون را عزل و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استانداران، معاویه بود که در زمان خلافت عمر و عثمان، والی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هیچ گونه شایستگی برای ادامه ی قدرت او نمی دید؛ زیرا از پرهیزکاری بهره ای نداشت و بسان پادشاهان رفتار می کرد و در دمشق برای خود قصرها و بناهای باشکوه ساخته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با وجود توصیه ی مغیرة بن شعبه و ابن عباس مبنی بر تعویض نکردن </w:t>
      </w:r>
    </w:p>
    <w:p>
      <w:pPr>
        <w:pStyle w:val="BookText"/>
        <w:rPr/>
      </w:pPr>
      <w:r>
        <w:rPr>
          <w:rFonts w:ascii="IRNazanin" w:hAnsi="IRNazanin" w:eastAsia="IRNazanin"/>
          <w:color w:val="111111"/>
          <w:sz w:val="28"/>
          <w:sz w:val="28"/>
          <w:szCs w:val="28"/>
          <w:rtl w:val="true"/>
          <w:lang w:bidi="fa-IR"/>
        </w:rPr>
        <w:t>حاکم شام و باقی نگه داشتن معاویه بر قدرت، تصمیم به عزل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کارگزاران را تعویض می کنی، دست کم به معاویه کاری نداشته باش؛ زیرا او در سرزمین شام ریشه پیدا کرده و مردم، سخن او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اثبات او دلیل داری؛ زیرا عمر او را بر تمامی شام ولایت داد و می توانی به عمل عمر استناد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لاوَاللّهِ، لاأَسْتَعْمِلُ مُعاوِیَةَ یَوْمَینِ اَبَدا</w:t>
      </w:r>
    </w:p>
    <w:p>
      <w:p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روز نیز او را بر سر کار نگه نمی دارم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هنگامی که ابن عباس از گفت و گوی مغیرة با آن حضرت آگاه شد، پیشنهاد او را تأیید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راه را به تو پیشنهاد می کنم که معاویه را بر سر کار ثابت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با تو بیعت کرد، بر عهده ی من بگذار که او را از جای خود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لااُعْطِیهِ اِلاّالسَّیفَ</w:t>
      </w:r>
    </w:p>
    <w:p>
      <w:p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شمشیر به او پیشنهاد نخواهم کرد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خود را در جایگاه خلافت، امین مردم می دانست و خدا را ناظر و گواه بر کار خویش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اعطای مسند قدرت را به فاسدان و قدرت طلبان که در پی خدمت به خلق و تحکیم دین نبودند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بر </w:t>
      </w:r>
    </w:p>
    <w:p>
      <w:pPr>
        <w:pStyle w:val="BookText"/>
        <w:rPr/>
      </w:pPr>
      <w:r>
        <w:rPr>
          <w:rFonts w:ascii="IRNazanin" w:hAnsi="IRNazanin" w:eastAsia="IRNazanin"/>
          <w:color w:val="111111"/>
          <w:sz w:val="28"/>
          <w:sz w:val="28"/>
          <w:szCs w:val="28"/>
          <w:rtl w:val="true"/>
          <w:lang w:bidi="fa-IR"/>
        </w:rPr>
        <w:t>خلاف عهد خود با مردم و ایمان خود به خدا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پاسخ پیشنهاد مغیرة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لااُداهِنُ فی دِینی و لا اُعْطی الرِّیاءَ فی أَمْری</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دین، کوتاه نمی آیم و در امر زمام داری، به ریاکاری دست نمی زنم</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همه ی این موضع گیری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 نشان می دهد که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ی حکومت، حفظ حقیقت و ارزش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پافشاری امام علی علیه السلام بر خلع معاویه از امارت شام، برای جلوگیری از خون ریزی و برپایی جنگ تلاش گسترده ای به کار برد و تا آخرین لحظه کوشید معاویه را به واگذار کردن قدرت و بیعت با خلیفه ی مشروع مسلمانان متقاعد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می کوشید با ارسال نامه و اعزام نماینده به شام، هرگونه شبهه را از ذهن معاویه و هوادارانش بزداید و عذری برای مخالفت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شمشیر را نه اولین راه حل، بلکه آخرین چاره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آن حضرت به معاویه یا پاسخ او به نامه های رسیده از معاویه،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مجموع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موجود در نهج البلاغه را در بر می گیرد که بعضی از آن ها، فرازهای برجسته از نامه ای مفصّل تر است که می توان صورت کامل آن ها را در کتاب های تاریخ که قدمتی بیشتر از نهج البلاغه دارند، مشاهده کرد</w:t>
      </w:r>
      <w:r>
        <w:rPr>
          <w:rFonts w:eastAsia="IRNazanin" w:cs="IRNazanin"/>
          <w:color w:val="111111"/>
          <w:sz w:val="28"/>
          <w:szCs w:val="28"/>
          <w:rtl w:val="true"/>
          <w:lang w:bidi="fa-IR"/>
        </w:rPr>
        <w:t>.</w:t>
      </w:r>
      <w:r>
        <w:rPr>
          <w:rStyle w:val="FootnoteAnchor"/>
          <w:rtl w:val="true"/>
        </w:rPr>
        <w:footnoteReference w:id="97"/>
      </w:r>
      <w:bookmarkStart w:id="210" w:name="pg3603_20954"/>
    </w:p>
    <w:p>
      <w:pPr>
        <w:pStyle w:val="Heading4"/>
        <w:numPr>
          <w:ilvl w:val="3"/>
          <w:numId w:val="1"/>
        </w:numPr>
        <w:rPr/>
      </w:pPr>
      <w:bookmarkStart w:id="211" w:name="__RefHeading___Toc4168853_2749589250"/>
      <w:bookmarkStart w:id="212" w:name="_Toc81"/>
      <w:bookmarkEnd w:id="210"/>
      <w:bookmarkEnd w:id="211"/>
      <w:r>
        <w:rPr/>
        <w:t>12</w:t>
      </w:r>
      <w:r>
        <w:rPr>
          <w:rtl w:val="true"/>
        </w:rPr>
        <w:t xml:space="preserve"> </w:t>
      </w:r>
      <w:r>
        <w:rPr>
          <w:rtl w:val="true"/>
        </w:rPr>
        <w:t>ـ صلح جویی امام علیه السلام در جنگ نهروان</w:t>
      </w:r>
      <w:bookmarkEnd w:id="21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صلح جویی امام علیه السلام در جنگ نهروان</w:t>
      </w:r>
    </w:p>
    <w:p>
      <w:pPr>
        <w:pStyle w:val="BookText"/>
        <w:rPr/>
      </w:pPr>
      <w:r>
        <w:rPr>
          <w:rFonts w:ascii="IRNazanin" w:hAnsi="IRNazanin" w:eastAsia="IRNazanin"/>
          <w:color w:val="111111"/>
          <w:sz w:val="28"/>
          <w:sz w:val="28"/>
          <w:szCs w:val="28"/>
          <w:rtl w:val="true"/>
          <w:lang w:bidi="fa-IR"/>
        </w:rPr>
        <w:t>پس از نیرنگ معاویه در بر سر نیزه کردن قرآن و تردید سپاه عراق در ادامه ی جنگ، علی علیه السلام تحت فشار یاران خود، آتش بس را پذیرفت و به حکمیّت نماینده ی عراق و شام بر اساس قرآن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هفدهم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پیمان نامه ای میان علی علیه السلام و معاویه تنظیم شد که بر اساس مفاد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 آن، 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علی علیه السلام و عمروبن عاص از جانب معاویه، تا پایان رمضان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داشتند در نقطه ای میان عراق و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بنشینند و بر اساس قرآن در کار امّت داوری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اشعص بن قیس مفاد پیمان نامه را برای سپاه عراق می خواند، گروهی از طوایف عراقی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راسب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کردند و از تصمیم پیشین خود مبنی بر پذیرش داوری قرآن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علی علیه السلام نیز خواستند که آن را نادیده بگیرد و به جنگ ادامه دهد و از گناهی که با پذیرش حکمیت مرتکب شده بود، توبه کند وگرنه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که در تاریخ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 دست به شمشیر برده و دوستان علی علیه السلام را که به کفر آن حضرت معتقد نبودند، می کشتند و امنیت جامعه را سلب کرده بودند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از هر فرصتی برای زدودن شبهه از ذهن و دل آنان، بهره گرفت که آن ها را می توان به سه قسمت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خروج از صفین، پیش از ورود به نهروان، پس از ورود به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تاریخی این سه مرحله، </w:t>
      </w:r>
      <w:bookmarkStart w:id="213" w:name="pg3603_20955"/>
    </w:p>
    <w:p>
      <w:pPr>
        <w:pStyle w:val="BookText"/>
        <w:rPr/>
      </w:pPr>
      <w:bookmarkEnd w:id="213"/>
      <w:r>
        <w:rPr>
          <w:rFonts w:ascii="IRNazanin" w:hAnsi="IRNazanin" w:eastAsia="IRNazanin"/>
          <w:color w:val="111111"/>
          <w:sz w:val="28"/>
          <w:sz w:val="28"/>
          <w:szCs w:val="28"/>
          <w:rtl w:val="true"/>
          <w:lang w:bidi="fa-IR"/>
        </w:rPr>
        <w:t>حکایت از حس بشر دوستی و پرهیز از خون ریزی آن حضرت دارد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214" w:name="__RefHeading___Toc4168855_2749589250"/>
      <w:bookmarkStart w:id="215" w:name="_Toc82"/>
      <w:bookmarkEnd w:id="214"/>
      <w:r>
        <w:rPr/>
        <w:t>13</w:t>
      </w:r>
      <w:r>
        <w:rPr>
          <w:rtl w:val="true"/>
        </w:rPr>
        <w:t xml:space="preserve"> </w:t>
      </w:r>
      <w:r>
        <w:rPr>
          <w:rtl w:val="true"/>
        </w:rPr>
        <w:t>ـ خوش رفتاری با ابن ملجم و پیشنهاد عفو یا قصاص منصفانه ی او</w:t>
      </w:r>
      <w:bookmarkEnd w:id="215"/>
    </w:p>
    <w:p>
      <w:pPr>
        <w:pStyle w:val="Heading5"/>
        <w:numPr>
          <w:ilvl w:val="4"/>
          <w:numId w:val="1"/>
        </w:numPr>
        <w:rPr/>
      </w:pPr>
      <w:bookmarkStart w:id="216" w:name="__RefHeading___Toc4168857_2749589250"/>
      <w:bookmarkStart w:id="217" w:name="_Toc83"/>
      <w:bookmarkEnd w:id="216"/>
      <w:r>
        <w:rPr>
          <w:rtl w:val="true"/>
        </w:rPr>
        <w:t>اشاره</w:t>
      </w:r>
      <w:bookmarkEnd w:id="217"/>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خوش رفتاری با ابن ملجم و پیشنهاد عفو یا قصاص منصفانه ی او</w:t>
      </w:r>
    </w:p>
    <w:p>
      <w:pPr>
        <w:pStyle w:val="BookText"/>
        <w:rPr/>
      </w:pPr>
      <w:r>
        <w:rPr>
          <w:rFonts w:ascii="IRNazanin" w:hAnsi="IRNazanin" w:eastAsia="IRNazanin"/>
          <w:color w:val="111111"/>
          <w:sz w:val="28"/>
          <w:sz w:val="28"/>
          <w:szCs w:val="28"/>
          <w:rtl w:val="true"/>
          <w:lang w:bidi="fa-IR"/>
        </w:rPr>
        <w:t>یکی از بزرگ ترین فرازهای اخلاقی زندگی آموزنده ی امام علی علیه السلام، رفتار بزرگوارانه و جوان مردانه ی او با قاتل کینه توز و ناجوانمرد خویش؛ ابن ملجم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گذشته به ابن ملجم محبت ها کرده و با وجود آگاهی از نیّت پلیدش او را آزاد گذارده بود و اینک فرق مبارک اش به شمشیر کین او شکافته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لطف و نوازش در حق قاتل خودداری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ابن ملجم در مسجد کوفه، شمشیر زهرآگین خود را بر فرق مبارک علی علیه السلام وارد کرد، امام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بگیرید و نگذارید فرار کند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مردم در پی او دویدند و سرانجام، قثم بن عباس پیش تاخت و او را بغل کرد و به زمین کوبید و دست بسته او را به خانه ی علی علیه السلام آورد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گزارش طبری، آن حضرت به ابن ملجم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تو نیکی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شمشیرم را چهل صبح گاه تیز کردم و از خدا خواستم که بدترین مخلوق خویش را با آن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 آن کشته می شوی که بدترین مخلوق خدایی</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وجود آن که ابن ملجم از کرده ی خود پشیمان نبود و پس از دستگیری، هنوز هم با جسارت هرچه تمام تر، علی علیه السلام را در حضور خودش، بدترین مخلوق خدا می خواند، امام علیه السلام به او توهین نمی کند، او را مورد ضرب و جرح قرار نمی دهد، و گرسنه نگاه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به اطرافیان خود درباره ی خوراک و رفاه او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تاریخ نگار اهل سنت سفارش امیرمؤمنان را چنین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 ابن ملجم را دستگیر کرد و او را نزد علی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ابن ملجم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حسن، مواظب دشمنت باش، شکمش را سیر کن و بندش را محکم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بدرود حیات گفتم، او را به من ملحق کن تا در نزد پروردگارم با او احتجاج کنم و اگر زنده ماندم یا او را می بخشم یا قصاص می کنم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علامه مجلسی، سفارش امام نسبت به قاتل خود را با تفصیل بیشتری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چون به هوش آمد، چشم هایش را گشود و این جمله را بر زبان آورد، ای ملایکه ی پرودگارم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نگاهش به ابن ملجم افتاد که دست هایش را بسته بودند و شمشیرش به گردنش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صدایی ضعیف و لرزان و با مهربانی و لطف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کاری بزرگ دست زدی و جنایتی هول ناک مرتکب شدی، آیا برای تو بد امامی بودم که این گونه مرا پاداش دادی؟ آیا به تو احسان نکردم و بر حقوقت نیافزودم؟ آیا درباره ی تو به من گزارش نمی دادند که چنین و چنان است و من تو را آزاد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از راه ضلالت باز گردی و از گمراهی رو بگردانی؟ سپس امام رو به فرزندش حسن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 خود مدارا کن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ی او رحمت و مهربانی پیش گیر، نمی بینی که چشم های او از ترس چگونه </w:t>
      </w:r>
    </w:p>
    <w:p>
      <w:pPr>
        <w:pStyle w:val="BookText"/>
        <w:rPr/>
      </w:pPr>
      <w:r>
        <w:rPr>
          <w:rFonts w:ascii="IRNazanin" w:hAnsi="IRNazanin" w:eastAsia="IRNazanin"/>
          <w:color w:val="111111"/>
          <w:sz w:val="28"/>
          <w:sz w:val="28"/>
          <w:szCs w:val="28"/>
          <w:rtl w:val="true"/>
          <w:lang w:bidi="fa-IR"/>
        </w:rPr>
        <w:t>گردش می کند و دلش چگونه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به شما ضربت زده و دل ما را به درد آورده است، حال امر می کنی با او مدارا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بیت رحمت و مغفرتیم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به گردن تو دارم، از آن چه خود می خوری، به او بخوران و از آن چه می آشامی، به او بیاشام، او را به غل و زنجیر مکش و دست هایش را نبند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آیا نمی توان در مقابل این رفتار، رفتار دیگری را مجسم کرد که با استدلال بر جهنمی بودن ابن ملجم و خروج او از طریق هدایت، وی را مستحق هرگونه توهین و شکنجه بداند؟ چرا امام علی علیه السلام با وجود تصریح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شقاوت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چنین برخورد می کند؟ استاد شهریار در غزل معروف خود چه زیبا به این فراز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همای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آیتی خدا را</w:t>
      </w:r>
    </w:p>
    <w:p>
      <w:pPr>
        <w:pStyle w:val="BookText"/>
        <w:rPr/>
      </w:pPr>
      <w:r>
        <w:rPr>
          <w:rFonts w:ascii="IRNazanin" w:hAnsi="IRNazanin" w:eastAsia="IRNazanin"/>
          <w:color w:val="111111"/>
          <w:sz w:val="28"/>
          <w:sz w:val="28"/>
          <w:szCs w:val="28"/>
          <w:rtl w:val="true"/>
          <w:lang w:bidi="fa-IR"/>
        </w:rPr>
        <w:t>که به ما سوی فکندی همه سایه ی هما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از علی که گوید به پسر که قاتل من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اسیر توست اکنون، به اسیر کن مدارا</w:t>
      </w:r>
      <w:r>
        <w:rPr>
          <w:rStyle w:val="FootnoteAnchor"/>
          <w:rtl w:val="true"/>
        </w:rPr>
        <w:footnoteReference w:id="104"/>
      </w:r>
      <w:bookmarkStart w:id="218" w:name="pg3603_20958"/>
    </w:p>
    <w:p>
      <w:pPr>
        <w:pStyle w:val="Heading5"/>
        <w:numPr>
          <w:ilvl w:val="4"/>
          <w:numId w:val="1"/>
        </w:numPr>
        <w:rPr/>
      </w:pPr>
      <w:bookmarkStart w:id="219" w:name="__RefHeading___Toc4168859_2749589250"/>
      <w:bookmarkStart w:id="220" w:name="_Toc84"/>
      <w:bookmarkEnd w:id="218"/>
      <w:bookmarkEnd w:id="219"/>
      <w:r>
        <w:rPr>
          <w:rtl w:val="true"/>
        </w:rPr>
        <w:t>فرستادن کاسه ی شیر</w:t>
      </w:r>
      <w:bookmarkEnd w:id="220"/>
    </w:p>
    <w:p>
      <w:pPr>
        <w:pStyle w:val="BookText"/>
        <w:rPr/>
      </w:pPr>
      <w:r>
        <w:rPr>
          <w:rFonts w:ascii="IRNazanin" w:hAnsi="IRNazanin" w:eastAsia="IRNazanin"/>
          <w:color w:val="111111"/>
          <w:sz w:val="28"/>
          <w:sz w:val="28"/>
          <w:szCs w:val="28"/>
          <w:rtl w:val="true"/>
          <w:lang w:bidi="fa-IR"/>
        </w:rPr>
        <w:t>فرستادن کاسه ی شیر</w:t>
      </w:r>
    </w:p>
    <w:p>
      <w:pPr>
        <w:pStyle w:val="BookText"/>
        <w:rPr/>
      </w:pPr>
      <w:r>
        <w:rPr>
          <w:rFonts w:ascii="IRNazanin" w:hAnsi="IRNazanin" w:eastAsia="IRNazanin"/>
          <w:color w:val="111111"/>
          <w:sz w:val="28"/>
          <w:sz w:val="28"/>
          <w:szCs w:val="28"/>
          <w:rtl w:val="true"/>
          <w:lang w:bidi="fa-IR"/>
        </w:rPr>
        <w:t>امام علیه السلام، خود نخستین کسی بود که به سفارش خویش درباره ی قاتلِ زندانی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دستور پزشک مقداری شیر برای آن حضرت آوردند تا بیآشامد، مقداری از شیر را نوشید و بقیه را برای ابن مُلْجَم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بنا بر گزارش علامه مجلسی، از شدّت جراحت و تأثیر سمّ در بدن آن حضرت، گاهی امام به هوش می آمد و سپس مدتی طولانی به حال اغما فرو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دوباره رو به امام حسن علیه السلام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حقی که بر تو دارم سوگند می دهم که در خوراک و نوشیدنی بر ابن ملجم نیکویی کنید و با او تا زمان مرگ من مهربانی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 خوری به او بخوران و از آن چه می نوشی در اختیار او بگذار</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شاعر، این بزرگی و کرامت را چنین به نظم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بر کاسه ی شیر او فکند</w:t>
      </w:r>
    </w:p>
    <w:p>
      <w:pPr>
        <w:pStyle w:val="BookText"/>
        <w:rPr/>
      </w:pPr>
      <w:r>
        <w:rPr>
          <w:rFonts w:ascii="IRNazanin" w:hAnsi="IRNazanin" w:eastAsia="IRNazanin"/>
          <w:color w:val="111111"/>
          <w:sz w:val="28"/>
          <w:sz w:val="28"/>
          <w:szCs w:val="28"/>
          <w:rtl w:val="true"/>
          <w:lang w:bidi="fa-IR"/>
        </w:rPr>
        <w:t>شیر حق آن شهریار اَرْجمند</w:t>
      </w:r>
    </w:p>
    <w:p>
      <w:pPr>
        <w:pStyle w:val="BookText"/>
        <w:rPr/>
      </w:pPr>
      <w:r>
        <w:rPr>
          <w:rFonts w:ascii="IRNazanin" w:hAnsi="IRNazanin" w:eastAsia="IRNazanin"/>
          <w:color w:val="111111"/>
          <w:sz w:val="28"/>
          <w:sz w:val="28"/>
          <w:szCs w:val="28"/>
          <w:rtl w:val="true"/>
          <w:lang w:bidi="fa-IR"/>
        </w:rPr>
        <w:t>یاد کرد از قاتل مأیوس خویش</w:t>
      </w:r>
    </w:p>
    <w:p>
      <w:pPr>
        <w:pStyle w:val="BookText"/>
        <w:rPr/>
      </w:pPr>
      <w:r>
        <w:rPr>
          <w:rFonts w:ascii="IRNazanin" w:hAnsi="IRNazanin" w:eastAsia="IRNazanin"/>
          <w:color w:val="111111"/>
          <w:sz w:val="28"/>
          <w:sz w:val="28"/>
          <w:szCs w:val="28"/>
          <w:rtl w:val="true"/>
          <w:lang w:bidi="fa-IR"/>
        </w:rPr>
        <w:t>گفت پس با دختر مأنوس خویش</w:t>
      </w:r>
    </w:p>
    <w:p>
      <w:pPr>
        <w:pStyle w:val="BookText"/>
        <w:rPr/>
      </w:pPr>
      <w:r>
        <w:rPr>
          <w:rFonts w:ascii="IRNazanin" w:hAnsi="IRNazanin" w:eastAsia="IRNazanin"/>
          <w:color w:val="111111"/>
          <w:sz w:val="28"/>
          <w:sz w:val="28"/>
          <w:szCs w:val="28"/>
          <w:rtl w:val="true"/>
          <w:lang w:bidi="fa-IR"/>
        </w:rPr>
        <w:t>بَر به نزدِ قاتل من، شیر 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 رو بَه بَرْ غذای شیر را</w:t>
      </w:r>
      <w:r>
        <w:rPr>
          <w:rFonts w:eastAsia="Amiri" w:cs="Amiri" w:ascii="Amiri" w:hAnsi="Amiri"/>
          <w:color w:val="111111"/>
          <w:sz w:val="28"/>
          <w:szCs w:val="28"/>
          <w:rtl w:val="true"/>
          <w:lang w:bidi="ar-SA"/>
        </w:rPr>
        <w:t>!</w:t>
      </w:r>
      <w:r>
        <w:rPr>
          <w:rStyle w:val="FootnoteAnchor"/>
          <w:rtl w:val="true"/>
        </w:rPr>
        <w:footnoteReference w:id="106"/>
      </w:r>
      <w:bookmarkStart w:id="221" w:name="pg3603_20959"/>
    </w:p>
    <w:p>
      <w:pPr>
        <w:pStyle w:val="BookText"/>
        <w:rPr/>
      </w:pPr>
      <w:bookmarkEnd w:id="221"/>
      <w:r>
        <w:rPr>
          <w:rFonts w:ascii="IRNazanin" w:hAnsi="IRNazanin" w:eastAsia="IRNazanin"/>
          <w:color w:val="111111"/>
          <w:sz w:val="28"/>
          <w:sz w:val="28"/>
          <w:szCs w:val="28"/>
          <w:rtl w:val="true"/>
          <w:lang w:bidi="fa-IR"/>
        </w:rPr>
        <w:t xml:space="preserve">و شهریار در شعر زیبای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کار بزرگ امیر مؤمنان را به سلک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آن شیر خدا شاه عرب</w:t>
      </w:r>
    </w:p>
    <w:p>
      <w:pPr>
        <w:pStyle w:val="BookText"/>
        <w:rPr/>
      </w:pPr>
      <w:r>
        <w:rPr>
          <w:rFonts w:ascii="IRNazanin" w:hAnsi="IRNazanin" w:eastAsia="IRNazanin"/>
          <w:color w:val="111111"/>
          <w:sz w:val="28"/>
          <w:sz w:val="28"/>
          <w:szCs w:val="28"/>
          <w:rtl w:val="true"/>
          <w:lang w:bidi="fa-IR"/>
        </w:rPr>
        <w:t>اُلْفتی داشته با این دل شب</w:t>
      </w:r>
    </w:p>
    <w:p>
      <w:pPr>
        <w:pStyle w:val="BookText"/>
        <w:rPr/>
      </w:pPr>
      <w:r>
        <w:rPr>
          <w:rFonts w:ascii="IRNazanin" w:hAnsi="IRNazanin" w:eastAsia="IRNazanin"/>
          <w:color w:val="111111"/>
          <w:sz w:val="28"/>
          <w:sz w:val="28"/>
          <w:szCs w:val="28"/>
          <w:rtl w:val="true"/>
          <w:lang w:bidi="fa-IR"/>
        </w:rPr>
        <w:t>شب ز اسرار علی آگاه است</w:t>
      </w:r>
    </w:p>
    <w:p>
      <w:pPr>
        <w:pStyle w:val="BookText"/>
        <w:rPr/>
      </w:pPr>
      <w:r>
        <w:rPr>
          <w:rFonts w:ascii="Amiri" w:hAnsi="Amiri" w:eastAsia="Amiri" w:cs="Amiri"/>
          <w:color w:val="111111"/>
          <w:sz w:val="28"/>
          <w:sz w:val="28"/>
          <w:szCs w:val="28"/>
          <w:rtl w:val="true"/>
          <w:lang w:bidi="ar-SA"/>
        </w:rPr>
        <w:t>دل شب محرم سرّ اللّه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 محرابِ عبودیّت حقّ</w:t>
      </w:r>
    </w:p>
    <w:p>
      <w:pPr>
        <w:pStyle w:val="BookText"/>
        <w:rPr/>
      </w:pPr>
      <w:r>
        <w:rPr>
          <w:rFonts w:ascii="Amiri" w:hAnsi="Amiri" w:eastAsia="Amiri" w:cs="Amiri"/>
          <w:color w:val="111111"/>
          <w:sz w:val="28"/>
          <w:sz w:val="28"/>
          <w:szCs w:val="28"/>
          <w:rtl w:val="true"/>
          <w:lang w:bidi="ar-SA"/>
        </w:rPr>
        <w:t>سر به محرابِ عبادت مُنْشَقْ</w:t>
      </w:r>
    </w:p>
    <w:p>
      <w:pPr>
        <w:pStyle w:val="BookText"/>
        <w:rPr/>
      </w:pPr>
      <w:r>
        <w:rPr>
          <w:rFonts w:ascii="IRNazanin" w:hAnsi="IRNazanin" w:eastAsia="IRNazanin"/>
          <w:color w:val="111111"/>
          <w:sz w:val="28"/>
          <w:sz w:val="28"/>
          <w:szCs w:val="28"/>
          <w:rtl w:val="true"/>
          <w:lang w:bidi="fa-IR"/>
        </w:rPr>
        <w:t>می زند پس لبِ او کاسه ی شیر</w:t>
      </w:r>
    </w:p>
    <w:p>
      <w:pPr>
        <w:pStyle w:val="BookText"/>
        <w:rPr/>
      </w:pPr>
      <w:r>
        <w:rPr>
          <w:rFonts w:ascii="IRNazanin" w:hAnsi="IRNazanin" w:eastAsia="IRNazanin"/>
          <w:color w:val="111111"/>
          <w:sz w:val="28"/>
          <w:sz w:val="28"/>
          <w:szCs w:val="28"/>
          <w:rtl w:val="true"/>
          <w:lang w:bidi="fa-IR"/>
        </w:rPr>
        <w:t>می کند چشم اشارت به اسیر</w:t>
      </w:r>
    </w:p>
    <w:p>
      <w:pPr>
        <w:pStyle w:val="BookText"/>
        <w:rPr/>
      </w:pPr>
      <w:r>
        <w:rPr>
          <w:rFonts w:ascii="IRNazanin" w:hAnsi="IRNazanin" w:eastAsia="IRNazanin"/>
          <w:color w:val="111111"/>
          <w:sz w:val="28"/>
          <w:sz w:val="28"/>
          <w:szCs w:val="28"/>
          <w:rtl w:val="true"/>
          <w:lang w:bidi="fa-IR"/>
        </w:rPr>
        <w:t>چه اسیری که همان قاتل اوست</w:t>
      </w:r>
    </w:p>
    <w:p>
      <w:pPr>
        <w:pStyle w:val="BookText"/>
        <w:rPr/>
      </w:pPr>
      <w:r>
        <w:rPr>
          <w:rFonts w:ascii="IRNazanin" w:hAnsi="IRNazanin" w:eastAsia="IRNazanin"/>
          <w:color w:val="111111"/>
          <w:sz w:val="28"/>
          <w:sz w:val="28"/>
          <w:szCs w:val="28"/>
          <w:rtl w:val="true"/>
          <w:lang w:bidi="fa-IR"/>
        </w:rPr>
        <w:t>تو خدایی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همه شور و همه شرّ</w:t>
      </w:r>
    </w:p>
    <w:p>
      <w:pPr>
        <w:pStyle w:val="BookText"/>
        <w:rPr/>
      </w:pPr>
      <w:r>
        <w:rPr>
          <w:rFonts w:ascii="Amiri" w:hAnsi="Amiri" w:eastAsia="Amiri" w:cs="Amiri"/>
          <w:color w:val="111111"/>
          <w:sz w:val="28"/>
          <w:sz w:val="28"/>
          <w:szCs w:val="28"/>
          <w:rtl w:val="true"/>
          <w:lang w:bidi="ar-SA"/>
        </w:rPr>
        <w:t>ها علیٌّ بشرٌ کیف بَشَرْ</w:t>
      </w:r>
      <w:r>
        <w:rPr>
          <w:rStyle w:val="FootnoteAnchor"/>
          <w:rtl w:val="true"/>
        </w:rPr>
        <w:footnoteReference w:id="107"/>
      </w:r>
    </w:p>
    <w:p>
      <w:pPr>
        <w:pStyle w:val="Heading5"/>
        <w:numPr>
          <w:ilvl w:val="4"/>
          <w:numId w:val="1"/>
        </w:numPr>
        <w:rPr/>
      </w:pPr>
      <w:bookmarkStart w:id="222" w:name="__RefHeading___Toc4168861_2749589250"/>
      <w:bookmarkStart w:id="223" w:name="_Toc85"/>
      <w:bookmarkEnd w:id="222"/>
      <w:r>
        <w:rPr>
          <w:rtl w:val="true"/>
        </w:rPr>
        <w:t>پیشنهاد عفو یا قصاص منصفانه و پرهیز از خون ریزی</w:t>
      </w:r>
      <w:bookmarkEnd w:id="223"/>
    </w:p>
    <w:p>
      <w:pPr>
        <w:pStyle w:val="BookText"/>
        <w:rPr/>
      </w:pPr>
      <w:r>
        <w:rPr>
          <w:rFonts w:ascii="IRNazanin" w:hAnsi="IRNazanin" w:eastAsia="IRNazanin"/>
          <w:color w:val="111111"/>
          <w:sz w:val="28"/>
          <w:sz w:val="28"/>
          <w:szCs w:val="28"/>
          <w:rtl w:val="true"/>
          <w:lang w:bidi="fa-IR"/>
        </w:rPr>
        <w:t>پیشنهاد عفو یا قصاص منصفانه و پرهیز از خون ریزی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که همیشه به هدایت و سعادت مردمان می اندیشید، در واپسین لحظاتِ زندگی با نفس هایی که به شماره افتاده و چشمانی که فروغ خود را از دست داده بود، به سرنوشتِ قاتلِ نگون بخت می اندیشد و به کینه ای که از خوارج، در دل خویشاوندان و اطرافیان و اصحابش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وصایای مکرّر خود، </w:t>
      </w:r>
      <w:bookmarkStart w:id="224" w:name="pg3603_20960"/>
    </w:p>
    <w:p>
      <w:pPr>
        <w:pStyle w:val="BookText"/>
        <w:rPr/>
      </w:pPr>
      <w:bookmarkEnd w:id="224"/>
      <w:r>
        <w:rPr>
          <w:rFonts w:ascii="IRNazanin" w:hAnsi="IRNazanin" w:eastAsia="IRNazanin"/>
          <w:color w:val="111111"/>
          <w:sz w:val="28"/>
          <w:sz w:val="28"/>
          <w:szCs w:val="28"/>
          <w:rtl w:val="true"/>
          <w:lang w:bidi="fa-IR"/>
        </w:rPr>
        <w:t xml:space="preserve">پیوسته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خشونت و خودداری از به راه انداختن حمّام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ی قتل امیرالمؤمنین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ابن ملجم نیز ضمن پیشنهاد عفو او به امام حسن علیه السلام،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می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ضربت در برابر یک ضربت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در فقه و شریعت اسلامی بر آن تأکید شده است</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25" w:name="__RefHeading___Toc4168863_2749589250"/>
      <w:bookmarkStart w:id="226" w:name="_Toc86"/>
      <w:bookmarkEnd w:id="225"/>
      <w:r>
        <w:rPr>
          <w:rtl w:val="true"/>
        </w:rPr>
        <w:t>سفارش به عفو</w:t>
      </w:r>
      <w:bookmarkEnd w:id="226"/>
    </w:p>
    <w:p>
      <w:pPr>
        <w:pStyle w:val="BookText"/>
        <w:rPr/>
      </w:pPr>
      <w:r>
        <w:rPr>
          <w:rFonts w:ascii="IRNazanin" w:hAnsi="IRNazanin" w:eastAsia="IRNazanin"/>
          <w:color w:val="111111"/>
          <w:sz w:val="28"/>
          <w:sz w:val="28"/>
          <w:szCs w:val="28"/>
          <w:rtl w:val="true"/>
          <w:lang w:bidi="fa-IR"/>
        </w:rPr>
        <w:t>سفارش به عفو</w:t>
      </w:r>
    </w:p>
    <w:p>
      <w:pPr>
        <w:pStyle w:val="BookText"/>
        <w:rPr/>
      </w:pPr>
      <w:r>
        <w:rPr>
          <w:rFonts w:ascii="IRNazanin" w:hAnsi="IRNazanin" w:eastAsia="IRNazanin"/>
          <w:color w:val="111111"/>
          <w:sz w:val="28"/>
          <w:sz w:val="28"/>
          <w:szCs w:val="28"/>
          <w:rtl w:val="true"/>
          <w:lang w:bidi="fa-IR"/>
        </w:rPr>
        <w:t xml:space="preserve">امام علیه السلام در نامه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این موضوع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نامه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وَصِیَّتی لَکُمْ أَلاّ تُشْرکوا باللّهِ شَیئا، و مُحَمَّدٌ فَلا تُضَیِّعُوا سُنَّته، أَقیمُوا هَذیْن العَموُدَیْنِ و أوقِدُوا هذینِ المِصباحَیْن، و خَلاکُمْ ذمٌّ، أَنَا بالأَمْسِ صاحبُکُم، و الیومَ عِبْرَةٌ لکم و غَدَا مُفارِقُکُم، إنْ أَبْقَ فَأَنَا وَلِیُّ دَمی، و إنْ أَفْنَ فالْفَناءُ میعادی، و إِنْ أَعْفُ فالْعَفْوُ لی قُرْبَةٌ، و هُوَ لَکُمْ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یَغْفِر اللّهُ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سفارش من به شما این است که هیچ چیزی را برای خدا شریک قرار ندهید و سنّت محمد صلی الله علیه و آله را تباه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ستون محکم دین را برپا دارید و این دو چراغ را روشن نگاه دارید، تا سرزنش نشوید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دیروز یار شما بودم و امروز مایه ی عبرت شما هستم و فردا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این ضربت جان کاه جان سالم به در بَرَم، خود ولیّ خون خویشتنم، و اگر رخت از این دنیا بر بندم، مرگ وعده گاهِ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برایم ناخوشایند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قاتلم را عفو کنم، عفو وسیله ی تقرّب من به خدا و مایه ی ثوابِ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ندارید خدا شما را عفو کند؟</w:t>
      </w:r>
      <w:r>
        <w:rPr>
          <w:rStyle w:val="FootnoteAnchor"/>
          <w:rtl w:val="true"/>
        </w:rPr>
        <w:footnoteReference w:id="109"/>
      </w:r>
      <w:r>
        <w:rPr>
          <w:rStyle w:val="FootnoteAnchor"/>
          <w:rtl w:val="true"/>
        </w:rPr>
        <w:footnoteReference w:id="110"/>
      </w:r>
      <w:bookmarkStart w:id="227" w:name="pg3603_20961"/>
    </w:p>
    <w:p>
      <w:pPr>
        <w:pStyle w:val="BookText"/>
        <w:rPr/>
      </w:pPr>
      <w:bookmarkEnd w:id="227"/>
      <w:r>
        <w:rPr>
          <w:rFonts w:ascii="IRNazanin" w:hAnsi="IRNazanin" w:eastAsia="IRNazanin"/>
          <w:color w:val="111111"/>
          <w:sz w:val="28"/>
          <w:sz w:val="28"/>
          <w:szCs w:val="28"/>
          <w:rtl w:val="true"/>
          <w:lang w:bidi="fa-IR"/>
        </w:rPr>
        <w:t>امام در این وصیت، به صورت غیرصریح، تصمیم خود را بر عفو قاتل در صورت زنده ماندن، اعلام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زنده ماندن، خود اختیار خون خود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افکار عمومی و خشمِ اطرافیان از خوارج و ابن ملجم، نمی تواند مرا به در پیش گرفتن موضعِ خشونت بار وا دارد واگر بخواهم، عفو می کنم و به دیگران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این تصمیم امام، در پیشنهاد آن حضرت به خانواده ی خویش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جان دادم، چندان غمگین نباشید؛ زیرا من با مرگ آشنایم و با آن، انس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 هم از سر رحمت و کرامت، قاتل را عفو کنید تا شایسته ی بخشایش خداوند باشید</w:t>
      </w:r>
      <w:r>
        <w:rPr>
          <w:rFonts w:eastAsia="IRNazanin" w:cs="IRNazanin"/>
          <w:color w:val="111111"/>
          <w:sz w:val="28"/>
          <w:szCs w:val="28"/>
          <w:rtl w:val="true"/>
          <w:lang w:bidi="fa-IR"/>
        </w:rPr>
        <w:t>.</w:t>
      </w:r>
    </w:p>
    <w:p>
      <w:pPr>
        <w:pStyle w:val="Heading5"/>
        <w:numPr>
          <w:ilvl w:val="4"/>
          <w:numId w:val="1"/>
        </w:numPr>
        <w:rPr/>
      </w:pPr>
      <w:bookmarkStart w:id="228" w:name="__RefHeading___Toc4168865_2749589250"/>
      <w:bookmarkStart w:id="229" w:name="_Toc87"/>
      <w:bookmarkEnd w:id="228"/>
      <w:r>
        <w:rPr>
          <w:rtl w:val="true"/>
        </w:rPr>
        <w:t>نهی از خشونت غیرقانونی</w:t>
      </w:r>
      <w:bookmarkEnd w:id="229"/>
    </w:p>
    <w:p>
      <w:pPr>
        <w:pStyle w:val="BookText"/>
        <w:rPr/>
      </w:pPr>
      <w:r>
        <w:rPr>
          <w:rFonts w:ascii="IRNazanin" w:hAnsi="IRNazanin" w:eastAsia="IRNazanin"/>
          <w:color w:val="111111"/>
          <w:sz w:val="28"/>
          <w:sz w:val="28"/>
          <w:szCs w:val="28"/>
          <w:rtl w:val="true"/>
          <w:lang w:bidi="fa-IR"/>
        </w:rPr>
        <w:t>نهی از خشونت غیرقانونی</w:t>
      </w:r>
    </w:p>
    <w:p>
      <w:pPr>
        <w:pStyle w:val="BookText"/>
        <w:rPr/>
      </w:pPr>
      <w:r>
        <w:rPr>
          <w:rFonts w:ascii="IRNazanin" w:hAnsi="IRNazanin" w:eastAsia="IRNazanin"/>
          <w:color w:val="111111"/>
          <w:sz w:val="28"/>
          <w:sz w:val="28"/>
          <w:szCs w:val="28"/>
          <w:rtl w:val="true"/>
          <w:lang w:bidi="fa-IR"/>
        </w:rPr>
        <w:t xml:space="preserve">در نامه 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دربردارنده ی سخنان امام علی علیه السلام در واپسین لحظه های حیات اوست، با سفارش به پرهیزکاری، ترکِ دنیاطلبی، پیکار با ستم کار و یاری ستم دیده، تلاش در آشتی دادن میان مردم، رسیدگی به حال یتیمان، رعایت حال همسایگان، توجه به قرآن، نماز، جهاد و امر به معروف،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عبدِ المُطَّلِب لا أَلْفِیَنَّکُمْ تَخُوضُونَ دِماءَ المُسلِمینَ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أَمیرُالمُؤمِنین، قُتِلَ اَمیرُالمؤمِنینَ، ألا لا یُقْتَلَنَّ بی إلّا قاتِلی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إِذا أَنَا مِتُّ مِنْ ضَرْبَتِه هذِهِ فَاضْرِبُوُه ضَرْبةً بضربةٍ، و لا یُمَثَّلُ بالرَّجُلِ فأِنّی سَمِعْتُ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اِیّاکُمْ و المُثْلَةَ و لَو بالْکَلْبِ العَقُور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در خون مسلمانان فرو رفته اید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جز کشنده ی من نباید کسی به خون من کشته </w:t>
      </w:r>
      <w:bookmarkStart w:id="230" w:name="pg3603_20962"/>
    </w:p>
    <w:p>
      <w:pPr>
        <w:pStyle w:val="BookText"/>
        <w:rPr/>
      </w:pPr>
      <w:bookmarkEnd w:id="230"/>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این ضربت، جهان را بدرود گفتم، او را تنها یک ضربت بزنید تا ضربتی در برابر ضربتی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او را مُثْلِه نکنید ودست و پا و دیگر اندامِ او را نَبُرید که من از رسول خدا صلی الله علیه و آله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بریدن اندام مرده هرچند سگ دیوانه 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علی علیه السلام در این سخنان، به طور هم زمان، از تساهل مثبت و قانون گرایی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به این دلیل که به خویشتن داری، آسان گیری و خودداری از اقدامات احساسی و کینه توزانه دستور می دهد و از به راه انداختن حمّام خون نهی می کند و قانون گرایی، از آن جهت که به آنان اجازه می دهد قاتل را به قصاص و با وارد آوردن یک ضربه به قتل برسانند و این، خشونت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تساهل از دیدگاه امام علی علیه السلام نمی 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انگاری و بی توجّهی در رعایت قانون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قیدی و بی غیرتی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شود و یا با اتکا به آن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خون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قالب قصاص که یک قانونِ الهی است، به عنوان اقدامی بر ضدّ تساهل یاد شود</w:t>
      </w:r>
      <w:r>
        <w:rPr>
          <w:rFonts w:eastAsia="IRNazanin" w:cs="IRNazanin"/>
          <w:color w:val="111111"/>
          <w:sz w:val="28"/>
          <w:szCs w:val="28"/>
          <w:rtl w:val="true"/>
          <w:lang w:bidi="fa-IR"/>
        </w:rPr>
        <w:t>!</w:t>
      </w:r>
    </w:p>
    <w:p>
      <w:pPr>
        <w:pStyle w:val="Heading4"/>
        <w:numPr>
          <w:ilvl w:val="3"/>
          <w:numId w:val="1"/>
        </w:numPr>
        <w:rPr/>
      </w:pPr>
      <w:bookmarkStart w:id="231" w:name="__RefHeading___Toc4168867_2749589250"/>
      <w:bookmarkStart w:id="232" w:name="_Toc88"/>
      <w:bookmarkEnd w:id="231"/>
      <w:r>
        <w:rPr/>
        <w:t>14</w:t>
      </w:r>
      <w:r>
        <w:rPr>
          <w:rtl w:val="true"/>
        </w:rPr>
        <w:t xml:space="preserve"> </w:t>
      </w:r>
      <w:r>
        <w:rPr>
          <w:rtl w:val="true"/>
        </w:rPr>
        <w:t>ـ عفو عمروعاص و بُسْربن ارطاة در جنگ صفین</w:t>
      </w:r>
      <w:bookmarkEnd w:id="232"/>
    </w:p>
    <w:p>
      <w:pPr>
        <w:pStyle w:val="Heading5"/>
        <w:numPr>
          <w:ilvl w:val="4"/>
          <w:numId w:val="1"/>
        </w:numPr>
        <w:rPr/>
      </w:pPr>
      <w:bookmarkStart w:id="233" w:name="__RefHeading___Toc4168869_2749589250"/>
      <w:bookmarkStart w:id="234" w:name="_Toc89"/>
      <w:bookmarkEnd w:id="233"/>
      <w:r>
        <w:rPr>
          <w:rtl w:val="true"/>
        </w:rPr>
        <w:t>اشاره</w:t>
      </w:r>
      <w:bookmarkEnd w:id="234"/>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عفو عمروعاص و بُسْربن ارطاة در جنگ صفین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تساهل اخلاقی در سیره ی امام علی علیه السلام، چشم پوشی او از قتل عمروبن عاص، معاونِ اوّل معاویه در جنگ و بُسربن ارطاة یکی از سردارانِ سپاه شام است که با وجود قدرت امام بر قتل آنان، به دلیل رعایت یک ارزش اخلاقی صورت گرفته است</w:t>
      </w:r>
      <w:r>
        <w:rPr>
          <w:rFonts w:eastAsia="IRNazanin" w:cs="IRNazanin"/>
          <w:color w:val="111111"/>
          <w:sz w:val="28"/>
          <w:szCs w:val="28"/>
          <w:rtl w:val="true"/>
          <w:lang w:bidi="fa-IR"/>
        </w:rPr>
        <w:t>.</w:t>
      </w:r>
      <w:r>
        <w:rPr>
          <w:rStyle w:val="FootnoteAnchor"/>
          <w:rtl w:val="true"/>
        </w:rPr>
        <w:footnoteReference w:id="112"/>
      </w:r>
      <w:bookmarkStart w:id="235" w:name="pg3603_20963"/>
    </w:p>
    <w:p>
      <w:pPr>
        <w:pStyle w:val="Heading5"/>
        <w:numPr>
          <w:ilvl w:val="4"/>
          <w:numId w:val="1"/>
        </w:numPr>
        <w:rPr/>
      </w:pPr>
      <w:bookmarkStart w:id="236" w:name="__RefHeading___Toc4168871_2749589250"/>
      <w:bookmarkStart w:id="237" w:name="_Toc90"/>
      <w:bookmarkEnd w:id="235"/>
      <w:bookmarkEnd w:id="236"/>
      <w:r>
        <w:rPr>
          <w:rtl w:val="true"/>
        </w:rPr>
        <w:t>عفو عمروعاص</w:t>
      </w:r>
      <w:bookmarkEnd w:id="237"/>
    </w:p>
    <w:p>
      <w:pPr>
        <w:pStyle w:val="BookText"/>
        <w:rPr/>
      </w:pPr>
      <w:r>
        <w:rPr>
          <w:rFonts w:ascii="IRNazanin" w:hAnsi="IRNazanin" w:eastAsia="IRNazanin"/>
          <w:color w:val="111111"/>
          <w:sz w:val="28"/>
          <w:sz w:val="28"/>
          <w:szCs w:val="28"/>
          <w:rtl w:val="true"/>
          <w:lang w:bidi="fa-IR"/>
        </w:rPr>
        <w:t>عفو عمروعاص</w:t>
      </w:r>
    </w:p>
    <w:p>
      <w:pPr>
        <w:pStyle w:val="BookText"/>
        <w:rPr/>
      </w:pPr>
      <w:r>
        <w:rPr>
          <w:rFonts w:ascii="IRNazanin" w:hAnsi="IRNazanin" w:eastAsia="IRNazanin"/>
          <w:color w:val="111111"/>
          <w:sz w:val="28"/>
          <w:sz w:val="28"/>
          <w:szCs w:val="28"/>
          <w:rtl w:val="true"/>
          <w:lang w:bidi="fa-IR"/>
        </w:rPr>
        <w:t>نصربن مزاحم مُنْقَری، وقایع نگار صفین نخستین گزارش گرِ این حادثه است که با اندک تغییری سخن او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که جنگ مغلوبه شده بود و هردو طرف به نابودی هم کمر بسته بودند، عمرو عاص با حارث بن جَثْمی روبه رو شد که با عمرو دشمنی دیرینه داشت و با اشعاری، عمرو را مورد تمسخر و استهزا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اشعارش را برای عمرو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بسیار خشمگین شد تا آن جا که سوگند یاد کرد به جنگ علی برود، هرچند هزار بار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سوگند، در میان صفوف جنگ جویان به دنبال علی رفت و با نیزه بر آن حضرت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نیزه و شمشیر حمله ی او را پاسخ گفت و اسب خود را نهیب داد تا خود را به عمروعاص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که چنان دید خود را از اسب به زیر افکند و پاهای خود را بلند کرد و شرم گاه خود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که این رفتار را از او دید، شرمگین شد و از او وی گرداند و از کشتن او صرف نظر کرد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مردم این گذشت و چشم پوشی را نشانه ی کرامت و بزرگواری او دانستند و ضرب المثل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ابونواس در شعری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کردن پستی و شکست با مذلّت و خواری خیری ندارد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عمرو، روزی با عورت خود، چنین کرد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ابن شهر آشوب داستان رسوایی عمرو عاص و گذشت علی علیه السلام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امیرمؤمنان به صورت ناشناس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که از شایعاتِ مبنی بر ترسو بودنِ خودش نگران بود، شمشیر خود را برداشت و به مبارزه آمد، امّا گمان می کرد حریف او، یکی از فرماندهان لشکر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دنبال کرد و رجز خواند و لابه لای اشعار حماسی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از روی ترس و وحشت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تعقیب کرد و با نیزه ای چنان به او فشار داد که نقش بر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عمرو که خود را به مرگ نزدیک می دید، دست به حیله زد و پاهایش را بلند کرد و عورتش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مظهر حیا و شرم بود، از کشتن وی صرف نظر کرد و به میان سربازانش بازگشت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عفو امام علیه السلام و گذشت او از قتل عمروعاص،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داند که عمروعاص مغز متفکر سپاه معاویه محسوب می شود و اکنون شخصیت شماره ی دو سپاه شام به حساب می آید، با این حال، از او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علی علیه السلام عمرو را در این حادثه می کشت، داستان حکمیت و قرآن بر نیزه کردن پیش می آمد و سپاه علی علیه السلام دچار تفرقه می شد؟ آیا علی علیه السلام از راه غیب، آینده را نمی دانست؟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علی علیه السلام همه ی این نکته ها را می دانست، ولی باز هم، عمرو را عفو کرد؛ زیرا می خواست بگوید من برای احیای ارزش های انسانی و اسلامی شمشیر می زنم، نه برای استمرار خلافتِ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بقای حکومت خود را به هر قیمتی می خواست، در داستان شریعه ی فرات، آب را بر سپاه معاویه نمی گشود تا از تشنگی بمیرند تا راه بازگشت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همان دلیلی که امام علی علیه السلام پس از بستنِ آب از سوی معاویه و فتح شریعه به دست سپاهیانش، اجازه داد سربازان معاویه سیراب </w:t>
      </w:r>
    </w:p>
    <w:p>
      <w:pPr>
        <w:pStyle w:val="BookText"/>
        <w:rPr/>
      </w:pPr>
      <w:r>
        <w:rPr>
          <w:rFonts w:ascii="IRNazanin" w:hAnsi="IRNazanin" w:eastAsia="IRNazanin"/>
          <w:color w:val="111111"/>
          <w:sz w:val="28"/>
          <w:sz w:val="28"/>
          <w:szCs w:val="28"/>
          <w:rtl w:val="true"/>
          <w:lang w:bidi="fa-IR"/>
        </w:rPr>
        <w:t xml:space="preserve">شوند، در این جا نیز از قتل عمرو عاص چشم می پوشد و برای زنده نگه داشتن ارزش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هزینه ی گزافِ زنده ماندن عمرو عاص را می پذیرد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علی علیه السلام تا هنگامی حاضر به قتل حریف است که نبرد، منصفانه و جانانه باشد، امّا آن گاه که حریف با آشکار کردن شرم گاه خود، آبرو و حیثیّت خود را حصارِ جان خویش قرار می دهد و در واقع به سودای آبرو در مقابل جان دست می یازد، علی علیه السلام بر او آسان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شامل حال حریف می کند؛ زیرا حریف، با عرضه کردن آبروی خود، در حقیقت، پرچم امان برافراشته و جوان مردی چون علی علیه السلام را به عفوِ خویش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خطبه 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درباره ی عمروعاص و تبلیغات دروغین و مکر و فریب او بیان کرده است، به تبیین شخصیت عمروعاص می پردازد و بر لاف زنی او پیش از جنگ و عورت گشایی او در گرماگرمِ کارزار تصریح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عَجَبا لِابْنِ النّابِغَةِ، یَزْعُمُ لِأَهل الشّامِ أَنَّ فِیَّ دُعابَةً و أَنّی امْرُؤٌ تِلْعابَةٌ، اُعافِسُ و أُمارِس، لَقَدْ قال باطلاً وَ نَطَقَ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عند الحَرْبِ، فَأَیُّ زاجرٍ و آمرٍ هو، ما لَمْ تَأَخُذِ السّیوفُ مَآخِذَها، فاذا کان ذلک، کانَ أَکْبَرُ مَکیدَتِه ان یَمْنَحَ القِرْمَ 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إِنّی لََیمْنَعُنی مِنَ اللَّعِبِ ذکْرُ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لَیَمْنَعُهُ مِن قَولِ الحَقِّ نِسْیانُ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یُبایِعْ مُعاوِیَةَ حَتّی شَرَطَ أَنْ یُؤْتِیَهُ أَتیَّةً و یَرْضَخَ لَهُ علی ترکِ الدّین رَضیخَةً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از پسر آن زنِ بدکاره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مادرِ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شامیان گفته که من بسیار شوخم و مردی بیهوده گوی و عَبَث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او یاوه سرایی می کند و به گناه لب می گشاید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چون سخن جنگ در میان باشد، دلیر است و در هیاهو و امر و </w:t>
      </w:r>
      <w:bookmarkStart w:id="238" w:name="pg3603_20966"/>
    </w:p>
    <w:p>
      <w:pPr>
        <w:pStyle w:val="BookText"/>
        <w:rPr/>
      </w:pPr>
      <w:bookmarkEnd w:id="238"/>
      <w:r>
        <w:rPr>
          <w:rFonts w:ascii="IRNazanin" w:hAnsi="IRNazanin" w:eastAsia="IRNazanin"/>
          <w:color w:val="111111"/>
          <w:sz w:val="28"/>
          <w:sz w:val="28"/>
          <w:szCs w:val="28"/>
          <w:rtl w:val="true"/>
          <w:lang w:bidi="fa-IR"/>
        </w:rPr>
        <w:t>نهی، 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پیکار آغاز می شود و صدای شمشیرهایی که از نیام بر آمده است، طنین می افکند، بزرگ ترین نیرنگ او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شرمی خویش و شرم دلاورمردان سود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بگشاید و پایین تنه را عریان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مرا از شوخ طبعی باز می دارد، در حالی که فراموشی آخرت به عمرو اجازه نمی دهد تا سخن حق بر زبان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معاویه بیعت نکرد مگر بدان شرط که او را پاداشی رساند و در مقابلِ ترک دین خویش، بدو لُقمه ای خوراند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کلماتِ خطبه بر می آید که امام علی علیه السلام این سخنان را پس از پایان جنگ صفین فرموده است؛ زیرا عمروعاص تنها در مقابل علی علیه السلام و در جنگ صفین، به چنان اقدام حقارت آمیزی دست زد و در جنگ های گذشته سابقه نداشته است</w:t>
      </w:r>
      <w:r>
        <w:rPr>
          <w:rFonts w:eastAsia="IRNazanin" w:cs="IRNazanin"/>
          <w:color w:val="111111"/>
          <w:sz w:val="28"/>
          <w:szCs w:val="28"/>
          <w:rtl w:val="true"/>
          <w:lang w:bidi="fa-IR"/>
        </w:rPr>
        <w:t>.</w:t>
      </w:r>
    </w:p>
    <w:p>
      <w:pPr>
        <w:pStyle w:val="Heading5"/>
        <w:numPr>
          <w:ilvl w:val="4"/>
          <w:numId w:val="1"/>
        </w:numPr>
        <w:rPr/>
      </w:pPr>
      <w:bookmarkStart w:id="239" w:name="__RefHeading___Toc4168873_2749589250"/>
      <w:bookmarkStart w:id="240" w:name="_Toc91"/>
      <w:bookmarkEnd w:id="239"/>
      <w:r>
        <w:rPr>
          <w:rtl w:val="true"/>
        </w:rPr>
        <w:t>عفو بُسربن ارطاة</w:t>
      </w:r>
      <w:bookmarkEnd w:id="240"/>
    </w:p>
    <w:p>
      <w:pPr>
        <w:pStyle w:val="BookText"/>
        <w:rPr/>
      </w:pPr>
      <w:r>
        <w:rPr>
          <w:rFonts w:ascii="Amiri" w:hAnsi="Amiri" w:eastAsia="Amiri" w:cs="Amiri"/>
          <w:color w:val="111111"/>
          <w:sz w:val="28"/>
          <w:sz w:val="28"/>
          <w:szCs w:val="28"/>
          <w:rtl w:val="true"/>
          <w:lang w:bidi="ar-SA"/>
        </w:rPr>
        <w:t>عفو بُسربن ارطاة</w:t>
      </w:r>
    </w:p>
    <w:p>
      <w:pPr>
        <w:pStyle w:val="BookText"/>
        <w:rPr/>
      </w:pPr>
      <w:r>
        <w:rPr>
          <w:rFonts w:ascii="IRNazanin" w:hAnsi="IRNazanin" w:eastAsia="IRNazanin"/>
          <w:color w:val="111111"/>
          <w:sz w:val="28"/>
          <w:sz w:val="28"/>
          <w:szCs w:val="28"/>
          <w:rtl w:val="true"/>
          <w:lang w:bidi="fa-IR"/>
        </w:rPr>
        <w:t>بُسرِ بن ارطاة، یکی از سردارانِ معاویه در جنگ صفین و همان کسی است که پس از پایانِ جنگ و ضعف سپاهِ عراق، از سوی معاویه مأموریت یافت به شهرهای مکه و طایف و مدینه و منطقه ی یمن حمله کند</w:t>
      </w:r>
      <w:r>
        <w:rPr>
          <w:rStyle w:val="FootnoteAnchor"/>
          <w:rtl w:val="true"/>
        </w:rPr>
        <w:footnoteReference w:id="119"/>
      </w:r>
      <w:r>
        <w:rPr>
          <w:rFonts w:ascii="IRNazanin" w:hAnsi="IRNazanin" w:eastAsia="IRNazanin"/>
          <w:color w:val="111111"/>
          <w:sz w:val="28"/>
          <w:sz w:val="28"/>
          <w:szCs w:val="28"/>
          <w:rtl w:val="true"/>
          <w:lang w:bidi="fa-IR"/>
        </w:rPr>
        <w:t>و شیعیانِ علی علیه السلام را از دمِ تیغ بگذراند و او چنین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گزارش ابنِ عَبْدُ البِّرِ قُرْطُبی؛ دانشمند بزرگ اهل سنت و شرح حال نویس مشهور، بُسْرِبنِ اَرطاة نیز هم چون عَمروِ بنِ عاص، روزی به نبرد علی شتافت، ولی علی، </w:t>
      </w:r>
    </w:p>
    <w:p>
      <w:pPr>
        <w:pStyle w:val="BookText"/>
        <w:rPr/>
      </w:pPr>
      <w:r>
        <w:rPr>
          <w:rFonts w:ascii="IRNazanin" w:hAnsi="IRNazanin" w:eastAsia="IRNazanin"/>
          <w:color w:val="111111"/>
          <w:sz w:val="28"/>
          <w:sz w:val="28"/>
          <w:szCs w:val="28"/>
          <w:rtl w:val="true"/>
          <w:lang w:bidi="fa-IR"/>
        </w:rPr>
        <w:t>وی را بر زمین کوفت و او چاره ای نداشت جز آن که با عورت گشایی، علی را به حیا وا دارد و از دستِ او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عبدالبِرّ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از سردارانِ ستم پیشه بود که با معاویه در صفین حاضر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او را فرمان داد تا به جنگ علی علیه السلام برود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در آرزوی رویارویی با علی هستی، به نبرد او برو که اگر خدا تو را بر او پیروز ساخت و او را بر زمین زدی، دنیا و آخرت را با هم به چنگ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پیوسته بُسر را تشویق و تشجیع می کرد تا روزی علی را در گرماگرم جنگ در میدان دید، به او نزدیک شد و با وی درآویخت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بر زمین زد و برایش همان ماجرایی رخ داد که برای عمروعاص در داستان کشف عورت رخ داده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آری، علی مردی است که شمشیر را از روی خداخواهی می زند نه خودخواهی و چنین است که هم اکنون نیز سیاست مدارانِ خودخواه و قدرت طلب، علی را در مصاف عمروعاص و بسربن ارطاة، به دلیل گذشت او محکوم می کنند، ولی خداخواهان او را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همین گذشت ها و ارزش مداری ها، شگفت آفرین و جهانی گشته، وگرنه بسیارند کسانی که چنگیزگونه از روی شهوتِ قدرت، انسان ها و ملّت هایی را از دم تیغ گذرانده اند و برای همیشه، مطرودِ تاریخ شده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عملکرد علی علیه السلام در صفین، علم غیبِ او را که از راه اتصال به منبع نبوّت به دست آورده است، بیافزاییم، شگفتیِ ما دوچندان خواهد شد؛ زیرا در آن صورت، علی علیه السلام از قتل کسی در می گذرد که در اوج ضعف و زبونی است و می بیند که همین شخص، در آینده، خون های دوستانِ او را، سفّاکانه بر زمین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علی علیه السلام از قتل قاتلِ آینده ی شیعیانِ خود در می گذرد، همان گونه که بر اساس روایات، از </w:t>
      </w:r>
      <w:bookmarkStart w:id="241" w:name="pg3603_20968"/>
    </w:p>
    <w:p>
      <w:pPr>
        <w:pStyle w:val="BookText"/>
        <w:rPr/>
      </w:pPr>
      <w:bookmarkEnd w:id="241"/>
      <w:r>
        <w:rPr>
          <w:rFonts w:ascii="IRNazanin" w:hAnsi="IRNazanin" w:eastAsia="IRNazanin"/>
          <w:color w:val="111111"/>
          <w:sz w:val="28"/>
          <w:sz w:val="28"/>
          <w:szCs w:val="28"/>
          <w:rtl w:val="true"/>
          <w:lang w:bidi="fa-IR"/>
        </w:rPr>
        <w:t>قتل قاتل خودش، ابن ملجم نیز چشم می پوشد و قصاصِ قبل از جنایت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سیاست مدارانِ قدرت طلبِ عالم، مخالفانِ احتمالی خویش را نیز پیشاپیش از سر راه بر می دارند و انسانیت را به پای تندیس قدرت خود، قربانی می کنند هم چون فرعون که با تکیه بر پیش گویی کاهنان، پسران بی گناه بنی اسراییل را می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عمروعاص و بُسْر، از موارد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ی امام علی علیه السلام است؛ زیرا شرط تسامح، قدرت داشتن و چیره بودنِ تسامح کننده بر تسامح شونده است و در صفین، به بهترین شکلی، قدرت علی علیه السلام بر حریفانش آشکار شد</w:t>
      </w:r>
      <w:r>
        <w:rPr>
          <w:rFonts w:eastAsia="IRNazanin" w:cs="IRNazanin"/>
          <w:color w:val="111111"/>
          <w:sz w:val="28"/>
          <w:szCs w:val="28"/>
          <w:rtl w:val="true"/>
          <w:lang w:bidi="fa-IR"/>
        </w:rPr>
        <w:t>.</w:t>
      </w:r>
    </w:p>
    <w:p>
      <w:pPr>
        <w:pStyle w:val="Heading4"/>
        <w:numPr>
          <w:ilvl w:val="3"/>
          <w:numId w:val="1"/>
        </w:numPr>
        <w:rPr/>
      </w:pPr>
      <w:bookmarkStart w:id="242" w:name="__RefHeading___Toc4168875_2749589250"/>
      <w:bookmarkStart w:id="243" w:name="_Toc92"/>
      <w:bookmarkEnd w:id="242"/>
      <w:r>
        <w:rPr/>
        <w:t>15</w:t>
      </w:r>
      <w:r>
        <w:rPr>
          <w:rtl w:val="true"/>
        </w:rPr>
        <w:t xml:space="preserve"> </w:t>
      </w:r>
      <w:r>
        <w:rPr>
          <w:rtl w:val="true"/>
        </w:rPr>
        <w:t>ـ حذف عنوان امیرالمؤمنین علیه السلام در پیمان صلح صفین</w:t>
      </w:r>
      <w:bookmarkEnd w:id="243"/>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حذف عنوان امیرالمؤمنین علیه السلام در پیمان صلح صفین</w:t>
      </w:r>
    </w:p>
    <w:p>
      <w:pPr>
        <w:pStyle w:val="BookText"/>
        <w:rPr/>
      </w:pPr>
      <w:r>
        <w:rPr>
          <w:rFonts w:ascii="IRNazanin" w:hAnsi="IRNazanin" w:eastAsia="IRNazanin"/>
          <w:color w:val="111111"/>
          <w:sz w:val="28"/>
          <w:sz w:val="28"/>
          <w:szCs w:val="28"/>
          <w:rtl w:val="true"/>
          <w:lang w:bidi="fa-IR"/>
        </w:rPr>
        <w:t>اگر تسامح را به معنای آسان گرفتن بر طرف مقابل اعم از دوست و دشمن بدانیم که گاه در قالب عفو و بخششِ گناهِ دشمن جلوه می کند و گاه در پذیرش خواسته ی دشمن که تحمّل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علی علیه السلام در پذیرش حذف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صلح نامه ی صفین،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علی علیه السلام در موضع ضعف قرار داشت و از سَرِ اجبار به صلح نامه تن داده بود، امّا در مجموع، با اولویت دادن به مصلحت مسلمانان و حفظ خون یاران خویش، از خشونتِ نابجا که می توانست حمامی از خون جاری کند،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دقیقا همان کاری بود که رسول خدا صلی الله علیه و آله در صلح حدیبیّه انجام داد و به حذفِ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جلوی نام مبارکش اقدام کرد تا بهانه ای به دست جاهلان و معاندان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نیرنگ معاویه و عمروعاص در برافراشتن قرآن بر سر نیزه ها، برای فریب سپاه علی علیه السلام کارگر افتاد، قرار شد پیمانِ آتش بس نگاشته شود که بر اساس آن، نماینده ای از دو طرف تعیین شود و به موضوع اختلاف عراق و شام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پیمان نامه که بنا بر نقلی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گزارشی دیگر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علی علیه السلام یا مالک اشتر نوشته شد، با این جمله آغاز می گشت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تَقاضی عَلَیْهِ عَلِیٌّ اَمیرُالمُؤمِنینَ و مُعاویةُ بنُ ابی سفیانَ </w:t>
      </w:r>
    </w:p>
    <w:p>
      <w:pPr>
        <w:pStyle w:val="BookText"/>
        <w:rPr/>
      </w:pPr>
      <w:r>
        <w:rPr>
          <w:rFonts w:ascii="Amiri" w:hAnsi="Amiri" w:eastAsia="Amiri" w:cs="Amiri"/>
          <w:color w:val="111111"/>
          <w:sz w:val="28"/>
          <w:sz w:val="28"/>
          <w:szCs w:val="28"/>
          <w:rtl w:val="true"/>
          <w:lang w:bidi="ar-SA"/>
        </w:rPr>
        <w:t xml:space="preserve">و شیعَتُهُما فیما تَراضَیا بِهِ مِنَ الْحُکْمِ بِکِتابِ اللّهِ و سُنَّةِ نبیّه صلی الله علیه و آله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این بیانیه ای است که علی امیرمؤمنان و معاویه و پیروان آن دو، مفاد آن را پذیرفته اند مبنی بر این که داوری میان آنان بر اساس کتاب خدا و سنّت پیامبر صلی الله علیه و آله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معاویه اسپندوار از جای جهید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آدمی هستم که اقرار کنم که علی، امیر مؤمنان است، و با این حال با او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که در جلسه حضور داشت به کاتب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علی و نام پدر او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شماست نه امیر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تمیمی، سردار شجاع علی علیه السلام رو به آن حضرت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لقب امیرمؤمنان را از کنار نامِ خود پاک کنی، که می ترسم بار دیگر به تو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این کار مده هرچند کار به کشتار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تا ساعتی از روز، از محو عنوان، خودداری کرد تا آن که اشعث بن قیس، مرد مرموزی که از نخستین روز در لباس دوستی بر ضد امام کار می کرد و با معاویه سر و سرّی داشت، اصرار ورزید که لقب برداشته 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در این کشمکش، امام علی علیه السلام خاطره ی تلخ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آورد و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سرزمین حدیبیّه، کاتب پیامبر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پیامبر خدا و در طرفِ مشرکان، سهیل بن عمرو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صلح نامه را به این صورت تنظیم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قرارداد صلحی است که محمد رسول خدا و سهیل بن عمرو آن را </w:t>
      </w:r>
      <w:bookmarkStart w:id="244" w:name="pg3603_20970"/>
    </w:p>
    <w:p>
      <w:pPr>
        <w:pStyle w:val="BookText"/>
        <w:rPr/>
      </w:pPr>
      <w:bookmarkEnd w:id="244"/>
      <w:r>
        <w:rPr>
          <w:rFonts w:ascii="IRNazanin" w:hAnsi="IRNazanin" w:eastAsia="IRNazanin"/>
          <w:color w:val="111111"/>
          <w:sz w:val="28"/>
          <w:sz w:val="28"/>
          <w:szCs w:val="28"/>
          <w:rtl w:val="true"/>
          <w:lang w:bidi="fa-IR"/>
        </w:rPr>
        <w:t>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نماینده ی مشرکان رو به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نامه ای را که در 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امضا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 دانستم که تو پیامبر خدا هستی، با تو نمی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را بپذیرم و با وجودِ آن، تو را از طواف خانه ی خدا باز دارم، مردی ستم کار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خشمگین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خداست، هرچند تو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سهیل می خواهد بنویس که تو نیز همین مشکل را در آینده خواهی داشت و سرانجام به آن رضایت می دهی، در حالی که مجبور و تحت فشار خواهی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فشار خوارج و دوست نمایانی هم چون اشعث بن قیس از یک سو برای حذف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رشادتِ گروهی دیگر از یاران امام که با شمشیرهای آخته به حضور حضرت آمده و دفاع خود را از امیرمؤمنان ابراز می کردند، ممکن بود به خون ریزی دوباره ای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 علیه السلام با تشخیص موقعیت، به حذف عنوان رضایت داد و قرارداد حکمیت نوشته شده است</w:t>
      </w:r>
      <w:r>
        <w:rPr>
          <w:rFonts w:eastAsia="IRNazanin" w:cs="IRNazanin"/>
          <w:color w:val="111111"/>
          <w:sz w:val="28"/>
          <w:szCs w:val="28"/>
          <w:rtl w:val="true"/>
          <w:lang w:bidi="fa-IR"/>
        </w:rPr>
        <w:t>.</w:t>
      </w:r>
    </w:p>
    <w:p>
      <w:pPr>
        <w:pStyle w:val="Heading4"/>
        <w:numPr>
          <w:ilvl w:val="3"/>
          <w:numId w:val="1"/>
        </w:numPr>
        <w:rPr/>
      </w:pPr>
      <w:bookmarkStart w:id="245" w:name="__RefHeading___Toc4168877_2749589250"/>
      <w:bookmarkStart w:id="246" w:name="_Toc93"/>
      <w:bookmarkEnd w:id="245"/>
      <w:r>
        <w:rPr/>
        <w:t>16</w:t>
      </w:r>
      <w:r>
        <w:rPr>
          <w:rtl w:val="true"/>
        </w:rPr>
        <w:t xml:space="preserve"> </w:t>
      </w:r>
      <w:r>
        <w:rPr>
          <w:rtl w:val="true"/>
        </w:rPr>
        <w:t>ـ توبیخ عمروبن حَمِق به دلیل لعنِ مردم شام</w:t>
      </w:r>
      <w:bookmarkEnd w:id="246"/>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توبیخ عمروبن حَمِق به دلیل لعنِ مردم شام</w:t>
      </w:r>
    </w:p>
    <w:p>
      <w:pPr>
        <w:pStyle w:val="BookText"/>
        <w:rPr/>
      </w:pPr>
      <w:r>
        <w:rPr>
          <w:rFonts w:ascii="IRNazanin" w:hAnsi="IRNazanin" w:eastAsia="IRNazanin"/>
          <w:color w:val="111111"/>
          <w:sz w:val="28"/>
          <w:sz w:val="28"/>
          <w:szCs w:val="28"/>
          <w:rtl w:val="true"/>
          <w:lang w:bidi="fa-IR"/>
        </w:rPr>
        <w:t xml:space="preserve">یکی دیگر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ی امام علی علیه السلام، خودداری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اهل شام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حجت ها و نامه نگاری های فراوان، زمانی که لجاجت معاویه در پافشاری بر مطالبه ی خون عثمان و متهم ساختن علی و یارانش به قتل خلیفه آشکار شد، امام علی علیه السلام مردم کوفه را برای نبرد با معاویه آماده کرد و در خطبه ای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سیرُوا اِلی اَعْداء اللّه، سیرُوا اِلی اَعْداء السُّنَنِ وَ القُرآن، سیروا اِلی بَقِیَّةِ الاَحْزابِ قَتَلَةِ </w:t>
      </w:r>
    </w:p>
    <w:p>
      <w:pPr>
        <w:pStyle w:val="BookText"/>
        <w:rPr/>
      </w:pPr>
      <w:r>
        <w:rPr>
          <w:rFonts w:ascii="Amiri" w:hAnsi="Amiri" w:eastAsia="Amiri" w:cs="Amiri"/>
          <w:color w:val="111111"/>
          <w:sz w:val="28"/>
          <w:sz w:val="28"/>
          <w:szCs w:val="28"/>
          <w:rtl w:val="true"/>
          <w:lang w:bidi="ar-SA"/>
        </w:rPr>
        <w:t>المُهاجِرینَ وَ الاَنصارِ</w:t>
      </w:r>
    </w:p>
    <w:p>
      <w:pPr>
        <w:pStyle w:val="BookText"/>
        <w:rPr/>
      </w:pPr>
      <w:r>
        <w:rPr>
          <w:rFonts w:ascii="IRNazanin" w:hAnsi="IRNazanin" w:eastAsia="IRNazanin"/>
          <w:color w:val="111111"/>
          <w:sz w:val="28"/>
          <w:sz w:val="28"/>
          <w:szCs w:val="28"/>
          <w:rtl w:val="true"/>
          <w:lang w:bidi="fa-IR"/>
        </w:rPr>
        <w:t>حرکت کنید به سوی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به سوی دشمنان سنت پیامبر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به سوی باقی ماندگان دشمنانِ اسلام در جنگ احزاب و کشندگانِ مهاجران و انصار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حُجْر بن عَدِیّ و عَمْروبنِ حَمِقِ خُزاعی، دو تن از یاران مقاوم و با اخلاص علی، در کوچه های کوفه به راه افتادند تا با سخنرانی و تبلیغات خود، مردم را برای پیوستن به سپاه علی علیه السلام آماده کنند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آنان در لابه لای کلمات خود، از مردم شام به دلیل ترک حق و یاری باطل برائت جسته و اظهار بیزاری می کردند و به آنان دشنام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چون از عمل آنان خبردار شد، کس به دنبال آنان فرستاد که از دشنام و بدگویی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علی آمدند و با تعجب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بر حق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اهل شام بر باطل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را از دشنامِ آنان باز می داری؟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اِنّی أَکْرَهُ لَکُمْ أَنْ تُکونُوا سَبّابینَ، و لکِنَّکُمْ لَوْ وَصَفْتُمْ أَعْمالَهُمْ و ذَکَرْتُمْ حالَهُمْ کانَ اَصْوَبَ فی الْقَوْلِ، و أَبْلَغَ فی العُذْر، و قُلْتُمْ مکانَ سبِّکُمْ ایّاهُمْ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 دِماءَهُمْ، </w:t>
      </w:r>
      <w:bookmarkStart w:id="247" w:name="pg3603_20972"/>
    </w:p>
    <w:p>
      <w:pPr>
        <w:pStyle w:val="BookText"/>
        <w:rPr/>
      </w:pPr>
      <w:bookmarkEnd w:id="247"/>
      <w:r>
        <w:rPr>
          <w:rFonts w:ascii="Amiri" w:hAnsi="Amiri" w:eastAsia="Amiri" w:cs="Amiri"/>
          <w:color w:val="111111"/>
          <w:sz w:val="28"/>
          <w:sz w:val="28"/>
          <w:szCs w:val="28"/>
          <w:rtl w:val="true"/>
          <w:lang w:bidi="ar-SA"/>
        </w:rPr>
        <w:t>و أَصْلِحْ ذاتَ بَیْنِنا و بَیْنِهم و اهْدِهِمْ من ضَلالتهم حتّی یَعْرِفَ الحقَّ مَنْ جَهِلَه، و یَرْعَوِیَ عَنِ الغَیِّ وَ العُدْوانِ مَنْ لَهِجَ به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من خوش ندارم شما دشنام 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دشنام، ا گر به توصیف اعمال و بیانِ حال دشمن بپردازید، سخن تان به صواب نزدیک تر و عذرتان پذیرفته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دشنام شان دهید،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ما و آنان را از ریختن نگه دار و میان ما و ایشان، سازش برقرار بدار و آنان را از گمراهی به راه راست برسان، تا آن که حق را نمی داند، بشناسد و آن که شیفته ی دشمنی است، باز ایستد</w:t>
      </w:r>
      <w:r>
        <w:rPr>
          <w:rFonts w:eastAsia="IRNazanin" w:cs="IRNazanin"/>
          <w:color w:val="111111"/>
          <w:sz w:val="28"/>
          <w:szCs w:val="28"/>
          <w:rtl w:val="true"/>
          <w:lang w:bidi="fa-IR"/>
        </w:rPr>
        <w:t>.</w:t>
      </w:r>
      <w:r>
        <w:rPr>
          <w:rStyle w:val="FootnoteAnchor"/>
          <w:rtl w:val="true"/>
        </w:rPr>
        <w:footnoteReference w:id="128"/>
      </w:r>
      <w:r>
        <w:rPr>
          <w:rStyle w:val="FootnoteAnchor"/>
          <w:rtl w:val="true"/>
        </w:rPr>
        <w:footnoteReference w:id="129"/>
      </w:r>
    </w:p>
    <w:p>
      <w:pPr>
        <w:pStyle w:val="Heading4"/>
        <w:numPr>
          <w:ilvl w:val="3"/>
          <w:numId w:val="1"/>
        </w:numPr>
        <w:rPr/>
      </w:pPr>
      <w:bookmarkStart w:id="248" w:name="__RefHeading___Toc4168879_2749589250"/>
      <w:bookmarkStart w:id="249" w:name="_Toc94"/>
      <w:bookmarkEnd w:id="248"/>
      <w:r>
        <w:rPr/>
        <w:t>17</w:t>
      </w:r>
      <w:r>
        <w:rPr>
          <w:rtl w:val="true"/>
        </w:rPr>
        <w:t xml:space="preserve"> </w:t>
      </w:r>
      <w:r>
        <w:rPr>
          <w:rtl w:val="true"/>
        </w:rPr>
        <w:t>ـ عفو عمرو بن عَبْدَود دلیل آب دهان انداختن</w:t>
      </w:r>
      <w:bookmarkEnd w:id="249"/>
    </w:p>
    <w:p>
      <w:pPr>
        <w:pStyle w:val="Heading5"/>
        <w:numPr>
          <w:ilvl w:val="4"/>
          <w:numId w:val="1"/>
        </w:numPr>
        <w:rPr/>
      </w:pPr>
      <w:bookmarkStart w:id="250" w:name="__RefHeading___Toc4168881_2749589250"/>
      <w:bookmarkStart w:id="251" w:name="_Toc95"/>
      <w:bookmarkEnd w:id="250"/>
      <w:r>
        <w:rPr>
          <w:rtl w:val="true"/>
        </w:rPr>
        <w:t>اشاره</w:t>
      </w:r>
      <w:bookmarkEnd w:id="25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عفو عمرو بن عَبْدَود دلیل آب دهان انداختن</w:t>
      </w:r>
    </w:p>
    <w:p>
      <w:pPr>
        <w:pStyle w:val="BookText"/>
        <w:rPr/>
      </w:pPr>
      <w:r>
        <w:rPr>
          <w:rFonts w:ascii="IRNazanin" w:hAnsi="IRNazanin" w:eastAsia="IRNazanin"/>
          <w:color w:val="111111"/>
          <w:sz w:val="28"/>
          <w:sz w:val="28"/>
          <w:szCs w:val="28"/>
          <w:rtl w:val="true"/>
          <w:lang w:bidi="fa-IR"/>
        </w:rPr>
        <w:t xml:space="preserve">یکی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ی امام علی علیه السلام، برخورد خالصانه و کریمانه ی او در برابر توهین عمروبن عبدود، در جنگ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علی علیه السلام عمرو را که به مبارزه آمده بود، کشت، ولی قتل را مجازاتِ توهین او قرار نداد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علی علیه السلام با موافقت پیامبر خدا صلی الله علیه و آله به مصافِ وی رفت، آن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 الإیمَانُ کُلُّهُ اِلَی الشِّرْک کُلِّه</w:t>
      </w:r>
    </w:p>
    <w:p>
      <w:pPr>
        <w:pStyle w:val="BookText"/>
        <w:rPr/>
      </w:pPr>
      <w:r>
        <w:rPr>
          <w:rFonts w:ascii="IRNazanin" w:hAnsi="IRNazanin" w:eastAsia="IRNazanin"/>
          <w:color w:val="111111"/>
          <w:sz w:val="28"/>
          <w:sz w:val="28"/>
          <w:szCs w:val="28"/>
          <w:rtl w:val="true"/>
          <w:lang w:bidi="fa-IR"/>
        </w:rPr>
        <w:t>همه ی ایمان با همه ی شرک روبه رو 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علی علیه السلام ابتدا عمرو را به اسلام دعوت کرد و چون او خودداری کرد، پس از نبردی دیدنی، سر او را از بدن جدا کرد و در حالی که قطرات خون از آن می چکید، به سوی سپاه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فریاد تکبیر از جانب مسلمانان به پا خاست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منابع تاریخی، در بیشتر موارد، داستان مبارزه علی علیه السلام و عمرو را این گونه، گزارش کرده و یادی از جسارت عمرو نسبت به علی علیه السلام نکرده اند، ولی با این وجود، غزالی در کیمیای سعادت</w:t>
      </w:r>
      <w:r>
        <w:rPr>
          <w:rStyle w:val="FootnoteAnchor"/>
          <w:rtl w:val="true"/>
        </w:rPr>
        <w:footnoteReference w:id="132"/>
      </w:r>
      <w:r>
        <w:rPr>
          <w:rFonts w:ascii="IRNazanin" w:hAnsi="IRNazanin" w:eastAsia="IRNazanin"/>
          <w:color w:val="111111"/>
          <w:sz w:val="28"/>
          <w:sz w:val="28"/>
          <w:szCs w:val="28"/>
          <w:rtl w:val="true"/>
          <w:lang w:bidi="fa-IR"/>
        </w:rPr>
        <w:t xml:space="preserve">، و ابن طباطبا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آن را به صورت زیر و با عبارات گوناگون نقل کرده اند</w:t>
      </w:r>
      <w:r>
        <w:rPr>
          <w:rFonts w:eastAsia="IRNazanin" w:cs="IRNazanin"/>
          <w:color w:val="111111"/>
          <w:sz w:val="28"/>
          <w:szCs w:val="28"/>
          <w:rtl w:val="true"/>
          <w:lang w:bidi="fa-IR"/>
        </w:rPr>
        <w:t>.</w:t>
      </w:r>
      <w:r>
        <w:rPr>
          <w:rStyle w:val="FootnoteAnchor"/>
          <w:rtl w:val="true"/>
        </w:rPr>
        <w:footnoteReference w:id="134"/>
      </w:r>
      <w:bookmarkStart w:id="252" w:name="pg3603_20974"/>
    </w:p>
    <w:p>
      <w:pPr>
        <w:pStyle w:val="Heading5"/>
        <w:numPr>
          <w:ilvl w:val="4"/>
          <w:numId w:val="1"/>
        </w:numPr>
        <w:rPr/>
      </w:pPr>
      <w:bookmarkStart w:id="253" w:name="__RefHeading___Toc4168883_2749589250"/>
      <w:bookmarkStart w:id="254" w:name="_Toc96"/>
      <w:bookmarkEnd w:id="252"/>
      <w:bookmarkEnd w:id="253"/>
      <w:r>
        <w:rPr>
          <w:rtl w:val="true"/>
        </w:rPr>
        <w:t>جسارت عمرو و عفو علی علیه السلام</w:t>
      </w:r>
      <w:bookmarkEnd w:id="254"/>
    </w:p>
    <w:p>
      <w:pPr>
        <w:pStyle w:val="BookText"/>
        <w:rPr/>
      </w:pPr>
      <w:r>
        <w:rPr>
          <w:rFonts w:ascii="IRNazanin" w:hAnsi="IRNazanin" w:eastAsia="IRNazanin"/>
          <w:color w:val="111111"/>
          <w:sz w:val="28"/>
          <w:sz w:val="28"/>
          <w:szCs w:val="28"/>
          <w:rtl w:val="true"/>
          <w:lang w:bidi="fa-IR"/>
        </w:rPr>
        <w:t>جسارت عمرو و عفو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 که دلیری نامدار بود، به همراهی عِکْرمة پسر ابوجهل بر آن شدند که از خندق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سپاه مدینه هم آورد خواست، امّا هیچ کس جرأت درافتادن با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وی روبه رو شد، او را ضربتی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نزد پیغمبر بودند و از دور می نگریستند، خرده گرفتند و پنداشتند علی ترسیده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به دفاع از این کسان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خود سبب آن را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عمرو را از پا درآورد و نزد رسول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هنگامی که با او روبه رو شدی، او را نکشتی؟</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علی علیه السلام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را دشنام داد و بر چهره ام،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او را بکشم برای خشم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 گذاشتم تا خشم فرو نشست، سپس او را کشتم</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مولانا جلال الدین بلخی، داستان آب دهان انداختن عمرو و صبر و بردباری و اخلاص علی علیه السلام را در مثنوی با تعبیرهایی لطیف که خاصِ اوست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Amiri" w:hAnsi="Amiri" w:eastAsia="Amiri" w:cs="Amiri"/>
          <w:color w:val="111111"/>
          <w:sz w:val="28"/>
          <w:sz w:val="28"/>
          <w:szCs w:val="28"/>
          <w:rtl w:val="true"/>
          <w:lang w:bidi="ar-SA"/>
        </w:rPr>
        <w:t>شیر حق را دان مُنَزَّه از دَغَل</w:t>
      </w:r>
    </w:p>
    <w:p>
      <w:pPr>
        <w:pStyle w:val="BookText"/>
        <w:rPr/>
      </w:pPr>
      <w:r>
        <w:rPr>
          <w:rFonts w:ascii="IRNazanin" w:hAnsi="IRNazanin" w:eastAsia="IRNazanin"/>
          <w:color w:val="111111"/>
          <w:sz w:val="28"/>
          <w:sz w:val="28"/>
          <w:szCs w:val="28"/>
          <w:rtl w:val="true"/>
          <w:lang w:bidi="fa-IR"/>
        </w:rPr>
        <w:t>در غزا بر پهلوانی دست یافت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زود شمشیری برآورد و شتافت </w:t>
      </w:r>
    </w:p>
    <w:p>
      <w:pPr>
        <w:pStyle w:val="BookText"/>
        <w:rPr/>
      </w:pPr>
      <w:r>
        <w:rPr>
          <w:rFonts w:ascii="IRNazanin" w:hAnsi="IRNazanin" w:eastAsia="IRNazanin"/>
          <w:color w:val="111111"/>
          <w:sz w:val="28"/>
          <w:sz w:val="28"/>
          <w:szCs w:val="28"/>
          <w:rtl w:val="true"/>
          <w:lang w:bidi="fa-IR"/>
        </w:rPr>
        <w:t>او خدو انداخت بر روی علی</w:t>
      </w:r>
    </w:p>
    <w:p>
      <w:pPr>
        <w:pStyle w:val="BookText"/>
        <w:rPr/>
      </w:pPr>
      <w:r>
        <w:rPr>
          <w:rFonts w:ascii="Amiri" w:hAnsi="Amiri" w:eastAsia="Amiri" w:cs="Amiri"/>
          <w:color w:val="111111"/>
          <w:sz w:val="28"/>
          <w:sz w:val="28"/>
          <w:szCs w:val="28"/>
          <w:rtl w:val="true"/>
          <w:lang w:bidi="ar-SA"/>
        </w:rPr>
        <w:t>افتخار هر نبیّ و هر ولیّ</w:t>
      </w:r>
    </w:p>
    <w:p>
      <w:pPr>
        <w:pStyle w:val="BookText"/>
        <w:rPr/>
      </w:pPr>
      <w:r>
        <w:rPr>
          <w:rFonts w:ascii="IRNazanin" w:hAnsi="IRNazanin" w:eastAsia="IRNazanin"/>
          <w:color w:val="111111"/>
          <w:sz w:val="28"/>
          <w:sz w:val="28"/>
          <w:szCs w:val="28"/>
          <w:rtl w:val="true"/>
          <w:lang w:bidi="fa-IR"/>
        </w:rPr>
        <w:t>آن خدو زد بر رخی که روی ماه</w:t>
      </w:r>
    </w:p>
    <w:p>
      <w:pPr>
        <w:pStyle w:val="BookText"/>
        <w:rPr/>
      </w:pPr>
      <w:r>
        <w:rPr>
          <w:rFonts w:ascii="IRNazanin" w:hAnsi="IRNazanin" w:eastAsia="IRNazanin"/>
          <w:color w:val="111111"/>
          <w:sz w:val="28"/>
          <w:sz w:val="28"/>
          <w:szCs w:val="28"/>
          <w:rtl w:val="true"/>
          <w:lang w:bidi="fa-IR"/>
        </w:rPr>
        <w:t>سجده آرد پیش او در سجده گاه</w:t>
      </w:r>
    </w:p>
    <w:p>
      <w:pPr>
        <w:pStyle w:val="BookText"/>
        <w:rPr/>
      </w:pPr>
      <w:r>
        <w:rPr>
          <w:rFonts w:ascii="IRNazanin" w:hAnsi="IRNazanin" w:eastAsia="IRNazanin"/>
          <w:color w:val="111111"/>
          <w:sz w:val="28"/>
          <w:sz w:val="28"/>
          <w:szCs w:val="28"/>
          <w:rtl w:val="true"/>
          <w:lang w:bidi="fa-IR"/>
        </w:rPr>
        <w:t>در زمان، انداخت شمشیر آن علی</w:t>
      </w:r>
    </w:p>
    <w:p>
      <w:pPr>
        <w:pStyle w:val="BookText"/>
        <w:rPr/>
      </w:pPr>
      <w:r>
        <w:rPr>
          <w:rFonts w:ascii="IRNazanin" w:hAnsi="IRNazanin" w:eastAsia="IRNazanin"/>
          <w:color w:val="111111"/>
          <w:sz w:val="28"/>
          <w:sz w:val="28"/>
          <w:szCs w:val="28"/>
          <w:rtl w:val="true"/>
          <w:lang w:bidi="fa-IR"/>
        </w:rPr>
        <w:t>کرد او اندر غزایش کاهلی</w:t>
      </w:r>
    </w:p>
    <w:p>
      <w:pPr>
        <w:pStyle w:val="BookText"/>
        <w:rPr/>
      </w:pPr>
      <w:r>
        <w:rPr>
          <w:rFonts w:ascii="IRNazanin" w:hAnsi="IRNazanin" w:eastAsia="IRNazanin"/>
          <w:color w:val="111111"/>
          <w:sz w:val="28"/>
          <w:sz w:val="28"/>
          <w:szCs w:val="28"/>
          <w:rtl w:val="true"/>
          <w:lang w:bidi="fa-IR"/>
        </w:rPr>
        <w:t>گشت حیران آن مبارز زین عمل</w:t>
      </w:r>
    </w:p>
    <w:p>
      <w:pPr>
        <w:pStyle w:val="BookText"/>
        <w:rPr/>
      </w:pPr>
      <w:r>
        <w:rPr>
          <w:rFonts w:ascii="IRNazanin" w:hAnsi="IRNazanin" w:eastAsia="IRNazanin"/>
          <w:color w:val="111111"/>
          <w:sz w:val="28"/>
          <w:sz w:val="28"/>
          <w:szCs w:val="28"/>
          <w:rtl w:val="true"/>
          <w:lang w:bidi="fa-IR"/>
        </w:rPr>
        <w:t>وز نمودن عفو و رحمت بی محلّ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تیغ تیز افراشتی</w:t>
      </w:r>
    </w:p>
    <w:p>
      <w:pPr>
        <w:pStyle w:val="BookText"/>
        <w:rPr/>
      </w:pPr>
      <w:r>
        <w:rPr>
          <w:rFonts w:ascii="IRNazanin" w:hAnsi="IRNazanin" w:eastAsia="IRNazanin"/>
          <w:color w:val="111111"/>
          <w:sz w:val="28"/>
          <w:sz w:val="28"/>
          <w:szCs w:val="28"/>
          <w:rtl w:val="true"/>
          <w:lang w:bidi="fa-IR"/>
        </w:rPr>
        <w:t>از چه افکندی مرا بگذاشتی</w:t>
      </w:r>
    </w:p>
    <w:p>
      <w:pPr>
        <w:pStyle w:val="BookText"/>
        <w:rPr/>
      </w:pPr>
      <w:r>
        <w:rPr>
          <w:rFonts w:ascii="IRNazanin" w:hAnsi="IRNazanin" w:eastAsia="IRNazanin"/>
          <w:color w:val="111111"/>
          <w:sz w:val="28"/>
          <w:sz w:val="28"/>
          <w:szCs w:val="28"/>
          <w:rtl w:val="true"/>
          <w:lang w:bidi="fa-IR"/>
        </w:rPr>
        <w:t>آن چه دیدی بهتر از پیکار من</w:t>
      </w:r>
    </w:p>
    <w:p>
      <w:pPr>
        <w:pStyle w:val="BookText"/>
        <w:rPr/>
      </w:pPr>
      <w:r>
        <w:rPr>
          <w:rFonts w:ascii="IRNazanin" w:hAnsi="IRNazanin" w:eastAsia="IRNazanin"/>
          <w:color w:val="111111"/>
          <w:sz w:val="28"/>
          <w:sz w:val="28"/>
          <w:szCs w:val="28"/>
          <w:rtl w:val="true"/>
          <w:lang w:bidi="fa-IR"/>
        </w:rPr>
        <w:t>تا شدستی سست در اِشکارِ من</w:t>
      </w:r>
    </w:p>
    <w:p>
      <w:pPr>
        <w:pStyle w:val="BookText"/>
        <w:rPr/>
      </w:pPr>
      <w:r>
        <w:rPr>
          <w:rFonts w:ascii="IRNazanin" w:hAnsi="IRNazanin" w:eastAsia="IRNazanin"/>
          <w:color w:val="111111"/>
          <w:sz w:val="28"/>
          <w:sz w:val="28"/>
          <w:szCs w:val="28"/>
          <w:rtl w:val="true"/>
          <w:lang w:bidi="fa-IR"/>
        </w:rPr>
        <w:t>آن چه دیدی که چنین خشمت نشست</w:t>
      </w:r>
    </w:p>
    <w:p>
      <w:pPr>
        <w:pStyle w:val="BookText"/>
        <w:rPr/>
      </w:pPr>
      <w:r>
        <w:rPr>
          <w:rFonts w:ascii="IRNazanin" w:hAnsi="IRNazanin" w:eastAsia="IRNazanin"/>
          <w:color w:val="111111"/>
          <w:sz w:val="28"/>
          <w:sz w:val="28"/>
          <w:szCs w:val="28"/>
          <w:rtl w:val="true"/>
          <w:lang w:bidi="fa-IR"/>
        </w:rPr>
        <w:t>تا چنان برقی نمود و باز جست</w:t>
      </w:r>
    </w:p>
    <w:p>
      <w:pPr>
        <w:pStyle w:val="BookText"/>
        <w:rPr/>
      </w:pPr>
      <w:r>
        <w:rPr>
          <w:rFonts w:ascii="IRNazanin" w:hAnsi="IRNazanin" w:eastAsia="IRNazanin"/>
          <w:color w:val="111111"/>
          <w:sz w:val="28"/>
          <w:sz w:val="28"/>
          <w:szCs w:val="28"/>
          <w:rtl w:val="true"/>
          <w:lang w:bidi="fa-IR"/>
        </w:rPr>
        <w:t>در شجاعت شیر ربّا نیستی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مروّت خود که داند کیستی؟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مولوی که از مدح علی بن ابیطالب علیه السلام به وجد آمده و احساس خستگی نمی کند،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که جمله عقل و دیده ای</w:t>
      </w:r>
    </w:p>
    <w:p>
      <w:pPr>
        <w:pStyle w:val="BookText"/>
        <w:rPr/>
      </w:pPr>
      <w:r>
        <w:rPr>
          <w:rFonts w:ascii="IRNazanin" w:hAnsi="IRNazanin" w:eastAsia="IRNazanin"/>
          <w:color w:val="111111"/>
          <w:sz w:val="28"/>
          <w:sz w:val="28"/>
          <w:szCs w:val="28"/>
          <w:rtl w:val="true"/>
          <w:lang w:bidi="fa-IR"/>
        </w:rPr>
        <w:t>شمّه ای واگو از آن چه دیده ای</w:t>
      </w:r>
    </w:p>
    <w:p>
      <w:pPr>
        <w:pStyle w:val="BookText"/>
        <w:rPr/>
      </w:pPr>
      <w:r>
        <w:rPr>
          <w:rFonts w:ascii="IRNazanin" w:hAnsi="IRNazanin" w:eastAsia="IRNazanin"/>
          <w:color w:val="111111"/>
          <w:sz w:val="28"/>
          <w:sz w:val="28"/>
          <w:szCs w:val="28"/>
          <w:rtl w:val="true"/>
          <w:lang w:bidi="fa-IR"/>
        </w:rPr>
        <w:t>تیغِ حلمت جان ما را چاک کرد</w:t>
      </w:r>
    </w:p>
    <w:p>
      <w:pPr>
        <w:pStyle w:val="BookText"/>
        <w:rPr/>
      </w:pPr>
      <w:r>
        <w:rPr>
          <w:rFonts w:ascii="IRNazanin" w:hAnsi="IRNazanin" w:eastAsia="IRNazanin"/>
          <w:color w:val="111111"/>
          <w:sz w:val="28"/>
          <w:sz w:val="28"/>
          <w:szCs w:val="28"/>
          <w:rtl w:val="true"/>
          <w:lang w:bidi="fa-IR"/>
        </w:rPr>
        <w:t>آب علمت، خاک ما را پاک کرد</w:t>
      </w:r>
    </w:p>
    <w:p>
      <w:pPr>
        <w:pStyle w:val="BookText"/>
        <w:rPr/>
      </w:pPr>
      <w:r>
        <w:rPr>
          <w:rFonts w:ascii="IRNazanin" w:hAnsi="IRNazanin" w:eastAsia="IRNazanin"/>
          <w:color w:val="111111"/>
          <w:sz w:val="28"/>
          <w:sz w:val="28"/>
          <w:szCs w:val="28"/>
          <w:rtl w:val="true"/>
          <w:lang w:bidi="fa-IR"/>
        </w:rPr>
        <w:t>بازگو دانم که این اسرارِ هوست</w:t>
      </w:r>
    </w:p>
    <w:p>
      <w:pPr>
        <w:pStyle w:val="BookText"/>
        <w:rPr/>
      </w:pPr>
      <w:r>
        <w:rPr>
          <w:rFonts w:ascii="IRNazanin" w:hAnsi="IRNazanin" w:eastAsia="IRNazanin"/>
          <w:color w:val="111111"/>
          <w:sz w:val="28"/>
          <w:sz w:val="28"/>
          <w:szCs w:val="28"/>
          <w:rtl w:val="true"/>
          <w:lang w:bidi="fa-IR"/>
        </w:rPr>
        <w:t>زان که بی شمشیر کشتن 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 ای باز عرش خوش 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چه دیدی این زمان از کردگار</w:t>
      </w:r>
    </w:p>
    <w:p>
      <w:pPr>
        <w:pStyle w:val="BookText"/>
        <w:rPr/>
      </w:pPr>
      <w:r>
        <w:rPr>
          <w:rFonts w:ascii="IRNazanin" w:hAnsi="IRNazanin" w:eastAsia="IRNazanin"/>
          <w:color w:val="111111"/>
          <w:sz w:val="28"/>
          <w:sz w:val="28"/>
          <w:szCs w:val="28"/>
          <w:rtl w:val="true"/>
          <w:lang w:bidi="fa-IR"/>
        </w:rPr>
        <w:t>چشم تو ادراک غیب آموخته</w:t>
      </w:r>
    </w:p>
    <w:p>
      <w:pPr>
        <w:pStyle w:val="BookText"/>
        <w:rPr/>
      </w:pPr>
      <w:r>
        <w:rPr>
          <w:rFonts w:ascii="IRNazanin" w:hAnsi="IRNazanin" w:eastAsia="IRNazanin"/>
          <w:color w:val="111111"/>
          <w:sz w:val="28"/>
          <w:sz w:val="28"/>
          <w:szCs w:val="28"/>
          <w:rtl w:val="true"/>
          <w:lang w:bidi="fa-IR"/>
        </w:rPr>
        <w:t>چشم های حاضران بر دوخته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علی علیه السلام در پاسخ اصرارهای مولوی پاسخ می دهد که چرا شمشیر را انداخته و بی درنگ پس از آب دهان انداختن عمرو، او را نکشته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تیغ از پی حق می زنم</w:t>
      </w:r>
    </w:p>
    <w:p>
      <w:pPr>
        <w:pStyle w:val="BookText"/>
        <w:rPr/>
      </w:pPr>
      <w:r>
        <w:rPr>
          <w:rFonts w:ascii="IRNazanin" w:hAnsi="IRNazanin" w:eastAsia="IRNazanin"/>
          <w:color w:val="111111"/>
          <w:sz w:val="28"/>
          <w:sz w:val="28"/>
          <w:szCs w:val="28"/>
          <w:rtl w:val="true"/>
          <w:lang w:bidi="fa-IR"/>
        </w:rPr>
        <w:t>بنده ی حقّم، نه مأمور تنم</w:t>
      </w:r>
    </w:p>
    <w:p>
      <w:pPr>
        <w:pStyle w:val="BookText"/>
        <w:rPr/>
      </w:pPr>
      <w:r>
        <w:rPr>
          <w:rFonts w:ascii="IRNazanin" w:hAnsi="IRNazanin" w:eastAsia="IRNazanin"/>
          <w:color w:val="111111"/>
          <w:sz w:val="28"/>
          <w:sz w:val="28"/>
          <w:szCs w:val="28"/>
          <w:rtl w:val="true"/>
          <w:lang w:bidi="fa-IR"/>
        </w:rPr>
        <w:t>شیر حقّم، نیستم شیر هوا</w:t>
      </w:r>
    </w:p>
    <w:p>
      <w:pPr>
        <w:pStyle w:val="BookText"/>
        <w:rPr/>
      </w:pPr>
      <w:r>
        <w:rPr>
          <w:rFonts w:ascii="IRNazanin" w:hAnsi="IRNazanin" w:eastAsia="IRNazanin"/>
          <w:color w:val="111111"/>
          <w:sz w:val="28"/>
          <w:sz w:val="28"/>
          <w:szCs w:val="28"/>
          <w:rtl w:val="true"/>
          <w:lang w:bidi="fa-IR"/>
        </w:rPr>
        <w:t>فعل من بر دین من باشد 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نیم، کوهم ز حلم و صبر و داد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را کِی در رباید تند باد </w:t>
      </w:r>
    </w:p>
    <w:p>
      <w:pPr>
        <w:pStyle w:val="BookText"/>
        <w:rPr/>
      </w:pPr>
      <w:r>
        <w:rPr>
          <w:rFonts w:ascii="IRNazanin" w:hAnsi="IRNazanin" w:eastAsia="IRNazanin"/>
          <w:color w:val="111111"/>
          <w:sz w:val="28"/>
          <w:sz w:val="28"/>
          <w:szCs w:val="28"/>
          <w:rtl w:val="true"/>
          <w:lang w:bidi="fa-IR"/>
        </w:rPr>
        <w:t>آن که از بادی رود از جا، خسی است</w:t>
      </w:r>
    </w:p>
    <w:p>
      <w:pPr>
        <w:pStyle w:val="BookText"/>
        <w:rPr/>
      </w:pPr>
      <w:r>
        <w:rPr>
          <w:rFonts w:ascii="IRNazanin" w:hAnsi="IRNazanin" w:eastAsia="IRNazanin"/>
          <w:color w:val="111111"/>
          <w:sz w:val="28"/>
          <w:sz w:val="28"/>
          <w:szCs w:val="28"/>
          <w:rtl w:val="true"/>
          <w:lang w:bidi="fa-IR"/>
        </w:rPr>
        <w:t>زان که باد ناموافق، خود بسی است</w:t>
      </w:r>
    </w:p>
    <w:p>
      <w:pPr>
        <w:pStyle w:val="BookText"/>
        <w:rPr/>
      </w:pPr>
      <w:r>
        <w:rPr>
          <w:rFonts w:ascii="IRNazanin" w:hAnsi="IRNazanin" w:eastAsia="IRNazanin"/>
          <w:color w:val="111111"/>
          <w:sz w:val="28"/>
          <w:sz w:val="28"/>
          <w:szCs w:val="28"/>
          <w:rtl w:val="true"/>
          <w:lang w:bidi="fa-IR"/>
        </w:rPr>
        <w:t>و در پایان رازِ این همه حلم عفو را، عشق به خدا معرفی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به بادِ او نجنبد میل من</w:t>
      </w:r>
    </w:p>
    <w:p>
      <w:pPr>
        <w:pStyle w:val="BookText"/>
        <w:rPr/>
      </w:pPr>
      <w:r>
        <w:rPr>
          <w:rFonts w:ascii="IRNazanin" w:hAnsi="IRNazanin" w:eastAsia="IRNazanin"/>
          <w:color w:val="111111"/>
          <w:sz w:val="28"/>
          <w:sz w:val="28"/>
          <w:szCs w:val="28"/>
          <w:rtl w:val="true"/>
          <w:lang w:bidi="fa-IR"/>
        </w:rPr>
        <w:t>نیست جز عشق احد، سر خیلِ من</w:t>
      </w:r>
    </w:p>
    <w:p>
      <w:pPr>
        <w:pStyle w:val="BookText"/>
        <w:rPr/>
      </w:pPr>
      <w:r>
        <w:rPr>
          <w:rFonts w:ascii="IRNazanin" w:hAnsi="IRNazanin" w:eastAsia="IRNazanin"/>
          <w:color w:val="111111"/>
          <w:sz w:val="28"/>
          <w:sz w:val="28"/>
          <w:szCs w:val="28"/>
          <w:rtl w:val="true"/>
          <w:lang w:bidi="fa-IR"/>
        </w:rPr>
        <w:t>خشم بر شاهان، شه و ما را، غلام</w:t>
      </w:r>
    </w:p>
    <w:p>
      <w:pPr>
        <w:pStyle w:val="BookText"/>
        <w:rPr/>
      </w:pPr>
      <w:r>
        <w:rPr>
          <w:rFonts w:ascii="IRNazanin" w:hAnsi="IRNazanin" w:eastAsia="IRNazanin"/>
          <w:color w:val="111111"/>
          <w:sz w:val="28"/>
          <w:sz w:val="28"/>
          <w:szCs w:val="28"/>
          <w:rtl w:val="true"/>
          <w:lang w:bidi="fa-IR"/>
        </w:rPr>
        <w:t>خشم را هم بسته ام زیر لِگام</w:t>
      </w:r>
    </w:p>
    <w:p>
      <w:pPr>
        <w:pStyle w:val="BookText"/>
        <w:rPr/>
      </w:pPr>
      <w:r>
        <w:rPr>
          <w:rFonts w:ascii="IRNazanin" w:hAnsi="IRNazanin" w:eastAsia="IRNazanin"/>
          <w:color w:val="111111"/>
          <w:sz w:val="28"/>
          <w:sz w:val="28"/>
          <w:szCs w:val="28"/>
          <w:rtl w:val="true"/>
          <w:lang w:bidi="fa-IR"/>
        </w:rPr>
        <w:t>تیغ حِلْمم، گردن خشمم زده است</w:t>
      </w:r>
    </w:p>
    <w:p>
      <w:pPr>
        <w:pStyle w:val="BookText"/>
        <w:rPr/>
      </w:pPr>
      <w:r>
        <w:rPr>
          <w:rFonts w:ascii="IRNazanin" w:hAnsi="IRNazanin" w:eastAsia="IRNazanin"/>
          <w:color w:val="111111"/>
          <w:sz w:val="28"/>
          <w:sz w:val="28"/>
          <w:szCs w:val="28"/>
          <w:rtl w:val="true"/>
          <w:lang w:bidi="fa-IR"/>
        </w:rPr>
        <w:t>خشم حق بر من چو رحمت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درآمد در میان غیر خدا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تیغ را اندر میان کردن سزا </w:t>
      </w:r>
      <w:bookmarkStart w:id="255" w:name="pg3603_20978"/>
    </w:p>
    <w:p>
      <w:pPr>
        <w:pStyle w:val="Heading5"/>
        <w:numPr>
          <w:ilvl w:val="4"/>
          <w:numId w:val="1"/>
        </w:numPr>
        <w:rPr/>
      </w:pPr>
      <w:bookmarkStart w:id="256" w:name="__RefHeading___Toc4168885_2749589250"/>
      <w:bookmarkStart w:id="257" w:name="_Toc97"/>
      <w:bookmarkEnd w:id="255"/>
      <w:bookmarkEnd w:id="256"/>
      <w:r>
        <w:rPr>
          <w:rtl w:val="true"/>
        </w:rPr>
        <w:t>علی علیه السلام؛ الگوی تسامح اخلاقی</w:t>
      </w:r>
      <w:bookmarkEnd w:id="257"/>
    </w:p>
    <w:p>
      <w:pPr>
        <w:pStyle w:val="BookText"/>
        <w:rPr/>
      </w:pPr>
      <w:r>
        <w:rPr>
          <w:rFonts w:ascii="IRNazanin" w:hAnsi="IRNazanin" w:eastAsia="IRNazanin"/>
          <w:color w:val="111111"/>
          <w:sz w:val="28"/>
          <w:sz w:val="28"/>
          <w:szCs w:val="28"/>
          <w:rtl w:val="true"/>
          <w:lang w:bidi="fa-IR"/>
        </w:rPr>
        <w:t>علی علیه السلام ؛ الگوی تسامح اخلاقی</w:t>
      </w:r>
    </w:p>
    <w:p>
      <w:pPr>
        <w:pStyle w:val="BookText"/>
        <w:rPr/>
      </w:pPr>
      <w:r>
        <w:rPr>
          <w:rFonts w:ascii="IRNazanin" w:hAnsi="IRNazanin" w:eastAsia="IRNazanin"/>
          <w:color w:val="111111"/>
          <w:sz w:val="28"/>
          <w:sz w:val="28"/>
          <w:szCs w:val="28"/>
          <w:rtl w:val="true"/>
          <w:lang w:bidi="fa-IR"/>
        </w:rPr>
        <w:t>علی علیه السلام همان گونه که الگوی شجاعت و مبارزه و جهاد است، الگوی تسامح و عفو و گذشت نیز هست و البته الگوی غیرت دینی، حق باوری، قاطعیت و ارزش مداری 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عَمرو را عفو می کند و هم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پای خودش در میان است، عمرو را می بخشد و آن جا که دستور خدایش فرا روی اوست، عمرو را سر می برد و بر آن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باید این سخن علی علیه السلام را از زبان مولانا تکرار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تیغ از پی حق می زنم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ی حقّم، نه مأمور تنم </w:t>
      </w:r>
      <w:bookmarkStart w:id="258" w:name="pg3603_20979"/>
    </w:p>
    <w:p>
      <w:pPr>
        <w:pStyle w:val="Heading3"/>
        <w:numPr>
          <w:ilvl w:val="2"/>
          <w:numId w:val="1"/>
        </w:numPr>
        <w:rPr/>
      </w:pPr>
      <w:bookmarkStart w:id="259" w:name="__RefHeading___Toc4168887_2749589250"/>
      <w:bookmarkStart w:id="260" w:name="_Toc98"/>
      <w:bookmarkEnd w:id="258"/>
      <w:bookmarkEnd w:id="259"/>
      <w:r>
        <w:rPr>
          <w:rtl w:val="true"/>
        </w:rPr>
        <w:t>فصل سوم ـ امام علی علیه السلام و تساهل سیاسی</w:t>
      </w:r>
      <w:bookmarkEnd w:id="260"/>
    </w:p>
    <w:p>
      <w:pPr>
        <w:pStyle w:val="Heading4"/>
        <w:numPr>
          <w:ilvl w:val="3"/>
          <w:numId w:val="1"/>
        </w:numPr>
        <w:rPr/>
      </w:pPr>
      <w:bookmarkStart w:id="261" w:name="__RefHeading___Toc4168889_2749589250"/>
      <w:bookmarkStart w:id="262" w:name="_Toc99"/>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فصل سوم ـ امام علی علیه السلام و تساهل سیاسی</w:t>
      </w:r>
    </w:p>
    <w:p>
      <w:pPr>
        <w:pStyle w:val="BookText"/>
        <w:rPr/>
      </w:pPr>
      <w:r>
        <w:rPr>
          <w:rFonts w:ascii="IRNazanin" w:hAnsi="IRNazanin" w:eastAsia="IRNazanin"/>
          <w:color w:val="111111"/>
          <w:sz w:val="28"/>
          <w:sz w:val="28"/>
          <w:szCs w:val="28"/>
          <w:rtl w:val="true"/>
          <w:lang w:bidi="fa-IR"/>
        </w:rPr>
        <w:t xml:space="preserve">چون تساهل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فروگذاردن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تساهل سیاسی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اظهار نظر گروه ها، احزاب، دسته جاتِ گوناگون و افراد جامعه نسبت به مسایل سیاسی و شیوه ی اداره ی حکومت و نیز انتقاد از عملکردِ مسؤولان و حاکمانِ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تساهل سیاسی را در بردارنده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مخالفِ سیاسی و همکاری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آوریم که از دو دیدگاه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دیدگاه حاکم؛ که با شهروندانِ مخالفِ خود، مدارا و تساهل دارد و مخالفت و اعتراضِ انان را بر می تابد و آنان را به خاطر مخالفت شان، از حقوق شهروندی محروم نمی کند، و دیگری از دیدگاه شهروندان؛ که با وجود اختلاف بینش و سلیقه با حاکم و بر خطا دانستن او در خط مشی ها و تصمیم گیری ها، با او تساهل می کنند و برای حفظ مصلحت کشور و برقرار ماندن نظم عمومی، از هم دلی و هم راهی و خیرخواهی او دریغ نمی کنند و توانِ خود را در اختیار مدیریتِ اجرایی حاکم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علی علیه السلام چنین آزادی هایی را می پذیرفت و برای مردم و گروه های سیاسی، حق مخالفت قایل بود؟ آیا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سکوت و گوشه نشینیِ خود با حاکمانی که از دیدگاه او، شایسته نبودند وخود را از آن ها شایسته تر می دانست، مدارا کرد؟ آیا در حکومت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خود به شهروندان، حقّ مخالفت داد و آنان را از حقوق شهروندی محروم نکرد؟ آیا در برابر انتقاد و خرده گیری مردم، صبور و خویشتن دار بود و سخن اعتراض آمیز آنان را با وجود قدرت بر تأدیب و تعقیب، با تحمّل و بردباری می شنید؟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پرسش های یاد شده، پس از مراجعه به متون تاریخی و بررسی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پرفراز و نشیب آن حضرت پس از رحلت پیامبر گرامی اسلام، مثبت است</w:t>
      </w:r>
      <w:r>
        <w:rPr>
          <w:rFonts w:eastAsia="IRNazanin" w:cs="IRNazanin"/>
          <w:color w:val="111111"/>
          <w:sz w:val="28"/>
          <w:szCs w:val="28"/>
          <w:rtl w:val="true"/>
          <w:lang w:bidi="fa-IR"/>
        </w:rPr>
        <w:t xml:space="preserve">. </w:t>
      </w:r>
      <w:bookmarkStart w:id="263" w:name="pg3603_20980"/>
    </w:p>
    <w:p>
      <w:pPr>
        <w:pStyle w:val="BookText"/>
        <w:rPr/>
      </w:pPr>
      <w:bookmarkEnd w:id="263"/>
      <w:r>
        <w:rPr>
          <w:rFonts w:ascii="IRNazanin" w:hAnsi="IRNazanin" w:eastAsia="IRNazanin"/>
          <w:color w:val="111111"/>
          <w:sz w:val="28"/>
          <w:sz w:val="28"/>
          <w:szCs w:val="28"/>
          <w:rtl w:val="true"/>
          <w:lang w:bidi="fa-IR"/>
        </w:rPr>
        <w:t>بنابراین، با قوت و قاطعیت می توان امام علی علیه السلام را اهل تساهل سیاسی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تساهل از ظرفیّت بالای امام علی علیه السلام ریشه می گرفت، نه این که حقیقت نزد او مبهم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تساهل سیاسی در سیره ی امام علی علیه السلام را با تساهلِ سیاسیِ غرب که بر ناتوانی انسان از دست یابی به حقیقت و برداشتن مرز میان حق و باطل و نسبی گرایی و پلورالیسم مبتنی است، متفاوت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امام علی علیه السلام خود را به دلیل فضایل و کمالاتی که در خود می دید و پاره ای از آن ها، هم چون علم غیب و عصمت و نصب از سوی پیامبر، امری الهی و قُدسی و دور از دستِ بشر بود، بر حق می دانست و مخالفانِ خود را چه در دوره 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ی سکوت و چه در مقطع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ی زمام داری، بر باطل می شمرد؛ ولی برای مصلحت امّت اسلامی، حفظ وحدت جامعه و حرمت نهادن به آزادی انسان در پیمودن راه حق یا باطل، با آنان مدارا می کرد و تساهل می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مراجعه به گفتار و کردار آن حضرت، به بررسی تساهل سیاسی در بینش و روش امام علی علیه السلام در دو گفتار جداگانه می پردازیم</w:t>
      </w:r>
      <w:r>
        <w:rPr>
          <w:rFonts w:eastAsia="IRNazanin" w:cs="IRNazanin"/>
          <w:color w:val="111111"/>
          <w:sz w:val="28"/>
          <w:szCs w:val="28"/>
          <w:rtl w:val="true"/>
          <w:lang w:bidi="fa-IR"/>
        </w:rPr>
        <w:t>:</w:t>
      </w:r>
    </w:p>
    <w:p>
      <w:pPr>
        <w:pStyle w:val="Heading4"/>
        <w:numPr>
          <w:ilvl w:val="3"/>
          <w:numId w:val="1"/>
        </w:numPr>
        <w:rPr/>
      </w:pPr>
      <w:bookmarkStart w:id="264" w:name="__RefHeading___Toc4168891_2749589250"/>
      <w:bookmarkStart w:id="265" w:name="_Toc100"/>
      <w:bookmarkEnd w:id="264"/>
      <w:r>
        <w:rPr>
          <w:rtl w:val="true"/>
        </w:rPr>
        <w:t>گفتار اوّل</w:t>
      </w:r>
      <w:r>
        <w:rPr>
          <w:rtl w:val="true"/>
        </w:rPr>
        <w:t xml:space="preserve">: </w:t>
      </w:r>
      <w:r>
        <w:rPr>
          <w:rtl w:val="true"/>
        </w:rPr>
        <w:t>تساهل سیاسی در بینش امام علی علیه السلام</w:t>
      </w:r>
      <w:bookmarkEnd w:id="265"/>
    </w:p>
    <w:p>
      <w:pPr>
        <w:pStyle w:val="Heading5"/>
        <w:numPr>
          <w:ilvl w:val="4"/>
          <w:numId w:val="1"/>
        </w:numPr>
        <w:rPr/>
      </w:pPr>
      <w:bookmarkStart w:id="266" w:name="__RefHeading___Toc4168893_2749589250"/>
      <w:bookmarkStart w:id="267" w:name="_Toc101"/>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سیاسی در بینش امام علی علیه السلام</w:t>
      </w:r>
    </w:p>
    <w:p>
      <w:pPr>
        <w:pStyle w:val="BookText"/>
        <w:rPr/>
      </w:pPr>
      <w:r>
        <w:rPr>
          <w:rFonts w:ascii="IRNazanin" w:hAnsi="IRNazanin" w:eastAsia="IRNazanin"/>
          <w:color w:val="111111"/>
          <w:sz w:val="28"/>
          <w:sz w:val="28"/>
          <w:szCs w:val="28"/>
          <w:rtl w:val="true"/>
          <w:lang w:bidi="fa-IR"/>
        </w:rPr>
        <w:t>امام علی علیه السلام، هیچ گاه به شیوه ی جباران و ستم گران، دهان مخالف را نمی بندد و راه انتقاد و اعتراض را مسدود نمی کند، بلکه مردم را از چاپلوسی باز می دارد و به ابراز نظر و انتقاد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نهج البلاغه، به چند نمونه اشاره می کنیم</w:t>
      </w:r>
      <w:r>
        <w:rPr>
          <w:rFonts w:eastAsia="IRNazanin" w:cs="IRNazanin"/>
          <w:color w:val="111111"/>
          <w:sz w:val="28"/>
          <w:szCs w:val="28"/>
          <w:rtl w:val="true"/>
          <w:lang w:bidi="fa-IR"/>
        </w:rPr>
        <w:t>:</w:t>
      </w:r>
    </w:p>
    <w:p>
      <w:pPr>
        <w:pStyle w:val="Heading5"/>
        <w:numPr>
          <w:ilvl w:val="4"/>
          <w:numId w:val="1"/>
        </w:numPr>
        <w:rPr/>
      </w:pPr>
      <w:bookmarkStart w:id="268" w:name="__RefHeading___Toc4168895_2749589250"/>
      <w:bookmarkStart w:id="269" w:name="_Toc102"/>
      <w:bookmarkEnd w:id="268"/>
      <w:r>
        <w:rPr/>
        <w:t>1</w:t>
      </w:r>
      <w:r>
        <w:rPr>
          <w:rtl w:val="true"/>
        </w:rPr>
        <w:t xml:space="preserve"> </w:t>
      </w:r>
      <w:r>
        <w:rPr>
          <w:rtl w:val="true"/>
        </w:rPr>
        <w:t>ـ بازداشتن مردم از ستایش و ثناگویی خود</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بازداشتن مردم از ستایش و ثناگویی خود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در خطبه 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ـ که بنا بر گفته ی سید رضی، آن را در صفّین ایراد کرده است ـ مردم را از ثناگویی حاکمان باز می دارد و از پنهان کردن حقایق به دلیل ترس از تعقیب حاکم،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می دارد که خودِ او نیز دوست ندارد مردم او را بستایند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آن حضرت چنین است</w:t>
      </w:r>
      <w:r>
        <w:rPr>
          <w:rFonts w:eastAsia="IRNazanin" w:cs="IRNazanin"/>
          <w:color w:val="111111"/>
          <w:sz w:val="28"/>
          <w:szCs w:val="28"/>
          <w:rtl w:val="true"/>
          <w:lang w:bidi="fa-IR"/>
        </w:rPr>
        <w:t xml:space="preserve">: </w:t>
      </w:r>
      <w:bookmarkStart w:id="270" w:name="pg3603_20981"/>
    </w:p>
    <w:p>
      <w:pPr>
        <w:pStyle w:val="BookText"/>
        <w:rPr/>
      </w:pPr>
      <w:bookmarkEnd w:id="2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أَسْخَفِ عادات الوُلاةِ عِنْدَ صالِحِ النّاس أَنْ یَظُنَّ بِهِمْ حُبُّ الفَخْرِ، و یوضَعُ أمْرُهم علی الکِبْرِ، و قد کَرِهْتُ أَنْ یکونَ جالَ فی ظَنِّکُمْ أَنّی أُحِبُّ الإطْراءَ، و اسِْتماعَ الثَّناءِ، و لَسْتُ بِحَمْد اللّه کذلک، و لو کُنْتُ أُحِبُّ أَنْ یُقالَ ذلکَ لَتَرَکْتُه اِنْحِطاطا لِلّهِ سُبْحانَه عَنْ تناوُلِ ما هُوَ أَحَقُّ به مِنَ العَظَمةِ و الکبریاءِ، و رُبَّما اسْتَحْلیَ النّاسُ الثَّناءَ بَعْدَ البَلاءِ، فلا تَثْنُوا عَلَیَّ بِجَمیلِ ثَناءٍ لِإخراجی نَفْسی إلَی اللّهِ و إِلَیْکُمْ من التَّقیَّةِ فی حقوقٍ لَمْ أَفْرُغْ من أدائِها، و فَرائِضَ لابُدَّ مِنْ اِمْضائِها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سخیف ترین و پست ترین حالت های والیان نزد مردم صالح، این است که مردم پندارند که آنان دوستدار فخر و مباهات اند و بنای کار خود، بر کبر و غرور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ناخوش دارم که در پندار شما چنین آید که من خواهان ثنا و ستایشم و سپاس خدا را، که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دوست می داشتم که ثنایم کنند، آن را به سبب فروتنی در برابر پروردگارم ترک می کردم؛ زیرا تنها اوست که سزاوار عظمت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مردم پس از انجام کار مهمّی، دوست داشته باشند ستایش شوند، ولی مرا به نیکی مَستایید؛ زیرا هنوز حقوقی ا ست که ادایشان نکرده ام و وظایفی بر عهده ی من است که باید به انجام رسانم</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71" w:name="__RefHeading___Toc4168897_2749589250"/>
      <w:bookmarkStart w:id="272" w:name="_Toc103"/>
      <w:bookmarkEnd w:id="271"/>
      <w:r>
        <w:rPr/>
        <w:t>2</w:t>
      </w:r>
      <w:r>
        <w:rPr>
          <w:rtl w:val="true"/>
        </w:rPr>
        <w:t xml:space="preserve"> </w:t>
      </w:r>
      <w:r>
        <w:rPr>
          <w:rtl w:val="true"/>
        </w:rPr>
        <w:t>ـ تشویق مردم به حق گویی در برابر حاکم</w:t>
      </w:r>
      <w:bookmarkEnd w:id="27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تشویق مردم به حق گویی در برابر حاکم</w:t>
      </w:r>
    </w:p>
    <w:p>
      <w:pPr>
        <w:pStyle w:val="BookText"/>
        <w:rPr/>
      </w:pPr>
      <w:r>
        <w:rPr>
          <w:rFonts w:ascii="IRNazanin" w:hAnsi="IRNazanin" w:eastAsia="IRNazanin"/>
          <w:color w:val="111111"/>
          <w:sz w:val="28"/>
          <w:sz w:val="28"/>
          <w:szCs w:val="28"/>
          <w:rtl w:val="true"/>
          <w:lang w:bidi="fa-IR"/>
        </w:rPr>
        <w:t xml:space="preserve">علی علیه السلام در ادامه ی خطبه ی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مردم را از مقایسه ی خود با حاکمان ستم گر و محافظه کاری و ظاهرسازی باز می دارد و تصریح می کند که شنیدن سخن حق بر من 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گفتن آن چه حق می دانید، دریغ نکنید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تُکَلِّمونی بما تُکَلَّمُ به الجَبابِرَةُ، و لا تَتَحفَّظوا منّی بما یُتَحَفَّظُ به عِنْدَ أَهْل البادِرَةِ و لا </w:t>
      </w:r>
      <w:bookmarkStart w:id="273" w:name="pg3603_20982"/>
    </w:p>
    <w:p>
      <w:pPr>
        <w:pStyle w:val="BookText"/>
        <w:rPr/>
      </w:pPr>
      <w:bookmarkEnd w:id="273"/>
      <w:r>
        <w:rPr>
          <w:rFonts w:ascii="Amiri" w:hAnsi="Amiri" w:eastAsia="Amiri" w:cs="Amiri"/>
          <w:color w:val="111111"/>
          <w:sz w:val="28"/>
          <w:sz w:val="28"/>
          <w:szCs w:val="28"/>
          <w:rtl w:val="true"/>
          <w:lang w:bidi="ar-SA"/>
        </w:rPr>
        <w:t>تخالِطُونی بالمُصانَعَةِ، و لا تَظُنُّوا بی اِسْتِثْقالاً فی حَقٍّ قیلَ لی، و لا التماسَ إعْظامٍ لِنَفْسی، فَإِنَّهَ مَنِ استثقَلَ الحَقَّ أَنْ یُقال لَهُ، اَوِ العَدْلُ أَنْ یُعْرَضَ عَلَیْهِ کانَ العَمَلُ بهما أَثْقَلَ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سان که با جباران سخن می گویند، با من سخن مگویید، و از من، آن چه را از مردمِ خشمگین به هنگام خشم پنهان می دارند، پنهان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چاپلوسی و تَمَلُّق با من آمیزش نکنید و مپندارید که گفتن حق بر من گران می آید و یا از کسی می خواهم مرا تجلیل و تعظیم کند؛ زیرا هرکه شنیدن سخن حق بر او گران و سنگین است یا نتواند اندرز کسی را در باب عدالت بشنود، عمل کردن به حق و عدالت بر او دشوارتر خواهد بود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امیر مؤمنان علی علیه السلام در این سخنان، از مردم می خواهد که با او چاپلوسانه و سازش کارانه رفتار نکنند و سخن حق را بی پروا بگویند و آن چه را درست و عدل می دانند، اظهار کنند تا هیچ حجابی میان مردم و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صدور چنین دستوری، پی آمدهای به ظاهر تلخی برای آن حضرت خواهد داشت؛ زیرا با اعطای آزادی به مردم در انتقاد و بیان دیدگاه ها، همیشه چنان نیست که صاحبانِ نظرهای درست به سخن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که می پندارند عملکردِ امام نادرست است، لب به اعتراض بگشایند و سخن خود را که مطابق با واقع نیست، امّا آن را منطبق با حقیقت می دانند، با آمیزه ای از خشم و خشونت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حاکم اسلامی باید تحمّل شنیدن چنین انتقادهای نابجایی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باید خود را برای تغییر شیوه ی خویش، پس از شنیدن انتقاداتِ بجا، آماده سازد</w:t>
      </w:r>
      <w:r>
        <w:rPr>
          <w:rFonts w:eastAsia="IRNazanin" w:cs="IRNazanin"/>
          <w:color w:val="111111"/>
          <w:sz w:val="28"/>
          <w:szCs w:val="28"/>
          <w:rtl w:val="true"/>
          <w:lang w:bidi="fa-IR"/>
        </w:rPr>
        <w:t>.</w:t>
      </w:r>
    </w:p>
    <w:p>
      <w:pPr>
        <w:pStyle w:val="Heading5"/>
        <w:numPr>
          <w:ilvl w:val="4"/>
          <w:numId w:val="1"/>
        </w:numPr>
        <w:rPr/>
      </w:pPr>
      <w:bookmarkStart w:id="274" w:name="__RefHeading___Toc4168899_2749589250"/>
      <w:bookmarkStart w:id="275" w:name="_Toc104"/>
      <w:bookmarkEnd w:id="274"/>
      <w:r>
        <w:rPr/>
        <w:t>3</w:t>
      </w:r>
      <w:r>
        <w:rPr>
          <w:rtl w:val="true"/>
        </w:rPr>
        <w:t xml:space="preserve"> </w:t>
      </w:r>
      <w:r>
        <w:rPr>
          <w:rtl w:val="true"/>
        </w:rPr>
        <w:t>ـ پذیرش احتمال خطا در کار خویش</w:t>
      </w:r>
      <w:bookmarkEnd w:id="27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پذیرش احتمال خطا در کار خویش </w:t>
      </w:r>
    </w:p>
    <w:p>
      <w:pPr>
        <w:pStyle w:val="BookText"/>
        <w:rPr/>
      </w:pPr>
      <w:r>
        <w:rPr>
          <w:rFonts w:ascii="IRNazanin" w:hAnsi="IRNazanin" w:eastAsia="IRNazanin"/>
          <w:color w:val="111111"/>
          <w:sz w:val="28"/>
          <w:sz w:val="28"/>
          <w:szCs w:val="28"/>
          <w:rtl w:val="true"/>
          <w:lang w:bidi="fa-IR"/>
        </w:rPr>
        <w:t>امام علی علیه السلام برای آن که مردم را در بیان انتقادهای خویش تشویق کند، توضیح می دهد که حاکم، اصولاً انسان است و انسان، به دلیل جنبه ی انسان بودن خود، جایزالخطاست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حتّی خودش را که از قوّه ی عصمت برخوردار است و به اعتقاد شیعه، با عنایت الهی از خطا در رفتار و گفتار و اندیشه مصون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ز این قاعده برکنار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می شود که اگر خداوند، او را از خطا نگه ندارد، به دلیل جنبه ی انسانی، پایش خواهد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حالی چنین سخن می گوید که ممکن است گروهی از شیعیان، هرگونه انتقادی را به امام، مخالفت با حکم ولیّ معصوم و درواقع، مخالفت با حکم خدا بدانند و قایل به وجوبِ تعبّد مطلق در برابر سخنان و فرامین امام علیه السلام در مسایل حکومتی و اجرایی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ی زمام داری علی علیه السلام نشان می دهد که آن حضرت هیچ گاه با تکیه بر اتّصال خود به غیب و جهان ماوراء طبیعت یا برخورداری از عصمت، مردم را از خرده گیری بر کار خویش، منع نکرد وی با کمالِ بزرگی، انتقاد آنان را می شنید 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یارانش، قصد تعرّض و مزاحمت برای شخص منتقد داشتند، آنان را از این کار نهی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این قبیل را در گفتار بعدی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پایان خطبه 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با درخواست مشورت از مردم، خود را انتقادپذیر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تَکُفُّوا عَنْ مَقالةٍ بِحقٍّ أَوْ مَشْوِرَةٍ بِعَدْلٍ، فَإِنّی لَسْتُ فی نَفْسی بِفَوْقِ أَنْ أُخْطِی ءَ، و لا آمَنُ ذلک مِنْ فِعْلی، إِلّا أَنْ یَکْفِیَ اللّهُ مِنْ نَفْسی ما هُوَ أَمْلَکُ به مِنّی، فَإنَّما أَنَا و أَنْتُمْ عبیدٌ مملوکونَ لِرَبٍّ لا رَبَّ غَیْرُهُ، یَمْلِکُ منّا مالا تَمْلِکُ من أَنْفُسِنا و أَخْرَجَنا مِمّا کُنّا فیه إلی ما صَلَحْنا علیه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گفتن حقّ یا ابراز نظر عادلانه در برابر من خودداری نکنید؛ زیرا من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نمی دانم که اشتباه نکنم، و در کردار خویش از خطا ایمِن نیستم، مگر آن که خدا مرا در کار نفس کفایت کند؛ زیرا از من بر آن 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بندگانی هستیم در قبضه ی قدرت خدایی که پروردگاری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صاحب </w:t>
      </w:r>
    </w:p>
    <w:p>
      <w:pPr>
        <w:pStyle w:val="BookText"/>
        <w:rPr/>
      </w:pPr>
      <w:r>
        <w:rPr>
          <w:rFonts w:ascii="IRNazanin" w:hAnsi="IRNazanin" w:eastAsia="IRNazanin"/>
          <w:color w:val="111111"/>
          <w:sz w:val="28"/>
          <w:sz w:val="28"/>
          <w:szCs w:val="28"/>
          <w:rtl w:val="true"/>
          <w:lang w:bidi="fa-IR"/>
        </w:rPr>
        <w:t>اختیار ماست در آن چه خود بدان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ما را از آن چه در آن غوطه وریم، بیرون می کشد و به راهی که صلاح ما در آن است، می برد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این سخن امیر مؤمنان علی علیه السلام را از یک دیدگاه می توان به سخن حضرت یوسف علیه السلام تشبیه کرد که بنا بر نقل قرآن کریم، اعتقادش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اُبَرِّءُ نفسی، إِنَّ النَّفْسَ لَأَمّارةٌ بالسُّوءِ اِلّا ما رَحِمَ ربّی</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من هرگز خودم را تبرئه نمی کنم؛ زیرا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بدی ها بسیار امر می کند مگر آن چه را پروردگارم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را با دلایل قطعی خودمان بر عصمت انبیا جمع کنیم، حاصل آن چنین می شود که حضرت یوسف علیه السلام نمی خواهد بگوید من گناه می کنم، بلکه خواسته بگوید اگر رحمتِ مخصوص پروردگار به من نباشد، بدون چنین پشتوانه ای جایزالخطا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نمی خواهد بگوید من در کارم، خطا می کنم، بلکه می خواهد بگوید اگر خدا مرا کفایت نکند و لطف مخصوصِ او شامل حالم نَشود، خطا در کردار و گفتارم راه خواهد یافت، ولی چون تأیید الهی همراه من است، از خطا به دور هستم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علی علیه السلام از مردم می خواهد او را به عنوان یک انسان عادی و غیر معصوم در نظر بگیرند و انتقادهای به حق خود را در حضورش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آن است که طرح نقص ها و بیان اعتراض ها، مایه ی آسایش روحی مردم و احساس پیوستگی بیشتر با حاکمان را فراهم خواهد کرد وگرنه با فرض عصمت امام، اعتراض ها و پیشنهادهای مردم نمی تواند واقعیت را برای او روشن تر کند</w:t>
      </w:r>
      <w:r>
        <w:rPr>
          <w:rFonts w:eastAsia="IRNazanin" w:cs="IRNazanin"/>
          <w:color w:val="111111"/>
          <w:sz w:val="28"/>
          <w:szCs w:val="28"/>
          <w:rtl w:val="true"/>
          <w:lang w:bidi="fa-IR"/>
        </w:rPr>
        <w:t xml:space="preserve">. </w:t>
      </w:r>
      <w:bookmarkStart w:id="276" w:name="pg3603_20985"/>
    </w:p>
    <w:p>
      <w:pPr>
        <w:pStyle w:val="Heading5"/>
        <w:numPr>
          <w:ilvl w:val="4"/>
          <w:numId w:val="1"/>
        </w:numPr>
        <w:rPr/>
      </w:pPr>
      <w:bookmarkStart w:id="277" w:name="__RefHeading___Toc4168901_2749589250"/>
      <w:bookmarkStart w:id="278" w:name="_Toc105"/>
      <w:bookmarkEnd w:id="276"/>
      <w:bookmarkEnd w:id="277"/>
      <w:r>
        <w:rPr/>
        <w:t>4</w:t>
      </w:r>
      <w:r>
        <w:rPr>
          <w:rtl w:val="true"/>
        </w:rPr>
        <w:t xml:space="preserve"> </w:t>
      </w:r>
      <w:r>
        <w:rPr>
          <w:rtl w:val="true"/>
        </w:rPr>
        <w:t>ـ توصیه به کارگزاران خود در ترک خودکامگی و دیکتاتوری</w:t>
      </w:r>
      <w:bookmarkEnd w:id="27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توصیه به کارگزاران خود در ترک خودکامگی و دیکتاتوری</w:t>
      </w:r>
    </w:p>
    <w:p>
      <w:pPr>
        <w:pStyle w:val="BookText"/>
        <w:rPr/>
      </w:pPr>
      <w:r>
        <w:rPr>
          <w:rFonts w:ascii="IRNazanin" w:hAnsi="IRNazanin" w:eastAsia="IRNazanin"/>
          <w:color w:val="111111"/>
          <w:sz w:val="28"/>
          <w:sz w:val="28"/>
          <w:szCs w:val="28"/>
          <w:rtl w:val="true"/>
          <w:lang w:bidi="fa-IR"/>
        </w:rPr>
        <w:t>امام علی علیه السلام، به مأموران و کارگزاران خود دستور می دهد که در محدوده ی مسؤولیت خویش، از خودرأیی و خودکامگی که حاصل کبر و غرور و خودپسندی است،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به معنی باز کردن گوش کارگزاران برای شنیدن سخنِ منتقدان و مخالفان است که نتیجه ی آن، تساهل سیاسی، به معنیِ رعایت حقِ مخالف در مخالفتِ خود با حاکمان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خطاب به مالک اشتر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مُؤَمَّرٌ آمُرُ فَأُطاعُ، فإنَّ ذلک ادغالٌ فی القلب، و مَنْهَکَةٌ لِلدّین، و تَقَرُّبٌ مِنَ الغِیَرِ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أَحْدَثَ لَکَ ما أنْتَ فیه مِنْ سُلْطانِک أُبَّهَةً أَوْ مَخیلَةً، فَانْظُرْ إلی عِظَمِ مُلْکِ اللّهِ فوقَکَ، و قُدْرَتِه منکَ علی مالا تَقْدِرُ علیه مِنْ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مگو من مأمورم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اوضاع مُسَلَّطم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می کنم و باید اطاعت شود؛ زیرا این سبب دخول فساد در قلب، خرابی دین و نزدیک شدن تغییر و تحوّل در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اثر موقعیت و قدرتی که در اختیار داری، کبر و عُجب و خودپسندی در تو پدید آید، به عظمت قدرت و ملک خداوند که مافوق توست، نظر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تو را از آن سرکشی پایین می آورد</w:t>
      </w:r>
      <w:r>
        <w:rPr>
          <w:rFonts w:eastAsia="IRNazanin" w:cs="IRNazanin"/>
          <w:color w:val="111111"/>
          <w:sz w:val="28"/>
          <w:szCs w:val="28"/>
          <w:rtl w:val="true"/>
          <w:lang w:bidi="fa-IR"/>
        </w:rPr>
        <w:t>...</w:t>
      </w:r>
      <w:r>
        <w:rPr>
          <w:rStyle w:val="FootnoteAnchor"/>
          <w:rtl w:val="true"/>
        </w:rPr>
        <w:footnoteReference w:id="14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به همراه سفارش های آن حضرت درباره ی مشورت حاکم با کارشناسان از یک سو،</w:t>
      </w:r>
      <w:r>
        <w:rPr>
          <w:rStyle w:val="FootnoteAnchor"/>
          <w:rtl w:val="true"/>
        </w:rPr>
        <w:footnoteReference w:id="143"/>
      </w:r>
      <w:r>
        <w:rPr>
          <w:rFonts w:ascii="IRNazanin" w:hAnsi="IRNazanin" w:eastAsia="IRNazanin"/>
          <w:color w:val="111111"/>
          <w:sz w:val="28"/>
          <w:sz w:val="28"/>
          <w:szCs w:val="28"/>
          <w:rtl w:val="true"/>
          <w:lang w:bidi="fa-IR"/>
        </w:rPr>
        <w:t xml:space="preserve">و پرهیز از در پرده بودن و دور از دسترس مردم قرار گرفتن از سوی دیگر </w:t>
      </w:r>
      <w:bookmarkStart w:id="279" w:name="pg3603_20986"/>
    </w:p>
    <w:p>
      <w:pPr>
        <w:pStyle w:val="BookText"/>
        <w:rPr/>
      </w:pPr>
      <w:bookmarkEnd w:id="279"/>
      <w:r>
        <w:rPr>
          <w:rFonts w:ascii="IRNazanin" w:hAnsi="IRNazanin" w:eastAsia="IRNazanin"/>
          <w:color w:val="111111"/>
          <w:sz w:val="28"/>
          <w:sz w:val="28"/>
          <w:szCs w:val="28"/>
          <w:rtl w:val="true"/>
          <w:lang w:bidi="fa-IR"/>
        </w:rPr>
        <w:t>که سبب غیرواقعی جلوه گر شدن حقایق در نظر او می شود،</w:t>
      </w:r>
      <w:r>
        <w:rPr>
          <w:rStyle w:val="FootnoteAnchor"/>
          <w:rtl w:val="true"/>
        </w:rPr>
        <w:footnoteReference w:id="144"/>
      </w:r>
      <w:r>
        <w:rPr>
          <w:rFonts w:ascii="IRNazanin" w:hAnsi="IRNazanin" w:eastAsia="IRNazanin"/>
          <w:color w:val="111111"/>
          <w:sz w:val="28"/>
          <w:sz w:val="28"/>
          <w:szCs w:val="28"/>
          <w:rtl w:val="true"/>
          <w:lang w:bidi="fa-IR"/>
        </w:rPr>
        <w:t>همگی بیان گر آن است که حاکم باید در برابر مخالفان، تساهل و تحمّل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خویشتن را زیاده از حدّ از چشم رعیّت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روی نشان ندادن به رعایا و ملّت، نوعی از سخت گیری و مایه ی کم دانشی نسبت به چگونگی امور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پرده بودن زمام داران، آنان را از احوال کشور ناآگاه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نزد آنان، کارهای بزرگ، کوچک؛ امور کوچک، بزرگ؛ کار نیک، زشت و کار بد، نیکو جلوه می کند و حق با باطل در هم می آمیزد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80" w:name="__RefHeading___Toc4168903_2749589250"/>
      <w:bookmarkStart w:id="281" w:name="_Toc106"/>
      <w:bookmarkEnd w:id="280"/>
      <w:r>
        <w:rPr/>
        <w:t>5</w:t>
      </w:r>
      <w:r>
        <w:rPr>
          <w:rtl w:val="true"/>
        </w:rPr>
        <w:t xml:space="preserve"> </w:t>
      </w:r>
      <w:r>
        <w:rPr>
          <w:rtl w:val="true"/>
        </w:rPr>
        <w:t>ـ سفارش به گرامی داشتن افراد حق گو</w:t>
      </w:r>
      <w:bookmarkEnd w:id="28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سفارش به گرامی داشتن افراد حق گو</w:t>
      </w:r>
    </w:p>
    <w:p>
      <w:pPr>
        <w:pStyle w:val="BookText"/>
        <w:rPr/>
      </w:pPr>
      <w:r>
        <w:rPr>
          <w:rFonts w:ascii="IRNazanin" w:hAnsi="IRNazanin" w:eastAsia="IRNazanin"/>
          <w:color w:val="111111"/>
          <w:sz w:val="28"/>
          <w:sz w:val="28"/>
          <w:szCs w:val="28"/>
          <w:rtl w:val="true"/>
          <w:lang w:bidi="fa-IR"/>
        </w:rPr>
        <w:t>امام علی علیه السلام، به مالک اشتر سفارش می کند که در ایّام زمام داری خود بر مصر، افرادی را نزد خود مقرّب تر دارد که در گفتن حق، جسورترند و برای رسیدن به مال و مقام، زبان به تملّق نمی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لْیَکُنْ آثَرُهُمْ عِنْدَکَ أَقْوَلَهُمْ بِمُرِّ الحقِّ لَکَ، وَ أَقَلَّهُمْ مُساعَدَةً فیما یکون مِنْکَ ممّا کَرِهَ اللّهُ لِأَوْلیائه، واقِعا ذلِکَ مِنْ هَواکَ حَیثُ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الْصَقْ بِأَهْلِ الوَرَعِ و الصِّدْقِ، ثم رُضْهُمْ عَلی أَنْ لا یُطْروکَ و لا یَبْجَحُوکَ بِباطِلٍ لَمْ تَفْعَلْهُ، فَإِنَّ کَثْرَةَ الإِطْراءِ تُحْدِثُ الزَّهْوَ، و تُدْنی </w:t>
      </w:r>
      <w:bookmarkStart w:id="282" w:name="pg3603_20987"/>
    </w:p>
    <w:p>
      <w:pPr>
        <w:pStyle w:val="BookText"/>
        <w:rPr/>
      </w:pPr>
      <w:bookmarkEnd w:id="282"/>
      <w:r>
        <w:rPr>
          <w:rFonts w:ascii="Amiri" w:hAnsi="Amiri" w:eastAsia="Amiri" w:cs="Amiri"/>
          <w:color w:val="111111"/>
          <w:sz w:val="28"/>
          <w:sz w:val="28"/>
          <w:szCs w:val="28"/>
          <w:rtl w:val="true"/>
          <w:lang w:bidi="ar-SA"/>
        </w:rPr>
        <w:t>مِنَ العِزَّةِ</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سپس از میان مردم، افرادی را نزدِ خود مقدّم دار که در گفتن حقّ از همه صریح تر باشند و در کاری که خدا برای دوستانش نمی پسندد، تو را کمتر یاری و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بر خود آنان موافق میل تو باشد و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ورع و صدق و راستی بپیوند، و آنان را به گونه ای تربیت کن که ستایش بی حدّ از تو نکنند و تو را نسبت به اعمال نادرستی که انجام نداده ای تمجید نکنند؛ زیرا ستایشِ بیش از حدّ، عُجْب و خودپسندی به بار می آورد و انسان را به کبر و غرور نزدیک می سازد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عمل به این دستور، سینه ای گشاده می خواهد تا از شنیدن سخن حق، که چه بسا در آغاز، آن را باطل می داند و گوینده ی آن را به تهمت و افترا متهم می سازد، روی تُرش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تواند در اجرای این دستور موفق باشد که پیوسته احتمال خطا را در اعمال خود، از نظر دور ندارَد و برای مردم و گروه های جامعه، حق مخالفت قایل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خود را تنها وکیلی از جانب مردم برای اداره ی امور می داند که حکومت، ملکِ طلق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سخنان که بیان گر نگرش امام علی علیه السلام درباره ی رابطه ی حاکم و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بینش ایشان ثابت می کند</w:t>
      </w:r>
      <w:r>
        <w:rPr>
          <w:rFonts w:eastAsia="IRNazanin" w:cs="IRNazanin"/>
          <w:color w:val="111111"/>
          <w:sz w:val="28"/>
          <w:szCs w:val="28"/>
          <w:rtl w:val="true"/>
          <w:lang w:bidi="fa-IR"/>
        </w:rPr>
        <w:t>.</w:t>
      </w:r>
    </w:p>
    <w:p>
      <w:pPr>
        <w:pStyle w:val="Heading4"/>
        <w:numPr>
          <w:ilvl w:val="3"/>
          <w:numId w:val="1"/>
        </w:numPr>
        <w:rPr/>
      </w:pPr>
      <w:bookmarkStart w:id="283" w:name="__RefHeading___Toc4168905_2749589250"/>
      <w:bookmarkStart w:id="284" w:name="_Toc107"/>
      <w:bookmarkEnd w:id="283"/>
      <w:r>
        <w:rPr>
          <w:rtl w:val="true"/>
        </w:rPr>
        <w:t>گفتار دوّم</w:t>
      </w:r>
      <w:r>
        <w:rPr>
          <w:rtl w:val="true"/>
        </w:rPr>
        <w:t xml:space="preserve">: </w:t>
      </w:r>
      <w:r>
        <w:rPr>
          <w:rtl w:val="true"/>
        </w:rPr>
        <w:t>تساهل سیاسی در روش امام علی علیه السلام</w:t>
      </w:r>
      <w:bookmarkEnd w:id="284"/>
    </w:p>
    <w:p>
      <w:pPr>
        <w:pStyle w:val="Heading5"/>
        <w:numPr>
          <w:ilvl w:val="4"/>
          <w:numId w:val="1"/>
        </w:numPr>
        <w:rPr/>
      </w:pPr>
      <w:bookmarkStart w:id="285" w:name="__RefHeading___Toc4168907_2749589250"/>
      <w:bookmarkStart w:id="286" w:name="_Toc108"/>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سیاسی در روش امام علی علیه السلام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شاخه های تساهل سیاسی، تحمّل و رفتار مسالمت آمیز با گروه های سیاسی مخالف از سوی حاکم و بالعکس، تحمّل حاکم و زمام دار از سوی گروه های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تساهل سیاسی از دو جهت قابل تصوّر است</w:t>
      </w:r>
      <w:r>
        <w:rPr>
          <w:rFonts w:eastAsia="IRNazanin" w:cs="IRNazanin"/>
          <w:color w:val="111111"/>
          <w:sz w:val="28"/>
          <w:szCs w:val="28"/>
          <w:rtl w:val="true"/>
          <w:lang w:bidi="fa-IR"/>
        </w:rPr>
        <w:t xml:space="preserve">: </w:t>
      </w:r>
      <w:bookmarkStart w:id="287" w:name="pg3603_20988"/>
    </w:p>
    <w:p>
      <w:pPr>
        <w:pStyle w:val="BookText"/>
        <w:rPr/>
      </w:pPr>
      <w:bookmarkEnd w:id="287"/>
      <w:r>
        <w:rPr>
          <w:rFonts w:ascii="IRNazanin" w:hAnsi="IRNazanin" w:eastAsia="IRNazanin"/>
          <w:color w:val="111111"/>
          <w:sz w:val="28"/>
          <w:sz w:val="28"/>
          <w:szCs w:val="28"/>
          <w:rtl w:val="true"/>
          <w:lang w:bidi="fa-IR"/>
        </w:rPr>
        <w:t>الف ـ تساهل حاکم نسبت به شهروندان و به کار نگرفتن قدرت سرکوب گر علیه آنان</w:t>
      </w:r>
    </w:p>
    <w:p>
      <w:pPr>
        <w:pStyle w:val="BookText"/>
        <w:rPr/>
      </w:pPr>
      <w:r>
        <w:rPr>
          <w:rFonts w:ascii="IRNazanin" w:hAnsi="IRNazanin" w:eastAsia="IRNazanin"/>
          <w:color w:val="111111"/>
          <w:sz w:val="28"/>
          <w:sz w:val="28"/>
          <w:szCs w:val="28"/>
          <w:rtl w:val="true"/>
          <w:lang w:bidi="fa-IR"/>
        </w:rPr>
        <w:t>ب ـ تساهل شهروندان مخالف با حاکم رسمی جامعه، هرچند او را نامشروع و عملکرد او را نادرست بپندارند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هر دو فرضِ قضیه، اهل تساهل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پر معنای خویش، به عنوان یک شهروندِ مخالف، از خیرخواهی و مساعدتِ با خلفای سه گانه خودداری نکرد و برای گرفتن آن چه حق خود می دانست، مصالح بزرگ تر جامعه را که حفظ ا منیت و وحدت بود، زیر پا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پرماجرای خویش نیز در نقش حاکم الهی و منتخبِ مردم، با شخصیت های سیاسی مخالف و گروه های منتقد، مدارا کرد و آنان را به صِرْف مخالفت، از حق حیات و سهم بیت المال محروم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مواردی را بر می شماریم</w:t>
      </w:r>
      <w:r>
        <w:rPr>
          <w:rFonts w:eastAsia="IRNazanin" w:cs="IRNazanin"/>
          <w:color w:val="111111"/>
          <w:sz w:val="28"/>
          <w:szCs w:val="28"/>
          <w:rtl w:val="true"/>
          <w:lang w:bidi="fa-IR"/>
        </w:rPr>
        <w:t>.</w:t>
      </w:r>
    </w:p>
    <w:p>
      <w:pPr>
        <w:pStyle w:val="Heading5"/>
        <w:numPr>
          <w:ilvl w:val="4"/>
          <w:numId w:val="1"/>
        </w:numPr>
        <w:rPr/>
      </w:pPr>
      <w:bookmarkStart w:id="288" w:name="__RefHeading___Toc4168909_2749589250"/>
      <w:bookmarkStart w:id="289" w:name="_Toc109"/>
      <w:bookmarkEnd w:id="288"/>
      <w:r>
        <w:rPr>
          <w:rtl w:val="true"/>
        </w:rPr>
        <w:t>الف ـ تساهل علی علیه السلام در دوران سکوت</w:t>
      </w:r>
      <w:bookmarkEnd w:id="289"/>
    </w:p>
    <w:p>
      <w:pPr>
        <w:pStyle w:val="Heading6"/>
        <w:numPr>
          <w:ilvl w:val="5"/>
          <w:numId w:val="1"/>
        </w:numPr>
        <w:rPr/>
      </w:pPr>
      <w:bookmarkStart w:id="290" w:name="__RefHeading___Toc4168911_2749589250"/>
      <w:bookmarkStart w:id="291" w:name="_Toc110"/>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الف ـ تساهل علی علیه السلام در دوران سکوت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امـام علی علیه السلام با وجود آن که خود را منصوب پیامبر اکرم صلی الله علیه و آله برای احراز پست خلافت می دانست</w:t>
      </w:r>
      <w:r>
        <w:rPr>
          <w:rStyle w:val="FootnoteAnchor"/>
          <w:rtl w:val="true"/>
        </w:rPr>
        <w:footnoteReference w:id="148"/>
      </w:r>
      <w:r>
        <w:rPr>
          <w:rFonts w:ascii="IRNazanin" w:hAnsi="IRNazanin" w:eastAsia="IRNazanin"/>
          <w:color w:val="111111"/>
          <w:sz w:val="28"/>
          <w:sz w:val="28"/>
          <w:szCs w:val="28"/>
          <w:rtl w:val="true"/>
          <w:lang w:bidi="fa-IR"/>
        </w:rPr>
        <w:t>و در دانـش و سـابقه ی ایمـان</w:t>
      </w:r>
      <w:r>
        <w:rPr>
          <w:rStyle w:val="FootnoteAnchor"/>
          <w:rtl w:val="true"/>
        </w:rPr>
        <w:footnoteReference w:id="149"/>
      </w:r>
      <w:r>
        <w:rPr>
          <w:rFonts w:ascii="IRNazanin" w:hAnsi="IRNazanin" w:eastAsia="IRNazanin"/>
          <w:color w:val="111111"/>
          <w:sz w:val="28"/>
          <w:sz w:val="28"/>
          <w:szCs w:val="28"/>
          <w:rtl w:val="true"/>
          <w:lang w:bidi="fa-IR"/>
        </w:rPr>
        <w:t>، و جهـاد</w:t>
      </w:r>
      <w:r>
        <w:rPr>
          <w:rStyle w:val="FootnoteAnchor"/>
          <w:rtl w:val="true"/>
        </w:rPr>
        <w:footnoteReference w:id="150"/>
      </w:r>
      <w:r>
        <w:rPr>
          <w:rFonts w:ascii="IRNazanin" w:hAnsi="IRNazanin" w:eastAsia="IRNazanin"/>
          <w:color w:val="111111"/>
          <w:sz w:val="28"/>
          <w:sz w:val="28"/>
          <w:szCs w:val="28"/>
          <w:rtl w:val="true"/>
          <w:lang w:bidi="fa-IR"/>
        </w:rPr>
        <w:t xml:space="preserve">، کسی را از خـود برتـر </w:t>
      </w:r>
    </w:p>
    <w:p>
      <w:pPr>
        <w:pStyle w:val="BookText"/>
        <w:rPr/>
      </w:pPr>
      <w:r>
        <w:rPr>
          <w:rFonts w:ascii="IRNazanin" w:hAnsi="IRNazanin" w:eastAsia="IRNazanin"/>
          <w:color w:val="111111"/>
          <w:sz w:val="28"/>
          <w:sz w:val="28"/>
          <w:szCs w:val="28"/>
          <w:rtl w:val="true"/>
          <w:lang w:bidi="fa-IR"/>
        </w:rPr>
        <w:t>نمی دیـد،</w:t>
      </w:r>
      <w:r>
        <w:rPr>
          <w:rStyle w:val="FootnoteAnchor"/>
          <w:rtl w:val="true"/>
        </w:rPr>
        <w:footnoteReference w:id="151"/>
      </w:r>
      <w:r>
        <w:rPr>
          <w:rFonts w:ascii="IRNazanin" w:hAnsi="IRNazanin" w:eastAsia="IRNazanin"/>
          <w:color w:val="111111"/>
          <w:sz w:val="28"/>
          <w:sz w:val="28"/>
          <w:szCs w:val="28"/>
          <w:rtl w:val="true"/>
          <w:lang w:bidi="fa-IR"/>
        </w:rPr>
        <w:t>به همکاری با خُلَفا پرداخت تا مصحلت بزرگ تری را که همانا حفظ کیان اسلام بود، پاس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خطبه ی شقشقیّه به صراحت به این نکته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 اللّهِ لَقَدْ تَقَمَّصَها فلانٌ و إنَّه لِیَعْلَمُ أَنَّ مَحَلّی منها مَحَلَّ القُطبِ مِن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یَنْحَدِرُ عنّی السَّیْلُ، و لا یَرْقی إِلیَّ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أَنَّ الصَّبْرَ علی هاتا أَحْجی، فَصَبَرْتُ و فی الْعَیْنِ قَذیً، و فی الحَلْقِ شجیً، أَری تُراثی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أَسْفَفْتُ إِذْ أَسَفُّوا، و طِرْتُ إذْ طاروا</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خلافت را در حالی بر تن کرد که خوب می دانست جایگاه من نسبت به خلافت چون میله ی میانی نسبت به سنگ آسیاست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کوهسارِ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وجودم جاری است و مرغانِ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ستیغِ بلندای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نتوانند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بردباری و صبر به عقل و خرد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خار در چشم و استخوان در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خود می دیدم که میراثم را به غارت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کوتاه آمدم و با آنان هماهنگی ورزیدم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علی علیه السلام بار دیگر محرومیت خویش را از حق مُسَلّم خود نسبت به خلافت، در خطبه 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زِلْتُ مَدْفُوعا عن حقّی، مُسْتَأْثَرا عَلَیَّ، مُنْذُ قَبَضَ اللّهُ نَبیَّهُ صَلّی اللّهُ علیه و سَلَّم حتّی یَوْمِ الناسِ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 مرگ پیامبر صلی الله علیه و آله تا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را پذیرفته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حق خویش محروم بوده ام و دیگران را به ناحق بر من مقدم داشته 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 این وجود، به دلیل این که خطر ارتدادِ قبایل عرب در داخل شبه جزیره و حمله ی آنان به مدینه جدّی بود و احتمال هجوم دولت های بزرگ روم و ایران نیز وجود داشت، امام علی علیه السلام حتّی از کوچک ترین اقدام عملی برای شکستن قدرت خلیفه سر باز زد و به جای آن، به تقویت بنیه ی علمی و حلّ مشکلات اجتماعی و سیاسی آنان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نامه 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خطرهایی که نهال نوپای اسلام را تهدید می کرد، اشاره می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مَضی علیه السلام 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کانَ یُلْقی فی رَوْعی، و لا یَخْطُرُ بِبالی، أَنَّ العَرَبَ تُزْعِجُ هذا الْأَمْرَ مِنْ بَعْدِهِ ـ صلّی اللّه علیه و آله و سَلَّم ـ عن اهل بیته، و لا أَنَّهُمْ مُنَحُّوهُ عَنّی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راعَنی إِلّا انْثِیالُ النّاسِ عَلی فُلانٍ یُبایِعُونَه، فَأَمْسَکْتُ یدی حتّی رَأیْتُ راجِعَةَ النّاسِ قد رَجَعَتْ عن الإسلام، یَدْعُونَ إِلی مَحْقِ دین محمّدٍ ـ صلّی اللّه علیه و آله و سلّم ـ فَخَشیتُ إنْ لَمْ أَنْصُرِ الإِسْلامَ وَ أَهْلَه أنْ أَری فیه ثَلْما أَوْ هَدْما، تکونُ المصیبةُ به عَلَیَّ أَعْظَمَ مِنْ فَوْتِ وِلایَتِکُمْ الّتی إنّما هی متاعُ أَیّامٍ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فَنَهَضْتُ فی تِلْکَ الأَحْداثِ حتّی زاحَ الباطِلُ و زَهَقَ، و اطْمَأَنَّ الدّینُ وَ تَنَهْنَهَ</w:t>
      </w:r>
      <w:r>
        <w:rPr>
          <w:rFonts w:eastAsia="Amiri" w:cs="Amiri" w:ascii="Amiri" w:hAnsi="Amiri"/>
          <w:color w:val="111111"/>
          <w:sz w:val="28"/>
          <w:szCs w:val="28"/>
          <w:rtl w:val="true"/>
          <w:lang w:bidi="ar-SA"/>
        </w:rPr>
        <w:t xml:space="preserve">. </w:t>
      </w:r>
      <w:bookmarkStart w:id="292" w:name="pg3603_20991"/>
    </w:p>
    <w:p>
      <w:pPr>
        <w:pStyle w:val="BookText"/>
        <w:rPr/>
      </w:pPr>
      <w:bookmarkEnd w:id="292"/>
      <w:r>
        <w:rPr>
          <w:rFonts w:ascii="IRNazanin" w:hAnsi="IRNazanin" w:eastAsia="IRNazanin"/>
          <w:color w:val="111111"/>
          <w:sz w:val="28"/>
          <w:sz w:val="28"/>
          <w:szCs w:val="28"/>
          <w:rtl w:val="true"/>
          <w:lang w:bidi="fa-IR"/>
        </w:rPr>
        <w:t>چون رسول خدا صلی الله علیه و آله از جهان رخت بر بست، مسلمانان درباره ی امارت وخلافت پس از او به منازعه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 کردم و به خاطرم خطور نمی کرد که عرب پس از پیامبر، امر امامت و رهبری را از اهل بیت او بگردانند و آن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مرا ناراحت کرد، اجتماع مردم اطراف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بیعت با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کردم، تا این که با چشم خود دیدم گروهی از اسلام باز گشته و می خواهند دین محمّد صلی الله علیه و آله را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اسلام و اهلش را یاری نکنم، باید شاهد نابودی و شکاف در اسلام باشم که مصیبت آن برای من از رها ساختن خلافت و حکومت بر شما بزرگ تر بود؛ زیرا این، بهره ی دوران کوتاه زندگی دنیاست که زایل و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دفعِ این حوادث به پا خاستم تا باطل از میان رفت و نابود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ی مرتدان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پابرجا و محکم گردید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این رفتار با توجه به این نامه، امام علی علیه السلام که پس از رحلت پیامبر، برای مدّت کوتاهی با ابوبکر بیعت نکرد، آن گاه پس از شهادت حضرت فاطمه علیه السلام، در نماز ابوبکر در مسجد حاضر شد و با او بیعت کرد،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فَأَمْسَکْتُ یدی؛ دست خود را پس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اشاره به همین دوران کوتاه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توان علمی و تجربه ی سیاسی خود را در اختیار ابوبکر قرار داد تا به دفع مرتدّان بپردازد، همان گونه که به دیگر خلفا نیز مدد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مواردی از همکاری علی علیه السلام با خلفا را بیان می کنیم</w:t>
      </w:r>
      <w:r>
        <w:rPr>
          <w:rFonts w:eastAsia="IRNazanin" w:cs="IRNazanin"/>
          <w:color w:val="111111"/>
          <w:sz w:val="28"/>
          <w:szCs w:val="28"/>
          <w:rtl w:val="true"/>
          <w:lang w:bidi="fa-IR"/>
        </w:rPr>
        <w:t>:</w:t>
      </w:r>
    </w:p>
    <w:p>
      <w:pPr>
        <w:pStyle w:val="Heading6"/>
        <w:numPr>
          <w:ilvl w:val="5"/>
          <w:numId w:val="1"/>
        </w:numPr>
        <w:rPr/>
      </w:pPr>
      <w:bookmarkStart w:id="293" w:name="__RefHeading___Toc4168913_2749589250"/>
      <w:bookmarkStart w:id="294" w:name="_Toc111"/>
      <w:bookmarkEnd w:id="293"/>
      <w:r>
        <w:rPr/>
        <w:t>1</w:t>
      </w:r>
      <w:r>
        <w:rPr>
          <w:rtl w:val="true"/>
        </w:rPr>
        <w:t xml:space="preserve"> </w:t>
      </w:r>
      <w:r>
        <w:rPr>
          <w:rtl w:val="true"/>
        </w:rPr>
        <w:t>ـ حلّ مشکلات علمی خلفا</w:t>
      </w:r>
      <w:bookmarkEnd w:id="294"/>
    </w:p>
    <w:p>
      <w:pPr>
        <w:pStyle w:val="Heading6"/>
        <w:numPr>
          <w:ilvl w:val="5"/>
          <w:numId w:val="1"/>
        </w:numPr>
        <w:rPr/>
      </w:pPr>
      <w:bookmarkStart w:id="295" w:name="__RefHeading___Toc4168915_2749589250"/>
      <w:bookmarkStart w:id="296" w:name="_Toc112"/>
      <w:bookmarkEnd w:id="295"/>
      <w:r>
        <w:rPr>
          <w:rtl w:val="true"/>
        </w:rPr>
        <w:t>اشاره</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 مشکلات علمی خلفا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نشان می دهد که خلفای سه گانه در مسایل فقهی، معارف، عقاید و تفسیر قرآن </w:t>
      </w:r>
      <w:bookmarkStart w:id="297" w:name="pg3603_20992"/>
    </w:p>
    <w:p>
      <w:pPr>
        <w:pStyle w:val="BookText"/>
        <w:rPr/>
      </w:pPr>
      <w:bookmarkEnd w:id="297"/>
      <w:r>
        <w:rPr>
          <w:rFonts w:ascii="IRNazanin" w:hAnsi="IRNazanin" w:eastAsia="IRNazanin"/>
          <w:color w:val="111111"/>
          <w:sz w:val="28"/>
          <w:sz w:val="28"/>
          <w:szCs w:val="28"/>
          <w:rtl w:val="true"/>
          <w:lang w:bidi="fa-IR"/>
        </w:rPr>
        <w:t>از علی علیه السلام نظر می خواستند و آن حضرت از حلّ مشکل آنان دریغ نمی کرد</w:t>
      </w:r>
      <w:r>
        <w:rPr>
          <w:rFonts w:eastAsia="IRNazanin" w:cs="IRNazanin"/>
          <w:color w:val="111111"/>
          <w:sz w:val="28"/>
          <w:szCs w:val="28"/>
          <w:rtl w:val="true"/>
          <w:lang w:bidi="fa-IR"/>
        </w:rPr>
        <w:t>.</w:t>
      </w:r>
      <w:r>
        <w:rPr>
          <w:rStyle w:val="FootnoteAnchor"/>
          <w:rtl w:val="true"/>
        </w:rPr>
        <w:footnoteReference w:id="156"/>
      </w:r>
    </w:p>
    <w:p>
      <w:pPr>
        <w:pStyle w:val="Heading6"/>
        <w:numPr>
          <w:ilvl w:val="5"/>
          <w:numId w:val="1"/>
        </w:numPr>
        <w:rPr/>
      </w:pPr>
      <w:bookmarkStart w:id="298" w:name="__RefHeading___Toc4168917_2749589250"/>
      <w:bookmarkStart w:id="299" w:name="_Toc113"/>
      <w:bookmarkEnd w:id="298"/>
      <w:r>
        <w:rPr/>
        <w:t>1</w:t>
      </w:r>
      <w:r>
        <w:rPr>
          <w:rtl w:val="true"/>
        </w:rPr>
        <w:t>ـ</w:t>
      </w:r>
      <w:r>
        <w:rPr/>
        <w:t>1</w:t>
      </w:r>
      <w:r>
        <w:rPr>
          <w:rtl w:val="true"/>
        </w:rPr>
        <w:t>ـ حلّ مشکلات علمی ابوبکر</w:t>
      </w:r>
      <w:bookmarkEnd w:id="29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حلّ مشکلات علمی ابوبکر</w:t>
      </w:r>
    </w:p>
    <w:p>
      <w:pPr>
        <w:pStyle w:val="BookText"/>
        <w:rPr/>
      </w:pPr>
      <w:r>
        <w:rPr>
          <w:rFonts w:ascii="IRNazanin" w:hAnsi="IRNazanin" w:eastAsia="IRNazanin"/>
          <w:color w:val="111111"/>
          <w:sz w:val="28"/>
          <w:sz w:val="28"/>
          <w:szCs w:val="28"/>
          <w:rtl w:val="true"/>
          <w:lang w:bidi="fa-IR"/>
        </w:rPr>
        <w:t>یکی از مشکلات حکومت تازه تأسیس ابوبکر، پاسخ گویی به پرسش های دانشمندانِ غیر مسلمان بود که برای آشنایی با اسلام، از نقاط گوناگون شبه جزیره به مدینه می آمدند و به طور طبیعی، به سراغ خلیفه ی مسلمانان که جانشین پیامبر بود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آنان را به حضور علی علیه السلام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اسقف مسیحیان درباره ی مکانِ خدا از ابوبکر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او را به علی علیه السلام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آتشی روشن کرد و از اسقف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این آتش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آتش که مخلوق خداست، طرف خاصی نداشته باشد، خالق آتش، به نداشتن رو و پشت یا مشرق و مغرب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تشبیه، او را به پاسخ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دیگری از این مناظره ها، پیش تر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حکم مرد شراب خواری که ادعای جهل به حکم تحریم آن می کرد و خلیفه درباره ی او متحیر مانده بود، از موارد دیگری است که امام علی علیه السلام فرمود در صورت اثباتِ جهل او، مرد را توبه دهند و آزاد کنند</w:t>
      </w:r>
      <w:r>
        <w:rPr>
          <w:rFonts w:eastAsia="IRNazanin" w:cs="IRNazanin"/>
          <w:color w:val="111111"/>
          <w:sz w:val="28"/>
          <w:szCs w:val="28"/>
          <w:rtl w:val="true"/>
          <w:lang w:bidi="fa-IR"/>
        </w:rPr>
        <w:t>.</w:t>
      </w:r>
      <w:r>
        <w:rPr>
          <w:rStyle w:val="FootnoteAnchor"/>
          <w:rtl w:val="true"/>
        </w:rPr>
        <w:footnoteReference w:id="157"/>
      </w:r>
    </w:p>
    <w:p>
      <w:pPr>
        <w:pStyle w:val="Heading6"/>
        <w:numPr>
          <w:ilvl w:val="5"/>
          <w:numId w:val="1"/>
        </w:numPr>
        <w:rPr/>
      </w:pPr>
      <w:bookmarkStart w:id="300" w:name="__RefHeading___Toc4168919_2749589250"/>
      <w:bookmarkStart w:id="301" w:name="_Toc114"/>
      <w:bookmarkEnd w:id="300"/>
      <w:r>
        <w:rPr/>
        <w:t>2</w:t>
      </w:r>
      <w:r>
        <w:rPr>
          <w:rtl w:val="true"/>
        </w:rPr>
        <w:t>ـ</w:t>
      </w:r>
      <w:r>
        <w:rPr/>
        <w:t>1</w:t>
      </w:r>
      <w:r>
        <w:rPr>
          <w:rtl w:val="true"/>
        </w:rPr>
        <w:t>ـ حل مشکلات علمی عمر</w:t>
      </w:r>
      <w:bookmarkEnd w:id="301"/>
    </w:p>
    <w:p>
      <w:pPr>
        <w:pStyle w:val="Heading6"/>
        <w:numPr>
          <w:ilvl w:val="5"/>
          <w:numId w:val="1"/>
        </w:numPr>
        <w:rPr/>
      </w:pPr>
      <w:bookmarkStart w:id="302" w:name="__RefHeading___Toc4168921_2749589250"/>
      <w:bookmarkStart w:id="303" w:name="_Toc115"/>
      <w:bookmarkEnd w:id="302"/>
      <w:r>
        <w:rPr>
          <w:rtl w:val="true"/>
        </w:rPr>
        <w:t>اشاره</w:t>
      </w:r>
      <w:bookmarkEnd w:id="303"/>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حل مشکلات علمی عمر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حکومت عمر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ابوبکر،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طولانی تر بود و حکومت اسلامی با مسایل و مشکلات بسیاری هم چون فتح مناطق جدید، گسترش </w:t>
      </w:r>
      <w:bookmarkStart w:id="304" w:name="pg3603_20993"/>
    </w:p>
    <w:p>
      <w:pPr>
        <w:pStyle w:val="BookText"/>
        <w:rPr/>
      </w:pPr>
      <w:bookmarkEnd w:id="304"/>
      <w:r>
        <w:rPr>
          <w:rFonts w:ascii="IRNazanin" w:hAnsi="IRNazanin" w:eastAsia="IRNazanin"/>
          <w:color w:val="111111"/>
          <w:sz w:val="28"/>
          <w:sz w:val="28"/>
          <w:szCs w:val="28"/>
          <w:rtl w:val="true"/>
          <w:lang w:bidi="fa-IR"/>
        </w:rPr>
        <w:t>اسلام، توزیع ثروت های به دست آمده، تعیین تکلیف اسیران و مهاجرت رزمندگان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علی علیه السلام نیز در حلّ این مشکلات به عنوان طرفِ مشورت خلیفه، آشکارتر است که به چند مورد اشاره می کنیم</w:t>
      </w:r>
      <w:r>
        <w:rPr>
          <w:rFonts w:eastAsia="IRNazanin" w:cs="IRNazanin"/>
          <w:color w:val="111111"/>
          <w:sz w:val="28"/>
          <w:szCs w:val="28"/>
          <w:rtl w:val="true"/>
          <w:lang w:bidi="fa-IR"/>
        </w:rPr>
        <w:t>:</w:t>
      </w:r>
    </w:p>
    <w:p>
      <w:pPr>
        <w:pStyle w:val="Heading6"/>
        <w:numPr>
          <w:ilvl w:val="5"/>
          <w:numId w:val="1"/>
        </w:numPr>
        <w:rPr/>
      </w:pPr>
      <w:bookmarkStart w:id="305" w:name="__RefHeading___Toc4168923_2749589250"/>
      <w:bookmarkStart w:id="306" w:name="_Toc116"/>
      <w:bookmarkEnd w:id="305"/>
      <w:r>
        <w:rPr/>
        <w:t>1</w:t>
      </w:r>
      <w:r>
        <w:rPr>
          <w:rtl w:val="true"/>
        </w:rPr>
        <w:t>ـ</w:t>
      </w:r>
      <w:r>
        <w:rPr/>
        <w:t>2</w:t>
      </w:r>
      <w:r>
        <w:rPr>
          <w:rtl w:val="true"/>
        </w:rPr>
        <w:t>ـ</w:t>
      </w:r>
      <w:r>
        <w:rPr/>
        <w:t>1</w:t>
      </w:r>
      <w:r>
        <w:rPr>
          <w:rtl w:val="true"/>
        </w:rPr>
        <w:t xml:space="preserve"> </w:t>
      </w:r>
      <w:r>
        <w:rPr>
          <w:rtl w:val="true"/>
        </w:rPr>
        <w:t>ـ مشورت در تعیین مبدأ برای تاریخ اسلام</w:t>
      </w:r>
      <w:bookmarkEnd w:id="30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مشورت در تعیین مبدأ برای تاریخ اسلام</w:t>
      </w:r>
    </w:p>
    <w:p>
      <w:pPr>
        <w:pStyle w:val="BookText"/>
        <w:rPr/>
      </w:pPr>
      <w:r>
        <w:rPr>
          <w:rFonts w:ascii="IRNazanin" w:hAnsi="IRNazanin" w:eastAsia="IRNazanin"/>
          <w:color w:val="111111"/>
          <w:sz w:val="28"/>
          <w:sz w:val="28"/>
          <w:szCs w:val="28"/>
          <w:rtl w:val="true"/>
          <w:lang w:bidi="fa-IR"/>
        </w:rPr>
        <w:t>تا سال سوّم خلافت عمر، مسلمانان مبدأ تاریخی همگانی نداشتند تا نامه ها، قراردادها و دفاتر دولتی را بر اساس آن تاریخ 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برای تعیین مبدأ تاریخ اسلام، صحابه پیامبر صلی الله علیه و آله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یک نظری دادند؛ برخی میلاد پیامبر اکرم و بعضی مبعث پیامبر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علی علیه السلام نظر داد که روزی که پیامبر صلی الله علیه و آله سرزمین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 و به سرزمین اسلام گام نهاد، به عنوان روز پایه گذاری حکومت اسلامی، مبدأ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نظر امام را پذیرفت و هجرت، مبدأ تاریخ مسلمانان شد</w:t>
      </w:r>
      <w:r>
        <w:rPr>
          <w:rFonts w:eastAsia="IRNazanin" w:cs="IRNazanin"/>
          <w:color w:val="111111"/>
          <w:sz w:val="28"/>
          <w:szCs w:val="28"/>
          <w:rtl w:val="true"/>
          <w:lang w:bidi="fa-IR"/>
        </w:rPr>
        <w:t>.</w:t>
      </w:r>
      <w:r>
        <w:rPr>
          <w:rStyle w:val="FootnoteAnchor"/>
          <w:rtl w:val="true"/>
        </w:rPr>
        <w:footnoteReference w:id="158"/>
      </w:r>
    </w:p>
    <w:p>
      <w:pPr>
        <w:pStyle w:val="Heading6"/>
        <w:numPr>
          <w:ilvl w:val="5"/>
          <w:numId w:val="1"/>
        </w:numPr>
        <w:rPr/>
      </w:pPr>
      <w:bookmarkStart w:id="307" w:name="__RefHeading___Toc4168925_2749589250"/>
      <w:bookmarkStart w:id="308" w:name="_Toc117"/>
      <w:bookmarkEnd w:id="307"/>
      <w:r>
        <w:rPr/>
        <w:t>2</w:t>
      </w:r>
      <w:r>
        <w:rPr>
          <w:rtl w:val="true"/>
        </w:rPr>
        <w:t>ـ</w:t>
      </w:r>
      <w:r>
        <w:rPr/>
        <w:t>2</w:t>
      </w:r>
      <w:r>
        <w:rPr>
          <w:rtl w:val="true"/>
        </w:rPr>
        <w:t>ـ</w:t>
      </w:r>
      <w:r>
        <w:rPr/>
        <w:t>1</w:t>
      </w:r>
      <w:r>
        <w:rPr>
          <w:rtl w:val="true"/>
        </w:rPr>
        <w:t xml:space="preserve"> </w:t>
      </w:r>
      <w:r>
        <w:rPr>
          <w:rtl w:val="true"/>
        </w:rPr>
        <w:t>ـ صدور حکم قضایی در موارد مشکل</w:t>
      </w:r>
      <w:bookmarkEnd w:id="308"/>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صدور حکم قضایی در موارد مشکل</w:t>
      </w:r>
    </w:p>
    <w:p>
      <w:pPr>
        <w:pStyle w:val="BookText"/>
        <w:rPr/>
      </w:pPr>
      <w:r>
        <w:rPr>
          <w:rFonts w:ascii="IRNazanin" w:hAnsi="IRNazanin" w:eastAsia="IRNazanin"/>
          <w:color w:val="111111"/>
          <w:sz w:val="28"/>
          <w:sz w:val="28"/>
          <w:szCs w:val="28"/>
          <w:rtl w:val="true"/>
          <w:lang w:bidi="fa-IR"/>
        </w:rPr>
        <w:t>امیر مؤمنان، به تصریح پیامبر اکرم، گنجینه ی علوم نبوی و وارث احکام الهی بود که در میان امّت، فردی داناتر از او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بسیاری از موارد یا به درخواست خلیفه، حکم قضایی صادر می کرد یا خود به دلیل حضور در مرکز خلافت، از مشکلات یا احکام قضایی اشتباهی که صادر می شد، آ گاه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را لغو حکم واقعی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اتّهام شوهر به همسر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همسر خود به عمر شکایت برد که شش ماه پس از عروسی بچه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نیز مطلب را می پذیرفت، ولی اظهار می کرد که پیش از آن، هیچ گاه با کسی </w:t>
      </w:r>
    </w:p>
    <w:p>
      <w:pPr>
        <w:pStyle w:val="BookText"/>
        <w:rPr/>
      </w:pPr>
      <w:r>
        <w:rPr>
          <w:rFonts w:ascii="IRNazanin" w:hAnsi="IRNazanin" w:eastAsia="IRNazanin"/>
          <w:color w:val="111111"/>
          <w:sz w:val="28"/>
          <w:sz w:val="28"/>
          <w:szCs w:val="28"/>
          <w:rtl w:val="true"/>
          <w:lang w:bidi="fa-IR"/>
        </w:rPr>
        <w:t>رابطه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نظر داد که زن باید سنگسار شود، ولی امام علی علیه السلام از اجرای حدّ جلوگیری کرد و گفت که از نظر قرآن، زن می تواند فرزند خود را در حدّاقل مدت حمل یعنی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امام، شامل ترکیب دو آیه می شد که در اوّلی، مجموع مدت حمل و شیرخوارگی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تعیین شده و در دومی، مدت شیرخوارگی را دو سال 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 که حداقل مدت بارداری، می تواند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آیه،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احقاف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حَمْلُه و فِصالُه ثلثون شهرا؛ بارداری و شیرخواری بچه،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آیه 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فصالُه فی عامین؛ جدایی بچه از شیرخوارگی در مدت دو سال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زن رفع اتّهام شد و عمر که به اشتباه خود پی برده بود اقرار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علیٌّ لَهَلَکَ عُمَر؛ اگر علی نبود، عمر هلاک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بیان حکم خدا به بی راهه می رفت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 ـ زن تشنه در بیابان</w:t>
      </w:r>
    </w:p>
    <w:p>
      <w:pPr>
        <w:pStyle w:val="BookText"/>
        <w:rPr/>
      </w:pPr>
      <w:r>
        <w:rPr>
          <w:rFonts w:ascii="IRNazanin" w:hAnsi="IRNazanin" w:eastAsia="IRNazanin"/>
          <w:color w:val="111111"/>
          <w:sz w:val="28"/>
          <w:sz w:val="28"/>
          <w:szCs w:val="28"/>
          <w:rtl w:val="true"/>
          <w:lang w:bidi="fa-IR"/>
        </w:rPr>
        <w:t>زنی در بیابان دچار بی آبی شد و عطش سخت بر او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چوپانی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شرط کرد که زن، خود را در اختیار او بگذارد تا به آب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دوم درباره ی حکم زن با امام علی علیه السلام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زن در ارتکاب این عمل مضطر بوده و بر مضطّر حکمی نیست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امام علی علیه السلام آن قدر در مسایل قضایی، نظرهای استوار و شگفت آور داد </w:t>
      </w:r>
      <w:bookmarkStart w:id="309" w:name="pg3603_20995"/>
    </w:p>
    <w:p>
      <w:pPr>
        <w:pStyle w:val="BookText"/>
        <w:rPr/>
      </w:pPr>
      <w:bookmarkEnd w:id="309"/>
      <w:r>
        <w:rPr>
          <w:rFonts w:ascii="IRNazanin" w:hAnsi="IRNazanin" w:eastAsia="IRNazanin"/>
          <w:color w:val="111111"/>
          <w:sz w:val="28"/>
          <w:sz w:val="28"/>
          <w:szCs w:val="28"/>
          <w:rtl w:val="true"/>
          <w:lang w:bidi="fa-IR"/>
        </w:rPr>
        <w:t>و خلیفه را در صدور حکم یاری کرد که عمر همیشه اظهار 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 تُبقِنی لِمُعْضَلَةٍ لَیسَ لَها ابنُ ابی طالبٍ؛ خدایا برای من مشکلی پیش نیاور که فرزند ابوطالب برای حل آن حاضر نباشد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عمر به دلیل اشتباه هایی که در صدور حکم شرعی داشت، خود نیز شرمنده می شد و از آن پوزش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گاه که از محرومیّت خود از خلافت شکایت می کند، به این ویژگی خلیفه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فَصَیَّرها فی حَوْزَةٍ خَشْناءَ یَغْلُظُ کَلْمُها، و یَخْشُنُ مَسُّها، و یَکْثُرُ العثارُ فیها، و الاعتذارُ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ابوبکر، خلافت را در اختیار کسی قرار داد که خشن، سخت گیر و پراشتباه بود و بسیار پوزش می طلبید</w:t>
      </w:r>
      <w:r>
        <w:rPr>
          <w:rFonts w:eastAsia="IRNazanin" w:cs="IRNazanin"/>
          <w:color w:val="111111"/>
          <w:sz w:val="28"/>
          <w:szCs w:val="28"/>
          <w:rtl w:val="true"/>
          <w:lang w:bidi="fa-IR"/>
        </w:rPr>
        <w:t>.</w:t>
      </w:r>
    </w:p>
    <w:p>
      <w:pPr>
        <w:pStyle w:val="Heading6"/>
        <w:numPr>
          <w:ilvl w:val="5"/>
          <w:numId w:val="1"/>
        </w:numPr>
        <w:rPr/>
      </w:pPr>
      <w:bookmarkStart w:id="310" w:name="__RefHeading___Toc4168927_2749589250"/>
      <w:bookmarkStart w:id="311" w:name="_Toc118"/>
      <w:bookmarkEnd w:id="310"/>
      <w:r>
        <w:rPr/>
        <w:t>3</w:t>
      </w:r>
      <w:r>
        <w:rPr>
          <w:rtl w:val="true"/>
        </w:rPr>
        <w:t>ـ</w:t>
      </w:r>
      <w:r>
        <w:rPr/>
        <w:t>1</w:t>
      </w:r>
      <w:r>
        <w:rPr>
          <w:rtl w:val="true"/>
        </w:rPr>
        <w:t xml:space="preserve"> </w:t>
      </w:r>
      <w:r>
        <w:rPr>
          <w:rtl w:val="true"/>
        </w:rPr>
        <w:t>ـ حلّ مشکلات علمی عثمان</w:t>
      </w:r>
      <w:bookmarkEnd w:id="311"/>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 مشکلات علمی عثمان</w:t>
      </w:r>
    </w:p>
    <w:p>
      <w:pPr>
        <w:pStyle w:val="BookText"/>
        <w:rPr/>
      </w:pPr>
      <w:r>
        <w:rPr>
          <w:rFonts w:ascii="IRNazanin" w:hAnsi="IRNazanin" w:eastAsia="IRNazanin"/>
          <w:color w:val="111111"/>
          <w:sz w:val="28"/>
          <w:sz w:val="28"/>
          <w:szCs w:val="28"/>
          <w:rtl w:val="true"/>
          <w:lang w:bidi="fa-IR"/>
        </w:rPr>
        <w:t>خلیفه ی سوم نیز پیوسته از افکار بلند و راهنمایی های داهیانه ی علی علیه السلام بهره می برد که به یک نمونه ی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زن در عدّه ی طلاق</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عثمان، مردی دو زن داشت؛ یکی از انصار و دیگری از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مَرد، زنِ انصاری خود را طلاق گفت و پس از مدّتی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انصاری نزد خلیفه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عدّه ی من سپری نشده است و من میراث خود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داوری فروماند و جریان را به آگاهی امام علی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انصاری سوگند یاد کند که پس از درگذشت شوهرش سه بار قاعده نشده است، می تواند از شوهر خود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زن هاشمی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داوری مربوط به پسر عمویت علی است و من در این باره 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هاشمی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داوری </w:t>
      </w:r>
      <w:bookmarkStart w:id="312" w:name="pg3603_20996"/>
    </w:p>
    <w:p>
      <w:pPr>
        <w:pStyle w:val="BookText"/>
        <w:rPr/>
      </w:pPr>
      <w:bookmarkEnd w:id="312"/>
      <w:r>
        <w:rPr>
          <w:rFonts w:ascii="IRNazanin" w:hAnsi="IRNazanin" w:eastAsia="IRNazanin"/>
          <w:color w:val="111111"/>
          <w:sz w:val="28"/>
          <w:sz w:val="28"/>
          <w:szCs w:val="28"/>
          <w:rtl w:val="true"/>
          <w:lang w:bidi="fa-IR"/>
        </w:rPr>
        <w:t>علی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کند و ارث ببرد</w:t>
      </w:r>
      <w:r>
        <w:rPr>
          <w:rFonts w:eastAsia="IRNazanin" w:cs="IRNazanin"/>
          <w:color w:val="111111"/>
          <w:sz w:val="28"/>
          <w:szCs w:val="28"/>
          <w:rtl w:val="true"/>
          <w:lang w:bidi="fa-IR"/>
        </w:rPr>
        <w:t>.»</w:t>
      </w:r>
      <w:r>
        <w:rPr>
          <w:rStyle w:val="FootnoteAnchor"/>
          <w:rtl w:val="true"/>
        </w:rPr>
        <w:footnoteReference w:id="162"/>
      </w:r>
    </w:p>
    <w:p>
      <w:pPr>
        <w:pStyle w:val="Heading6"/>
        <w:numPr>
          <w:ilvl w:val="5"/>
          <w:numId w:val="1"/>
        </w:numPr>
        <w:rPr/>
      </w:pPr>
      <w:bookmarkStart w:id="313" w:name="__RefHeading___Toc4168929_2749589250"/>
      <w:bookmarkStart w:id="314" w:name="_Toc119"/>
      <w:bookmarkEnd w:id="313"/>
      <w:r>
        <w:rPr/>
        <w:t>2</w:t>
      </w:r>
      <w:r>
        <w:rPr>
          <w:rtl w:val="true"/>
        </w:rPr>
        <w:t xml:space="preserve"> </w:t>
      </w:r>
      <w:r>
        <w:rPr>
          <w:rtl w:val="true"/>
        </w:rPr>
        <w:t>ـ حلّ مشکلات سیاسی خلفا</w:t>
      </w:r>
      <w:bookmarkEnd w:id="314"/>
    </w:p>
    <w:p>
      <w:pPr>
        <w:pStyle w:val="Heading6"/>
        <w:numPr>
          <w:ilvl w:val="5"/>
          <w:numId w:val="1"/>
        </w:numPr>
        <w:rPr/>
      </w:pPr>
      <w:bookmarkStart w:id="315" w:name="__RefHeading___Toc4168931_2749589250"/>
      <w:bookmarkStart w:id="316" w:name="_Toc120"/>
      <w:bookmarkEnd w:id="315"/>
      <w:r>
        <w:rPr>
          <w:rtl w:val="true"/>
        </w:rPr>
        <w:t>اشاره</w:t>
      </w:r>
      <w:bookmarkEnd w:id="31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 مشکلات سیاسی خلفا</w:t>
      </w:r>
    </w:p>
    <w:p>
      <w:pPr>
        <w:pStyle w:val="BookText"/>
        <w:rPr/>
      </w:pPr>
      <w:r>
        <w:rPr>
          <w:rFonts w:ascii="IRNazanin" w:hAnsi="IRNazanin" w:eastAsia="IRNazanin"/>
          <w:color w:val="111111"/>
          <w:sz w:val="28"/>
          <w:sz w:val="28"/>
          <w:szCs w:val="28"/>
          <w:rtl w:val="true"/>
          <w:lang w:bidi="fa-IR"/>
        </w:rPr>
        <w:t>هرچند علی علیه السلام خلفا را رقیب سیاسی خویش می دید و حکومت آنان را مشروع و قانونی نمی دانست، و از خیرخواهی دریغ نداشت و آنان را در حکومت یاری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خیرخواهی ها که به دور از ریا و نفاق و قدرت طلبی بود، می تواند مصداق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باشد</w:t>
      </w:r>
      <w:r>
        <w:rPr>
          <w:rFonts w:eastAsia="IRNazanin" w:cs="IRNazanin"/>
          <w:color w:val="111111"/>
          <w:sz w:val="28"/>
          <w:szCs w:val="28"/>
          <w:rtl w:val="true"/>
          <w:lang w:bidi="fa-IR"/>
        </w:rPr>
        <w:t>.</w:t>
      </w:r>
    </w:p>
    <w:p>
      <w:pPr>
        <w:pStyle w:val="Heading6"/>
        <w:numPr>
          <w:ilvl w:val="5"/>
          <w:numId w:val="1"/>
        </w:numPr>
        <w:rPr/>
      </w:pPr>
      <w:bookmarkStart w:id="317" w:name="__RefHeading___Toc4168933_2749589250"/>
      <w:bookmarkStart w:id="318" w:name="_Toc121"/>
      <w:bookmarkEnd w:id="317"/>
      <w:r>
        <w:rPr/>
        <w:t>1</w:t>
      </w:r>
      <w:r>
        <w:rPr>
          <w:rtl w:val="true"/>
        </w:rPr>
        <w:t>ـ</w:t>
      </w:r>
      <w:r>
        <w:rPr/>
        <w:t>2</w:t>
      </w:r>
      <w:r>
        <w:rPr>
          <w:rtl w:val="true"/>
        </w:rPr>
        <w:t xml:space="preserve"> </w:t>
      </w:r>
      <w:r>
        <w:rPr>
          <w:rtl w:val="true"/>
        </w:rPr>
        <w:t>ـ رایزنی ابوبکر با علی علیه السلام</w:t>
      </w:r>
      <w:bookmarkEnd w:id="31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رایزنی ابوبکر با علی علیه السلام</w:t>
      </w:r>
    </w:p>
    <w:p>
      <w:pPr>
        <w:pStyle w:val="BookText"/>
        <w:rPr/>
      </w:pPr>
      <w:r>
        <w:rPr>
          <w:rFonts w:ascii="IRNazanin" w:hAnsi="IRNazanin" w:eastAsia="IRNazanin"/>
          <w:color w:val="111111"/>
          <w:sz w:val="28"/>
          <w:sz w:val="28"/>
          <w:szCs w:val="28"/>
          <w:rtl w:val="true"/>
          <w:lang w:bidi="fa-IR"/>
        </w:rPr>
        <w:t>در آغاز خلافت ابوبکر، مدینه دچار بحران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قبایل داخل عربستان پس از رحلت پیامبر، مرتد شده بودند و از سوی دیگر، دولت روم مرزهای شمالی عربستان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حمله روم، همیشه خاطر پیامبر را به خود مشغول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سپاه اسلام در جنگ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رویارویی با سپاه روم در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که نگرانی از قدرت روم،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آخرین لحظات زندگی که در بستر بیماری بود، سپاهی از مهاجر و انصار تربیت داد تا رهسپار کرانه های شام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سپاه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مدینه را ترک نگفت تا آن که پیامبر صلی الله علیه و آله درگذشت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ابوبکر به خلافت رسید، به دلیل خطر حمله ی مرتدّان، در اجرای فرمان پیامبر برای نبرد با رومیان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گروهی از صحابه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نظری داد که او را قانع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علی علیه السلام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بر اجرای دستور پیامبر صلی الله علیه و آله تشویق کرد و افزود که اگر با رومیان نبرد کند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تشویق امام علی علیه السلام خوشحال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 نیکی </w:t>
      </w:r>
      <w:bookmarkStart w:id="319" w:name="pg3603_20997"/>
    </w:p>
    <w:p>
      <w:pPr>
        <w:pStyle w:val="BookText"/>
        <w:rPr/>
      </w:pPr>
      <w:bookmarkEnd w:id="319"/>
      <w:r>
        <w:rPr>
          <w:rFonts w:ascii="IRNazanin" w:hAnsi="IRNazanin" w:eastAsia="IRNazanin"/>
          <w:color w:val="111111"/>
          <w:sz w:val="28"/>
          <w:sz w:val="28"/>
          <w:szCs w:val="28"/>
          <w:rtl w:val="true"/>
          <w:lang w:bidi="fa-IR"/>
        </w:rPr>
        <w:t>زدی و به خیر بشارت دادی</w:t>
      </w:r>
      <w:r>
        <w:rPr>
          <w:rFonts w:eastAsia="IRNazanin" w:cs="IRNazanin"/>
          <w:color w:val="111111"/>
          <w:sz w:val="28"/>
          <w:szCs w:val="28"/>
          <w:rtl w:val="true"/>
          <w:lang w:bidi="fa-IR"/>
        </w:rPr>
        <w:t>!»</w:t>
      </w:r>
      <w:r>
        <w:rPr>
          <w:rStyle w:val="FootnoteAnchor"/>
          <w:rtl w:val="true"/>
        </w:rPr>
        <w:footnoteReference w:id="163"/>
      </w:r>
    </w:p>
    <w:p>
      <w:pPr>
        <w:pStyle w:val="Heading6"/>
        <w:numPr>
          <w:ilvl w:val="5"/>
          <w:numId w:val="1"/>
        </w:numPr>
        <w:rPr/>
      </w:pPr>
      <w:bookmarkStart w:id="320" w:name="__RefHeading___Toc4168935_2749589250"/>
      <w:bookmarkStart w:id="321" w:name="_Toc122"/>
      <w:bookmarkEnd w:id="320"/>
      <w:r>
        <w:rPr/>
        <w:t>2</w:t>
      </w:r>
      <w:r>
        <w:rPr>
          <w:rtl w:val="true"/>
        </w:rPr>
        <w:t>ـ</w:t>
      </w:r>
      <w:r>
        <w:rPr/>
        <w:t>2</w:t>
      </w:r>
      <w:r>
        <w:rPr>
          <w:rtl w:val="true"/>
        </w:rPr>
        <w:t xml:space="preserve"> </w:t>
      </w:r>
      <w:r>
        <w:rPr>
          <w:rtl w:val="true"/>
        </w:rPr>
        <w:t>ـ رایزنی عمر با علی علیه السلام</w:t>
      </w:r>
      <w:bookmarkEnd w:id="321"/>
    </w:p>
    <w:p>
      <w:pPr>
        <w:pStyle w:val="Heading6"/>
        <w:numPr>
          <w:ilvl w:val="5"/>
          <w:numId w:val="1"/>
        </w:numPr>
        <w:rPr/>
      </w:pPr>
      <w:bookmarkStart w:id="322" w:name="__RefHeading___Toc4168937_2749589250"/>
      <w:bookmarkStart w:id="323" w:name="_Toc123"/>
      <w:bookmarkEnd w:id="322"/>
      <w:r>
        <w:rPr>
          <w:rtl w:val="true"/>
        </w:rPr>
        <w:t>اشاره</w:t>
      </w:r>
      <w:bookmarkEnd w:id="323"/>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رایزنی عمر با علی علیه السلام</w:t>
      </w:r>
    </w:p>
    <w:p>
      <w:pPr>
        <w:pStyle w:val="BookText"/>
        <w:rPr/>
      </w:pPr>
      <w:r>
        <w:rPr>
          <w:rFonts w:ascii="IRNazanin" w:hAnsi="IRNazanin" w:eastAsia="IRNazanin"/>
          <w:color w:val="111111"/>
          <w:sz w:val="28"/>
          <w:sz w:val="28"/>
          <w:szCs w:val="28"/>
          <w:rtl w:val="true"/>
          <w:lang w:bidi="fa-IR"/>
        </w:rPr>
        <w:t>امام علی علیه السلام در مسایل سیاسی و نظامی نیز طرف مشورت عمر قرار داشت و گاه، نظر او بر نظر دیگر مشاوران خلیفه برتری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دو نمونه اشاره می کنیم</w:t>
      </w:r>
      <w:r>
        <w:rPr>
          <w:rFonts w:eastAsia="IRNazanin" w:cs="IRNazanin"/>
          <w:color w:val="111111"/>
          <w:sz w:val="28"/>
          <w:szCs w:val="28"/>
          <w:rtl w:val="true"/>
          <w:lang w:bidi="fa-IR"/>
        </w:rPr>
        <w:t>:</w:t>
      </w:r>
    </w:p>
    <w:p>
      <w:pPr>
        <w:pStyle w:val="Heading6"/>
        <w:numPr>
          <w:ilvl w:val="5"/>
          <w:numId w:val="1"/>
        </w:numPr>
        <w:rPr/>
      </w:pPr>
      <w:bookmarkStart w:id="324" w:name="__RefHeading___Toc4168939_2749589250"/>
      <w:bookmarkStart w:id="325" w:name="_Toc124"/>
      <w:bookmarkEnd w:id="324"/>
      <w:r>
        <w:rPr>
          <w:rtl w:val="true"/>
        </w:rPr>
        <w:t>الف ـ مشورت در فتح ایران</w:t>
      </w:r>
      <w:bookmarkEnd w:id="325"/>
    </w:p>
    <w:p>
      <w:pPr>
        <w:pStyle w:val="BookText"/>
        <w:rPr/>
      </w:pPr>
      <w:r>
        <w:rPr>
          <w:rFonts w:ascii="IRNazanin" w:hAnsi="IRNazanin" w:eastAsia="IRNazanin"/>
          <w:color w:val="111111"/>
          <w:sz w:val="28"/>
          <w:sz w:val="28"/>
          <w:szCs w:val="28"/>
          <w:rtl w:val="true"/>
          <w:lang w:bidi="fa-IR"/>
        </w:rPr>
        <w:t>الف ـ مشورت در فتح ایران</w:t>
      </w:r>
    </w:p>
    <w:p>
      <w:pPr>
        <w:pStyle w:val="BookText"/>
        <w:rPr/>
      </w:pPr>
      <w:r>
        <w:rPr>
          <w:rFonts w:ascii="IRNazanin" w:hAnsi="IRNazanin" w:eastAsia="IRNazanin"/>
          <w:color w:val="111111"/>
          <w:sz w:val="28"/>
          <w:sz w:val="28"/>
          <w:szCs w:val="28"/>
          <w:rtl w:val="true"/>
          <w:lang w:bidi="fa-IR"/>
        </w:rPr>
        <w:t xml:space="preserve">در سال چهاردهم هجری، نبرد سختی میان سپاه اسلام و ارتش ایران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رستم فَرُّخ زاد فرمانده ی کل سپاه ایران به قتل رسید، سراسر عراق، زیر نفوذ سیاسی و نظامی مسلمانان درآمد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 حکومت ساسانی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سوم، آخرین پادشاه سلسله ی ساسانی، سپاهی صد و پنجاه هزار نفری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 تا شکست پیشین را جبران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وقاص؛ فرمانده ی کل سپاه اسلام در عراق، که حکومت کوفه را در اختیار داشت، به عمر نامه نوشت و گزارش داد که سپاه ایران آماده ی حمله است، ولی قوای مسلمانان باید با پیش دستی، حمله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مسجد از مردم نظر خواست و اعلام کرد که می خواهد مدینه را ترک گوید و در منطقه ای میان بصره و کوفه فرود آید تا از آن نقطه، رهبری سپاه اسلام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او را بر این کار تشویق کرد و عثمان افزود که باید خلیفه به سپاه شام و یمن نامه بنویسد تا به سوی او حرکت کنند و خلیفه به همراهی آنان به عراق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برخاست و از هر دو نظر انتقاد کرد و عمر را میله ی وسط آسیا دانست که باید بر جای بماند و از شرکت مستقیم در جنگ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سخنانی که در خطبه 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آمده است، خطر ارتش روم در منطقه ی شام و سپاه حبشه را در منطقه یمن یادآور شد و گفت که </w:t>
      </w:r>
    </w:p>
    <w:p>
      <w:pPr>
        <w:pStyle w:val="BookText"/>
        <w:rPr/>
      </w:pPr>
      <w:r>
        <w:rPr>
          <w:rFonts w:ascii="IRNazanin" w:hAnsi="IRNazanin" w:eastAsia="IRNazanin"/>
          <w:color w:val="111111"/>
          <w:sz w:val="28"/>
          <w:sz w:val="28"/>
          <w:szCs w:val="28"/>
          <w:rtl w:val="true"/>
          <w:lang w:bidi="fa-IR"/>
        </w:rPr>
        <w:t>خروج خلیفه از مدینه ممکن است اعراب اطراف را نسبت به برپایی فتنه ای دیگر نظیر فتنه ی مرتدان در دوران ابوبکر،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مَکانُ القیّم بالأمر مکانُ النِّظامِ مِنَ الْخَرزِ یَجْمَعهُ و یَضُمُّه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انقطع النِّظام تَفَرَّقَ الْخَرَزُ و ذَهَبَ، ثُمَّ لَمْ یَجْتَمِعْ بِحَذافیرِه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الْیَوْمَ، و ان کانوا قلیلاً، فهم کَثیرُونَ بالإسْلامِ، عزیزون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قُطْبا، و استدر الرّحا بالعرب، و أَصْلِهِمْ دُونَکَ نارَ الحَرْبِ، فَإِنَّکَ إِنْ شَخَصْتَ من هذه الارضِ انْتَقَضَتْ عَلَیْکَ الْعَرَبُ مِنْ أَطْرافِها و أَقْطارِها، حتّی یکون ما تَدَعُ وراءَک من العَوْراتِ اهمَّ الیکَ ممّا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الأَعاجِمَ إِنْ یَنْظُرُوا اِلَیْکَ غَدَا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العَرَبِ، فإذا اقْتَطَعْتُموُهُ اسْتَرَحْتُمْ، فیکونُ ذلک أَشَدَّ لِکَلَبِهِمْ عَلَیْکَ، و طَمَعِهِمْ فیکَ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موقعیت زمام دار، هم چون ریسمانی است که مهره ها را در نظام می کشد و آنان را جمع می کند و ارتباط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امروز، گرچه از نظر تعداد اندک است، امّا به دلیل پیوستگی به اسلام، فراوان به سبب اتحاد و هم آهنگی، عزیز و قدرت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 هم چون محور آسیا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جای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آسیاب جنگ را با نیروی عرب به چرخش درآور و آتش نبرد را با ایشان، نه با حضور خود، برافروز؛ زیرا اگر از این سرزمین بیرون روی، عرب ها از اطراف پیمان بشکنند و کار به جایی برسد که نگه داری آن چه پشت سر نهاده ای، از آن چه رویاروی آن هستی، دشوارتر 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ایرانیان، فردا تو را می بینند و می گویند این است ریشه 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قطع کنید، از جنگ آسوده می شوید و این، موجب آن است که طمع شان در نابود کردن تو افزون گردد</w:t>
      </w:r>
      <w:r>
        <w:rPr>
          <w:rFonts w:eastAsia="IRNazanin" w:cs="IRNazanin"/>
          <w:color w:val="111111"/>
          <w:sz w:val="28"/>
          <w:szCs w:val="28"/>
          <w:rtl w:val="true"/>
          <w:lang w:bidi="fa-IR"/>
        </w:rPr>
        <w:t>.</w:t>
      </w:r>
      <w:r>
        <w:rPr>
          <w:rStyle w:val="FootnoteAnchor"/>
          <w:rtl w:val="true"/>
        </w:rPr>
        <w:footnoteReference w:id="164"/>
      </w:r>
      <w:bookmarkStart w:id="326" w:name="pg3603_20999"/>
    </w:p>
    <w:p>
      <w:pPr>
        <w:pStyle w:val="BookText"/>
        <w:rPr/>
      </w:pPr>
      <w:bookmarkEnd w:id="326"/>
      <w:r>
        <w:rPr>
          <w:rFonts w:ascii="IRNazanin" w:hAnsi="IRNazanin" w:eastAsia="IRNazanin"/>
          <w:color w:val="111111"/>
          <w:sz w:val="28"/>
          <w:sz w:val="28"/>
          <w:szCs w:val="28"/>
          <w:rtl w:val="true"/>
          <w:lang w:bidi="fa-IR"/>
        </w:rPr>
        <w:t xml:space="preserve">عمر پیشنهاد امام را بر دیدگاه طلحه و عثمان ترجیح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رییس لشکر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فرمانده ی دوّم به کمک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نعمان کشته شد، امّا حذیفه با هدایت سپاه، توانست نهاوند را فتح کند و با کشتن فیروزان، غنایم فراوانی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طبری، این نبرد، در سال هفتم خلافتِ عمر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327" w:name="__RefHeading___Toc4168941_2749589250"/>
      <w:bookmarkStart w:id="328" w:name="_Toc125"/>
      <w:bookmarkEnd w:id="327"/>
      <w:r>
        <w:rPr>
          <w:rtl w:val="true"/>
        </w:rPr>
        <w:t>ب ـ مشورت در فتح بیت المقدّس</w:t>
      </w:r>
      <w:bookmarkEnd w:id="328"/>
    </w:p>
    <w:p>
      <w:pPr>
        <w:pStyle w:val="BookText"/>
        <w:rPr/>
      </w:pPr>
      <w:r>
        <w:rPr>
          <w:rFonts w:ascii="IRNazanin" w:hAnsi="IRNazanin" w:eastAsia="IRNazanin"/>
          <w:color w:val="111111"/>
          <w:sz w:val="28"/>
          <w:sz w:val="28"/>
          <w:szCs w:val="28"/>
          <w:rtl w:val="true"/>
          <w:lang w:bidi="fa-IR"/>
        </w:rPr>
        <w:t>ب ـ مشورت در فتح بیت المقدّس</w:t>
      </w:r>
    </w:p>
    <w:p>
      <w:pPr>
        <w:pStyle w:val="BookText"/>
        <w:rPr/>
      </w:pPr>
      <w:r>
        <w:rPr>
          <w:rFonts w:ascii="IRNazanin" w:hAnsi="IRNazanin" w:eastAsia="IRNazanin"/>
          <w:color w:val="111111"/>
          <w:sz w:val="28"/>
          <w:sz w:val="28"/>
          <w:szCs w:val="28"/>
          <w:rtl w:val="true"/>
          <w:lang w:bidi="fa-IR"/>
        </w:rPr>
        <w:t>در فتح بیت المقدّس نیز، عمر با علی علیه السلام مشورت و از نظر آن حضرت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یک ماه بود که شام را فتح کرده بودند و تصمیم داشتند به سوی بیت المقدس پیش 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قوای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به ابو عبیده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ای به خلیفه بنویس و درباره ی پیش روی به سوی بیت المقدس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نامه را برای مسلمانان قرائت کرد و از آنان نظر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که حاضر بود، عمر را تشویق کرد که به فرمانده ی سپاه بنویسد به سوی بیت المقدس پیشروی کند و پس از فتح آن، از پیشروی باز نایستد و به سرزمین قیصر داخل شود و مطمئن باشد که پیروزی از آن اوست؛ زیرا پیامبر صلی الله علیه و آله از این پیروزی،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چنین نامه ای تنظیم کرد و در آن افزود که پسر عموی پیامبر به ما بشارت داد که بیت المقدس به دست تو فتح خواهد شد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حرکت، به فتح بیت المقدس 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انجامید</w:t>
      </w:r>
      <w:r>
        <w:rPr>
          <w:rFonts w:eastAsia="IRNazanin" w:cs="IRNazanin"/>
          <w:color w:val="111111"/>
          <w:sz w:val="28"/>
          <w:szCs w:val="28"/>
          <w:rtl w:val="true"/>
          <w:lang w:bidi="fa-IR"/>
        </w:rPr>
        <w:t xml:space="preserve">. </w:t>
      </w:r>
      <w:bookmarkStart w:id="329" w:name="pg3603_21000"/>
    </w:p>
    <w:p>
      <w:pPr>
        <w:pStyle w:val="Heading6"/>
        <w:numPr>
          <w:ilvl w:val="5"/>
          <w:numId w:val="1"/>
        </w:numPr>
        <w:rPr/>
      </w:pPr>
      <w:bookmarkStart w:id="330" w:name="__RefHeading___Toc4168943_2749589250"/>
      <w:bookmarkStart w:id="331" w:name="_Toc126"/>
      <w:bookmarkEnd w:id="329"/>
      <w:bookmarkEnd w:id="330"/>
      <w:r>
        <w:rPr/>
        <w:t>3</w:t>
      </w:r>
      <w:r>
        <w:rPr>
          <w:rtl w:val="true"/>
        </w:rPr>
        <w:t>ـ</w:t>
      </w:r>
      <w:r>
        <w:rPr/>
        <w:t>2</w:t>
      </w:r>
      <w:r>
        <w:rPr>
          <w:rtl w:val="true"/>
        </w:rPr>
        <w:t xml:space="preserve"> </w:t>
      </w:r>
      <w:r>
        <w:rPr>
          <w:rtl w:val="true"/>
        </w:rPr>
        <w:t>ـ کمک علی علیه السلام به حلّ مشکل عثمان</w:t>
      </w:r>
      <w:bookmarkEnd w:id="331"/>
    </w:p>
    <w:p>
      <w:pPr>
        <w:pStyle w:val="Heading6"/>
        <w:numPr>
          <w:ilvl w:val="5"/>
          <w:numId w:val="1"/>
        </w:numPr>
        <w:rPr/>
      </w:pPr>
      <w:bookmarkStart w:id="332" w:name="__RefHeading___Toc4168945_2749589250"/>
      <w:bookmarkStart w:id="333" w:name="_Toc127"/>
      <w:bookmarkEnd w:id="332"/>
      <w:r>
        <w:rPr>
          <w:rtl w:val="true"/>
        </w:rPr>
        <w:t>اشاره</w:t>
      </w:r>
      <w:bookmarkEnd w:id="33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علی علیه السلام به حلّ مشکل عثمان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 ـ تلاش برای شکستن محاصره</w:t>
      </w:r>
    </w:p>
    <w:p>
      <w:pPr>
        <w:pStyle w:val="BookText"/>
        <w:rPr/>
      </w:pPr>
      <w:r>
        <w:rPr>
          <w:rFonts w:ascii="IRNazanin" w:hAnsi="IRNazanin" w:eastAsia="IRNazanin"/>
          <w:color w:val="111111"/>
          <w:sz w:val="28"/>
          <w:sz w:val="28"/>
          <w:szCs w:val="28"/>
          <w:rtl w:val="true"/>
          <w:lang w:bidi="fa-IR"/>
        </w:rPr>
        <w:t>ب ـ تلاش علی علیه السلام برای رساندن آب به عثمان</w:t>
      </w:r>
    </w:p>
    <w:p>
      <w:pPr>
        <w:pStyle w:val="Heading6"/>
        <w:numPr>
          <w:ilvl w:val="5"/>
          <w:numId w:val="1"/>
        </w:numPr>
        <w:rPr/>
      </w:pPr>
      <w:bookmarkStart w:id="334" w:name="__RefHeading___Toc4168947_2749589250"/>
      <w:bookmarkStart w:id="335" w:name="_Toc128"/>
      <w:bookmarkEnd w:id="334"/>
      <w:r>
        <w:rPr>
          <w:rtl w:val="true"/>
        </w:rPr>
        <w:t>الف ـ تلاش برای شکستن محاصره</w:t>
      </w:r>
      <w:bookmarkEnd w:id="335"/>
    </w:p>
    <w:p>
      <w:pPr>
        <w:pStyle w:val="BookText"/>
        <w:rPr/>
      </w:pPr>
      <w:r>
        <w:rPr>
          <w:rFonts w:ascii="IRNazanin" w:hAnsi="IRNazanin" w:eastAsia="IRNazanin"/>
          <w:color w:val="111111"/>
          <w:sz w:val="28"/>
          <w:sz w:val="28"/>
          <w:szCs w:val="28"/>
          <w:rtl w:val="true"/>
          <w:lang w:bidi="fa-IR"/>
        </w:rPr>
        <w:t>الف ـ تلاش برای شکستن محاصره</w:t>
      </w:r>
    </w:p>
    <w:p>
      <w:pPr>
        <w:pStyle w:val="BookText"/>
        <w:rPr/>
      </w:pPr>
      <w:r>
        <w:rPr>
          <w:rFonts w:ascii="IRNazanin" w:hAnsi="IRNazanin" w:eastAsia="IRNazanin"/>
          <w:color w:val="111111"/>
          <w:sz w:val="28"/>
          <w:sz w:val="28"/>
          <w:szCs w:val="28"/>
          <w:rtl w:val="true"/>
          <w:lang w:bidi="fa-IR"/>
        </w:rPr>
        <w:t>هنگامی که عثمان به دلیل فاصله گرفتن از سنت پیامبر صلی الله علیه و آله مورد اعتراض مردم واقع شد، هنوز از عمق فاجعه ای که در شُرُفِ وقوع بود،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دلیل، خانه ی عثمان را محاصره کرده بودند و خواستار استعفای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تعطیل حدود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تقسیم بیت المال در میان بنی 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حاکمیت خویشاوندسالاری به جای شایسته سالاری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ضرب و شتم یاران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تبعید شخصیت های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ابوذر، مالک اشتر، کمیل بن زیاد، عَمْروبن حَمِق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می پنداشت با وساطت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غایله پایان می یابد امّا انقلابیون که از مصر و عراق و نقاط دیگر برای اعتراض به مدینه آمده بودند، بر ضد آنان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عبد اللّه بن عمر؛ فرزند خلیفه ی دوم، عثمان را متوجه موقعیت علی علیه السلام ساخت و گفت که تنها او می تواند این شورش را بخواباند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آن حضرت درخواست کرد که این گروه را به کتاب خدا و سنت پیامبر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پذیرفت این کار را انجام دهد به شرط آن که خلیفه به آن چه علی علیه السلام از سوی او تضمین می سپارد،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جانب خلیفه، به شورشیان تضمین داد که به کتاب خدا و سنت پیامبر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انقلابیون نیز با طیب خاطر، تضمین علی علیه السلام را پذیرفتند و به همراه آن حضرت، وارد خانه ی عثمان شدند و با او مذاکره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وگو به نوشتن تعهدنامه ی کتبی منجر شد و گروهی مانند زبیر، طلحه، سعد وقّاص، عبد اللّه بن عمر، زید بن ثابت، سهل بن حنیف و ابو ایوب انصاری به عنوان شهود ذیل آن را امضا کردند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در ذی القعده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گروه های معترض، راه شهر خود را پیش گرفتند و حصار خانه ی خلیفه شکسته شد و رفت و آمد به آن کاملاً </w:t>
      </w:r>
      <w:bookmarkStart w:id="336" w:name="pg3603_21001"/>
    </w:p>
    <w:p>
      <w:pPr>
        <w:pStyle w:val="BookText"/>
        <w:rPr/>
      </w:pPr>
      <w:bookmarkEnd w:id="336"/>
      <w:r>
        <w:rPr>
          <w:rFonts w:ascii="IRNazanin" w:hAnsi="IRNazanin" w:eastAsia="IRNazanin"/>
          <w:color w:val="111111"/>
          <w:sz w:val="28"/>
          <w:sz w:val="28"/>
          <w:szCs w:val="28"/>
          <w:rtl w:val="true"/>
          <w:lang w:bidi="fa-IR"/>
        </w:rPr>
        <w:t>آزاد گشت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البته کشف نامه ای از خلیفه که به فرمانداران خود دستور اعدامِ سران انقلاب را داده بود، سبب قیام دوباره ی انقلابیون و محاصره ی خانه عثمان شد که سرانجام به قتل او انجامید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محاصره ی دوم، مردم از عثمان می خواستند مروان بن حکم، داماد و مشاور عالی خود را به عنوان عامل فساد به آنان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شورشیان از ورود آب به خانه ی عثمان جلوگیری کردند و او را در تشنگی قرار دادند تا جایی که از بالای بام، از مردم طلب آب می کرد</w:t>
      </w:r>
      <w:r>
        <w:rPr>
          <w:rFonts w:eastAsia="IRNazanin" w:cs="IRNazanin"/>
          <w:color w:val="111111"/>
          <w:sz w:val="28"/>
          <w:szCs w:val="28"/>
          <w:rtl w:val="true"/>
          <w:lang w:bidi="fa-IR"/>
        </w:rPr>
        <w:t>.</w:t>
      </w:r>
    </w:p>
    <w:p>
      <w:pPr>
        <w:pStyle w:val="Heading6"/>
        <w:numPr>
          <w:ilvl w:val="5"/>
          <w:numId w:val="1"/>
        </w:numPr>
        <w:rPr/>
      </w:pPr>
      <w:bookmarkStart w:id="337" w:name="__RefHeading___Toc4168949_2749589250"/>
      <w:bookmarkStart w:id="338" w:name="_Toc129"/>
      <w:bookmarkEnd w:id="337"/>
      <w:r>
        <w:rPr>
          <w:rtl w:val="true"/>
        </w:rPr>
        <w:t>ب ـ تلاش علی علیه السلام برای رساندن آب به عثمان</w:t>
      </w:r>
      <w:bookmarkEnd w:id="338"/>
    </w:p>
    <w:p>
      <w:pPr>
        <w:pStyle w:val="BookText"/>
        <w:rPr/>
      </w:pPr>
      <w:r>
        <w:rPr>
          <w:rFonts w:ascii="IRNazanin" w:hAnsi="IRNazanin" w:eastAsia="IRNazanin"/>
          <w:color w:val="111111"/>
          <w:sz w:val="28"/>
          <w:sz w:val="28"/>
          <w:szCs w:val="28"/>
          <w:rtl w:val="true"/>
          <w:lang w:bidi="fa-IR"/>
        </w:rPr>
        <w:t>ب ـ تلاش علی علیه السلام برای رساندن آب به عثمان</w:t>
      </w:r>
    </w:p>
    <w:p>
      <w:pPr>
        <w:pStyle w:val="BookText"/>
        <w:rPr/>
      </w:pPr>
      <w:r>
        <w:rPr>
          <w:rFonts w:ascii="IRNazanin" w:hAnsi="IRNazanin" w:eastAsia="IRNazanin"/>
          <w:color w:val="111111"/>
          <w:sz w:val="28"/>
          <w:sz w:val="28"/>
          <w:szCs w:val="28"/>
          <w:rtl w:val="true"/>
          <w:lang w:bidi="fa-IR"/>
        </w:rPr>
        <w:t>هر چند امام علی علیه السلام به عملکرد عثمان معترض بود و او را غاصب حق خود و منحرف از سیره ی رسول خدا صلی الله علیه و آله می دانست، امّا نمی خواست به مقام خلیفه ی پیامبر بی حرمتی شود و اسباب تضعیف بالاترین مدیریت اجرایی در حکومت اسلامی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افزون بر تلاش برای شکستن محاصره</w:t>
      </w:r>
      <w:r>
        <w:rPr>
          <w:rStyle w:val="FootnoteAnchor"/>
          <w:rtl w:val="true"/>
        </w:rPr>
        <w:footnoteReference w:id="169"/>
      </w:r>
      <w:r>
        <w:rPr>
          <w:rFonts w:ascii="IRNazanin" w:hAnsi="IRNazanin" w:eastAsia="IRNazanin"/>
          <w:color w:val="111111"/>
          <w:sz w:val="28"/>
          <w:sz w:val="28"/>
          <w:szCs w:val="28"/>
          <w:rtl w:val="true"/>
          <w:lang w:bidi="fa-IR"/>
        </w:rPr>
        <w:t>کوشید به عثمان، آب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می 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علی علیه السلام دانست مردم آب را بر خلیفه بسته اند و عثمان از بالای بام، طلب آب کرده است، سه مشک آب برای او فرستاد که در راه رساندن آن، چند نفر از </w:t>
      </w:r>
    </w:p>
    <w:p>
      <w:pPr>
        <w:pStyle w:val="BookText"/>
        <w:rPr/>
      </w:pPr>
      <w:r>
        <w:rPr>
          <w:rFonts w:ascii="IRNazanin" w:hAnsi="IRNazanin" w:eastAsia="IRNazanin"/>
          <w:color w:val="111111"/>
          <w:sz w:val="28"/>
          <w:sz w:val="28"/>
          <w:szCs w:val="28"/>
          <w:rtl w:val="true"/>
          <w:lang w:bidi="fa-IR"/>
        </w:rPr>
        <w:t>بنی هاشم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نیز که دانست مردم کمر به قتل او بسته اند، فرزندانش حسن و حسین علیه السلام را با چند غلام به در خانه ی او فرستاد تا یاری اش کنند ودر این راه، حسن علیه السلام مجروح شد و قنبر زخم برداشت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دیدگاه علی علیه السلام درباره ی قتل عثمان که او را به استبداد متّهم می سازد و از طرفی مردم را به خاطر بی تابی در مجازات او مورد شماتت قرار می دهد، در خطبه 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اِسْتَأثَرَ فَأَساءَ الْأَثْرَةَ، وَ جَزَعْتُمْ فَأَسَأْتُمْ الجَزَعَ، و لِلّهِ حُکْمٌ واقِعٌ فی المُسْتَأْثِرِ و الجازِع</w:t>
      </w:r>
    </w:p>
    <w:p>
      <w:pPr>
        <w:pStyle w:val="BookText"/>
        <w:rPr/>
      </w:pPr>
      <w:r>
        <w:rPr>
          <w:rFonts w:ascii="IRNazanin" w:hAnsi="IRNazanin" w:eastAsia="IRNazanin"/>
          <w:color w:val="111111"/>
          <w:sz w:val="28"/>
          <w:sz w:val="28"/>
          <w:szCs w:val="28"/>
          <w:rtl w:val="true"/>
          <w:lang w:bidi="fa-IR"/>
        </w:rPr>
        <w:t xml:space="preserve">عثمان به شیوه ای نادرست، استبداد ورزید و شما نیز به گونه ای ناپسند، بی تابی کردید و حکم خدا درباره ی مستبدان و افراط گران، جاری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سزای اعمال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تفسیری از رفتار امام علی علیه السلام با خلفا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رفتار امام علی علیه السلام با خلفا، رفتاری از سرِ کینه توزی و قدرت طلبی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خواست به هر قیمتی، رقیب را از صحنه براند و خود به قدرت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شکوه ی او از انزوا و عزلت، برای آن نبود که شهوتِ قدرت در او ارضا نشده است، بلکه از بیم زیانی بود که جامعه ی اسلامی را تهدید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راضی نمی شد با زیانی بزرگ تر مانند مرسوم شدن سنّت خلیفه کشی، به حقّ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او در راه نجات عثمان، این چنین تفسیر می شود و به خوبی،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تساهل سیاسی در سیره ی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bookmarkStart w:id="339" w:name="pg3603_21003"/>
    </w:p>
    <w:p>
      <w:pPr>
        <w:pStyle w:val="Heading5"/>
        <w:numPr>
          <w:ilvl w:val="4"/>
          <w:numId w:val="1"/>
        </w:numPr>
        <w:rPr/>
      </w:pPr>
      <w:bookmarkStart w:id="340" w:name="__RefHeading___Toc4168951_2749589250"/>
      <w:bookmarkStart w:id="341" w:name="_Toc130"/>
      <w:bookmarkEnd w:id="339"/>
      <w:bookmarkEnd w:id="340"/>
      <w:r>
        <w:rPr>
          <w:rtl w:val="true"/>
        </w:rPr>
        <w:t>ب ـ تساهل علی علیه السلام در دوران حکومت</w:t>
      </w:r>
      <w:bookmarkEnd w:id="341"/>
    </w:p>
    <w:p>
      <w:pPr>
        <w:pStyle w:val="Heading6"/>
        <w:numPr>
          <w:ilvl w:val="5"/>
          <w:numId w:val="1"/>
        </w:numPr>
        <w:rPr/>
      </w:pPr>
      <w:bookmarkStart w:id="342" w:name="__RefHeading___Toc4168953_2749589250"/>
      <w:bookmarkStart w:id="343" w:name="_Toc131"/>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ب ـ تساهل علی علیه السلام در دوران حکومت</w:t>
      </w:r>
    </w:p>
    <w:p>
      <w:pPr>
        <w:pStyle w:val="BookText"/>
        <w:rPr/>
      </w:pPr>
      <w:r>
        <w:rPr>
          <w:rFonts w:ascii="IRNazanin" w:hAnsi="IRNazanin" w:eastAsia="IRNazanin"/>
          <w:color w:val="111111"/>
          <w:sz w:val="28"/>
          <w:sz w:val="28"/>
          <w:szCs w:val="28"/>
          <w:rtl w:val="true"/>
          <w:lang w:bidi="fa-IR"/>
        </w:rPr>
        <w:t xml:space="preserve">اگر در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سکوت، امام علی علیه السلام از جایگاه یک شهروند با خلفا رفتاری تساهل آمیز داشت، در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دینی، تجربه ی تساهل سیاسی را از جایگاه یک حاکم و زمام دار به جهانیان عرضه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دو جهت با افراد و گروه های سیاسی جامعه تساهل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نسبت به آنان انتقادپذیر بود و از آنان، اطاعتِ بی چون و چرا و چشم و گوشی بسته نمی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مخالفان خود را از حق حیات و برخورداری از مواهب مدنی مانند تشکیل اجتماعات، تبلیغ عقاید خویش و دریافت مستمرّی از بیت المال منع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مواردی از این تساهل سیاسی اشاره می کنیم</w:t>
      </w:r>
      <w:r>
        <w:rPr>
          <w:rFonts w:eastAsia="IRNazanin" w:cs="IRNazanin"/>
          <w:color w:val="111111"/>
          <w:sz w:val="28"/>
          <w:szCs w:val="28"/>
          <w:rtl w:val="true"/>
          <w:lang w:bidi="fa-IR"/>
        </w:rPr>
        <w:t>:</w:t>
      </w:r>
    </w:p>
    <w:p>
      <w:pPr>
        <w:pStyle w:val="Heading6"/>
        <w:numPr>
          <w:ilvl w:val="5"/>
          <w:numId w:val="1"/>
        </w:numPr>
        <w:rPr/>
      </w:pPr>
      <w:bookmarkStart w:id="344" w:name="__RefHeading___Toc4168955_2749589250"/>
      <w:bookmarkStart w:id="345" w:name="_Toc132"/>
      <w:bookmarkEnd w:id="344"/>
      <w:r>
        <w:rPr/>
        <w:t>1</w:t>
      </w:r>
      <w:r>
        <w:rPr>
          <w:rtl w:val="true"/>
        </w:rPr>
        <w:t xml:space="preserve"> </w:t>
      </w:r>
      <w:r>
        <w:rPr>
          <w:rtl w:val="true"/>
        </w:rPr>
        <w:t>ـ آزادی خوارج تا پیش از اقدام مسلّحانه</w:t>
      </w:r>
      <w:bookmarkEnd w:id="345"/>
    </w:p>
    <w:p>
      <w:pPr>
        <w:pStyle w:val="Heading6"/>
        <w:numPr>
          <w:ilvl w:val="5"/>
          <w:numId w:val="1"/>
        </w:numPr>
        <w:rPr/>
      </w:pPr>
      <w:bookmarkStart w:id="346" w:name="__RefHeading___Toc4168957_2749589250"/>
      <w:bookmarkStart w:id="347" w:name="_Toc133"/>
      <w:bookmarkEnd w:id="346"/>
      <w:r>
        <w:rPr>
          <w:rtl w:val="true"/>
        </w:rPr>
        <w:t>اشاره</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آزادی خوارج تا پیش از اقدام مسلّحانه</w:t>
      </w:r>
    </w:p>
    <w:p>
      <w:pPr>
        <w:pStyle w:val="BookText"/>
        <w:rPr/>
      </w:pPr>
      <w:r>
        <w:rPr>
          <w:rFonts w:ascii="IRNazanin" w:hAnsi="IRNazanin" w:eastAsia="IRNazanin"/>
          <w:color w:val="111111"/>
          <w:sz w:val="28"/>
          <w:sz w:val="28"/>
          <w:szCs w:val="28"/>
          <w:rtl w:val="true"/>
          <w:lang w:bidi="fa-IR"/>
        </w:rPr>
        <w:t>خوارج، مخالفان رسمی حکومت علی علیه السلام بودند که نه در شیوه هایی مدیریتی او، بلکه در اصل خلافت علی علیه السلام تردید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 مقتدری، به خود حق می دهد که دهانِ چنین مخالفانی را ببندد و با حبس و تبعید و تضییق، آنان را منکوب کند، ولی علی علیه السلام چنین نکرد، بلکه تا زمانی که دست به قبضه ی شمشیر نبرده و امنیت جامعه را به خطر نیافکنده بودند، با آنان مدارا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جنگ صفین، با نیرنگ عمروعاص و حیله ی بر نیزه کردن قرآن و داستان حکمیّت، به پایان اندوه بارِ خود رسید، امام علی علیه السلام به کوفه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خوارج راه خود را جدا کردند و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آنان محدودیّتی ایجاد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مذاکره و گفت وگو با آنان پرداخت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جعفر سبحانی درباره ی شیوه برخورد امام علی علیه السلام با خوارج می گوید</w:t>
      </w:r>
      <w:r>
        <w:rPr>
          <w:rFonts w:eastAsia="IRNazanin" w:cs="IRNazanin"/>
          <w:color w:val="111111"/>
          <w:sz w:val="28"/>
          <w:szCs w:val="28"/>
          <w:rtl w:val="true"/>
          <w:lang w:bidi="fa-IR"/>
        </w:rPr>
        <w:t xml:space="preserve">: </w:t>
      </w:r>
      <w:bookmarkStart w:id="348" w:name="pg3603_21004"/>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 علی علیه السلام درباره خوارج این بود که تا خونی نریزند و دست به غارت اموال نزنند، در کوفه و اطراف آن بتوانند به آزادی زندگی کنند، هرچند شب و روز نعره های انکارِ آنان، مسجد را پر کند و بر ضدِّ او شعار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در این باره، روش ملایمت و نرمش بود و در سخنان وی خطاب به آنان، جز تحبیب و تذکّرات هدایت گرانه، چیز دیگری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درست بسانِ پدری که بخواهد فرزندانِ عاقّ و سرکش خود را به راه بیاورد، با آنان معامله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آنان را از بیت المال می پرداخت و به داد و فریادشان در مسجد و اطراف آن اعتنا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او این بود که با رام ساختن این گروه، وحدت کلمه را به جامعه باز آورد</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349" w:name="__RefHeading___Toc4168959_2749589250"/>
      <w:bookmarkStart w:id="350" w:name="_Toc134"/>
      <w:bookmarkEnd w:id="349"/>
      <w:r>
        <w:rPr/>
        <w:t>1</w:t>
      </w:r>
      <w:r>
        <w:rPr>
          <w:rtl w:val="true"/>
        </w:rPr>
        <w:t>ـ</w:t>
      </w:r>
      <w:r>
        <w:rPr/>
        <w:t>1</w:t>
      </w:r>
      <w:r>
        <w:rPr>
          <w:rtl w:val="true"/>
        </w:rPr>
        <w:t xml:space="preserve"> </w:t>
      </w:r>
      <w:r>
        <w:rPr>
          <w:rtl w:val="true"/>
        </w:rPr>
        <w:t>ـ توهین ابن کوّاء و تحمّل علی علیه السلام</w:t>
      </w:r>
      <w:bookmarkEnd w:id="35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توهین ابن کوّاء و تحمّل علی علیه السلام</w:t>
      </w:r>
    </w:p>
    <w:p>
      <w:pPr>
        <w:pStyle w:val="BookText"/>
        <w:rPr/>
      </w:pPr>
      <w:r>
        <w:rPr>
          <w:rFonts w:ascii="IRNazanin" w:hAnsi="IRNazanin" w:eastAsia="IRNazanin"/>
          <w:color w:val="111111"/>
          <w:sz w:val="28"/>
          <w:sz w:val="28"/>
          <w:szCs w:val="28"/>
          <w:rtl w:val="true"/>
          <w:lang w:bidi="fa-IR"/>
        </w:rPr>
        <w:t>روزی امام علی علیه السلام به نماز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ـ یکی از سران خوارج ـ به عنوان اعتراض این آیه را با صدای بلند در مسجد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اوُحِیَ اِلَیْکَ و اِلَی الَّذینَ مِنْ قَبْلِکَ لَئِنْ أَشْرَکْتَ لَیَحْبَطَنَّ عَمَلُکَ و لَتَکوُنَنَّ من الخاسرین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تو و به پیامبرانِ پیش از تو وحی کردیم که اگر شرک بورزی، عملِ تو تباه خواهد شد و از زیان 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کنایه از این بود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پذیرش حکمیّت در صفین، مشرک شدی و همه ی فضایل و سوابق درخشانت بر باد رفته است و دیگر شایسته ی خلافت نیستی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با کمال متانت و به حکم قرآن که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اذا قُرِءَ القرآنُ فاستَمِعُوا لَهُ و أَنْصِتوا لَعَلَّکُمْ تُرْحَمُون</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هنگامی که قرآن خوانده می شود، گوش فرا دهید و ساکت باشید، شاید مورد رحمت الهی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کرد تا ابن کوّاء، آیه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دوباره آیه را خواند و امام دوباره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چندبار این عمل را تکرار کرد و امام علی علیه السلام هربار با صبر و حوصله، سکوت را برمی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علی علیه السلام با تلاوت آیه ی زیر به او پاسخ گفت، به گونه ای که هم آسیبی به نماز نرسید و هم ابن کواء را ساکت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إنَّ وَعْدَ اللّهِ حقٌّ و لا یستخِفَّنّک الّذین لا یوقنون</w:t>
      </w:r>
    </w:p>
    <w:p>
      <w:pPr>
        <w:pStyle w:val="BookText"/>
        <w:rPr/>
      </w:pPr>
      <w:r>
        <w:rPr>
          <w:rFonts w:ascii="IRNazanin" w:hAnsi="IRNazanin" w:eastAsia="IRNazanin"/>
          <w:color w:val="111111"/>
          <w:sz w:val="28"/>
          <w:sz w:val="28"/>
          <w:szCs w:val="28"/>
          <w:rtl w:val="true"/>
          <w:lang w:bidi="fa-IR"/>
        </w:rPr>
        <w:t>صبر را پیشه ی خود ساز و بدان که وعده ی الهی،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نامؤمنان تو را از راه به در بَرَنْد</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آیا چنین برخوردی نشانه ی تساهل سیاسی علی علیه السلام با مخالفانِ خود نیست؟</w:t>
      </w:r>
    </w:p>
    <w:p>
      <w:pPr>
        <w:pStyle w:val="BookText"/>
        <w:rPr/>
      </w:pPr>
      <w:r>
        <w:rPr>
          <w:rFonts w:ascii="IRNazanin" w:hAnsi="IRNazanin" w:eastAsia="IRNazanin"/>
          <w:color w:val="111111"/>
          <w:sz w:val="28"/>
          <w:sz w:val="28"/>
          <w:szCs w:val="28"/>
          <w:rtl w:val="true"/>
          <w:lang w:bidi="fa-IR"/>
        </w:rPr>
        <w:t>دموکراسی علی علیه السلام از دیدگاه شهید مطهری</w:t>
      </w:r>
    </w:p>
    <w:p>
      <w:pPr>
        <w:pStyle w:val="BookText"/>
        <w:rPr/>
      </w:pPr>
      <w:r>
        <w:rPr>
          <w:rFonts w:ascii="IRNazanin" w:hAnsi="IRNazanin" w:eastAsia="IRNazanin"/>
          <w:color w:val="111111"/>
          <w:sz w:val="28"/>
          <w:sz w:val="28"/>
          <w:szCs w:val="28"/>
          <w:rtl w:val="true"/>
          <w:lang w:bidi="fa-IR"/>
        </w:rPr>
        <w:t xml:space="preserve">شهید بزرگوار و متفکر عالی مقدار؛ استاد مرتضی مطهری، داستان جسارتِ ابن کوّاء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دموکراسی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جاذبه و دافعه 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 علیه السلام با خوارج در منتهای درجه ی آزادی و دموکراسی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خلیفه است و آن ها رعیّتش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اِعمال سیاستی برایش مقدور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زندان شان نکرد و شلاق شان نزد و حتی سهمیّه ی آنان را از بیت المال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نیز </w:t>
      </w:r>
      <w:bookmarkStart w:id="351" w:name="pg3603_21006"/>
    </w:p>
    <w:p>
      <w:pPr>
        <w:pStyle w:val="BookText"/>
        <w:rPr/>
      </w:pPr>
      <w:bookmarkEnd w:id="351"/>
      <w:r>
        <w:rPr>
          <w:rFonts w:ascii="IRNazanin" w:hAnsi="IRNazanin" w:eastAsia="IRNazanin"/>
          <w:color w:val="111111"/>
          <w:sz w:val="28"/>
          <w:sz w:val="28"/>
          <w:szCs w:val="28"/>
          <w:rtl w:val="true"/>
          <w:lang w:bidi="fa-IR"/>
        </w:rPr>
        <w:t>هم چون سایر افراد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تاریخ زندگی علی عجیب نیست، ولی چیزی است که در دنیا کمتر نمونه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همه جا در اظهار عقیده آزاد بودند و حضرت، خودش و اصحابش با عقیده ی آزاد با آنان روبه رو می شدند و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استدلال می کردند و استدلال یکدیگر را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مقدار آزادی در دنیا بی سابقه باشد که حکومتی با مخالفان خود تا این درجه با دموکراسی رفتار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در مسجد و در سخنرانی و خطابه ی علی علیه السلام اخلال ایجاد می کردند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این در حالی بود که خوارج در مسجد حضور می یافتند و عمدا با علی علیه السلام به نماز جماعت نمی ایستادند، و این، به معنای اعتراض به حکومت و مخالفت رسمی با خلیفه ی وقت تلقّی می شد</w:t>
      </w:r>
      <w:r>
        <w:rPr>
          <w:rFonts w:eastAsia="IRNazanin" w:cs="IRNazanin"/>
          <w:color w:val="111111"/>
          <w:sz w:val="28"/>
          <w:szCs w:val="28"/>
          <w:rtl w:val="true"/>
          <w:lang w:bidi="fa-IR"/>
        </w:rPr>
        <w:t>.</w:t>
      </w:r>
      <w:r>
        <w:rPr>
          <w:rStyle w:val="FootnoteAnchor"/>
          <w:rtl w:val="true"/>
        </w:rPr>
        <w:footnoteReference w:id="177"/>
      </w:r>
    </w:p>
    <w:p>
      <w:pPr>
        <w:pStyle w:val="Heading6"/>
        <w:numPr>
          <w:ilvl w:val="5"/>
          <w:numId w:val="1"/>
        </w:numPr>
        <w:rPr/>
      </w:pPr>
      <w:bookmarkStart w:id="352" w:name="__RefHeading___Toc4168961_2749589250"/>
      <w:bookmarkStart w:id="353" w:name="_Toc135"/>
      <w:bookmarkEnd w:id="352"/>
      <w:r>
        <w:rPr/>
        <w:t>2</w:t>
      </w:r>
      <w:r>
        <w:rPr>
          <w:rtl w:val="true"/>
        </w:rPr>
        <w:t>ـ</w:t>
      </w:r>
      <w:r>
        <w:rPr/>
        <w:t>1</w:t>
      </w:r>
      <w:r>
        <w:rPr>
          <w:rtl w:val="true"/>
        </w:rPr>
        <w:t xml:space="preserve"> </w:t>
      </w:r>
      <w:r>
        <w:rPr>
          <w:rtl w:val="true"/>
        </w:rPr>
        <w:t>ـ شعار دادن علیه علی علیه السلام در مسجد</w:t>
      </w:r>
      <w:bookmarkEnd w:id="353"/>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شعار دادن علیه علی علیه السلام در مسجد</w:t>
      </w:r>
    </w:p>
    <w:p>
      <w:pPr>
        <w:pStyle w:val="BookText"/>
        <w:rPr/>
      </w:pPr>
      <w:r>
        <w:rPr>
          <w:rFonts w:ascii="IRNazanin" w:hAnsi="IRNazanin" w:eastAsia="IRNazanin"/>
          <w:color w:val="111111"/>
          <w:sz w:val="28"/>
          <w:sz w:val="28"/>
          <w:szCs w:val="28"/>
          <w:rtl w:val="true"/>
          <w:lang w:bidi="fa-IR"/>
        </w:rPr>
        <w:t>آنان در مرکز خلافت و در مسجد کوفه، با کمال آزادی، علی علیه السلام را به شرک و بی لیاقتی برای حکومت متهم می کردند در حالی که خود، عامل فشار بر آن حضرت برای پذیرش داوری در جنگ صفین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 پس از نقل مناظره ی منطقی علی علیه السلام با خوارج، به گزارش یک نمونه از این شعارها می پردازد و 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علی علیه السلام در مسجد بود و مردم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خوارج وارد مسجد شد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 و لَوْکَرِهَ المشرکونَ؛ حکومت و داوری جز برای خدا نیست، هرچند مشرکان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متوجّه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354" w:name="pg3603_21007"/>
    </w:p>
    <w:p>
      <w:pPr>
        <w:pStyle w:val="BookText"/>
        <w:rPr/>
      </w:pPr>
      <w:bookmarkEnd w:id="354"/>
      <w:r>
        <w:rPr>
          <w:rFonts w:ascii="IRNazanin" w:hAnsi="IRNazanin" w:eastAsia="IRNazanin"/>
          <w:color w:val="111111"/>
          <w:sz w:val="28"/>
          <w:sz w:val="28"/>
          <w:szCs w:val="28"/>
          <w:rtl w:val="true"/>
          <w:lang w:bidi="fa-IR"/>
        </w:rPr>
        <w:t>بار دیگر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 و لَوکَرِه المُتِلَفّتون؛ حکومت جز برای خدا نیست، هر چند خیره شوندگان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سر برداشت و نگاهِ خود را به او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 نرفت و با لجاجت تکرار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 و لَوکَرِه ابوالحسن؛ حکومت تنها برای خداست، هرچند ابوالحسن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 از این که حکومت برای خدا باشد، ناخرسند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منتظر حکم خدا درباره ی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ریشه ی این ها را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ریشه کن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صُلْب مردان و شکم زنان تا روز قیامت خواهند بود</w:t>
      </w:r>
      <w:r>
        <w:rPr>
          <w:rFonts w:eastAsia="IRNazanin" w:cs="IRNazanin"/>
          <w:color w:val="111111"/>
          <w:sz w:val="28"/>
          <w:szCs w:val="28"/>
          <w:rtl w:val="true"/>
          <w:lang w:bidi="fa-IR"/>
        </w:rPr>
        <w:t>!</w:t>
      </w:r>
      <w:r>
        <w:rPr>
          <w:rStyle w:val="FootnoteAnchor"/>
          <w:rtl w:val="true"/>
        </w:rPr>
        <w:footnoteReference w:id="178"/>
      </w:r>
    </w:p>
    <w:p>
      <w:pPr>
        <w:pStyle w:val="Heading6"/>
        <w:numPr>
          <w:ilvl w:val="5"/>
          <w:numId w:val="1"/>
        </w:numPr>
        <w:rPr/>
      </w:pPr>
      <w:bookmarkStart w:id="355" w:name="__RefHeading___Toc4168963_2749589250"/>
      <w:bookmarkStart w:id="356" w:name="_Toc136"/>
      <w:bookmarkEnd w:id="355"/>
      <w:r>
        <w:rPr/>
        <w:t>3</w:t>
      </w:r>
      <w:r>
        <w:rPr>
          <w:rtl w:val="true"/>
        </w:rPr>
        <w:t>ـ</w:t>
      </w:r>
      <w:r>
        <w:rPr/>
        <w:t>1</w:t>
      </w:r>
      <w:r>
        <w:rPr>
          <w:rtl w:val="true"/>
        </w:rPr>
        <w:t xml:space="preserve"> </w:t>
      </w:r>
      <w:r>
        <w:rPr>
          <w:rtl w:val="true"/>
        </w:rPr>
        <w:t>ـ اعطای امتیازهای سه گانه به خوارج</w:t>
      </w:r>
      <w:bookmarkEnd w:id="356"/>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اعطای امتیازهای سه گانه به خوارج</w:t>
      </w:r>
    </w:p>
    <w:p>
      <w:pPr>
        <w:pStyle w:val="BookText"/>
        <w:rPr/>
      </w:pPr>
      <w:r>
        <w:rPr>
          <w:rFonts w:ascii="IRNazanin" w:hAnsi="IRNazanin" w:eastAsia="IRNazanin"/>
          <w:color w:val="111111"/>
          <w:sz w:val="28"/>
          <w:sz w:val="28"/>
          <w:szCs w:val="28"/>
          <w:rtl w:val="true"/>
          <w:lang w:bidi="fa-IR"/>
        </w:rPr>
        <w:t>روزی امام علی علیه السلام بر کرسی خطابه قرار گرفته بود و مردم را پند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خوارج از گوشه ی مسجد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شعار او تمام شد، فرد دیگری برخاست و همان شعار را تکرار کرد و بعد گروهی برخاسته و همان شعار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پاسخ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الْباطِلُ؛ سخنی به حق است، امّا خوارج مقصود باطلی را دنبال می کنند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سپس امام علی علیه السلام اعلام کرد که شما نزد ما از سه امتیاز برخوردار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ورود شما به مساجد خدا جلوگیری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مسلمان می دانیم، در حالی که شما، ما را کافر می شمرید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زمانی که با ما هستید شما را از بیت المال محروم نمی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جنگ را آغاز نکرده اید، با شما نبرد نمی کنیم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امیرالمؤمنین علی علیه السلام به عهد خود با خوارج پای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آنان دست به شمشیر بردند و عبداللّه بن خَبّابِ بن اَرَتّ و همسر و طفل بی گناهش را به جُرْم مسلمان دانستن علی و عدم برائت از او، کشتند، امام علیه السلام برای نبرد با آنان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امام تنها به قصاص قاتل عبد اللّه و رها کردن دیگر خوارج رضایت داد، ولی چون همه ی خوارج یک صدا خود را کشنده ی عبداللّه دانستند</w:t>
      </w:r>
      <w:r>
        <w:rPr>
          <w:rStyle w:val="FootnoteAnchor"/>
          <w:rtl w:val="true"/>
        </w:rPr>
        <w:footnoteReference w:id="181"/>
      </w:r>
      <w:r>
        <w:rPr>
          <w:rFonts w:ascii="IRNazanin" w:hAnsi="IRNazanin" w:eastAsia="IRNazanin"/>
          <w:color w:val="111111"/>
          <w:sz w:val="28"/>
          <w:sz w:val="28"/>
          <w:szCs w:val="28"/>
          <w:rtl w:val="true"/>
          <w:lang w:bidi="fa-IR"/>
        </w:rPr>
        <w:t>، علی علیه السلام فرمان نبرد با آن مقدس نمایان کژاندیش را صادر کرد؛ کاری که کسی جز علی علیه السلام، قدرت آن را نداشت و خود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فَأَنَا فَقَأْتُ عَیْنَ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یَکُنْ لِیَجْتَرِی ءَ عَلَیها اَحَدٌ غیری بَعْدَ أَنْ ماجَ غَیْهَبُها، و اشْتَدَّ کَلَبُها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من بودم که چشم این فتنه را از حدقه بیرون کشیدم و جز من هیچ کس را جرأتِ چنین برخوردی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امواج سیاهی هایش بالا گرفت و هاری آن سخت شد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عبارت به شبهه انگیز بودن کار خوارج اشاره می کند؛ زیرا آنان ظاهری دین دار و خداترس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بیماری واگیردارِ آنان را هم چون بیماریِ هاری برای سگ می داند که درمان ندارد و تنها چاره ی آن، کشتن سگ بیمار است</w:t>
      </w:r>
      <w:r>
        <w:rPr>
          <w:rFonts w:eastAsia="IRNazanin" w:cs="IRNazanin"/>
          <w:color w:val="111111"/>
          <w:sz w:val="28"/>
          <w:szCs w:val="28"/>
          <w:rtl w:val="true"/>
          <w:lang w:bidi="fa-IR"/>
        </w:rPr>
        <w:t xml:space="preserve">. </w:t>
      </w:r>
      <w:bookmarkStart w:id="357" w:name="pg3603_21009"/>
    </w:p>
    <w:p>
      <w:pPr>
        <w:pStyle w:val="BookText"/>
        <w:rPr/>
      </w:pPr>
      <w:bookmarkEnd w:id="357"/>
      <w:r>
        <w:rPr>
          <w:rFonts w:ascii="IRNazanin" w:hAnsi="IRNazanin" w:eastAsia="IRNazanin"/>
          <w:color w:val="111111"/>
          <w:sz w:val="28"/>
          <w:sz w:val="28"/>
          <w:szCs w:val="28"/>
          <w:rtl w:val="true"/>
          <w:lang w:bidi="fa-IR"/>
        </w:rPr>
        <w:t>سگ هار، همه را گاز می گیرد و هلاک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نیز، با استدلالی ناقص، هر مخالفی را کافر می دانستند و مستحق قتل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برخورد علی علیه السلام با آنان برای درمان یک بیماری مهلکِ اجتماعی بود</w:t>
      </w:r>
      <w:r>
        <w:rPr>
          <w:rFonts w:eastAsia="IRNazanin" w:cs="IRNazanin"/>
          <w:color w:val="111111"/>
          <w:sz w:val="28"/>
          <w:szCs w:val="28"/>
          <w:rtl w:val="true"/>
          <w:lang w:bidi="fa-IR"/>
        </w:rPr>
        <w:t>.</w:t>
      </w:r>
    </w:p>
    <w:p>
      <w:pPr>
        <w:pStyle w:val="Heading6"/>
        <w:numPr>
          <w:ilvl w:val="5"/>
          <w:numId w:val="1"/>
        </w:numPr>
        <w:rPr/>
      </w:pPr>
      <w:bookmarkStart w:id="358" w:name="__RefHeading___Toc4168965_2749589250"/>
      <w:bookmarkStart w:id="359" w:name="_Toc137"/>
      <w:bookmarkEnd w:id="358"/>
      <w:r>
        <w:rPr/>
        <w:t>2</w:t>
      </w:r>
      <w:r>
        <w:rPr>
          <w:rtl w:val="true"/>
        </w:rPr>
        <w:t xml:space="preserve"> </w:t>
      </w:r>
      <w:r>
        <w:rPr>
          <w:rtl w:val="true"/>
        </w:rPr>
        <w:t>ـ اجبار نکردن مردم و شخصیت های سیاسی به بیعت</w:t>
      </w:r>
      <w:bookmarkEnd w:id="35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اجبار نکردن مردم و شخصیت های سیاسی به بیعت</w:t>
      </w:r>
    </w:p>
    <w:p>
      <w:pPr>
        <w:pStyle w:val="BookText"/>
        <w:rPr/>
      </w:pPr>
      <w:r>
        <w:rPr>
          <w:rFonts w:ascii="IRNazanin" w:hAnsi="IRNazanin" w:eastAsia="IRNazanin"/>
          <w:color w:val="111111"/>
          <w:sz w:val="28"/>
          <w:sz w:val="28"/>
          <w:szCs w:val="28"/>
          <w:rtl w:val="true"/>
          <w:lang w:bidi="fa-IR"/>
        </w:rPr>
        <w:t>یکی دیگر از مصادیق تساهل سیاسی امام علی علیه السلام، آزاد گذاردن مردم در بیعت با خویش و اجبار نکردن شخصیت های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عثمان، مردم با کمال آزادی و با حرص و وَلَع فراوان به در خانه ی امیرالمؤمنین علی علیه السلام آمدند و از او خواستند مسؤولیت خلافت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اصرار مردم و ازدحامِ آنان بر در خانه ی علی علیه السلام چنان بود که عبای آن حضرت پاره شد و دو نور دیده اش حسن و حسین علیه السلام زیردست و پای مردم آزار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 ی شقشقیّه ـ که به مسأله ی خلافت اختصاص دارد ـ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راعَنی إلّا و النّاسُ کَعُرْفِ الضَّبُعِ اِلَیَّ یَنْثالونَ علیَّ من کُلِّ جانبٍ، حتّی لَقَدْ وُطِی ءَ الحَسنانِ و شُقَّ عِطْفایَ، مُجْتَمِعینَ حَوْلی کَرَبیضَةِ الغَنَم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چیزی که مرا نگران می کرد هجوم انبوه مردم بود که هم چون موی گردنِ کفتار به دورم ریختند، تا آن جا که حسن و حسین زیردست و پاها ماندند و رِدایم از دو سوی شانه ها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سانِ گله ی بی چوبان دورِ مرا گرفتند تا من بیعت آنان را پذیرفتم</w:t>
      </w:r>
      <w:r>
        <w:rPr>
          <w:rFonts w:eastAsia="IRNazanin" w:cs="IRNazanin"/>
          <w:color w:val="111111"/>
          <w:sz w:val="28"/>
          <w:szCs w:val="28"/>
          <w:rtl w:val="true"/>
          <w:lang w:bidi="fa-IR"/>
        </w:rPr>
        <w:t>...</w:t>
      </w:r>
      <w:r>
        <w:rPr>
          <w:rStyle w:val="FootnoteAnchor"/>
          <w:rtl w:val="true"/>
        </w:rPr>
        <w:footnoteReference w:id="18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خطبه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مردم را در پذیرش خلافت، به ازدحام شتران تشنه تشبیه </w:t>
      </w:r>
    </w:p>
    <w:p>
      <w:pPr>
        <w:pStyle w:val="BookText"/>
        <w:rPr/>
      </w:pPr>
      <w:r>
        <w:rPr>
          <w:rFonts w:ascii="IRNazanin" w:hAnsi="IRNazanin" w:eastAsia="IRNazanin"/>
          <w:color w:val="111111"/>
          <w:sz w:val="28"/>
          <w:sz w:val="28"/>
          <w:szCs w:val="28"/>
          <w:rtl w:val="true"/>
          <w:lang w:bidi="fa-IR"/>
        </w:rPr>
        <w:t>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سان شترانِ تشنه ای که ساربان، پابندِ آنان را باز کند و رهایشان سازد، بر من هجوم آوردند تا آن جا که گمان کردم می خواهند مرا بکشند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ایشان امتناع اوّلیه ی خود از پذیرش خلافت را در مقابل اصرار مردم،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دستم را برای بیعت می گشودید و من آن را می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پیش می کشید و من واپس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هجوم آوردید تا آن جا که کفش از پایم به در شد، عبا از دوشم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مردم در بیعت با من چنان بود که کودکان به وَجْد آمدند و پیران، با جسمی لرزان به راه افتادند و بیماران را بر دوش به حرکت در آوردند و دختران برای مشاهده ی این منظره، نقاب از چهره پس زدند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بیعت مردم با امام علی علیه السلام، مردمی ترین و پرشورترین بیعت در میان خلفای راشدین بود، زیرا انتخاب ابوبکر در محیط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بیشتر به یک نشست حزبی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دوم نیز منصوب خلیفه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سوم نیز به وسیله ی شورای شش نفریِ منتخب عمر، برگزیده شد و مردم در آن نقش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پشتوانه ی این اقبالِ عمومی، نیازی نبود که ایشان، شخصیت های مخالف را به بیعت با خویش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طبری</w:t>
      </w:r>
      <w:r>
        <w:rPr>
          <w:rStyle w:val="FootnoteAnchor"/>
          <w:rtl w:val="true"/>
        </w:rPr>
        <w:footnoteReference w:id="187"/>
      </w:r>
      <w:r>
        <w:rPr>
          <w:rFonts w:ascii="IRNazanin" w:hAnsi="IRNazanin" w:eastAsia="IRNazanin"/>
          <w:color w:val="111111"/>
          <w:sz w:val="28"/>
          <w:sz w:val="28"/>
          <w:szCs w:val="28"/>
          <w:rtl w:val="true"/>
          <w:lang w:bidi="fa-IR"/>
        </w:rPr>
        <w:t xml:space="preserve">، افرادی که از بیعت با علی علیه السلام </w:t>
      </w:r>
    </w:p>
    <w:p>
      <w:pPr>
        <w:pStyle w:val="BookText"/>
        <w:rPr/>
      </w:pPr>
      <w:r>
        <w:rPr>
          <w:rFonts w:ascii="IRNazanin" w:hAnsi="IRNazanin" w:eastAsia="IRNazanin"/>
          <w:color w:val="111111"/>
          <w:sz w:val="28"/>
          <w:sz w:val="28"/>
          <w:szCs w:val="28"/>
          <w:rtl w:val="true"/>
          <w:lang w:bidi="fa-IR"/>
        </w:rPr>
        <w:t>خودداری کردند،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عبد الّه بن عمر، اسامة بن زید، سعد بن ابی وقّاص، کعب بن مالک،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پی عبد اللّه بن عمر، اسامه و سعد فرستاد و از آنان خواست که با او بیعت کنند، امّا به گزارش ابن ابی الحدید، هر کدام عذری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بیعت می کنم که تمامیِ مردم بیت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بیعت با اکراه نمی خواهم،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آخرین نفر باشم که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نمی کنم؛ زیرا از رسول خدا صلی الله علیه و آله شنیدم که در چنین اختلافاتی، جانب هیچ کس را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گونه باش که دستور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نیز بهانه ای آورد که امام اجازه داد برگردد و دیگر دنبال کسی نفرستاد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خودداری مروان بن حکم از بیعت</w:t>
      </w:r>
    </w:p>
    <w:p>
      <w:pPr>
        <w:pStyle w:val="BookText"/>
        <w:rPr/>
      </w:pPr>
      <w:r>
        <w:rPr>
          <w:rFonts w:ascii="IRNazanin" w:hAnsi="IRNazanin" w:eastAsia="IRNazanin"/>
          <w:color w:val="111111"/>
          <w:sz w:val="28"/>
          <w:sz w:val="28"/>
          <w:szCs w:val="28"/>
          <w:rtl w:val="true"/>
          <w:lang w:bidi="fa-IR"/>
        </w:rPr>
        <w:t>در تاریخ حکومت پنج ساله ی علی علیه السلام، مواردی را می بینیم که یاران آن حضرت خواسته اند شخصیّتی را با تهدید، به بیعت با آن حضرت وادار کنند، امّا امام آنان را از چنین کاری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بیعت مروان بن حکم، پس از شکست در جنگ 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علیه السلام او را دستگیر کردند و حضرت علی علیه السلام، او را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علی علیه السلام، اکراه او را از بیعت مشاهده کرد، در سخنانی که در خطبه 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مسطور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بیعت با او حاجتی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چون دست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آشکارا با دست خود بیعت کند، در نهان با ریش خند آن را بشکَنَد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با رفتار خود ثابت کرد که از دیدگاه اسلام، می توان با حاکم جامعه ی اسلامی مخالف بود، ولی حق مخالفت، در عین مسؤولیت نزد خداوند، باید از نظر حاکم </w:t>
      </w:r>
      <w:bookmarkStart w:id="360" w:name="pg3603_21012"/>
    </w:p>
    <w:p>
      <w:pPr>
        <w:pStyle w:val="BookText"/>
        <w:rPr/>
      </w:pPr>
      <w:bookmarkEnd w:id="360"/>
      <w:r>
        <w:rPr>
          <w:rFonts w:ascii="IRNazanin" w:hAnsi="IRNazanin" w:eastAsia="IRNazanin"/>
          <w:color w:val="111111"/>
          <w:sz w:val="28"/>
          <w:sz w:val="28"/>
          <w:szCs w:val="28"/>
          <w:rtl w:val="true"/>
          <w:lang w:bidi="fa-IR"/>
        </w:rPr>
        <w:t>پاس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آزادیِ مخالف، نباید به آزادی توطئه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بسیاری از خلفا که نام خلیفه ی پیامبر را یدک می کشیدند، حضور مخالفانِ خود را در جامعه تحمّل نمی کردند و آنان را با تبعید، شکنجه یا مسموم کردن پنهانی، از سر راه خود بر می داشتند</w:t>
      </w:r>
      <w:r>
        <w:rPr>
          <w:rFonts w:eastAsia="IRNazanin" w:cs="IRNazanin"/>
          <w:color w:val="111111"/>
          <w:sz w:val="28"/>
          <w:szCs w:val="28"/>
          <w:rtl w:val="true"/>
          <w:lang w:bidi="fa-IR"/>
        </w:rPr>
        <w:t>.</w:t>
      </w:r>
    </w:p>
    <w:p>
      <w:pPr>
        <w:pStyle w:val="Heading6"/>
        <w:numPr>
          <w:ilvl w:val="5"/>
          <w:numId w:val="1"/>
        </w:numPr>
        <w:rPr/>
      </w:pPr>
      <w:bookmarkStart w:id="361" w:name="__RefHeading___Toc4168967_2749589250"/>
      <w:bookmarkStart w:id="362" w:name="_Toc138"/>
      <w:bookmarkEnd w:id="361"/>
      <w:r>
        <w:rPr/>
        <w:t>3</w:t>
      </w:r>
      <w:r>
        <w:rPr>
          <w:rtl w:val="true"/>
        </w:rPr>
        <w:t xml:space="preserve"> </w:t>
      </w:r>
      <w:r>
        <w:rPr>
          <w:rtl w:val="true"/>
        </w:rPr>
        <w:t>ـ آزاد گذاردن طلحه و زبیر برای خروج از مدینه</w:t>
      </w:r>
      <w:bookmarkEnd w:id="36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 گذاردن طلحه و زبیر برای خروج از مدینه</w:t>
      </w:r>
    </w:p>
    <w:p>
      <w:pPr>
        <w:pStyle w:val="BookText"/>
        <w:rPr/>
      </w:pPr>
      <w:r>
        <w:rPr>
          <w:rFonts w:ascii="IRNazanin" w:hAnsi="IRNazanin" w:eastAsia="IRNazanin"/>
          <w:color w:val="111111"/>
          <w:sz w:val="28"/>
          <w:sz w:val="28"/>
          <w:szCs w:val="28"/>
          <w:rtl w:val="true"/>
          <w:lang w:bidi="fa-IR"/>
        </w:rPr>
        <w:t>هنگامی که طلحه و زبیر دریافتند علی علیه السلام مرد سازش نیست و نمی توان در کنارِ او به قدرت و ثروتِ غیر قانونی رسید، تصمیم گرفتند از مدینه خارج شوند و به سوی مکّه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خروج از مدینه، آن دو نزد امام علی علیه السلام آمدند و پیشنهاد کردند که امام، حکومت بصره و کوفه را به آنان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افردی را برای حکومت می گمارم که به دین و امانت آنان، مطمئن و از روحیات شان آگاه باشم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آنان که از رسیدن به مطلوب خود مأیوس شده بودند، مسیر سخن را عوض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ما اجازه بده مدینه را به قصدِ عمره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قصد آنان کاملاً باخبر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العُمْرَةَ تُریدانِ، شما قصد عمره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سوگند خوردند که تنها هدف شان عمره است و قصد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صریح تر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تریدان الغَدْرَةَ وَ نَکْثَ البیعه؛ شما می خواهید خدعه بزنید و بیعت بشکنید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طلحه و زبیر اجازه ی خروج از مدینه گرفتند، ولی امام علی علیه السلام در غیاب شان، حاضران را از توطئه ی آن دو و هلاکت شان آگاه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تَرَوْنَهما الّا فی فتنةٍ تُقْتَلانِ فیها؛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دو را نخواهید دید مگر در فتنه ای که در آن کشته خواهند شد</w:t>
      </w:r>
      <w:r>
        <w:rPr>
          <w:rFonts w:eastAsia="IRNazanin" w:cs="IRNazanin"/>
          <w:color w:val="111111"/>
          <w:sz w:val="28"/>
          <w:szCs w:val="28"/>
          <w:rtl w:val="true"/>
          <w:lang w:bidi="fa-IR"/>
        </w:rPr>
        <w:t xml:space="preserve">.» </w:t>
      </w:r>
      <w:bookmarkStart w:id="363" w:name="pg3603_21013"/>
    </w:p>
    <w:p>
      <w:pPr>
        <w:pStyle w:val="BookText"/>
        <w:rPr/>
      </w:pPr>
      <w:bookmarkEnd w:id="363"/>
      <w:r>
        <w:rPr>
          <w:rFonts w:ascii="IRNazanin" w:hAnsi="IRNazanin" w:eastAsia="IRNazanin"/>
          <w:color w:val="111111"/>
          <w:sz w:val="28"/>
          <w:sz w:val="28"/>
          <w:szCs w:val="28"/>
          <w:rtl w:val="true"/>
          <w:lang w:bidi="fa-IR"/>
        </w:rPr>
        <w:t>برخی از 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مسافرت آنان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تقدیر و قضای الهی تحقّق یابد</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 امام علی علیه السلام به طلحه و زبیر با علم به مخالفت قلبی آنان،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است؛ زیرا امام مخالف را به جرم مخالفت قلبی تعقیب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شمشیر کشیدند و بصره را به آ شوب کشاندند امام در برابر آنان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خطبه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این خویشتن داری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زِلْتُ أَنْتَظِرُ بِکُمْ عواقِبَ الغَدْرِ و أَتَوَسَّمُکُمْ بِحِلْیَةِ الْمُغْتَرّین حتّی سَتَرنی عَنْکُم جِلْبابُ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پیوسته پایان کار پر نیرنگ شما را انتظار می کشیدم و شما را در لباس فریب خوردگان می دیدم، امّا لباس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اقدام من علیه شما بود</w:t>
      </w:r>
      <w:r>
        <w:rPr>
          <w:rFonts w:eastAsia="IRNazanin" w:cs="IRNazanin"/>
          <w:color w:val="111111"/>
          <w:sz w:val="28"/>
          <w:szCs w:val="28"/>
          <w:rtl w:val="true"/>
          <w:lang w:bidi="fa-IR"/>
        </w:rPr>
        <w:t>.</w:t>
      </w:r>
    </w:p>
    <w:p>
      <w:pPr>
        <w:pStyle w:val="Heading6"/>
        <w:numPr>
          <w:ilvl w:val="5"/>
          <w:numId w:val="1"/>
        </w:numPr>
        <w:rPr/>
      </w:pPr>
      <w:bookmarkStart w:id="364" w:name="__RefHeading___Toc4168969_2749589250"/>
      <w:bookmarkStart w:id="365" w:name="_Toc139"/>
      <w:bookmarkEnd w:id="364"/>
      <w:r>
        <w:rPr/>
        <w:t>4</w:t>
      </w:r>
      <w:r>
        <w:rPr>
          <w:rtl w:val="true"/>
        </w:rPr>
        <w:t xml:space="preserve"> </w:t>
      </w:r>
      <w:r>
        <w:rPr>
          <w:rtl w:val="true"/>
        </w:rPr>
        <w:t>ـ پرداخت دیه برای مخالفِ مقتول</w:t>
      </w:r>
      <w:bookmarkEnd w:id="36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پرداخت دیه برای مخالفِ مقتول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آغاز جنگ صفین، امام علی علیه السلام در یک سخنرانی عمومی، مردم را به آمادگی برای نبرد با معاویه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مردمی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برخاست و با اعلان مخالفت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باز می خواهی ما را به جنگ برادران مان بکشانی، همان گونه که در جنگ جمل، ما را به کشتار برادرانمان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که حاضر بود، سر برداشت تا ببیند گوینده ی سخن کیست، امّا مردم زودتر از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اربد پا به فرار نهاد تا در بازار مال فروشان به دست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قدر او را زدند تا زیر ضربات مشت و لگد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رفتار را از مردم نپسندید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او را رها می کردند تا با گفت و گو، قلب او را به خود متمایل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به جست و جوی قاتلِ او پرداخت و چون قاتل مشخص نشد، امام علی علیه السلام فرمود تا دیه ی او را از بیت المال به وارثانش </w:t>
      </w:r>
      <w:bookmarkStart w:id="366" w:name="pg3603_21014"/>
    </w:p>
    <w:p>
      <w:pPr>
        <w:pStyle w:val="BookText"/>
        <w:rPr/>
      </w:pPr>
      <w:bookmarkEnd w:id="366"/>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آیا این رفتار، نشانه ی آزادی مخالف و تساهل سیاسی در حکومت علی علیه السلام نیست؟</w:t>
      </w:r>
      <w:r>
        <w:rPr>
          <w:rFonts w:eastAsia="IRNazanin" w:cs="IRNazanin"/>
          <w:color w:val="111111"/>
          <w:sz w:val="28"/>
          <w:szCs w:val="28"/>
          <w:rtl w:val="true"/>
          <w:lang w:bidi="fa-IR"/>
        </w:rPr>
        <w:t>!</w:t>
      </w:r>
    </w:p>
    <w:p>
      <w:pPr>
        <w:pStyle w:val="Heading6"/>
        <w:numPr>
          <w:ilvl w:val="5"/>
          <w:numId w:val="1"/>
        </w:numPr>
        <w:rPr/>
      </w:pPr>
      <w:bookmarkStart w:id="367" w:name="__RefHeading___Toc4168971_2749589250"/>
      <w:bookmarkStart w:id="368" w:name="_Toc140"/>
      <w:bookmarkEnd w:id="367"/>
      <w:r>
        <w:rPr/>
        <w:t>5</w:t>
      </w:r>
      <w:r>
        <w:rPr>
          <w:rtl w:val="true"/>
        </w:rPr>
        <w:t xml:space="preserve"> </w:t>
      </w:r>
      <w:r>
        <w:rPr>
          <w:rtl w:val="true"/>
        </w:rPr>
        <w:t>ـ مجبور نکردن مردم به همراهی خود در جنگ</w:t>
      </w:r>
      <w:bookmarkEnd w:id="36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مجبور نکردن مردم به همراهی خود در جنگ</w:t>
      </w:r>
    </w:p>
    <w:p>
      <w:pPr>
        <w:pStyle w:val="BookText"/>
        <w:rPr/>
      </w:pPr>
      <w:r>
        <w:rPr>
          <w:rFonts w:ascii="IRNazanin" w:hAnsi="IRNazanin" w:eastAsia="IRNazanin"/>
          <w:color w:val="111111"/>
          <w:sz w:val="28"/>
          <w:sz w:val="28"/>
          <w:szCs w:val="28"/>
          <w:rtl w:val="true"/>
          <w:lang w:bidi="fa-IR"/>
        </w:rPr>
        <w:t>امام علیه السلام حتّی با کسانی که حاضر به همراهی او در جنگ ها نبودند، برخوردی جابرانه و همراه با اکراه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صفین، گروهی از مردم برای شرکت در جنگ تردید داشتند و با صراحت می گفتند که نمی دانند از میان علی علیه السلام و معاویه، کدام یک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برای آنان درباره ی حقانیّت خود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گروهی از اصحاب عبد اللّه بن مسعود اظهار داشتند که به سپاه امام ملحق نمی شوند، امّا در نزدیکی او حرکت می کنند تا ببینند چه گروهی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خواست آنان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گروه چهارصد نفری نیز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خُثَیْم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خواستند آنان را به جای جنگ با معاویه، به جنگ با کافران در مرزها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آنان را به مرز ری ـ که شاید خراسان امروزی باشد ـ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خواجه ربیع در اطراف مشهد، می تواند گواه صدق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را نیز به مرز دیلم اعزام کرد</w:t>
      </w:r>
      <w:r>
        <w:rPr>
          <w:rFonts w:eastAsia="IRNazanin" w:cs="IRNazanin"/>
          <w:color w:val="111111"/>
          <w:sz w:val="28"/>
          <w:szCs w:val="28"/>
          <w:rtl w:val="true"/>
          <w:lang w:bidi="fa-IR"/>
        </w:rPr>
        <w:t>.</w:t>
      </w:r>
      <w:r>
        <w:rPr>
          <w:rStyle w:val="FootnoteAnchor"/>
          <w:rtl w:val="true"/>
        </w:rPr>
        <w:footnoteReference w:id="192"/>
      </w:r>
    </w:p>
    <w:p>
      <w:pPr>
        <w:pStyle w:val="Heading6"/>
        <w:numPr>
          <w:ilvl w:val="5"/>
          <w:numId w:val="1"/>
        </w:numPr>
        <w:rPr/>
      </w:pPr>
      <w:bookmarkStart w:id="369" w:name="__RefHeading___Toc4168973_2749589250"/>
      <w:bookmarkStart w:id="370" w:name="_Toc141"/>
      <w:bookmarkEnd w:id="369"/>
      <w:r>
        <w:rPr/>
        <w:t>6</w:t>
      </w:r>
      <w:r>
        <w:rPr>
          <w:rtl w:val="true"/>
        </w:rPr>
        <w:t xml:space="preserve"> </w:t>
      </w:r>
      <w:r>
        <w:rPr>
          <w:rtl w:val="true"/>
        </w:rPr>
        <w:t>ـ مجبور نکردن مردم رقّه به نصب پل</w:t>
      </w:r>
      <w:bookmarkEnd w:id="37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مجبور نکردن مردم رقّه به نصب پل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سپاه امام علی علیه السلام برای رویارویی با معاویه عازم صفین بود، به سرزمین رقّه رسید که در کنار رود فرات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برای عبور از رودخانه، باید پل بسته </w:t>
      </w:r>
      <w:bookmarkStart w:id="371" w:name="pg3603_21015"/>
    </w:p>
    <w:p>
      <w:pPr>
        <w:pStyle w:val="BookText"/>
        <w:rPr/>
      </w:pPr>
      <w:bookmarkEnd w:id="371"/>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مردم رقّه خواست که برای سپاهیان او،پلی بر رودخانه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طور رسمی زیر فرمان حکومت علی علیه السلام و در دل، هوادار معاویه بودند، از این کار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این که قدرت داشت آنان را به این کار وادار کند، تصمیم گرفت از روی پلی که در نقطه دورتری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گذر کند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موارد دیگری از تساهل سیاسی در سیره ی امام علی علیه السلام به چشم می خورد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زن شوهر مرده به علی علیه السلام به دلیل از دست دادن سرپرست، تحمّل اشعث بن قیس در سپاه خود با وجود علم به نفاق او، موافقت با ازدواج دختر خودام کلثوم با عمر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اثبات تاریخی این گزارش</w:t>
      </w:r>
      <w:r>
        <w:rPr>
          <w:rFonts w:eastAsia="IRNazanin" w:cs="IRNazanin"/>
          <w:color w:val="111111"/>
          <w:sz w:val="28"/>
          <w:szCs w:val="28"/>
          <w:rtl w:val="true"/>
          <w:lang w:bidi="fa-IR"/>
        </w:rPr>
        <w:t>).</w:t>
      </w:r>
    </w:p>
    <w:p>
      <w:pPr>
        <w:pStyle w:val="Heading3"/>
        <w:numPr>
          <w:ilvl w:val="2"/>
          <w:numId w:val="1"/>
        </w:numPr>
        <w:rPr/>
      </w:pPr>
      <w:bookmarkStart w:id="372" w:name="__RefHeading___Toc4168975_2749589250"/>
      <w:bookmarkStart w:id="373" w:name="_Toc142"/>
      <w:bookmarkEnd w:id="372"/>
      <w:r>
        <w:rPr>
          <w:rtl w:val="true"/>
        </w:rPr>
        <w:t>نتیجه گیری</w:t>
      </w:r>
      <w:bookmarkEnd w:id="373"/>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 السلام، اهل تساهل و تسامح، به معنای ناب و اسلامی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علی علیه السلام با تساهل غربی که مبتنی بر اعتقاد به تکثّر حقیقت و جدایی دین از سیاست است،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حاکمی دینی می دانست که از سوی خدا و مردم، موظّف به اجرای احکام دین بدون سازش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 السلام به حقوق مردم وفادار بود و آنان را به پذیرش حکومت خود یا تصمیم های حکومتی خویش مجبور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 السلام از حقوق مخالفان عقیدتی خود، مانند اهل کتاب، پاسداری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 السلام از به کارگیری خشونت اکراه داشت و تنها در موارد ضرورت و برای حفظ امنیّت جامعه از قوّه ی قهریّه بهره می برد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علیه السلام با کسانی که با او در اصلِ حکومت یا در شیوه های اجرایی مانند جنگ و صلح، تقسیم بیت المال و نصب کارگزاران مخالف بودند، تساهل سیاسی داشت</w:t>
      </w:r>
      <w:r>
        <w:rPr>
          <w:rFonts w:eastAsia="IRNazanin" w:cs="IRNazanin"/>
          <w:color w:val="111111"/>
          <w:sz w:val="28"/>
          <w:szCs w:val="28"/>
          <w:rtl w:val="true"/>
          <w:lang w:bidi="fa-IR"/>
        </w:rPr>
        <w:t xml:space="preserve">. </w:t>
      </w:r>
      <w:bookmarkStart w:id="374" w:name="pg3603_21016"/>
    </w:p>
    <w:p>
      <w:pPr>
        <w:pStyle w:val="Heading2"/>
        <w:numPr>
          <w:ilvl w:val="1"/>
          <w:numId w:val="1"/>
        </w:numPr>
        <w:rPr/>
      </w:pPr>
      <w:bookmarkStart w:id="375" w:name="__RefHeading___Toc4168977_2749589250"/>
      <w:bookmarkStart w:id="376" w:name="_Toc143"/>
      <w:bookmarkEnd w:id="374"/>
      <w:bookmarkEnd w:id="375"/>
      <w:r>
        <w:rPr>
          <w:rtl w:val="true"/>
        </w:rPr>
        <w:t>بخش چهارم</w:t>
      </w:r>
      <w:r>
        <w:rPr>
          <w:rtl w:val="true"/>
        </w:rPr>
        <w:t xml:space="preserve">: </w:t>
      </w:r>
      <w:r>
        <w:rPr>
          <w:rtl w:val="true"/>
        </w:rPr>
        <w:t>صدا و سیما و تساهل و تسامح</w:t>
      </w:r>
      <w:bookmarkEnd w:id="376"/>
    </w:p>
    <w:p>
      <w:pPr>
        <w:pStyle w:val="Heading3"/>
        <w:numPr>
          <w:ilvl w:val="2"/>
          <w:numId w:val="1"/>
        </w:numPr>
        <w:rPr/>
      </w:pPr>
      <w:bookmarkStart w:id="377" w:name="__RefHeading___Toc4168979_2749589250"/>
      <w:bookmarkStart w:id="378" w:name="_Toc144"/>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و تساهل و تسامح</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نقش رسانه در موضوع تساهل و تسامح</w:t>
      </w:r>
    </w:p>
    <w:p>
      <w:pPr>
        <w:pStyle w:val="BookText"/>
        <w:rPr/>
      </w:pPr>
      <w:r>
        <w:rPr>
          <w:rFonts w:ascii="IRNazanin" w:hAnsi="IRNazanin" w:eastAsia="IRNazanin"/>
          <w:color w:val="111111"/>
          <w:sz w:val="28"/>
          <w:sz w:val="28"/>
          <w:szCs w:val="28"/>
          <w:rtl w:val="true"/>
          <w:lang w:bidi="fa-IR"/>
        </w:rPr>
        <w:t>بررسی عملکرد رسانه در موضوعِ تساهل و تسامح</w:t>
      </w:r>
    </w:p>
    <w:p>
      <w:pPr>
        <w:pStyle w:val="BookText"/>
        <w:rPr/>
      </w:pPr>
      <w:r>
        <w:rPr>
          <w:rFonts w:ascii="IRNazanin" w:hAnsi="IRNazanin" w:eastAsia="IRNazanin"/>
          <w:color w:val="111111"/>
          <w:sz w:val="28"/>
          <w:sz w:val="28"/>
          <w:szCs w:val="28"/>
          <w:rtl w:val="true"/>
          <w:lang w:bidi="fa-IR"/>
        </w:rPr>
        <w:t>توصیه به برنامه ریزان رسانه در سطح کلان</w:t>
      </w:r>
    </w:p>
    <w:p>
      <w:pPr>
        <w:pStyle w:val="BookText"/>
        <w:rPr/>
      </w:pPr>
      <w:r>
        <w:rPr>
          <w:rFonts w:ascii="IRNazanin" w:hAnsi="IRNazanin" w:eastAsia="IRNazanin"/>
          <w:color w:val="111111"/>
          <w:sz w:val="28"/>
          <w:sz w:val="28"/>
          <w:szCs w:val="28"/>
          <w:rtl w:val="true"/>
          <w:lang w:bidi="fa-IR"/>
        </w:rPr>
        <w:t>ارایه ی راه کارهای اصلاحی و پیشنهادهای برنامه ای</w:t>
      </w:r>
    </w:p>
    <w:p>
      <w:pPr>
        <w:pStyle w:val="BookText"/>
        <w:rPr/>
      </w:pPr>
      <w:r>
        <w:rPr>
          <w:rFonts w:ascii="IRNazanin" w:hAnsi="IRNazanin" w:eastAsia="IRNazanin"/>
          <w:color w:val="111111"/>
          <w:sz w:val="28"/>
          <w:sz w:val="28"/>
          <w:szCs w:val="28"/>
          <w:rtl w:val="true"/>
          <w:lang w:bidi="fa-IR"/>
        </w:rPr>
        <w:t>معرفی مراکز و نهادهای مرتبط با موضوع تساهل و تسامح</w:t>
      </w:r>
    </w:p>
    <w:p>
      <w:pPr>
        <w:pStyle w:val="BookText"/>
        <w:rPr/>
      </w:pPr>
      <w:r>
        <w:rPr>
          <w:rFonts w:ascii="IRNazanin" w:hAnsi="IRNazanin" w:eastAsia="IRNazanin"/>
          <w:color w:val="111111"/>
          <w:sz w:val="28"/>
          <w:sz w:val="28"/>
          <w:szCs w:val="28"/>
          <w:rtl w:val="true"/>
          <w:lang w:bidi="fa-IR"/>
        </w:rPr>
        <w:t>معرفی کارشناسان خبره با دیدگاه های گوناگون</w:t>
      </w:r>
    </w:p>
    <w:p>
      <w:pPr>
        <w:pStyle w:val="BookText"/>
        <w:rPr/>
      </w:pPr>
      <w:r>
        <w:rPr>
          <w:rFonts w:ascii="IRNazanin" w:hAnsi="IRNazanin" w:eastAsia="IRNazanin"/>
          <w:color w:val="111111"/>
          <w:sz w:val="28"/>
          <w:sz w:val="28"/>
          <w:szCs w:val="28"/>
          <w:rtl w:val="true"/>
          <w:lang w:bidi="fa-IR"/>
        </w:rPr>
        <w:t>پرسش هایی برای گفت وگو با مردم</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ascii="IRNazanin" w:hAnsi="IRNazanin" w:eastAsia="IRNazanin"/>
          <w:color w:val="111111"/>
          <w:sz w:val="28"/>
          <w:sz w:val="28"/>
          <w:szCs w:val="28"/>
          <w:rtl w:val="true"/>
          <w:lang w:bidi="fa-IR"/>
        </w:rPr>
        <w:t>معرفی کتاب هایی در زمینه ی تساهل و تسامح</w:t>
      </w:r>
    </w:p>
    <w:p>
      <w:pPr>
        <w:pStyle w:val="Heading3"/>
        <w:numPr>
          <w:ilvl w:val="2"/>
          <w:numId w:val="1"/>
        </w:numPr>
        <w:rPr/>
      </w:pPr>
      <w:bookmarkStart w:id="379" w:name="__RefHeading___Toc4168981_2749589250"/>
      <w:bookmarkStart w:id="380" w:name="_Toc145"/>
      <w:bookmarkEnd w:id="379"/>
      <w:r>
        <w:rPr>
          <w:rtl w:val="true"/>
        </w:rPr>
        <w:t>نقش رسانه در موضوع تساهل و تسامح</w:t>
      </w:r>
      <w:bookmarkEnd w:id="380"/>
    </w:p>
    <w:p>
      <w:pPr>
        <w:pStyle w:val="BookText"/>
        <w:rPr/>
      </w:pPr>
      <w:r>
        <w:rPr>
          <w:rFonts w:ascii="IRNazanin" w:hAnsi="IRNazanin" w:eastAsia="IRNazanin"/>
          <w:color w:val="111111"/>
          <w:sz w:val="28"/>
          <w:sz w:val="28"/>
          <w:szCs w:val="28"/>
          <w:rtl w:val="true"/>
          <w:lang w:bidi="fa-IR"/>
        </w:rPr>
        <w:t>نقش رسانه در موضوع تساهل و تسامح</w:t>
      </w:r>
    </w:p>
    <w:p>
      <w:pPr>
        <w:pStyle w:val="BookText"/>
        <w:rPr/>
      </w:pPr>
      <w:r>
        <w:rPr>
          <w:rFonts w:ascii="IRNazanin" w:hAnsi="IRNazanin" w:eastAsia="IRNazanin"/>
          <w:color w:val="111111"/>
          <w:sz w:val="28"/>
          <w:sz w:val="28"/>
          <w:szCs w:val="28"/>
          <w:rtl w:val="true"/>
          <w:lang w:bidi="fa-IR"/>
        </w:rPr>
        <w:t>تساهل و تسامح یک پدیده ی فرهنگی است؛ چه در معنای منفی آن که مفهوم قانون گریزی و لاابالی گری را به همراه دارد و چه در معنای مثبت آن که از یک سو تحمّل و پذیرش سلیقه های گوناگون عقیدتی، سیاسی و مذهبی با احترام به هویت انسانی آدمیان را بیان می کند و از سوی دیگر، پرهیز از خشونت و رفتار کینه توزانه و چشم پوشی و جوانمردی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نوع نگرش و پرورش آدمیان در بسترِ جامعه ریشه می گیرد و نشان گر نوع آموزش های دینی، اخلاقی، اجتماعی و حتّی فلسفی است که در سالیانِ دراز در همه ی زوایای جامعه به شکل هایِ گوناگون جاری و ساری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تساهل و تسامح را موضوعی فرهنگی بدانیم، ارتباط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نهاد نیرومند، پیشرفته و فرهنگ ساز در دنیای کنونی است، به خوبی درخواهیم یافت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نقش و ارتباط هنگامی آشکارتر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تنها ابزاری برای پر کردن اوقات فراغت و ایجاد سرگرمی،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که تحصیل در آن، تنها با خریدن یک گیرنده اعمّ از رادیو یا تلویزیون، میسّر است و خریدار شاید خود نیز نمی داند که خود و خانواده اش را بدین گونه در یک دانشگاه بزرگ، ثبت نام </w:t>
      </w:r>
      <w:bookmarkStart w:id="381" w:name="pg3603_21017"/>
    </w:p>
    <w:p>
      <w:pPr>
        <w:pStyle w:val="BookText"/>
        <w:rPr/>
      </w:pPr>
      <w:bookmarkEnd w:id="381"/>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برنامه ریزی و اجرای برنامه ها، در گسترش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متوقف و محدود کردن 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های خشونت آمیز که کینه توزی و انتقام را تبلیغ می کند، محدود کننده ی این فرهنگ است و صحنه های عاطفی و انسانی که نسیم روح بخش محبت و گذشت را به مشام جان بیننده آشنا می سازد،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صحیح و اسلامی آن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ایران را مسلمانان تشکیل می دهند و همه ی فرقه های مسلمان از اهل سنت تا شیعیان و حتی اهل حق، علاقه ی بسیاری به شخصیت امام علی علیه السلام دارند،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تساهل و تسامح از دیدگاه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بسیار قابل استفاده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تشنگیِ فراوان، خواستار دریافت اطلاعات موثق و الگوهای رفتاری از شخصیت امام علی علیه السلام هستند تا با پیروی از آن، بر مشکلاتِ خویش چیره شوند و راه خود را در هزاره ی سوم میلادی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آنان به رسانه 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امید دوخته اند که با توجه به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خود وظیفه دارد تا با پژوهش در زندگی شخصیت های اسلامی مانند امام علی علیه السلام، برای جامعه الگوسازی کند؛ یعنی پیشوایان راستین را همان گونه که فراتر از زمان خود بوده اند و الگوی همیشگی برای همه ی عصرها و نسل ها به شمار می آیند، در قالب فیلم، سریال، میزگرد، میان پرده، جُنگ، شعر و سرود به جامعه معرفی کند</w:t>
      </w:r>
      <w:r>
        <w:rPr>
          <w:rFonts w:eastAsia="IRNazanin" w:cs="IRNazanin"/>
          <w:color w:val="111111"/>
          <w:sz w:val="28"/>
          <w:szCs w:val="28"/>
          <w:rtl w:val="true"/>
          <w:lang w:bidi="fa-IR"/>
        </w:rPr>
        <w:t>.</w:t>
      </w:r>
    </w:p>
    <w:p>
      <w:pPr>
        <w:pStyle w:val="Heading3"/>
        <w:numPr>
          <w:ilvl w:val="2"/>
          <w:numId w:val="1"/>
        </w:numPr>
        <w:rPr/>
      </w:pPr>
      <w:bookmarkStart w:id="382" w:name="__RefHeading___Toc4168983_2749589250"/>
      <w:bookmarkStart w:id="383" w:name="_Toc146"/>
      <w:bookmarkEnd w:id="382"/>
      <w:r>
        <w:rPr>
          <w:rtl w:val="true"/>
        </w:rPr>
        <w:t>بررسی عملکرد رسانه در موضوعِ تساهل و تسامح</w:t>
      </w:r>
      <w:bookmarkEnd w:id="383"/>
    </w:p>
    <w:p>
      <w:pPr>
        <w:pStyle w:val="BookText"/>
        <w:rPr/>
      </w:pPr>
      <w:r>
        <w:rPr>
          <w:rFonts w:ascii="IRNazanin" w:hAnsi="IRNazanin" w:eastAsia="IRNazanin"/>
          <w:color w:val="111111"/>
          <w:sz w:val="28"/>
          <w:sz w:val="28"/>
          <w:szCs w:val="28"/>
          <w:rtl w:val="true"/>
          <w:lang w:bidi="fa-IR"/>
        </w:rPr>
        <w:t>بررسی عملکرد رسانه در موضوعِ تساهل و تسامح</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قدمت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امروزی آن که بیشتر بارِ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مخالف و پرهیز از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عرصه ی مباحث دانشگاهی به یک دهه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عرصه ی سیاست و اجتماع به بیش از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طبیعی است که عملکرد صدا و سیما را در این زمینه، ابتدایی و در آغاز راه بدانیم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هرچند صدا و سیما در ابلاغ مفاهیم اسلامی و دینی و اخلاقی به سطوح گوناگون جامعه، از دیرباز کوشش بسیار داشته است، امّا برای طرح جدّی این موضوع، ضرورتی نمی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تر شدن جامعه ی ایران در دهه 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سطح آگاهی مردم که شاخص آن افزایش میزان باسوادی و تعداد دانش آموخته گان مراکز دانشگاهی است، به آگاهی بیشتر آنان از وضعیت جوامع پیشرفته و تمایل روزافزون آنان برای رشد و توسعه در همه ی ابعاد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صدا و سیما ضروری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شرط گذار از جامعه ی بسته، سنتی و متعصّب به یک جامعه ی مدرن، فراگیر و توسعه یافته است که در آن از یک سو، نظارت مردمی بر رفتار حاکمان افزایش می یابد و از سوی دیگر، همه ی استعدادها و اندیشه ها از هرگونه سلیقه و مذهبی، مجال رشد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نگارنده، صدا و سیما کار زیادی در این باره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گذشته، تنها نمایش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تصویر روشنی از مَنِش و رَوِش امام علی علیه السلام در ذهن جوانان و تحصیل کردگان ایرانی ایجاد کند، امّا چون فیلم بیشتر یک زندگی نامه ی مفصّل با اهدافِ عامّ بود، بیشتر صحنه های آن با جنگ و خون ریزی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صحنه ها با حجم نبردهای رخ داده در حکومت پنج ساله ی امام علی علیه السلام متناسب است، ولی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پررنگ تر از جنگ جویی و جنگاوری آن حضرت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نیز که مقام معظم رهبری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برنامه های مستقلی در این باره نداشتیم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مسابقه ی تصویری امام علی که در سال فوق، پیش از اخبار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ی اول سیما پخش می شد، تنها با هدف آشنایی عمومی مردم با زندگانی امام علی علیه السلام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این پرسش که نامه ی امام علی علیه السلام به مالک اشتر، کدامین نامه در نهج البلاغه است، یا شخصیّتی که در فیلم امام علی علیه السلام و در صحنه های مربوط </w:t>
      </w:r>
      <w:bookmarkStart w:id="384" w:name="pg3603_21019"/>
    </w:p>
    <w:p>
      <w:pPr>
        <w:pStyle w:val="BookText"/>
        <w:rPr/>
      </w:pPr>
      <w:bookmarkEnd w:id="384"/>
      <w:r>
        <w:rPr>
          <w:rFonts w:ascii="IRNazanin" w:hAnsi="IRNazanin" w:eastAsia="IRNazanin"/>
          <w:color w:val="111111"/>
          <w:sz w:val="28"/>
          <w:sz w:val="28"/>
          <w:szCs w:val="28"/>
          <w:rtl w:val="true"/>
          <w:lang w:bidi="fa-IR"/>
        </w:rPr>
        <w:t xml:space="preserve">به داستانِ حکمیت، نقش گروه فشار را علیه آن حضرت بازی می کند،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تواند پرسش هایی هدف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باید برای ساختن برنامه های موضوعی و مستقل برگرفته از بینش و روش امام علی علیه السلام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صدا و سیما با به کارگیری امکانات تبلیغی خود، کوشیده است قشرهای گوناگون جامعه را با سیره و سلوک امام علی علیه السلام بیش از پیش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مسابقه ی فرهنگی ـ هنری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ی چهار سیما، از نمونه های آن است که نقطه ی قوت عملکرد این رسانه محسوب می شود</w:t>
      </w:r>
      <w:r>
        <w:rPr>
          <w:rFonts w:eastAsia="IRNazanin" w:cs="IRNazanin"/>
          <w:color w:val="111111"/>
          <w:sz w:val="28"/>
          <w:szCs w:val="28"/>
          <w:rtl w:val="true"/>
          <w:lang w:bidi="fa-IR"/>
        </w:rPr>
        <w:t>.</w:t>
      </w:r>
    </w:p>
    <w:p>
      <w:pPr>
        <w:pStyle w:val="Heading3"/>
        <w:numPr>
          <w:ilvl w:val="2"/>
          <w:numId w:val="1"/>
        </w:numPr>
        <w:rPr/>
      </w:pPr>
      <w:bookmarkStart w:id="385" w:name="__RefHeading___Toc4168985_2749589250"/>
      <w:bookmarkStart w:id="386" w:name="_Toc147"/>
      <w:bookmarkEnd w:id="385"/>
      <w:r>
        <w:rPr>
          <w:rtl w:val="true"/>
        </w:rPr>
        <w:t>توصیه به برنامه ریزان رسانه در سطح کلان</w:t>
      </w:r>
      <w:bookmarkEnd w:id="386"/>
    </w:p>
    <w:p>
      <w:pPr>
        <w:pStyle w:val="BookText"/>
        <w:rPr/>
      </w:pPr>
      <w:r>
        <w:rPr>
          <w:rFonts w:ascii="IRNazanin" w:hAnsi="IRNazanin" w:eastAsia="IRNazanin"/>
          <w:color w:val="111111"/>
          <w:sz w:val="28"/>
          <w:sz w:val="28"/>
          <w:szCs w:val="28"/>
          <w:rtl w:val="true"/>
          <w:lang w:bidi="fa-IR"/>
        </w:rPr>
        <w:t>توصیه به برنامه ریزان رسانه در سطح کلان</w:t>
      </w:r>
    </w:p>
    <w:p>
      <w:pPr>
        <w:pStyle w:val="BookText"/>
        <w:rPr/>
      </w:pPr>
      <w:r>
        <w:rPr>
          <w:rFonts w:ascii="IRNazanin" w:hAnsi="IRNazanin" w:eastAsia="IRNazanin"/>
          <w:color w:val="111111"/>
          <w:sz w:val="28"/>
          <w:sz w:val="28"/>
          <w:szCs w:val="28"/>
          <w:rtl w:val="true"/>
          <w:lang w:bidi="fa-IR"/>
        </w:rPr>
        <w:t>پیشنهادها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معرّفی شخصیت امام علی علیه السلام متوقف نشود و برنامه ریزی برای ساختن برنامه های مختلف شنیداری و دیداری برای معرّفی ابعاد گوناگون زندگی آن حضرت، ادامه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نگاه رسانه به امام علی علیه السلام، نگاهی فراگیر باشد به گونه ای که اگر صلابت و قاطعیت امام در اجرای حدود الهی به تصویر کشیده می شود، گذشت و تحمّل آن حضرت نیز در کنار آن به نمایش درآید تا آن حضرت شخصیّتی تک بعدی معرفی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رسانه در ذهن مخاطبان خود، مرز میان تساهل مثبت و تساهل منفی را شفاف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امام علی علیه السلام را در حال گریز از تساهل منفی به معنی سهل انگاری و کوتاه آمدن در راه اجرای قانون الهی و حدود شرعی و ارزش های ثابت دینی نشان دهد، و در همان حال او را پای بند به تساهل مثبت به معنای تحمّل مخالفِ خود بنمایاند چه در مقام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مقام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خلافت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تصویری از امام علی علیه السلام، او را شخصیّتی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و وحی الهی و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یک ارزش بر </w:t>
      </w:r>
      <w:bookmarkStart w:id="387" w:name="pg3603_21020"/>
    </w:p>
    <w:p>
      <w:pPr>
        <w:pStyle w:val="BookText"/>
        <w:rPr/>
      </w:pPr>
      <w:bookmarkEnd w:id="387"/>
      <w:r>
        <w:rPr>
          <w:rFonts w:ascii="IRNazanin" w:hAnsi="IRNazanin" w:eastAsia="IRNazanin"/>
          <w:color w:val="111111"/>
          <w:sz w:val="28"/>
          <w:sz w:val="28"/>
          <w:szCs w:val="28"/>
          <w:rtl w:val="true"/>
          <w:lang w:bidi="fa-IR"/>
        </w:rPr>
        <w:t>عقل خود یا عقل جمعی و عرف جاری جامعه ترجیح می دهد، ولی از سوی دیگر، در به کارگیری روش برای حاکمیتِ این ارزش، رأی مردم و اقبال عمومی و رضایت اجتماعی را پاس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چنین مفهومی در ذهن مردم، آنان را برای داوری درباره ی کُنِش جناح های سیاسی جامعه رهنمون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دیگر در میدان بحث های سیاسی، سرگردان نخواهند بود، بلکه با الگوپذیری صحیح از زندگی امام خویش و دریافت معیار حق و باطل، به هریک از گروه های سیاسی و در هر زمان که لازم باشد، نمره ی ردّ یا قبول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رسانه باید امام علی علیه السلام را از سطح یک شخصیت غیر قابل دسترس که به دلیل شدّت قدس و تقوا و ارزش مداری، قابل تبعیت و الگوپذیی برای بشرِ رفاه طلب و لذّت جوی عصر حاضر نیست،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از حضرت علی علیه السلام برای همه ی انسان ها؛ چه انسان های به شدّت دین دار و چه انسان های با ایمان متوسّط و حتی انسان های بی توجه به معارف دینی، الگویی پذیرفتنی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که امام علی علیه السلام یک نفر بود و ما نمی توانیم هم چون او باشیم، با این نتیجه گیری که پس راهی جز راه او را برگزینیم، آفت انسان متدیّن یا بی ایمان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رسانه باید به گونه ای باشد که به مخاطبان خود القاء کند که حرکت به سوی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آموزه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مسیر تحقّق اهداف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باید با حرکت در مسیر امام علی علیه السلام باشد و این برای همه ی انسان ها، در حدّ خود آن ها، میسّر است</w:t>
      </w:r>
      <w:r>
        <w:rPr>
          <w:rFonts w:eastAsia="IRNazanin" w:cs="IRNazanin"/>
          <w:color w:val="111111"/>
          <w:sz w:val="28"/>
          <w:szCs w:val="28"/>
          <w:rtl w:val="true"/>
          <w:lang w:bidi="fa-IR"/>
        </w:rPr>
        <w:t>.</w:t>
      </w:r>
    </w:p>
    <w:p>
      <w:pPr>
        <w:pStyle w:val="Heading3"/>
        <w:numPr>
          <w:ilvl w:val="2"/>
          <w:numId w:val="1"/>
        </w:numPr>
        <w:rPr/>
      </w:pPr>
      <w:bookmarkStart w:id="388" w:name="__RefHeading___Toc4168987_2749589250"/>
      <w:bookmarkStart w:id="389" w:name="_Toc148"/>
      <w:bookmarkEnd w:id="388"/>
      <w:r>
        <w:rPr>
          <w:rtl w:val="true"/>
        </w:rPr>
        <w:t>ارایه ی راه کارهای اصلاحی و پیشنهادهای برنامه ای</w:t>
      </w:r>
      <w:bookmarkEnd w:id="389"/>
    </w:p>
    <w:p>
      <w:pPr>
        <w:pStyle w:val="BookText"/>
        <w:rPr/>
      </w:pPr>
      <w:r>
        <w:rPr>
          <w:rFonts w:ascii="IRNazanin" w:hAnsi="IRNazanin" w:eastAsia="IRNazanin"/>
          <w:color w:val="111111"/>
          <w:sz w:val="28"/>
          <w:sz w:val="28"/>
          <w:szCs w:val="28"/>
          <w:rtl w:val="true"/>
          <w:lang w:bidi="fa-IR"/>
        </w:rPr>
        <w:t>ارایه ی راه کارهای اصلاحی و پیشنهادهای برنامه ای</w:t>
      </w:r>
    </w:p>
    <w:p>
      <w:pPr>
        <w:pStyle w:val="BookText"/>
        <w:rPr/>
      </w:pPr>
      <w:r>
        <w:rPr>
          <w:rFonts w:ascii="IRNazanin" w:hAnsi="IRNazanin" w:eastAsia="IRNazanin"/>
          <w:color w:val="111111"/>
          <w:sz w:val="28"/>
          <w:sz w:val="28"/>
          <w:szCs w:val="28"/>
          <w:rtl w:val="true"/>
          <w:lang w:bidi="fa-IR"/>
        </w:rPr>
        <w:t>برای اصلاح وضع موجود و حرکت به سوی هدف نهایی که الگوپذیری جامعه از روش و بینش امام علی علیه السلام است، راه کارهای زیر پیشنهاد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ی سریال هایی مستقل با عنوان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و تساهل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و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و مذاهب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هریک از آن ها می تواند </w:t>
      </w:r>
    </w:p>
    <w:p>
      <w:pPr>
        <w:pStyle w:val="BookText"/>
        <w:rPr/>
      </w:pPr>
      <w:r>
        <w:rPr>
          <w:rFonts w:ascii="IRNazanin" w:hAnsi="IRNazanin" w:eastAsia="IRNazanin"/>
          <w:color w:val="111111"/>
          <w:sz w:val="28"/>
          <w:sz w:val="28"/>
          <w:szCs w:val="28"/>
          <w:rtl w:val="true"/>
          <w:lang w:bidi="fa-IR"/>
        </w:rPr>
        <w:t>عناوین هنری خاص خود را داشته باشد برای مثال به ترتیب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و اقیانوس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 و شاخه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تهیه ی برنامه های علمی با حضور کارشناسان با عنوان 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و تساهل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مثبت و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و پلورالیزم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و سکولاریزم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و دموکراسی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در روش و بینش امام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گنجاندن برگزیده ای از سیره و سخن امام علی علیه السلام در سریال های گوناگون که موضوع اصلی آن ها به امام علی علیه السلام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بخشی از مخاطبان رسانه، ممکن است از برنامه هایی که از آغاز رنگ و بوی دینی و تاریخی دارد، گریزان باشند، ولی به طور فطری خواهان دریافت الگو از رهبران قدسی خود هستند، به کارگیری این شیوه، تأثیر به سزایی در گرایش آنان به الگوهای دینی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هنرپیشه به هنگام عفو و گذشت از یک جنایت کار و برخورد اصلاحی با او، به تکّه ای از رفتار امام علی علیه السلام در فلان جنگ استناد کند یا یک مدیر عالی رتبه برای اهمیت دادن به رأی و نظر مخالفان خود در محیط کار، به سیره ی امام علی علیه السلام در هنگام پذیرش خلافت یا تجهیز مردم برای رهسپاری به جهاد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هردو مورد آن است که امام علی علیه السلام به مخالفت مردم احترام می گذارد و برای آنان، شأن و اثر قایل بود و تنها با رضایت عمومی کاری انجام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چون تساهل، در غرب، سرگذشتی شنیدنی دارد و از درگیری های فرقه ای در میان کاتولیک ها و پرتستان های اروپا سر بر آورده است، پیشنهاد می شود فیلم مستندی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تاریخی تسامح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شود تا ابعاد خشونت پیش از پیدایش فرهنگ تسامح آشکار گردد و روشن شود که انحراف غرب که اینک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شده است، از کجا آغاز و چرا به این جا کشیده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میان پرده های مستقلی به صورت کوتاه و جذّاب تهیه شود که در هریک، به یکی از مصادیق تساهلِ مذهبی، تساهل اخلاقی و تساهل سیاسی امام علی علیه السلام که در پژوهش به تفصیل آمده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میان پرده ها می تواند از شبکه ی یک سیما که مخاطبان بیشتری دارد و تخصّصی محسوب نمی شود، پخش شود</w:t>
      </w:r>
      <w:r>
        <w:rPr>
          <w:rFonts w:eastAsia="IRNazanin" w:cs="IRNazanin"/>
          <w:color w:val="111111"/>
          <w:sz w:val="28"/>
          <w:szCs w:val="28"/>
          <w:rtl w:val="true"/>
          <w:lang w:bidi="fa-IR"/>
        </w:rPr>
        <w:t xml:space="preserve">. </w:t>
      </w:r>
      <w:bookmarkStart w:id="390" w:name="pg3603_21022"/>
    </w:p>
    <w:p>
      <w:pPr>
        <w:pStyle w:val="Heading3"/>
        <w:numPr>
          <w:ilvl w:val="2"/>
          <w:numId w:val="1"/>
        </w:numPr>
        <w:rPr/>
      </w:pPr>
      <w:bookmarkStart w:id="391" w:name="__RefHeading___Toc4168989_2749589250"/>
      <w:bookmarkStart w:id="392" w:name="_Toc149"/>
      <w:bookmarkEnd w:id="390"/>
      <w:bookmarkEnd w:id="391"/>
      <w:r>
        <w:rPr>
          <w:rtl w:val="true"/>
        </w:rPr>
        <w:t>معرفی مراکز و نهادهای مرتبط با موضوع تساهل و تسامح</w:t>
      </w:r>
      <w:bookmarkEnd w:id="392"/>
    </w:p>
    <w:p>
      <w:pPr>
        <w:pStyle w:val="BookText"/>
        <w:rPr/>
      </w:pPr>
      <w:r>
        <w:rPr>
          <w:rFonts w:ascii="IRNazanin" w:hAnsi="IRNazanin" w:eastAsia="IRNazanin"/>
          <w:color w:val="111111"/>
          <w:sz w:val="28"/>
          <w:sz w:val="28"/>
          <w:szCs w:val="28"/>
          <w:rtl w:val="true"/>
          <w:lang w:bidi="fa-IR"/>
        </w:rPr>
        <w:t>معرفی مراکز و نهادهای مرتبط با موضوع تساهل و تسامح</w:t>
      </w:r>
    </w:p>
    <w:p>
      <w:pPr>
        <w:pStyle w:val="BookText"/>
        <w:rPr/>
      </w:pPr>
      <w:r>
        <w:rPr>
          <w:rFonts w:ascii="IRNazanin" w:hAnsi="IRNazanin" w:eastAsia="IRNazanin"/>
          <w:color w:val="111111"/>
          <w:sz w:val="28"/>
          <w:sz w:val="28"/>
          <w:szCs w:val="28"/>
          <w:rtl w:val="true"/>
          <w:lang w:bidi="fa-IR"/>
        </w:rPr>
        <w:t xml:space="preserve">چون امام علی علیه السلام و تساهل دو موضوع جداگانه است که در این پژوهش به هم پیوند خورده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تساهل و تسامح از دیدگاه امام علی علیه السلام، ارایه شده است، می توان گفت همه ی مراکز و نهادهایی که به طور مستقل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می کنند یا به کارهای تبلیغی و آموزشی اشتغال دارند، با موضوعِ این پژوهش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مراکز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مؤسسه ی تحقیقاتی امیرالمؤمنین علیه السلام ـ بنیان گذار آن، زنده یاد حجت الاسلام و المسلمین محمد دشتی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درباره ی نهج البلاغه کار تخصّصی انجام می دهد و تا کنون کتاب هایی در این زمینه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المُفَهْرَس لِأَلفاظِ نهج البلاغه، فرهنگ معارفِ شروح نهج البلاغه، اسناد و مدارک نهج البلاغه، رُوات و محدّثین نهج البلاغه، روش تحقیق در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خیابان حجتیّه ـ کوچه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3676/37185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7744764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بنیاد نهج البلاغه ـ بنیان گذار و مسؤول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جمال الدین دین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آثار مربوط به نهج البلاغه و گسترش فرهنگ نهج البلاغه در جامعه، در دستور کار این بنیاد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ی اصلی آن در تهران مستقر است و شاخه ای از آن در قم به مسؤولیت فرزند حجت الاسلام دین پرور فعالیت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خیابان حجتیّه ـ روبروی مدرسه حجّتیّه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پژوهش گاه فرهنگ و اندیشه ـ بنیان گذار و مسؤول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صادقی رَشاد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مؤسسه به فعالیت علمی و فکری در حوزه ی اندیشه اسلامی می پردازد و از مؤسسات وابسته به آن، مؤسسه ی فرهنگی دانش و اندیشه ی معاصر را می توان نام برد که مدیر مسؤول آن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حَسن رحیم پورازغدی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تهران مستقر است</w:t>
      </w:r>
      <w:r>
        <w:rPr>
          <w:rFonts w:eastAsia="IRNazanin" w:cs="IRNazanin"/>
          <w:color w:val="111111"/>
          <w:sz w:val="28"/>
          <w:szCs w:val="28"/>
          <w:rtl w:val="true"/>
          <w:lang w:bidi="fa-IR"/>
        </w:rPr>
        <w:t xml:space="preserve">. </w:t>
      </w:r>
      <w:bookmarkStart w:id="393" w:name="pg3603_21023"/>
    </w:p>
    <w:p>
      <w:pPr>
        <w:pStyle w:val="BookText"/>
        <w:rPr/>
      </w:pPr>
      <w:bookmarkEnd w:id="393"/>
      <w:r>
        <w:rPr>
          <w:rFonts w:ascii="IRNazanin" w:hAnsi="IRNazanin" w:eastAsia="IRNazanin"/>
          <w:color w:val="111111"/>
          <w:sz w:val="28"/>
          <w:sz w:val="28"/>
          <w:szCs w:val="28"/>
          <w:rtl w:val="true"/>
          <w:lang w:bidi="fa-IR"/>
        </w:rPr>
        <w:t xml:space="preserve">این مؤسسه، نشریه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 کند که یک شماره ی آن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بهار و تابستان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گاه فرهنگ و اندیشه که در قم مستقر است، در سال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تهیه ی مجموعه 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 نامه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صفاییه ـ کوچه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ساختمان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پلاک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7731983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7745316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واحد اندیشه سیاسی دفتر تبلیغات اسلامی ـ مسؤول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مهاجرنیا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واحد، به فعایت در زمینه ی علوم سیاسی اشتغال دارد و از طلاّب فارغ التحصیل در رشته ی علوم سیاسی بهره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اطّلاع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مبانی تسامح غربی را تشکیل می دهند، می تواند از طریق این واحد پی 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صفاییه ـ انتهای کوی ممتاز ـ کوچه شهید مطهری ـ واحد اندیشه سیاسی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Heading3"/>
        <w:numPr>
          <w:ilvl w:val="2"/>
          <w:numId w:val="1"/>
        </w:numPr>
        <w:rPr/>
      </w:pPr>
      <w:bookmarkStart w:id="394" w:name="__RefHeading___Toc4168991_2749589250"/>
      <w:bookmarkStart w:id="395" w:name="_Toc150"/>
      <w:bookmarkEnd w:id="394"/>
      <w:r>
        <w:rPr>
          <w:rtl w:val="true"/>
        </w:rPr>
        <w:t>معرفی کارشناسان خبره با دیدگاه های گوناگون</w:t>
      </w:r>
      <w:bookmarkEnd w:id="395"/>
    </w:p>
    <w:p>
      <w:pPr>
        <w:pStyle w:val="BookText"/>
        <w:rPr/>
      </w:pPr>
      <w:r>
        <w:rPr>
          <w:rFonts w:ascii="IRNazanin" w:hAnsi="IRNazanin" w:eastAsia="IRNazanin"/>
          <w:color w:val="111111"/>
          <w:sz w:val="28"/>
          <w:sz w:val="28"/>
          <w:szCs w:val="28"/>
          <w:rtl w:val="true"/>
          <w:lang w:bidi="fa-IR"/>
        </w:rPr>
        <w:t>معرفی کارشناسان خبره با دیدگاه های گوناگون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حجه الاسلام محمدحسن قدردان قراملکی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باب جامعه ی مدنی، تساهل و فرهنگ غرب، دارای مقالات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بردباری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 کتاب نقد،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 از منظر استاد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مؤسسه فرهنگی دانش و اندیشه معاصر آن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عضو هیأت علمی گروه کلام پژوهش گاه فرهنگ و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صفاییه کوچه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پلاک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پژوهش گاه فرهنگ و اندیشه ـ تلفن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7731983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7745316</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حسن رحیم پور ازغدی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از منتقدان تساهل و تسامح می باشد که تا مرز مناظره با دکتر سید عطاءاللّه مهاجرانی در این باره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روی خط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روزنامه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پنجاه و پنجم، شماره </w:t>
      </w:r>
      <w:r>
        <w:rPr>
          <w:rFonts w:eastAsia="IRNazanin" w:cs="IRNazanin"/>
          <w:color w:val="111111"/>
          <w:sz w:val="28"/>
          <w:szCs w:val="28"/>
          <w:lang w:bidi="fa-IR"/>
        </w:rPr>
        <w:t>15776</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سخنرانی ایشان در جمع دانشجویان دانشگاه های تهران است که در آن تساهل را به معنی سهل انگاری و راحت طلبی گرفته و آن را خیانت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 پای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مدیر مسؤول و سردبیر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رسالت، مؤسسه فرهنگی اندیشه معاصر ـ ص پ </w:t>
      </w:r>
      <w:r>
        <w:rPr>
          <w:rFonts w:eastAsia="IRNazanin" w:cs="IRNazanin"/>
          <w:color w:val="111111"/>
          <w:sz w:val="28"/>
          <w:szCs w:val="28"/>
          <w:lang w:bidi="fa-IR"/>
        </w:rPr>
        <w:t>1556/13145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و 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81536807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6492300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حجه الاسلام و المسلمین محمدتقی فاضل میبدی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مدافعان تسامح در جامعه ی امروز است که تحصیلات حوزوی دارد و اکنون با دانشگاه مفید قم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که مجموعه ای از مقالات در دفاع از تساهل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از نویسندگانی چون اکبر گنجی، عبداللّه نوری، محسن کدیور، عبدالکریم سروش، سعید حجاریان، سیدعطاءاللّه مهاجرانی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صدوق، دانشگاه مفید</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2925761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2927395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حجه الاسلام و المسلمین رسول جعفریان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مسؤول کتاب خانه 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تایخ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همّت دفتر آیت اللّه العظمی سیستانی در قم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ی مطالعاتی ایشان تاریخ اسلام است و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سیاست در عصر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های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خیابان دورشهر ـ کوچه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پلاک </w:t>
      </w:r>
      <w:r>
        <w:rPr>
          <w:rFonts w:eastAsia="IRNazanin" w:cs="IRNazanin"/>
          <w:color w:val="111111"/>
          <w:sz w:val="28"/>
          <w:szCs w:val="28"/>
          <w:lang w:bidi="fa-IR"/>
        </w:rPr>
        <w:t>3</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7733025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آیت اللّه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فقیهان، فیلسوفان و تاریخ نگاران حوزه ی علمیه ی قم است که به تدریس درس خارج فقه و اصول و نیز مدیریت در مؤسسه تحقیقاتی امام صادق علیه السلام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پیامبر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زندگانی امام علی علیه السلام از آثار مشهور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بلوار امین ـ روبه روی ورزشگاه حیدریان ـ مؤسسه امام صادق علیه السلام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2925152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حجة الاسلام و المسلمین سیداصغر ناظم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نزدیک به ده سالِ اخیر را درباره ی امام علی علیه السلام قلم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تایخ زندگی امام علی علیه السلام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های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تنظیم سخنان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پنج جلد کتاب روایی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المِائَةُ فی حَیاةِ اَبی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درباره ی زندگی و فضایل آن حضرت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ـ کوچه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پشت دادگستری ـ پلاک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7725588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حسین بشیریّه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استادان بنام در رشته ی علوم سیاسی و عضو هیأت علمی دانشکده ی حقوق و علوم سیاسی دانشگاه تهران است که تألیفات بسیاری در این رشته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مقالات آن تاریخ اندیشه ی تساهل سیاسی در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ـ خ انقلاب اسلامی ـ دانشگاه تهران ـ دانشکده حقوق و علوم سیاسی</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6112530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دکتر حاتم 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عضو هیأت علمی دانشگاه شهید بهشتی تهران و صاحب اثری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ی سیاسی غرب در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اوین ـ دانشگاه شهید بهشتی ـ دانشکده حقوق و علوم سیاسی </w:t>
      </w:r>
      <w:bookmarkStart w:id="396" w:name="pg3603_21026"/>
    </w:p>
    <w:p>
      <w:pPr>
        <w:pStyle w:val="Heading3"/>
        <w:numPr>
          <w:ilvl w:val="2"/>
          <w:numId w:val="1"/>
        </w:numPr>
        <w:rPr/>
      </w:pPr>
      <w:bookmarkStart w:id="397" w:name="__RefHeading___Toc4168993_2749589250"/>
      <w:bookmarkStart w:id="398" w:name="_Toc151"/>
      <w:bookmarkEnd w:id="396"/>
      <w:bookmarkEnd w:id="397"/>
      <w:r>
        <w:rPr>
          <w:rtl w:val="true"/>
        </w:rPr>
        <w:t>پرسش هایی برای گفت وگو با مردم</w:t>
      </w:r>
      <w:bookmarkEnd w:id="398"/>
    </w:p>
    <w:p>
      <w:pPr>
        <w:pStyle w:val="BookText"/>
        <w:rPr/>
      </w:pPr>
      <w:r>
        <w:rPr>
          <w:rFonts w:ascii="IRNazanin" w:hAnsi="IRNazanin" w:eastAsia="IRNazanin"/>
          <w:color w:val="111111"/>
          <w:sz w:val="28"/>
          <w:sz w:val="28"/>
          <w:szCs w:val="28"/>
          <w:rtl w:val="true"/>
          <w:lang w:bidi="fa-IR"/>
        </w:rPr>
        <w:t>پرسش هایی برای گفت وگو با مردم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تساهل و تسامح به چه معنایی در جامعه ی ما مطرح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تساهل با لاابالی گری تفاوت دارد یا خیر؟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علی علیه السلام را می توان اهل تساهل نامید؟ از چه نوع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قاطعیت علی علیه السلام در برخورد با مخالفان در جنگ های جمل، صفین و نهروان را باید نمونه ای از تساهل آن حضرت دانست یا عدم تساهل؟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دلایلی برای تسامح یا عدم تسامح در زندگی امام علی علیه السلام به خاطر دارید؟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رفتار امام علی علیه السلام در دوران سکوت در برابر خلفا را مصداق تساهل می دانید؟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رفتار امام علی علیه السلام با صاحبان مذاهب غیر اسلامی، می تواند نمونه ای از تساهل مذهبی ایشان باشد؟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نمونه هایی از تساهل مذهبی، تساهل اخلاقی و تساهل سیاسی امام علی علیه السلام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امام علی علیه السلام اجازه ی مخالفت با خود را به شهروندان می داد؟ حدود این اجازه و آزادی چه بود؟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تساهل غربی و تساهل اسلامی تعریفی ارایه کنید و بگویید امام علی علیه السلام کدام یک را می پذیرفت؟</w:t>
      </w:r>
    </w:p>
    <w:p>
      <w:pPr>
        <w:pStyle w:val="Heading3"/>
        <w:numPr>
          <w:ilvl w:val="2"/>
          <w:numId w:val="1"/>
        </w:numPr>
        <w:rPr/>
      </w:pPr>
      <w:bookmarkStart w:id="399" w:name="__RefHeading___Toc4168995_2749589250"/>
      <w:bookmarkStart w:id="400" w:name="_Toc152"/>
      <w:bookmarkEnd w:id="399"/>
      <w:r>
        <w:rPr>
          <w:rtl w:val="true"/>
        </w:rPr>
        <w:t>پرسش های کارشناسی</w:t>
      </w:r>
      <w:bookmarkEnd w:id="400"/>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معنای لغوی تساهل و تسامح از دیدگاه شما چیست؟ آیا میان آن ها تفاوتی وجود دارد یا کاملاً مترادف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تسامح در علوم گوناگون مانند فقه، ادبیات، حقوق و علوم سیاسی دارای چه معنای اصطلاحی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عوامل پیدایش تسامح در غرب چه بوده است؟ مختصری از تاریخ آن را بیان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کدام اندیشمندان غربی از تسامح دفاع یا آن را رد کرده اند؟ دلایل دفاع یا ردّ آن ها کدام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مبانی تسامح در غرب چیست؟ آیا با پلورالیسم و سکولاریزم ارتباطی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دیدگاه اسلامی و دینی، تسامح غربی قابل پذیرش است؟ چرا؟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موضع امام علی علیه السلام نسبت به پلورالیسم چیست؟ به چه دلیل؟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موضع امام علی علیه السلام نسبت به سکولاریسم چیست؟ به چه دلیل؟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تساهل را به سه نوع مذهبی، اخلاقی و سیاسی تقسیم کنید، چه تعریفی برای هریک ارایه می دهید؟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جزیه گرفتن امام علی علیه السلام را از اهل کتاب، می توان دلیل درجه ی دوم دانستن جایگاه شهروندی آنان از دیدگاه امام علی علیه السلام و در نتیجه عدم تساهل او دانست؟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 به گفته ی تاریخ، امام علی علیه السلام با مرد یهودی در دادگاه حاضر می شود و حکم دادگاه را علیه خود می پذیرد، یا نسبت به تعدّی سپاه معاویه در حق یک زن ذمّی، سربازان خود را مورد سرزنش شدید قرار می دهد، آیا این موارد به همراه شرکت امام در بحث عقیدتی با اهل کتاب در دوران ابوبکر، نشانه ی تساهل مذهبی او نیست؟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امام علی علیه السلام پیش از رحلت رسول اکرم صلی الله علیه و آله، نسبت به مشرکین عربستان تساهل داشت؟ به دلیل عقیده ی باطل بر روی آن ها شمشیر می کشید یا تنها به دلیل شرارت و پیش دستی آنان در جنگ با مسلمانان؟ چه شواهدی بر هر یک از این دو دیدگاه داریم؟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تأکید امام علی علیه السلام بر امر به معروف و نهی از منکر، نشانه ی آزاد نبودن شهروندان در آن چه در حوزه ی عقیده و عمل صحیح می پندارند، نیست؟ آیا اصل یاد شده با تساهل به معنای غربی یا اسلامی آن قابل جمع است؟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عفو و گذشت امام علی علیه السلام نسبت به دشمنانی مانند عایشه، عبداللّه بن زبیر، مروان بن حکم در جنگ جمل، یا عفو او نسبت به عمروعاص و بُسْر بن ارطاة در </w:t>
      </w:r>
    </w:p>
    <w:p>
      <w:pPr>
        <w:pStyle w:val="BookText"/>
        <w:rPr/>
      </w:pPr>
      <w:r>
        <w:rPr>
          <w:rFonts w:ascii="IRNazanin" w:hAnsi="IRNazanin" w:eastAsia="IRNazanin"/>
          <w:color w:val="111111"/>
          <w:sz w:val="28"/>
          <w:sz w:val="28"/>
          <w:szCs w:val="28"/>
          <w:rtl w:val="true"/>
          <w:lang w:bidi="fa-IR"/>
        </w:rPr>
        <w:t>جنگ صفین یا گذشت او نسبت به توهین عمروبن عبدود در جنگ خندق را می توان نشانه ی تساهل امام علی علیه السلام دانست؟ با وجود آن که امام علی علیه السلام، چندین هزار نفر را در جنگ جمل می کشد، در صفّین، حاضر نمی شود کشندگان احتمالی عثمان را تحویل معاویه دهد تا جنگ پایان بپذیرد، این برخورد را چگونه تفسیر می کنید؟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اصرار امام بر عزل معاویه و ندادن پُست و مقام به طلحه و زبیر، نشانه ی عدم تساهل سیاسی او نیست؟ آزاد گذاردن خوارج با وجود مخالفت آنان با امام و حتی توهین نسبت به آن حضرت چگونه با این عمل امام علی علیه السلام قابل جمع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آیا این سخن امام علی علیه السلام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داشتم، برای گرفتن حق خود در برابر خلفا قیام می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عدم تسامح او نیست؟ حلّ مشکلات علمی و سیاسی خلفای سه گانه از سوی آن حضرت چگونه با این سخن و دیدگاه قابل جمع است؟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حدود آزادی مخالف در حکومت پنج ساله ی امام علی علیه السلام چگونه بود؟ آیا کسانی که اساسا حکومت امام علی علیه السلام را مشروع و قانونی نمی دانستند، آزاد بودند؟ آیا می توانستند مخالفت خود را تبلیغ کنند یا تنها می توانستند در دل، منکر مشروعیت حکومت او باشند؟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مراد از تساهل در سخن مدافعان و مخالفان تساهل در عصر کنونی چیست؟ با این معنا، امام علی علیه السلام را باید مدافع تساهل بدانیم یا مخالف آن؟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خطرها و آفت های گسترش فرهنگ تسامح در جامعه چیست؟ آثار و فواید آن کدام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نسبت قانون گرایی با تساهل و تسامح چیست؟ غرب چگونه این دو را با هم جمع کرده است؟ دیدگاه و روش امام علی علیه السلام در این باره چه بوده است؟ </w:t>
      </w:r>
      <w:bookmarkStart w:id="401" w:name="pg3603_21029"/>
    </w:p>
    <w:p>
      <w:pPr>
        <w:pStyle w:val="Heading3"/>
        <w:numPr>
          <w:ilvl w:val="2"/>
          <w:numId w:val="1"/>
        </w:numPr>
        <w:rPr/>
      </w:pPr>
      <w:bookmarkStart w:id="402" w:name="__RefHeading___Toc4168997_2749589250"/>
      <w:bookmarkStart w:id="403" w:name="_Toc153"/>
      <w:bookmarkEnd w:id="401"/>
      <w:bookmarkEnd w:id="402"/>
      <w:r>
        <w:rPr>
          <w:rtl w:val="true"/>
        </w:rPr>
        <w:t>سخن پایانی</w:t>
      </w:r>
      <w:bookmarkEnd w:id="403"/>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علی علیه السلام، تساهل را با مبنای غربی آن که تکثّر حقیقت و برداشتن مرز میان حق و باطل از یک سو و جدایی دین از سیاست و برکناری حاکم از منصب اجرا و اقامه ی احکام دین از سوی دیگر است،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تساهل به معنای روح بلند حاکم در مقابل مخالفت و انتقاد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پذیرش تنوّع در اعتقاد و مذهب در عین باطل دانستن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خشونت در مجازات تبه کاران و اقدام به عفو آنان در حد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امام علی علیه السلام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بحث، هنوز در آغاز راه است و باید فرهیختگان و دانشمندان درباره ی آن بحث و گفت وگو کنند تا بارور شود و به ثمر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تاریخ اسلام، به ویژه تاریخ امام علی علیه السلام از یک سو و متخصّصان فلسفه ی سیاسی از سوی دیگر، باید به تعریف واحدی از تساهل برسند و آن را بر سیره و سخن امام علی علیه السلام عرضه کنند تا ردّ و قبول آن حضرت را نسبت به تساهل اثبات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بحث، نباید هیچ گاه به اغراض سیاسی و دیدگاه های مقطعی آلوده شود؛ زیرا هرچند ممکن است برای گروه مخالف کنونی در مقطع حاضر، اثبات تساهل سودمند باشد، امّا در درازمدت که قدرت دست به دست می شود، سلاحی علیه خود او خواهد بود و نیز نسبت به مخالفان تساهل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صدا و سیما در تبیین مفهوم و مصداق تسامح و کاهش از درگیری های لفظی و هدر رفتن نیروی فکری و اجتماعی جامعه بسیار برجسته و کارساز است</w:t>
      </w:r>
      <w:r>
        <w:rPr>
          <w:rFonts w:eastAsia="IRNazanin" w:cs="IRNazanin"/>
          <w:color w:val="111111"/>
          <w:sz w:val="28"/>
          <w:szCs w:val="28"/>
          <w:rtl w:val="true"/>
          <w:lang w:bidi="fa-IR"/>
        </w:rPr>
        <w:t xml:space="preserve">. </w:t>
      </w:r>
      <w:bookmarkStart w:id="404" w:name="pg3603_21030"/>
    </w:p>
    <w:p>
      <w:pPr>
        <w:pStyle w:val="Heading3"/>
        <w:numPr>
          <w:ilvl w:val="2"/>
          <w:numId w:val="1"/>
        </w:numPr>
        <w:rPr/>
      </w:pPr>
      <w:bookmarkStart w:id="405" w:name="__RefHeading___Toc4168999_2749589250"/>
      <w:bookmarkStart w:id="406" w:name="_Toc154"/>
      <w:bookmarkEnd w:id="404"/>
      <w:bookmarkEnd w:id="405"/>
      <w:r>
        <w:rPr>
          <w:rtl w:val="true"/>
        </w:rPr>
        <w:t>معرفی کتاب هایی در زمینه ی تساهل و تسامح</w:t>
      </w:r>
      <w:bookmarkEnd w:id="406"/>
    </w:p>
    <w:p>
      <w:pPr>
        <w:pStyle w:val="BookText"/>
        <w:rPr/>
      </w:pPr>
      <w:r>
        <w:rPr>
          <w:rFonts w:ascii="IRNazanin" w:hAnsi="IRNazanin" w:eastAsia="IRNazanin"/>
          <w:color w:val="111111"/>
          <w:sz w:val="28"/>
          <w:sz w:val="28"/>
          <w:szCs w:val="28"/>
          <w:rtl w:val="true"/>
          <w:lang w:bidi="fa-IR"/>
        </w:rPr>
        <w:t>معرفی کتاب هایی در زمینه ی تساهل و تسامح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تساهل و تسامح؛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فاضل میبدی، آثاری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خاتمی، سیدعطاء الّه مهاجرانی، سعید حجاریان، اکبر گنجی، محسن کدیور و دیگران، مؤسسه فرهنگی انتشاراتی آفرینه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تسامح آری یا نه؟ مجموعه ی مقالات موافقان و مخالفان تسامح، مؤسسه فرهنگی اندیشه معاصر،</w:t>
      </w:r>
    </w:p>
    <w:p>
      <w:pPr>
        <w:pStyle w:val="BookText"/>
        <w:rPr/>
      </w:pPr>
      <w:r>
        <w:rPr>
          <w:rFonts w:ascii="Amiri" w:hAnsi="Amiri" w:eastAsia="Amiri" w:cs="Amiri"/>
          <w:color w:val="111111"/>
          <w:sz w:val="28"/>
          <w:sz w:val="28"/>
          <w:szCs w:val="28"/>
          <w:rtl w:val="true"/>
          <w:lang w:bidi="ar-SA"/>
        </w:rPr>
        <w:t>قم، نشر خرّم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تساهل در تاریخ اندیشه ی غرب؛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ژولی سادا ژاندرون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عباس باقری، تهران، 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نامه ای در باب تساهل، جان 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شیرزاد گلشاهی کریم، تهران، 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تسامح از دیرباز تا امروز؛ گروهی از نویسندگان غربی،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مازیار مهیمنی و محمدرضا شیخی محمّدی، تهران، نشر 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دولت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گفتار در فلسفه و جامعه شناسی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بشیریّه، تهران، مؤسسه نشر علوم نوین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فروغ ولایت،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زندگی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صحیفه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نقد؛ فصل نامه ی انتقادی، فلسفی، فرهنگی، مدیر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رحیم پور ازغدی، مؤسسه فرهنگی دانش و اندیشه معاصر،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خشونت و تساهل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الکامل فی التاریخ؛ عزّالدین علی 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سیدمحمدحسین روحانی، چهارده جلدی، تهران، انتشارات اساطیر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الرُّسُل و الملوک؛ ابوجعفر محمدبن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هفده جلدی، تهران، انتشارات اساطیر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دولت آفتاب؛ مصطفی دلشاد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های حکومت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خانه اندیشه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تجلّی امامت؛ سیداصغر ناظم زاده، قم، دفتر نشر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علی از زبان علی علیه السلام ؛ سیدجعفر شهیدی،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معرفة حجج الله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تهران، انتشارات علمیّه اسلامیّه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جعفریان، قم، دفتر نشر الهادی</w:t>
      </w:r>
      <w:r>
        <w:rPr>
          <w:rFonts w:eastAsia="IRNazanin" w:cs="IRNazanin"/>
          <w:color w:val="111111"/>
          <w:sz w:val="28"/>
          <w:szCs w:val="28"/>
          <w:rtl w:val="true"/>
          <w:lang w:bidi="fa-IR"/>
        </w:rPr>
        <w:t xml:space="preserve">. </w:t>
      </w:r>
      <w:bookmarkStart w:id="407" w:name="pg3603_21032"/>
    </w:p>
    <w:p>
      <w:pPr>
        <w:pStyle w:val="Heading2"/>
        <w:numPr>
          <w:ilvl w:val="1"/>
          <w:numId w:val="1"/>
        </w:numPr>
        <w:rPr/>
      </w:pPr>
      <w:bookmarkStart w:id="408" w:name="__RefHeading___Toc4169001_2749589250"/>
      <w:bookmarkStart w:id="409" w:name="_Toc155"/>
      <w:bookmarkEnd w:id="407"/>
      <w:bookmarkEnd w:id="408"/>
      <w:r>
        <w:rPr>
          <w:rtl w:val="true"/>
        </w:rPr>
        <w:t>فهرست منابع</w:t>
      </w:r>
      <w:bookmarkEnd w:id="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فارسی، معین، محمد، مجموعه شش جلدی،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مؤسسه انتشارات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لغت 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دکتر محمدمعین و دکتر سیدجعفر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دهخدا، علی اکبر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چهارده جلدی؛ چاپ اول از دوره جدید، تهران، بهار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مؤسسه چاپ و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سیّاح، احمّد، تک جلدی، چاپ اوّل،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المصباح المنیر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غریب الشرح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فیومّی، احمدبن محمد بن علی المُقَرَّمی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جواهر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حسینی واسطی، سیدمحمد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سیری،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اول،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لسان العرب، ابن منظور، محمدبن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 و فهرست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سیری، مجموعه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اول از دوره جدید، لبنان،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المنجد، معلوف، لویس، ترجمه مصطفی رحیمی اردستانی، مجموعه دو جلدی، چاپ اول، تهران، تابستان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انتشارات صبا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فرنود 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نفیسی، علی اکبر، مجموعه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اوّل، تهران،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شرکت سهامی چاپ رنگین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مصطلحات به چهار زبان عربی، فارسی، انگلیسی و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تابستان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دفتر نشر فرهنگ اسلامی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کشاف اصطلاحات الفقون، تهانوی هندی، محمدعلی،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w:t>
      </w:r>
    </w:p>
    <w:p>
      <w:pPr>
        <w:pStyle w:val="BookText"/>
        <w:rPr/>
      </w:pPr>
      <w:r>
        <w:rPr>
          <w:rFonts w:ascii="IRNazanin" w:hAnsi="IRNazanin" w:eastAsia="IRNazanin"/>
          <w:color w:val="111111"/>
          <w:sz w:val="28"/>
          <w:sz w:val="28"/>
          <w:szCs w:val="28"/>
          <w:rtl w:val="true"/>
          <w:lang w:bidi="fa-IR"/>
        </w:rPr>
        <w:t>دجروح،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رفیع العجم، مجموعه ی دو جلدی، چاپ اول،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مکتبة لبنان ناشرون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فرهنگ معارف اسلامی، سجادی، دکتر سیدجعفر، مجموعه چهار جلدی، چاپ اول، تهران، اردیبهشت،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شرکت مؤلفان و مترجمان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دانش نامه حقوقی، جعفری لنگرودی، محمدجعفر، چاپ دوم، تهران،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انتشارات ابن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فراتر از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ضیاء، مجله کیان،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تساهل و تسامح، فاضل میبدی، محمدتقی، تک جلدی، چاپ اول،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مؤسسه فرهنگی و انتشاراتی آفرینه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وارناک، بارانس، به نقل از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کتاب درباره ی مدارا، مجله ی کیان، شماره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 معنای تسامح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مینویی، 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تسامح،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فاضل میبدی، چاپ اول، تهران،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مؤسسه فرهنگی و انتشاراتی آفرینه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موضوع 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پور ازغدی، حسن، مندرج در تساهل آری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دولت آفتاب، دلشاد تهرانی، مصطفی، جلد یک، چاپ اوّل،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خانه اندیشه ی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دولت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گفتار در فلسفه و جامعه شناسی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بشریه، حسین، تک جلدی، چاپ اول،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مؤسسه نشر علوم نوین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فلسفه مدنی فارابی، داوری، رضا،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چاپ 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سیاست مدنیّه، فارابی، ابونصر،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سیدجعفر سجادی،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انتشارات انجمن فلسفه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در باب تساهل، جان لاک، گلشاهی کریم، شیرزاد، چاپ اول،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نشر 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تساهل منفی و تساهل مثبت در قلمرو فلسفه سیاسی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w:t>
      </w:r>
    </w:p>
    <w:p>
      <w:pPr>
        <w:pStyle w:val="BookText"/>
        <w:rPr/>
      </w:pPr>
      <w:r>
        <w:rPr>
          <w:rFonts w:ascii="IRNazanin" w:hAnsi="IRNazanin" w:eastAsia="IRNazanin"/>
          <w:color w:val="111111"/>
          <w:sz w:val="28"/>
          <w:sz w:val="28"/>
          <w:szCs w:val="28"/>
          <w:rtl w:val="true"/>
          <w:lang w:bidi="fa-IR"/>
        </w:rPr>
        <w:t>سیدعلی، مندرج در تساهل آری یا نه؟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نهج البلاغه، آیتی، عبدالمحمد، جلد یک، چاپ اول، تهران، بهار،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بنیاد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لدر اخبار الائمه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چهل، یکصد و ده جلدی، چاپ سوم،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الامام علی صوت العدالة الانسانیه، جرداق، جرح، چاپ اوّل، بیروت،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مکتبة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و انتقاد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ندای عدالت انسانیت، شعرانی، میرزا ابوالحسنی، چاپ اوّل، تهران، جمادی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کتابفروشی اسلامیه، با تصرف و 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خورشید بی غروب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معادیخواه، عبدالمجید، تک جلدی، چاپ اول،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نشر ذرّه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اصول کافی، کلینی، محمد بن یعقوب، مجموعه هشت جلدی، چاپ اول،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دارالاضواء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تجلی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زاده حقی، سیداصغر، چاپ اوّل، قم، پاییز،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دفتر نشر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الذاتیه و فکره الحضاری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جلدی، چاپ اول،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الغارات ثقفی کوفی، ابواسحق ابراهیم بن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عبدالمحمد آیتی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حلیة الاولیاء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طبقات الاصفیاء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احمد بن عبدالله،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مجموعه ده جلدی، چاپ پنجم،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دارالکتاب العربی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المرتضی، ابوالحسن ندوی، علی، تک جلدی، چاپ دوم، دمشق،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دارالقلم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تکملة منهاج البراعة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منهاج البراعة، نگارش حاج میرزا حبیب الله هاشمی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نهج البلاغه، موسوی، سیدعباس علی،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اول،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دارالرسول الاکرم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نهج البلاغه، جعفری، محمدتقی، چاپ اوّل،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و شرح نهج البلاغه، فیض الاسلام، علی نقی، تک جلدی، چاپ دوم،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 جا، بی 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سیمای کارگزاران علی بن ابی طالب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ذاکری، علی اکبر، دوجلدی، چاپ سوم، قم، زمستان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مرکز انتشارات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وسائل الشیعه، حرّ عاملی، محمد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نهج البلاغه، ابن ابی الحدید مدائنی، عزالدین عبدالمجید،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مجموعه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دوم،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احیاء الکتب العربیه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محلاتی، سیدهاشم، تک جلدی، چاپ چهارم،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ترجمه روان نهج البلاغه، ارفع، سیدکاظم، تک جلدی، چاپ سوم،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الارشاد، مفید، ابوعبدالله محمد بن نعمان،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ساعدی خراسانی،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قضاوتهای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محلاتی، ذبیح الله، تک جلدی، چاپ هشتم،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انتشارات قائم نوین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فروغ ولایت، سبحانی، جعفر، تک جلدی، چاپ پنجم، تهران، زمستان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صحیفه با همکاری انتشارات جلود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المختصر فی اخبار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ابی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ابوالفداء عمادالدین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چهارجلدی، در دو مجله، قاهره،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الجمل، مفید، عبدالله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جلدی، چاپ دوم،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میر شریفی،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مکتب الاعلام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انساب الاشراف، بلاذری،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اول،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دوم،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روائع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علی بن ابی طالب، عبدالمقصود، عبدالفتّاح، مجموعه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چاپ دوم، تهران،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شرکت سهامی انتشار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الیقین فی فضائل امیرالمؤمنین، حلّی، جمال الدین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جلدی، چاپ اول،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احیاء الثقافه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سیاسی اسلام، جعفریان، رسول، دو جلدی، چاپ اوّل،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سازمان چاپ و انتشارات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فلسفه دین، جان هیگ، ترجمه بهزاد سالکی، تک جلدی، چاپ اول، تهران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انتشارات بین المللی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دین شناسی، محمد حسین زاده، تک جلدی، چاپ اول، قم، بهار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انتشارات مؤسسه آموزشی و پژوهشی امام خمینی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کلام جدید، عبدالحسین خسرو پناه، تک جلدی، چاپ اول، قم، پائیز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مرکز مطالعات و پژوهشهای فرهنگ حوزه ی علمیه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محمد معین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سلسله فرهنگ های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علی اکبر دهخدا و دیگران زیر نظر دکتر محمدمعین و دکترسیدجعفر شهیدی،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دانشگاهی عربی به فارسی احمد سیاح،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فی غریب الشرح الکبیر، احمد بن محمد فیّومی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محی الدین عبدالحمید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سیدمحمد مرتضی حسینی واسطی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سیری،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محمد بن مکرّم ابن منظور 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لویس معلوف،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رحیمی اردستانی،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نفیسی فَرْنَود سار، علی اکبر نفیسی،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 xml:space="preserve">؛ مجمع اللّغات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مصطلحات به چهار زبان عربی، فارسی، انگلیسی و فرانسه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سیدمرتضی آیت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شیرازی و همکاران، تک جلدی،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اصطلاحات الفنون، محمدعلی تهانوی هندی،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معارف اسلامی، دکتر سید جعفر سجادی،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ی حقوقی، محمدجعفر جعفری لنگرودی،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 از تسامح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ضیاء موحّد، مجلّه کیان،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نیز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تساهل و تسامح، زیر نظر محمدتقی فاضل میبدی،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مرزهای مدارا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بارونس وارناک، به نقل از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کتاب درباره مدارا، مجله کیان،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 معنای تسامح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مجتبی مینوی،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تساهل و تسامح،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فاضل میبدی،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در معنای تسامح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مجتبی مینوی،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تساهل و تسامح،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فاضل میبدی،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 از تسامح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ضیاء موحّد، کیان، سال هشتم،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تساهل و تسامح،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فاضل میبدی،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فراتر از تسامح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موحّد، کیان، سال هشتم،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تساهل و تسامح،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فاضل میبدی،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گفتار در فلسفه و جامعه شناسی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بشیریه،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درآمدی بر تاریخ اندیشه ی تساهل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گفتار در فلسفه و جامعه شناسی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حسین بشیریه،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درآمدی بر تاریخ اندیشه ی تساهل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تساهل و تسامح،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فاضل میبدی،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اندیشه تساهل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تاریخ اندیشه ی تساهل سیاسی، حسین بشیریه، مندرج از تساهل و تسامح،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فاضل میبدی،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ی مدنی فارابی، رضا داوری،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سیاست مدنیه، ابونصر فارابی،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دکترسیدجعفر سجادی،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اندیشه ی تساهل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بشریه،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تساهل و تسامح، فاضل میبدی،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عقل،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تسامح آری یا نه، مؤسسه فرهنگی اندیشه معاصر، مقاله ی سوم، پیش درآمدی بر تاریخ اندیشه تساهل سیاسی،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ای در باب تساهل، جان لاک، شیرزاد، کریم گلشاهی،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عقل،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انتقادی موضوع تساهل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رحیم پور ازغدی،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تسامح آری یا نه؟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تساهل منفی و تساهل مثبت در قلمرو فلسفه ی سیاسی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محمودی،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تسامح آری یا نه؟،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نهج البلاغه، عبدالمحمّد آیتی،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ترجمه ی خطبه ی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آیتی،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آیتی،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آفتاب، مصطفی دلشاد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لِدُرَرِ اَخبارِ الائمةِ الاَطْهارِ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واژه ی </w:t>
      </w:r>
      <w:r>
        <w:rPr>
          <w:rFonts w:eastAsia="IRNazanin" w:cs="IRNazanin"/>
          <w:b w:val="false"/>
          <w:bCs w:val="false"/>
          <w:i w:val="false"/>
          <w:iCs w:val="false"/>
          <w:color w:val="333333"/>
          <w:sz w:val="20"/>
          <w:szCs w:val="20"/>
        </w:rPr>
        <w:t>Tolerance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لاتین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عبارت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لاتعصّب و لااطلاق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صوتُ العدالة الانسانیّة، جورج جرداق،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علیٌّ و حقوق الانسان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انتقاد از کتاب امام علی ندای عدالت انسانیت، میرزا ابوالحسن شعرانی،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بی غروب نهج البلاغه ترجمه نهج البلاغه عبدالمجید معادیخواه،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محمدبن یعقوب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السّعی فی حاجه المؤمن،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رجلاً ذمیّا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 که قابل تفسیر به مرد یهودی یا مسیحی، هر دو می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کتاب العشرة، باب حسن الصحابه و حق الصاحب فی السفر،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تجلی امامت تحلیلی از حکومت علی علیه السلام سیداصغر ناظم زاده قمی،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مرد ذمّی کافر اهل کتاب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لاجَرَمَ اِنَّما تَبِعَهُ مَنْ تَبِعَهُ لِأَفْعالِهِ الکَریمَةِ فَأِنَّما اُشْهِدُکَ اَنّی عَلی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امامت،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الامام علی سیرتُه الذاتیّة و فکرُه الحِضاریُّ عبدالحمید مهاجر،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الغارات، ابواسحق ابراهیم بن محمد ثقفی کوفی،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امامت،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و طبقات الأصفیاء احمد بن عبدالله ابونعیم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شرح حال شریح بن حارث کندی، المرتضی، علی ابوالحسن ندوی،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منهاج البراعه فی شرح نهج البلاغه حسن حسن زاده آملی،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منهاج البراعة، حاج میرزا حبیب الله هاشمی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سیدعباس علی موسوی،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محمدتقی جعفری،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علی نقی فیض الاسلام، شرح نامه نوزدهم،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کارگزاران علی بن ابی طالب امیرالمؤمنینع، علی اکبر ذاکری،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امامت،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عبدالمحمد آیتی،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نزدیکی انبار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مدائنی، عزالدین عبدالحمید،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امیرالمؤمنین علیه السلام، سیدهاشم رسولی محلاتی،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جنایات معاویه پس از جنگ صفین و نهروان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روان نهج البلاغه، سیدکاظم ارفع، ترجمه ی خطبه 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امامت،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ابوعبدالله محمد بن نعمان مفید،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ساعدی خراسانی،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بهبودی،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58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امامت،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قضاوت های حضرت امیرالمؤمنین علیه السلام، ذبیح الله محلاتی،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ثانی، جواب نهم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فصل ششم نبرد با ناکثان،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اخبار البشر تاریخ ابی الفداء، ابوالفداء عمادالدین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ذِکرُ اَخبارِ عَلیِّ بنِ ابی طالب رَضی اللهُ عَنه،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النّصرة لسیّدِ العترة فی حرب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محمد بن نعمان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تَتِمَّةِ اَسبابِ بُغضِ عایِشه لاَمیرِالمؤمنین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انساب الاشراف، احمد بن یحیی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مقتل عثمان بن عفان،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تحقیق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سهیل زکّار و دکتر ریاض زرکلی، دارالفکر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الأمم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ابوجعفر محمد بن جریر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وقایع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فروغ ولایت،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خطبه سیزدهم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بن ابی طالب، عبدالفتاح عبدالمقصود،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فاجعه ی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سیدمحمدمهدی جعفری،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بن ابی طالب،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سیدمحمدمهدی جعفری، جلد سوم فاجعه جمل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بن ابی طالب،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سیدمحمدمهدی جعفری، جلد سوم فاجعه جمل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والسیاسه، ابومحمد عبدالله بن مسلم ابن قتیبه دینوری 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سیدجعفر شهیدی، خطبه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نهج البلاغه، محمد جواد مغنیه 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شرح خطبه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باب ذکر مقتل الزبیر بن العوام،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تاریخ سیاسی اسلام تاریخ خلفا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جمل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امیرالمؤمنین علیه السلام، جنگ جمل،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ابوالحسن علی بن الحسین مسعودی 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محمدمحی الدین عبدالحمید،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امیرالمؤمنین،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روایت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اِنَّ لِکِرامَةِ اللّه اِیّاکِ، زَوَّجْتُکِ مَن أَقْدَمُهُمْ سِلْما و اَکْثَرُهُمْ عِلْما وَ أَعْظَمُهُم حِلما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ائمه اهل البیت، سیدمحسن امین،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حجتی کرمانی باعنوان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معصومان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دوم،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رحاب ائمه اهل البیت، سیدمحسن امین،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حجتی کرمانی باعنوان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معصومان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بخش دوم،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فروغ ولایت،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تجلی ولایت،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تاریخ سیاسی اسلام، ج دوم تاریخ خلفا،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دوم خلفا،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تاریخ سیاسی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ابن کثیر دمشقی،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تاریخ نامه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الفتوح،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احمد مستوفی هروی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ششم 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طباطبایی مجد،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الائمة الاثنی عشر، هاشم معروف الحسنی،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درخشنده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دوازده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فروغ ولایت،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محمدحسین روحانی،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ی معصومان، ج سوم، بخش دوم امام علی علیه السلام،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علی علیه السلام، صدر، سیدرضا،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سیدباقر خسروشاهی،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در نامه های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که خطاب به معاویه نگاشته است از بی لیاقتی او برای امارت شام پرده برداشته و در حقیقت، مخالفت خود را با بقای معاویه بر پایه ی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شایسته سالاری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مورد اتفاق عقل و نقل است، بنا می نهد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وقعة صفین، منقری، نصر بن مزاحم 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اتابکی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پیکار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وقعة صفین،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تاریخ سیاسی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الفتوح،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أخبار من ذهب، شهاب الدین عبدالحی بن احمد م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ابن عماد حنبلی،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سنة سبع و ثلاثین، انساب الاشراف،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الکامل فی اللّغة و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جاذبه و دافعه علی علیه السلام، مرتضی مطهری،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عقاید 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خوارج از دیدگاه نهج البلاغه، حسین نوری،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بشارت،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شهریار، غزلیات،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امامت،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دیوان شهریار، مثنویّات،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علی و معاویه و تحکیم الحکمین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محمدتقی جعفری، ص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ترجمه نهج البلاغه، محمد دشتی،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شهیدی،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امیرالمؤمنین علی،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امیرالمؤمنین علیه السلام،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حرب صفّین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محمدتقی جعفری،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بی غروب نهج البلاغه ترجمه نهج البلاغه،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شهیدی،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فی معرفة الاصحاب، ابن عبد البرّ قُرْطُبی، ابوعمرو یوسف بن عبد اللّه 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علی محمد مُعَوَّض و عادل احمد عبدالموجود، با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عبدالمنعم البرّی و جُمْعة طاهر نجّار، 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شرح خطبه 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ی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 خطبه 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دکتر شهیدی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نهج البلاغه، عبدالمحمد آیتی،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ترجمه نهج البلاغه، شهیدی،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و شرح نهج البلاغه، فیض الاسلام،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فی ظلال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احقاق الحق و ازهاق الباطل،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بَرَزَمِن شجاعته فی غزوة 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الیقین فی فضائل امیرالمؤمنین،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درگاهی،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امیرالمؤمنین علیه السلام،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غزالی طوسی، به کوشش حسین خدیوجم،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آداب مُحْتَسِب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الأداب السلطانیة و الدُّوَلِ الاِسلامیّة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محمدبن علی بن طباطبا ابن طَقْطَقا،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الأمور السلطانیه، اصناف العقوبات،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امیرالمؤمنین علی علیه السلام، سیدجعفر شهیدی،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علی،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بابُ حُسْنِ خُلْقِه و بِشْرِه و حِلْهِ و عَفْوِه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درجاتِ امیرالمؤمنین علیه السلام، فصلٌ فی حِلْمه و شَفْقَتِه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ابیات </w:t>
      </w:r>
      <w:r>
        <w:rPr>
          <w:rFonts w:eastAsia="IRNazanin" w:cs="IRNazanin"/>
          <w:b w:val="false"/>
          <w:bCs w:val="false"/>
          <w:i w:val="false"/>
          <w:iCs w:val="false"/>
          <w:color w:val="333333"/>
          <w:sz w:val="20"/>
          <w:szCs w:val="20"/>
        </w:rPr>
        <w:t>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آیتی،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ترجمه خطبه ی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نهج البلاغه امیرالمؤمنین علی علیه السلام، سپهر اصفهانی،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ترجمه ی خطبه 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نهج البلاغه، آیتی،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خطبه ی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 تصرّف؛ خورشید بی غروب نهج البلاغه، فراز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خطبه 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آیتی،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خطبه ی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دولت آفتاب،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تجلّی امامت، فصل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کارگزاران در حکومت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فشرده ی نهج البلاغه، محمدجعفر، امامی و محمدرضا آشتیانی، زیر نظر، ناصر مکارم شیرازی،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مالک اشتر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الإحتجابُ مِنْهُمْ یَقْطَعُ عَنْهُمْ عِلْمَ ما احتجبوا دونَه، فَیَصْغُرْ عندهُمْ الکبیرُ، و یَعْظُمُ الصغیرُ، و یَقْبُحُ الحَسَنُ و یَحْسُنُ القبیحُ، و یشابُ الحقُّ بالباطِلِ، و انّما الوالی بَشَرٌ لا یَعْرِفُ ما تَواری عِنْدَ النّاسِ به مِنَ الامور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جاویدان ترجمه نهج البلاغه، داریوشِ شاهین، ص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فشرده ی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المناشَدَةُ و الاحتجاج بحدیث الغدیر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فَأَنَا أَوَّلُ مَنْ آمَنَ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اولین کسی هستم که به خدا ایمان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واسَیْتُه بنفسی فی المَواطِنِ الَّتی تَنْکُصُ فیها الأَبْصالُ و تَتَأْخَّرُ فیها الأَقْدامُ نَجْدَةً أَکْرَمَنیِ اللّه بها؛ من رسول خدا را با جان خویش یاری کردم، در صحنه های نبردی که شجاعان قدم هایشان می لرزید و پشت به دشمن فرار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شجاعتی است که خداوند مرا به آن اکرام فرموده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به گفته ی سید رضی، هنگامی که مردم خواستند با عثمان بیعت کنند، علی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عَلِمْتُمْ أَنّی أَحَقُّ النّاسِ بِها مِنْ غیری، و وَاللّهِ لَأُسْلِمَنَّ ما سَلِمَتْ امورُ المسلمینَ، و لم یَکُنْ فیها جورٌ إلّا عَلَیَّ خاصّةً؛ خوب می دانید که من از همه کس به خلافت، شایسته ترم، و به خدا سوگند تا هنگامی که اوضاع مسلمانان رو به راه باشد و به غیر از من به دیگری ستم نشود، هم چنان خاموش خواهم بود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فشرده ی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فشرده ی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فشرده ی نهج البلاغه،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نامه ی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علی علیه السلام، فؤاد، فاروقی،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بخش اول، فصل هشتم، یاری های علمی و عملی علی علیه السلام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فروغ ولایت،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الغدیر فی الکتاب و السُّنَّةِ و الأدب،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فروغ ولایت،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المُغْنی فی فقه احمد بن حنبل،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قضاوت های حضرت امیرالمؤمنین علیه السلام،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مقصد رابع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ابوبکر، فروغ ولایت،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آیتی،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خطبه 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ترجمه و شرح فشرده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 الملوف،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ثمرةُ الأوراق مندرج در حاشیه المُستَطْرَف، تقی الدین، حَمَوی،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فروغ ولایت،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به ابن عباس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لَقَدْ دَفَعْتُ عنه حتّی حشیتُ أَنْ أَکُونَ آثِما؛ 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قدر در دفاع از عثمان کوشیدم که ترسیدم در این کار گناه کار باشم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بن أَبی طالب،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بی غروب نهج البلاغه،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ترجمه ی خطبه 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بی غروب نهج البلاغه،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ترجمه ی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ولایت،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بی غروب نهج البلاغه،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ترجمه ی خطبه ی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الرّسل و الملوک،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خطبه 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تجلی امامت،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37532</Words>
  <Characters>138214</Characters>
  <CharactersWithSpaces>174678</CharactersWithSpaces>
  <Paragraphs>1192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2026-08-18T01:43:23Z</dcterms:created>
  <dc:creator>ghaemiyeh.com</dc:creator>
  <dc:description/>
  <dc:language>en-US</dc:language>
  <cp:lastModifiedBy/>
  <dcterms:modified xsi:type="dcterms:W3CDTF">2026-08-18T05:13:28Z</dcterms:modified>
  <cp:revision>1</cp:revision>
  <dc:subject/>
  <dc:title>تساهل و تسامح از دیدگاه امام علی علیه السلام</dc:title>
</cp:coreProperties>
</file>

<file path=docProps/custom.xml><?xml version="1.0" encoding="utf-8"?>
<Properties xmlns="http://schemas.openxmlformats.org/officeDocument/2006/custom-properties" xmlns:vt="http://schemas.openxmlformats.org/officeDocument/2006/docPropsVTypes"/>
</file>