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تحقیقات کلامی شماره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86324_2749589250">
            <w:r>
              <w:rPr>
                <w:webHidden/>
                <w:rStyle w:val="IndexLink"/>
                <w:rtl w:val="true"/>
              </w:rPr>
              <w:t>مشخصات فصلنامه</w:t>
            </w:r>
            <w:r>
              <w:rPr>
                <w:rStyle w:val="IndexLink"/>
                <w:rtl w:val="true"/>
              </w:rPr>
              <w:tab/>
            </w:r>
            <w:r>
              <w:rPr>
                <w:rStyle w:val="IndexLink"/>
              </w:rPr>
              <w:t>9</w:t>
            </w:r>
          </w:hyperlink>
        </w:p>
        <w:p>
          <w:pPr>
            <w:pStyle w:val="Contents2"/>
            <w:tabs>
              <w:tab w:val="clear" w:pos="8743"/>
              <w:tab w:val="right" w:pos="9026" w:leader="dot"/>
            </w:tabs>
            <w:rPr/>
          </w:pPr>
          <w:hyperlink w:anchor="__RefHeading___Toc1986326_2749589250">
            <w:r>
              <w:rPr>
                <w:webHidden/>
                <w:rStyle w:val="IndexLink"/>
                <w:rtl w:val="true"/>
              </w:rPr>
              <w:t>رتبه علمی فصلنامه</w:t>
            </w:r>
            <w:r>
              <w:rPr>
                <w:rStyle w:val="IndexLink"/>
                <w:rtl w:val="true"/>
              </w:rPr>
              <w:tab/>
            </w:r>
            <w:r>
              <w:rPr>
                <w:rStyle w:val="IndexLink"/>
              </w:rPr>
              <w:t>9</w:t>
            </w:r>
          </w:hyperlink>
        </w:p>
        <w:p>
          <w:pPr>
            <w:pStyle w:val="Contents2"/>
            <w:tabs>
              <w:tab w:val="clear" w:pos="8743"/>
              <w:tab w:val="right" w:pos="9026" w:leader="dot"/>
            </w:tabs>
            <w:rPr/>
          </w:pPr>
          <w:hyperlink w:anchor="__RefHeading___Toc1986328_2749589250">
            <w:r>
              <w:rPr>
                <w:webHidden/>
                <w:rStyle w:val="IndexLink"/>
                <w:rtl w:val="true"/>
              </w:rPr>
              <w:t>راهنمای نویسندگان</w:t>
            </w:r>
            <w:r>
              <w:rPr>
                <w:rStyle w:val="IndexLink"/>
                <w:rtl w:val="true"/>
              </w:rPr>
              <w:tab/>
            </w:r>
            <w:r>
              <w:rPr>
                <w:rStyle w:val="IndexLink"/>
              </w:rPr>
              <w:t>11</w:t>
            </w:r>
          </w:hyperlink>
        </w:p>
        <w:p>
          <w:pPr>
            <w:pStyle w:val="Contents2"/>
            <w:tabs>
              <w:tab w:val="clear" w:pos="8743"/>
              <w:tab w:val="right" w:pos="9026" w:leader="dot"/>
            </w:tabs>
            <w:rPr/>
          </w:pPr>
          <w:hyperlink w:anchor="__RefHeading___Toc1986330_2749589250">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1986332_2749589250">
            <w:r>
              <w:rPr>
                <w:webHidden/>
                <w:rStyle w:val="IndexLink"/>
                <w:rtl w:val="true"/>
              </w:rPr>
              <w:t xml:space="preserve">بررسی و نقد اشکالات فخر رازی به براهین ابن‌سینا در اثبات علم الهی </w:t>
            </w:r>
            <w:r>
              <w:rPr>
                <w:rStyle w:val="IndexLink"/>
                <w:rtl w:val="true"/>
              </w:rPr>
              <w:t>/</w:t>
            </w:r>
            <w:r>
              <w:rPr>
                <w:rStyle w:val="IndexLink"/>
                <w:rtl w:val="true"/>
              </w:rPr>
              <w:t>محمود صیدی ، هادی هاشمی</w:t>
            </w:r>
            <w:r>
              <w:rPr>
                <w:rStyle w:val="IndexLink"/>
                <w:rtl w:val="true"/>
              </w:rPr>
              <w:tab/>
            </w:r>
            <w:r>
              <w:rPr>
                <w:rStyle w:val="IndexLink"/>
              </w:rPr>
              <w:t>14</w:t>
            </w:r>
          </w:hyperlink>
        </w:p>
        <w:p>
          <w:pPr>
            <w:pStyle w:val="Contents3"/>
            <w:tabs>
              <w:tab w:val="clear" w:pos="8459"/>
              <w:tab w:val="right" w:pos="9026" w:leader="dot"/>
            </w:tabs>
            <w:rPr/>
          </w:pPr>
          <w:hyperlink w:anchor="__RefHeading___Toc1986334_274958925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986336_2749589250">
            <w:r>
              <w:rPr>
                <w:webHidden/>
                <w:rStyle w:val="IndexLink"/>
              </w:rPr>
              <w:t>1</w:t>
            </w:r>
            <w:r>
              <w:rPr>
                <w:rStyle w:val="IndexLink"/>
                <w:rtl w:val="true"/>
              </w:rPr>
              <w:t xml:space="preserve"> </w:t>
            </w:r>
            <w:r>
              <w:rPr>
                <w:rStyle w:val="IndexLink"/>
                <w:rtl w:val="true"/>
              </w:rPr>
              <w:t>چکیده</w:t>
            </w:r>
            <w:r>
              <w:rPr>
                <w:rStyle w:val="IndexLink"/>
                <w:rtl w:val="true"/>
              </w:rPr>
              <w:tab/>
            </w:r>
            <w:r>
              <w:rPr>
                <w:rStyle w:val="IndexLink"/>
              </w:rPr>
              <w:t>14</w:t>
            </w:r>
          </w:hyperlink>
        </w:p>
        <w:p>
          <w:pPr>
            <w:pStyle w:val="Contents3"/>
            <w:tabs>
              <w:tab w:val="clear" w:pos="8459"/>
              <w:tab w:val="right" w:pos="9026" w:leader="dot"/>
            </w:tabs>
            <w:rPr/>
          </w:pPr>
          <w:hyperlink w:anchor="__RefHeading___Toc1986338_2749589250">
            <w:r>
              <w:rPr>
                <w:webHidden/>
                <w:rStyle w:val="IndexLink"/>
              </w:rPr>
              <w:t>2</w:t>
            </w:r>
            <w:r>
              <w:rPr>
                <w:rStyle w:val="IndexLink"/>
                <w:rtl w:val="true"/>
              </w:rPr>
              <w:t xml:space="preserve"> </w:t>
            </w:r>
            <w:r>
              <w:rPr>
                <w:rStyle w:val="IndexLink"/>
                <w:rtl w:val="true"/>
              </w:rPr>
              <w:t>واژگان کلیدی</w:t>
            </w:r>
            <w:r>
              <w:rPr>
                <w:rStyle w:val="IndexLink"/>
                <w:rtl w:val="true"/>
              </w:rPr>
              <w:tab/>
            </w:r>
            <w:r>
              <w:rPr>
                <w:rStyle w:val="IndexLink"/>
              </w:rPr>
              <w:t>14</w:t>
            </w:r>
          </w:hyperlink>
        </w:p>
        <w:p>
          <w:pPr>
            <w:pStyle w:val="Contents3"/>
            <w:tabs>
              <w:tab w:val="clear" w:pos="8459"/>
              <w:tab w:val="right" w:pos="9026" w:leader="dot"/>
            </w:tabs>
            <w:rPr/>
          </w:pPr>
          <w:hyperlink w:anchor="__RefHeading___Toc1986340_2749589250">
            <w:r>
              <w:rPr>
                <w:webHidden/>
                <w:rStyle w:val="IndexLink"/>
              </w:rPr>
              <w:t>3</w:t>
            </w:r>
            <w:r>
              <w:rPr>
                <w:rStyle w:val="IndexLink"/>
                <w:rtl w:val="true"/>
              </w:rPr>
              <w:t xml:space="preserve"> </w:t>
            </w:r>
            <w:r>
              <w:rPr>
                <w:rStyle w:val="IndexLink"/>
                <w:rtl w:val="true"/>
              </w:rPr>
              <w:t>مقدمه</w:t>
            </w:r>
            <w:r>
              <w:rPr>
                <w:rStyle w:val="IndexLink"/>
                <w:rtl w:val="true"/>
              </w:rPr>
              <w:tab/>
            </w:r>
            <w:r>
              <w:rPr>
                <w:rStyle w:val="IndexLink"/>
              </w:rPr>
              <w:t>15</w:t>
            </w:r>
          </w:hyperlink>
        </w:p>
        <w:p>
          <w:pPr>
            <w:pStyle w:val="Contents3"/>
            <w:tabs>
              <w:tab w:val="clear" w:pos="8459"/>
              <w:tab w:val="right" w:pos="9026" w:leader="dot"/>
            </w:tabs>
            <w:rPr/>
          </w:pPr>
          <w:hyperlink w:anchor="__RefHeading___Toc1986342_2749589250">
            <w:r>
              <w:rPr>
                <w:webHidden/>
                <w:rStyle w:val="IndexLink"/>
              </w:rPr>
              <w:t>4</w:t>
            </w:r>
            <w:r>
              <w:rPr>
                <w:rStyle w:val="IndexLink"/>
                <w:rtl w:val="true"/>
              </w:rPr>
              <w:t xml:space="preserve"> </w:t>
            </w:r>
            <w:r>
              <w:rPr>
                <w:rStyle w:val="IndexLink"/>
                <w:rtl w:val="true"/>
              </w:rPr>
              <w:t>برهان ابن‌سینا در اثبات علم ذاتی خداوند</w:t>
            </w:r>
            <w:r>
              <w:rPr>
                <w:rStyle w:val="IndexLink"/>
                <w:rtl w:val="true"/>
              </w:rPr>
              <w:tab/>
            </w:r>
            <w:r>
              <w:rPr>
                <w:rStyle w:val="IndexLink"/>
              </w:rPr>
              <w:t>15</w:t>
            </w:r>
          </w:hyperlink>
        </w:p>
        <w:p>
          <w:pPr>
            <w:pStyle w:val="Contents4"/>
            <w:tabs>
              <w:tab w:val="clear" w:pos="8176"/>
              <w:tab w:val="right" w:pos="9026" w:leader="dot"/>
            </w:tabs>
            <w:rPr/>
          </w:pPr>
          <w:hyperlink w:anchor="__RefHeading___Toc1986344_2749589250">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1986346_2749589250">
            <w:r>
              <w:rPr>
                <w:webHidden/>
                <w:rStyle w:val="IndexLink"/>
                <w:rtl w:val="true"/>
              </w:rPr>
              <w:t>تقریر فخر رازی از برهان ابن‌سینا</w:t>
            </w:r>
            <w:r>
              <w:rPr>
                <w:rStyle w:val="IndexLink"/>
                <w:rtl w:val="true"/>
              </w:rPr>
              <w:tab/>
            </w:r>
            <w:r>
              <w:rPr>
                <w:rStyle w:val="IndexLink"/>
              </w:rPr>
              <w:t>16</w:t>
            </w:r>
          </w:hyperlink>
        </w:p>
        <w:p>
          <w:pPr>
            <w:pStyle w:val="Contents3"/>
            <w:tabs>
              <w:tab w:val="clear" w:pos="8459"/>
              <w:tab w:val="right" w:pos="9026" w:leader="dot"/>
            </w:tabs>
            <w:rPr/>
          </w:pPr>
          <w:hyperlink w:anchor="__RefHeading___Toc1986348_2749589250">
            <w:r>
              <w:rPr>
                <w:webHidden/>
                <w:rStyle w:val="IndexLink"/>
              </w:rPr>
              <w:t>5</w:t>
            </w:r>
            <w:r>
              <w:rPr>
                <w:rStyle w:val="IndexLink"/>
                <w:rtl w:val="true"/>
              </w:rPr>
              <w:t xml:space="preserve"> </w:t>
            </w:r>
            <w:r>
              <w:rPr>
                <w:rStyle w:val="IndexLink"/>
                <w:rtl w:val="true"/>
              </w:rPr>
              <w:t>انتقادات فخر رازی به برهان ابن‌سینا در اثبات علم ذاتی خداوند</w:t>
            </w:r>
            <w:r>
              <w:rPr>
                <w:rStyle w:val="IndexLink"/>
                <w:rtl w:val="true"/>
              </w:rPr>
              <w:tab/>
            </w:r>
            <w:r>
              <w:rPr>
                <w:rStyle w:val="IndexLink"/>
              </w:rPr>
              <w:t>17</w:t>
            </w:r>
          </w:hyperlink>
        </w:p>
        <w:p>
          <w:pPr>
            <w:pStyle w:val="Contents4"/>
            <w:tabs>
              <w:tab w:val="clear" w:pos="8176"/>
              <w:tab w:val="right" w:pos="9026" w:leader="dot"/>
            </w:tabs>
            <w:rPr/>
          </w:pPr>
          <w:hyperlink w:anchor="__RefHeading___Toc1986350_274958925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986352_2749589250">
            <w:r>
              <w:rPr>
                <w:webHidden/>
                <w:rStyle w:val="IndexLink"/>
                <w:rtl w:val="true"/>
              </w:rPr>
              <w:t>الف</w:t>
            </w:r>
            <w:r>
              <w:rPr>
                <w:rStyle w:val="IndexLink"/>
                <w:rtl w:val="true"/>
              </w:rPr>
              <w:tab/>
            </w:r>
            <w:r>
              <w:rPr>
                <w:rStyle w:val="IndexLink"/>
              </w:rPr>
              <w:t>17</w:t>
            </w:r>
          </w:hyperlink>
        </w:p>
        <w:p>
          <w:pPr>
            <w:pStyle w:val="Contents4"/>
            <w:tabs>
              <w:tab w:val="clear" w:pos="8176"/>
              <w:tab w:val="right" w:pos="9026" w:leader="dot"/>
            </w:tabs>
            <w:rPr/>
          </w:pPr>
          <w:hyperlink w:anchor="__RefHeading___Toc1986354_2749589250">
            <w:r>
              <w:rPr>
                <w:webHidden/>
                <w:rStyle w:val="IndexLink"/>
                <w:rtl w:val="true"/>
              </w:rPr>
              <w:t>ب</w:t>
            </w:r>
            <w:r>
              <w:rPr>
                <w:rStyle w:val="IndexLink"/>
                <w:rtl w:val="true"/>
              </w:rPr>
              <w:tab/>
            </w:r>
            <w:r>
              <w:rPr>
                <w:rStyle w:val="IndexLink"/>
              </w:rPr>
              <w:t>18</w:t>
            </w:r>
          </w:hyperlink>
        </w:p>
        <w:p>
          <w:pPr>
            <w:pStyle w:val="Contents4"/>
            <w:tabs>
              <w:tab w:val="clear" w:pos="8176"/>
              <w:tab w:val="right" w:pos="9026" w:leader="dot"/>
            </w:tabs>
            <w:rPr/>
          </w:pPr>
          <w:hyperlink w:anchor="__RefHeading___Toc1986356_2749589250">
            <w:r>
              <w:rPr>
                <w:webHidden/>
                <w:rStyle w:val="IndexLink"/>
                <w:rtl w:val="true"/>
              </w:rPr>
              <w:t>ج</w:t>
            </w:r>
            <w:r>
              <w:rPr>
                <w:rStyle w:val="IndexLink"/>
                <w:rtl w:val="true"/>
              </w:rPr>
              <w:tab/>
            </w:r>
            <w:r>
              <w:rPr>
                <w:rStyle w:val="IndexLink"/>
              </w:rPr>
              <w:t>19</w:t>
            </w:r>
          </w:hyperlink>
        </w:p>
        <w:p>
          <w:pPr>
            <w:pStyle w:val="Contents4"/>
            <w:tabs>
              <w:tab w:val="clear" w:pos="8176"/>
              <w:tab w:val="right" w:pos="9026" w:leader="dot"/>
            </w:tabs>
            <w:rPr/>
          </w:pPr>
          <w:hyperlink w:anchor="__RefHeading___Toc1986358_2749589250">
            <w:r>
              <w:rPr>
                <w:webHidden/>
                <w:rStyle w:val="IndexLink"/>
                <w:rtl w:val="true"/>
              </w:rPr>
              <w:t>د</w:t>
            </w:r>
            <w:r>
              <w:rPr>
                <w:rStyle w:val="IndexLink"/>
                <w:rtl w:val="true"/>
              </w:rPr>
              <w:tab/>
            </w:r>
            <w:r>
              <w:rPr>
                <w:rStyle w:val="IndexLink"/>
              </w:rPr>
              <w:t>20</w:t>
            </w:r>
          </w:hyperlink>
        </w:p>
        <w:p>
          <w:pPr>
            <w:pStyle w:val="Contents4"/>
            <w:tabs>
              <w:tab w:val="clear" w:pos="8176"/>
              <w:tab w:val="right" w:pos="9026" w:leader="dot"/>
            </w:tabs>
            <w:rPr/>
          </w:pPr>
          <w:hyperlink w:anchor="__RefHeading___Toc1986360_2749589250">
            <w:r>
              <w:rPr>
                <w:webHidden/>
                <w:rStyle w:val="IndexLink"/>
                <w:rtl w:val="true"/>
              </w:rPr>
              <w:t>ه</w:t>
            </w:r>
            <w:r>
              <w:rPr>
                <w:rStyle w:val="IndexLink"/>
                <w:rtl w:val="true"/>
              </w:rPr>
              <w:tab/>
            </w:r>
            <w:r>
              <w:rPr>
                <w:rStyle w:val="IndexLink"/>
              </w:rPr>
              <w:t>20</w:t>
            </w:r>
          </w:hyperlink>
        </w:p>
        <w:p>
          <w:pPr>
            <w:pStyle w:val="Contents4"/>
            <w:tabs>
              <w:tab w:val="clear" w:pos="8176"/>
              <w:tab w:val="right" w:pos="9026" w:leader="dot"/>
            </w:tabs>
            <w:rPr/>
          </w:pPr>
          <w:hyperlink w:anchor="__RefHeading___Toc1986362_2749589250">
            <w:r>
              <w:rPr>
                <w:webHidden/>
                <w:rStyle w:val="IndexLink"/>
                <w:rtl w:val="true"/>
              </w:rPr>
              <w:t>و</w:t>
            </w:r>
            <w:r>
              <w:rPr>
                <w:rStyle w:val="IndexLink"/>
                <w:rtl w:val="true"/>
              </w:rPr>
              <w:tab/>
            </w:r>
            <w:r>
              <w:rPr>
                <w:rStyle w:val="IndexLink"/>
              </w:rPr>
              <w:t>21</w:t>
            </w:r>
          </w:hyperlink>
        </w:p>
        <w:p>
          <w:pPr>
            <w:pStyle w:val="Contents4"/>
            <w:tabs>
              <w:tab w:val="clear" w:pos="8176"/>
              <w:tab w:val="right" w:pos="9026" w:leader="dot"/>
            </w:tabs>
            <w:rPr/>
          </w:pPr>
          <w:hyperlink w:anchor="__RefHeading___Toc1986364_2749589250">
            <w:r>
              <w:rPr>
                <w:webHidden/>
                <w:rStyle w:val="IndexLink"/>
                <w:rtl w:val="true"/>
              </w:rPr>
              <w:t>ی</w:t>
            </w:r>
            <w:r>
              <w:rPr>
                <w:rStyle w:val="IndexLink"/>
                <w:rtl w:val="true"/>
              </w:rPr>
              <w:tab/>
            </w:r>
            <w:r>
              <w:rPr>
                <w:rStyle w:val="IndexLink"/>
              </w:rPr>
              <w:t>22</w:t>
            </w:r>
          </w:hyperlink>
        </w:p>
        <w:p>
          <w:pPr>
            <w:pStyle w:val="Contents3"/>
            <w:tabs>
              <w:tab w:val="clear" w:pos="8459"/>
              <w:tab w:val="right" w:pos="9026" w:leader="dot"/>
            </w:tabs>
            <w:rPr/>
          </w:pPr>
          <w:hyperlink w:anchor="__RefHeading___Toc1986366_2749589250">
            <w:r>
              <w:rPr>
                <w:webHidden/>
                <w:rStyle w:val="IndexLink"/>
              </w:rPr>
              <w:t>6</w:t>
            </w:r>
            <w:r>
              <w:rPr>
                <w:rStyle w:val="IndexLink"/>
                <w:rtl w:val="true"/>
              </w:rPr>
              <w:t xml:space="preserve"> </w:t>
            </w:r>
            <w:r>
              <w:rPr>
                <w:rStyle w:val="IndexLink"/>
                <w:rtl w:val="true"/>
              </w:rPr>
              <w:t>برهان ابن‌سینا در اثبات علم خداوند به موجودات ممکن</w:t>
            </w:r>
            <w:r>
              <w:rPr>
                <w:rStyle w:val="IndexLink"/>
                <w:rtl w:val="true"/>
              </w:rPr>
              <w:tab/>
            </w:r>
            <w:r>
              <w:rPr>
                <w:rStyle w:val="IndexLink"/>
              </w:rPr>
              <w:t>23</w:t>
            </w:r>
          </w:hyperlink>
        </w:p>
        <w:p>
          <w:pPr>
            <w:pStyle w:val="Contents3"/>
            <w:tabs>
              <w:tab w:val="clear" w:pos="8459"/>
              <w:tab w:val="right" w:pos="9026" w:leader="dot"/>
            </w:tabs>
            <w:rPr/>
          </w:pPr>
          <w:hyperlink w:anchor="__RefHeading___Toc1986368_2749589250">
            <w:r>
              <w:rPr>
                <w:webHidden/>
                <w:rStyle w:val="IndexLink"/>
              </w:rPr>
              <w:t>7</w:t>
            </w:r>
            <w:r>
              <w:rPr>
                <w:rStyle w:val="IndexLink"/>
                <w:rtl w:val="true"/>
              </w:rPr>
              <w:t xml:space="preserve"> </w:t>
            </w:r>
            <w:r>
              <w:rPr>
                <w:rStyle w:val="IndexLink"/>
                <w:rtl w:val="true"/>
              </w:rPr>
              <w:t>انتقادات فخر رازی به برهان ابن‌سینا در اثبات علم خداوند به ممکنات</w:t>
            </w:r>
            <w:r>
              <w:rPr>
                <w:rStyle w:val="IndexLink"/>
                <w:rtl w:val="true"/>
              </w:rPr>
              <w:tab/>
            </w:r>
            <w:r>
              <w:rPr>
                <w:rStyle w:val="IndexLink"/>
              </w:rPr>
              <w:t>23</w:t>
            </w:r>
          </w:hyperlink>
        </w:p>
        <w:p>
          <w:pPr>
            <w:pStyle w:val="Contents4"/>
            <w:tabs>
              <w:tab w:val="clear" w:pos="8176"/>
              <w:tab w:val="right" w:pos="9026" w:leader="dot"/>
            </w:tabs>
            <w:rPr/>
          </w:pPr>
          <w:hyperlink w:anchor="__RefHeading___Toc1986370_274958925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986372_2749589250">
            <w:r>
              <w:rPr>
                <w:webHidden/>
                <w:rStyle w:val="IndexLink"/>
              </w:rPr>
              <w:t>1</w:t>
            </w:r>
            <w:r>
              <w:rPr>
                <w:rStyle w:val="IndexLink"/>
                <w:rtl w:val="true"/>
              </w:rPr>
              <w:t xml:space="preserve">. </w:t>
            </w:r>
            <w:r>
              <w:rPr>
                <w:rStyle w:val="IndexLink"/>
                <w:rtl w:val="true"/>
              </w:rPr>
              <w:t>نقادی انتقادات فخر رازی به عالم بالذات بودن خداوند از دیدگاه ابن‌سینا</w:t>
            </w:r>
            <w:r>
              <w:rPr>
                <w:rStyle w:val="IndexLink"/>
                <w:rtl w:val="true"/>
              </w:rPr>
              <w:tab/>
            </w:r>
            <w:r>
              <w:rPr>
                <w:rStyle w:val="IndexLink"/>
              </w:rPr>
              <w:t>23</w:t>
            </w:r>
          </w:hyperlink>
        </w:p>
        <w:p>
          <w:pPr>
            <w:pStyle w:val="Contents5"/>
            <w:tabs>
              <w:tab w:val="clear" w:pos="7892"/>
              <w:tab w:val="right" w:pos="9026" w:leader="dot"/>
            </w:tabs>
            <w:rPr/>
          </w:pPr>
          <w:hyperlink w:anchor="__RefHeading___Toc1986374_2749589250">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1986376_2749589250">
            <w:r>
              <w:rPr>
                <w:webHidden/>
                <w:rStyle w:val="IndexLink"/>
                <w:rtl w:val="true"/>
              </w:rPr>
              <w:t>الف</w:t>
            </w:r>
            <w:r>
              <w:rPr>
                <w:rStyle w:val="IndexLink"/>
                <w:rtl w:val="true"/>
              </w:rPr>
              <w:tab/>
            </w:r>
            <w:r>
              <w:rPr>
                <w:rStyle w:val="IndexLink"/>
              </w:rPr>
              <w:t>23</w:t>
            </w:r>
          </w:hyperlink>
        </w:p>
        <w:p>
          <w:pPr>
            <w:pStyle w:val="Contents5"/>
            <w:tabs>
              <w:tab w:val="clear" w:pos="7892"/>
              <w:tab w:val="right" w:pos="9026" w:leader="dot"/>
            </w:tabs>
            <w:rPr/>
          </w:pPr>
          <w:hyperlink w:anchor="__RefHeading___Toc1986378_2749589250">
            <w:r>
              <w:rPr>
                <w:webHidden/>
                <w:rStyle w:val="IndexLink"/>
                <w:rtl w:val="true"/>
              </w:rPr>
              <w:t>ب</w:t>
            </w:r>
            <w:r>
              <w:rPr>
                <w:rStyle w:val="IndexLink"/>
                <w:rtl w:val="true"/>
              </w:rPr>
              <w:tab/>
            </w:r>
            <w:r>
              <w:rPr>
                <w:rStyle w:val="IndexLink"/>
              </w:rPr>
              <w:t>24</w:t>
            </w:r>
          </w:hyperlink>
        </w:p>
        <w:p>
          <w:pPr>
            <w:pStyle w:val="Contents4"/>
            <w:tabs>
              <w:tab w:val="clear" w:pos="8176"/>
              <w:tab w:val="right" w:pos="9026" w:leader="dot"/>
            </w:tabs>
            <w:rPr/>
          </w:pPr>
          <w:hyperlink w:anchor="__RefHeading___Toc1986380_2749589250">
            <w:r>
              <w:rPr>
                <w:webHidden/>
                <w:rStyle w:val="IndexLink"/>
              </w:rPr>
              <w:t>2</w:t>
            </w:r>
            <w:r>
              <w:rPr>
                <w:rStyle w:val="IndexLink"/>
                <w:rtl w:val="true"/>
              </w:rPr>
              <w:t xml:space="preserve">. </w:t>
            </w:r>
            <w:r>
              <w:rPr>
                <w:rStyle w:val="IndexLink"/>
                <w:rtl w:val="true"/>
              </w:rPr>
              <w:t>نقادی انتقادات فخر رازی دربارۀ استلزام علم به علت نسبت به علم به معلول</w:t>
            </w:r>
            <w:r>
              <w:rPr>
                <w:rStyle w:val="IndexLink"/>
                <w:rtl w:val="true"/>
              </w:rPr>
              <w:tab/>
            </w:r>
            <w:r>
              <w:rPr>
                <w:rStyle w:val="IndexLink"/>
              </w:rPr>
              <w:t>25</w:t>
            </w:r>
          </w:hyperlink>
        </w:p>
        <w:p>
          <w:pPr>
            <w:pStyle w:val="Contents5"/>
            <w:tabs>
              <w:tab w:val="clear" w:pos="7892"/>
              <w:tab w:val="right" w:pos="9026" w:leader="dot"/>
            </w:tabs>
            <w:rPr/>
          </w:pPr>
          <w:hyperlink w:anchor="__RefHeading___Toc1986382_2749589250">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1986384_2749589250">
            <w:r>
              <w:rPr>
                <w:webHidden/>
                <w:rStyle w:val="IndexLink"/>
                <w:rtl w:val="true"/>
              </w:rPr>
              <w:t>الف</w:t>
            </w:r>
            <w:r>
              <w:rPr>
                <w:rStyle w:val="IndexLink"/>
                <w:rtl w:val="true"/>
              </w:rPr>
              <w:tab/>
            </w:r>
            <w:r>
              <w:rPr>
                <w:rStyle w:val="IndexLink"/>
              </w:rPr>
              <w:t>25</w:t>
            </w:r>
          </w:hyperlink>
        </w:p>
        <w:p>
          <w:pPr>
            <w:pStyle w:val="Contents5"/>
            <w:tabs>
              <w:tab w:val="clear" w:pos="7892"/>
              <w:tab w:val="right" w:pos="9026" w:leader="dot"/>
            </w:tabs>
            <w:rPr/>
          </w:pPr>
          <w:hyperlink w:anchor="__RefHeading___Toc1986386_2749589250">
            <w:r>
              <w:rPr>
                <w:webHidden/>
                <w:rStyle w:val="IndexLink"/>
                <w:rtl w:val="true"/>
              </w:rPr>
              <w:t>ب</w:t>
            </w:r>
            <w:r>
              <w:rPr>
                <w:rStyle w:val="IndexLink"/>
                <w:rtl w:val="true"/>
              </w:rPr>
              <w:tab/>
            </w:r>
            <w:r>
              <w:rPr>
                <w:rStyle w:val="IndexLink"/>
              </w:rPr>
              <w:t>25</w:t>
            </w:r>
          </w:hyperlink>
        </w:p>
        <w:p>
          <w:pPr>
            <w:pStyle w:val="Contents5"/>
            <w:tabs>
              <w:tab w:val="clear" w:pos="7892"/>
              <w:tab w:val="right" w:pos="9026" w:leader="dot"/>
            </w:tabs>
            <w:rPr/>
          </w:pPr>
          <w:hyperlink w:anchor="__RefHeading___Toc1986388_2749589250">
            <w:r>
              <w:rPr>
                <w:webHidden/>
                <w:rStyle w:val="IndexLink"/>
                <w:rtl w:val="true"/>
              </w:rPr>
              <w:t>ج</w:t>
            </w:r>
            <w:r>
              <w:rPr>
                <w:rStyle w:val="IndexLink"/>
                <w:rtl w:val="true"/>
              </w:rPr>
              <w:tab/>
            </w:r>
            <w:r>
              <w:rPr>
                <w:rStyle w:val="IndexLink"/>
              </w:rPr>
              <w:t>26</w:t>
            </w:r>
          </w:hyperlink>
        </w:p>
        <w:p>
          <w:pPr>
            <w:pStyle w:val="Contents5"/>
            <w:tabs>
              <w:tab w:val="clear" w:pos="7892"/>
              <w:tab w:val="right" w:pos="9026" w:leader="dot"/>
            </w:tabs>
            <w:rPr/>
          </w:pPr>
          <w:hyperlink w:anchor="__RefHeading___Toc1986390_2749589250">
            <w:r>
              <w:rPr>
                <w:webHidden/>
                <w:rStyle w:val="IndexLink"/>
                <w:rtl w:val="true"/>
              </w:rPr>
              <w:t>د</w:t>
            </w:r>
            <w:r>
              <w:rPr>
                <w:rStyle w:val="IndexLink"/>
                <w:rtl w:val="true"/>
              </w:rPr>
              <w:tab/>
            </w:r>
            <w:r>
              <w:rPr>
                <w:rStyle w:val="IndexLink"/>
              </w:rPr>
              <w:t>27</w:t>
            </w:r>
          </w:hyperlink>
        </w:p>
        <w:p>
          <w:pPr>
            <w:pStyle w:val="Contents5"/>
            <w:tabs>
              <w:tab w:val="clear" w:pos="7892"/>
              <w:tab w:val="right" w:pos="9026" w:leader="dot"/>
            </w:tabs>
            <w:rPr/>
          </w:pPr>
          <w:hyperlink w:anchor="__RefHeading___Toc1986392_2749589250">
            <w:r>
              <w:rPr>
                <w:webHidden/>
                <w:rStyle w:val="IndexLink"/>
                <w:rtl w:val="true"/>
              </w:rPr>
              <w:t>ه</w:t>
            </w:r>
            <w:r>
              <w:rPr>
                <w:rStyle w:val="IndexLink"/>
                <w:rtl w:val="true"/>
              </w:rPr>
              <w:tab/>
            </w:r>
            <w:r>
              <w:rPr>
                <w:rStyle w:val="IndexLink"/>
              </w:rPr>
              <w:t>27</w:t>
            </w:r>
          </w:hyperlink>
        </w:p>
        <w:p>
          <w:pPr>
            <w:pStyle w:val="Contents5"/>
            <w:tabs>
              <w:tab w:val="clear" w:pos="7892"/>
              <w:tab w:val="right" w:pos="9026" w:leader="dot"/>
            </w:tabs>
            <w:rPr/>
          </w:pPr>
          <w:hyperlink w:anchor="__RefHeading___Toc1986394_2749589250">
            <w:r>
              <w:rPr>
                <w:webHidden/>
                <w:rStyle w:val="IndexLink"/>
                <w:rtl w:val="true"/>
              </w:rPr>
              <w:t>و</w:t>
            </w:r>
            <w:r>
              <w:rPr>
                <w:rStyle w:val="IndexLink"/>
                <w:rtl w:val="true"/>
              </w:rPr>
              <w:tab/>
            </w:r>
            <w:r>
              <w:rPr>
                <w:rStyle w:val="IndexLink"/>
              </w:rPr>
              <w:t>28</w:t>
            </w:r>
          </w:hyperlink>
        </w:p>
        <w:p>
          <w:pPr>
            <w:pStyle w:val="Contents3"/>
            <w:tabs>
              <w:tab w:val="clear" w:pos="8459"/>
              <w:tab w:val="right" w:pos="9026" w:leader="dot"/>
            </w:tabs>
            <w:rPr/>
          </w:pPr>
          <w:hyperlink w:anchor="__RefHeading___Toc1986396_2749589250">
            <w:r>
              <w:rPr>
                <w:webHidden/>
                <w:rStyle w:val="IndexLink"/>
              </w:rPr>
              <w:t>8</w:t>
            </w:r>
            <w:r>
              <w:rPr>
                <w:rStyle w:val="IndexLink"/>
                <w:rtl w:val="true"/>
              </w:rPr>
              <w:t xml:space="preserve"> </w:t>
            </w:r>
            <w:r>
              <w:rPr>
                <w:rStyle w:val="IndexLink"/>
                <w:rtl w:val="true"/>
              </w:rPr>
              <w:t>نتیجه‌گیری</w:t>
            </w:r>
            <w:r>
              <w:rPr>
                <w:rStyle w:val="IndexLink"/>
                <w:rtl w:val="true"/>
              </w:rPr>
              <w:tab/>
            </w:r>
            <w:r>
              <w:rPr>
                <w:rStyle w:val="IndexLink"/>
              </w:rPr>
              <w:t>28</w:t>
            </w:r>
          </w:hyperlink>
        </w:p>
        <w:p>
          <w:pPr>
            <w:pStyle w:val="Contents3"/>
            <w:tabs>
              <w:tab w:val="clear" w:pos="8459"/>
              <w:tab w:val="right" w:pos="9026" w:leader="dot"/>
            </w:tabs>
            <w:rPr/>
          </w:pPr>
          <w:hyperlink w:anchor="__RefHeading___Toc1986398_2749589250">
            <w:r>
              <w:rPr>
                <w:webHidden/>
                <w:rStyle w:val="IndexLink"/>
              </w:rPr>
              <w:t>9</w:t>
            </w:r>
            <w:r>
              <w:rPr>
                <w:rStyle w:val="IndexLink"/>
                <w:rtl w:val="true"/>
              </w:rPr>
              <w:t xml:space="preserve"> </w:t>
            </w:r>
            <w:r>
              <w:rPr>
                <w:rStyle w:val="IndexLink"/>
                <w:rtl w:val="true"/>
              </w:rPr>
              <w:t>منابع</w:t>
            </w:r>
            <w:r>
              <w:rPr>
                <w:rStyle w:val="IndexLink"/>
                <w:rtl w:val="true"/>
              </w:rPr>
              <w:tab/>
            </w:r>
            <w:r>
              <w:rPr>
                <w:rStyle w:val="IndexLink"/>
              </w:rPr>
              <w:t>29</w:t>
            </w:r>
          </w:hyperlink>
        </w:p>
        <w:p>
          <w:pPr>
            <w:pStyle w:val="Contents2"/>
            <w:tabs>
              <w:tab w:val="clear" w:pos="8743"/>
              <w:tab w:val="right" w:pos="9026" w:leader="dot"/>
            </w:tabs>
            <w:rPr/>
          </w:pPr>
          <w:hyperlink w:anchor="__RefHeading___Toc1986400_2749589250">
            <w:r>
              <w:rPr>
                <w:webHidden/>
                <w:rStyle w:val="IndexLink"/>
                <w:rtl w:val="true"/>
              </w:rPr>
              <w:t xml:space="preserve">نقد ادعای تأثیرپذیری آموزۀ </w:t>
            </w:r>
            <w:r>
              <w:rPr>
                <w:rStyle w:val="IndexLink"/>
                <w:rtl w:val="true"/>
              </w:rPr>
              <w:t>«</w:t>
            </w:r>
            <w:r>
              <w:rPr>
                <w:rStyle w:val="IndexLink"/>
                <w:rtl w:val="true"/>
              </w:rPr>
              <w:t>مهدویت</w:t>
            </w:r>
            <w:r>
              <w:rPr>
                <w:rStyle w:val="IndexLink"/>
                <w:rtl w:val="true"/>
              </w:rPr>
              <w:t xml:space="preserve">» </w:t>
            </w:r>
            <w:r>
              <w:rPr>
                <w:rStyle w:val="IndexLink"/>
                <w:rtl w:val="true"/>
              </w:rPr>
              <w:t xml:space="preserve">از باور </w:t>
            </w:r>
            <w:r>
              <w:rPr>
                <w:rStyle w:val="IndexLink"/>
                <w:rtl w:val="true"/>
              </w:rPr>
              <w:t>«</w:t>
            </w:r>
            <w:r>
              <w:rPr>
                <w:rStyle w:val="IndexLink"/>
                <w:rtl w:val="true"/>
              </w:rPr>
              <w:t>سوشیانت</w:t>
            </w:r>
            <w:r>
              <w:rPr>
                <w:rStyle w:val="IndexLink"/>
                <w:rtl w:val="true"/>
              </w:rPr>
              <w:t xml:space="preserve">» / </w:t>
            </w:r>
            <w:r>
              <w:rPr>
                <w:rStyle w:val="IndexLink"/>
                <w:rtl w:val="true"/>
              </w:rPr>
              <w:t>رسول رضوی ، احمد جمشیدیان</w:t>
            </w:r>
            <w:r>
              <w:rPr>
                <w:rStyle w:val="IndexLink"/>
                <w:rtl w:val="true"/>
              </w:rPr>
              <w:tab/>
            </w:r>
            <w:r>
              <w:rPr>
                <w:rStyle w:val="IndexLink"/>
              </w:rPr>
              <w:t>30</w:t>
            </w:r>
          </w:hyperlink>
        </w:p>
        <w:p>
          <w:pPr>
            <w:pStyle w:val="Contents3"/>
            <w:tabs>
              <w:tab w:val="clear" w:pos="8459"/>
              <w:tab w:val="right" w:pos="9026" w:leader="dot"/>
            </w:tabs>
            <w:rPr/>
          </w:pPr>
          <w:hyperlink w:anchor="__RefHeading___Toc1986402_274958925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986404_2749589250">
            <w:r>
              <w:rPr>
                <w:webHidden/>
                <w:rStyle w:val="IndexLink"/>
                <w:rtl w:val="true"/>
              </w:rPr>
              <w:t>چکیده</w:t>
            </w:r>
            <w:r>
              <w:rPr>
                <w:rStyle w:val="IndexLink"/>
                <w:rtl w:val="true"/>
              </w:rPr>
              <w:tab/>
            </w:r>
            <w:r>
              <w:rPr>
                <w:rStyle w:val="IndexLink"/>
              </w:rPr>
              <w:t>30</w:t>
            </w:r>
          </w:hyperlink>
        </w:p>
        <w:p>
          <w:pPr>
            <w:pStyle w:val="Contents3"/>
            <w:tabs>
              <w:tab w:val="clear" w:pos="8459"/>
              <w:tab w:val="right" w:pos="9026" w:leader="dot"/>
            </w:tabs>
            <w:rPr/>
          </w:pPr>
          <w:hyperlink w:anchor="__RefHeading___Toc1986406_2749589250">
            <w:r>
              <w:rPr>
                <w:webHidden/>
                <w:rStyle w:val="IndexLink"/>
                <w:rtl w:val="true"/>
              </w:rPr>
              <w:t>واژگان کلیدی</w:t>
            </w:r>
            <w:r>
              <w:rPr>
                <w:rStyle w:val="IndexLink"/>
                <w:rtl w:val="true"/>
              </w:rPr>
              <w:tab/>
            </w:r>
            <w:r>
              <w:rPr>
                <w:rStyle w:val="IndexLink"/>
              </w:rPr>
              <w:t>30</w:t>
            </w:r>
          </w:hyperlink>
        </w:p>
        <w:p>
          <w:pPr>
            <w:pStyle w:val="Contents3"/>
            <w:tabs>
              <w:tab w:val="clear" w:pos="8459"/>
              <w:tab w:val="right" w:pos="9026" w:leader="dot"/>
            </w:tabs>
            <w:rPr/>
          </w:pPr>
          <w:hyperlink w:anchor="__RefHeading___Toc1986408_2749589250">
            <w:r>
              <w:rPr>
                <w:webHidden/>
                <w:rStyle w:val="IndexLink"/>
                <w:rtl w:val="true"/>
              </w:rPr>
              <w:t>مقدمه</w:t>
            </w:r>
            <w:r>
              <w:rPr>
                <w:rStyle w:val="IndexLink"/>
                <w:rtl w:val="true"/>
              </w:rPr>
              <w:tab/>
            </w:r>
            <w:r>
              <w:rPr>
                <w:rStyle w:val="IndexLink"/>
              </w:rPr>
              <w:t>31</w:t>
            </w:r>
          </w:hyperlink>
        </w:p>
        <w:p>
          <w:pPr>
            <w:pStyle w:val="Contents4"/>
            <w:tabs>
              <w:tab w:val="clear" w:pos="8176"/>
              <w:tab w:val="right" w:pos="9026" w:leader="dot"/>
            </w:tabs>
            <w:rPr/>
          </w:pPr>
          <w:hyperlink w:anchor="__RefHeading___Toc1986410_274958925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986412_2749589250">
            <w:r>
              <w:rPr>
                <w:webHidden/>
                <w:rStyle w:val="IndexLink"/>
                <w:rtl w:val="true"/>
              </w:rPr>
              <w:t>الف</w:t>
            </w:r>
            <w:r>
              <w:rPr>
                <w:rStyle w:val="IndexLink"/>
                <w:rtl w:val="true"/>
              </w:rPr>
              <w:tab/>
            </w:r>
            <w:r>
              <w:rPr>
                <w:rStyle w:val="IndexLink"/>
              </w:rPr>
              <w:t>31</w:t>
            </w:r>
          </w:hyperlink>
        </w:p>
        <w:p>
          <w:pPr>
            <w:pStyle w:val="Contents4"/>
            <w:tabs>
              <w:tab w:val="clear" w:pos="8176"/>
              <w:tab w:val="right" w:pos="9026" w:leader="dot"/>
            </w:tabs>
            <w:rPr/>
          </w:pPr>
          <w:hyperlink w:anchor="__RefHeading___Toc1986414_2749589250">
            <w:r>
              <w:rPr>
                <w:webHidden/>
                <w:rStyle w:val="IndexLink"/>
                <w:rtl w:val="true"/>
              </w:rPr>
              <w:t>ب</w:t>
            </w:r>
            <w:r>
              <w:rPr>
                <w:rStyle w:val="IndexLink"/>
                <w:rtl w:val="true"/>
              </w:rPr>
              <w:tab/>
            </w:r>
            <w:r>
              <w:rPr>
                <w:rStyle w:val="IndexLink"/>
              </w:rPr>
              <w:t>32</w:t>
            </w:r>
          </w:hyperlink>
        </w:p>
        <w:p>
          <w:pPr>
            <w:pStyle w:val="Contents4"/>
            <w:tabs>
              <w:tab w:val="clear" w:pos="8176"/>
              <w:tab w:val="right" w:pos="9026" w:leader="dot"/>
            </w:tabs>
            <w:rPr/>
          </w:pPr>
          <w:hyperlink w:anchor="__RefHeading___Toc1986416_2749589250">
            <w:r>
              <w:rPr>
                <w:webHidden/>
                <w:rStyle w:val="IndexLink"/>
                <w:rtl w:val="true"/>
              </w:rPr>
              <w:t>ج</w:t>
            </w:r>
            <w:r>
              <w:rPr>
                <w:rStyle w:val="IndexLink"/>
                <w:rtl w:val="true"/>
              </w:rPr>
              <w:tab/>
            </w:r>
            <w:r>
              <w:rPr>
                <w:rStyle w:val="IndexLink"/>
              </w:rPr>
              <w:t>32</w:t>
            </w:r>
          </w:hyperlink>
        </w:p>
        <w:p>
          <w:pPr>
            <w:pStyle w:val="Contents3"/>
            <w:tabs>
              <w:tab w:val="clear" w:pos="8459"/>
              <w:tab w:val="right" w:pos="9026" w:leader="dot"/>
            </w:tabs>
            <w:rPr/>
          </w:pPr>
          <w:hyperlink w:anchor="__RefHeading___Toc1986418_2749589250">
            <w:r>
              <w:rPr>
                <w:webHidden/>
                <w:rStyle w:val="IndexLink"/>
              </w:rPr>
              <w:t>1</w:t>
            </w:r>
            <w:r>
              <w:rPr>
                <w:rStyle w:val="IndexLink"/>
                <w:rtl w:val="true"/>
              </w:rPr>
              <w:t xml:space="preserve">. </w:t>
            </w:r>
            <w:r>
              <w:rPr>
                <w:rStyle w:val="IndexLink"/>
                <w:rtl w:val="true"/>
              </w:rPr>
              <w:t>سوشیانت در منابع زرتشتی</w:t>
            </w:r>
            <w:r>
              <w:rPr>
                <w:rStyle w:val="IndexLink"/>
                <w:rtl w:val="true"/>
              </w:rPr>
              <w:tab/>
            </w:r>
            <w:r>
              <w:rPr>
                <w:rStyle w:val="IndexLink"/>
              </w:rPr>
              <w:t>33</w:t>
            </w:r>
          </w:hyperlink>
        </w:p>
        <w:p>
          <w:pPr>
            <w:pStyle w:val="Contents3"/>
            <w:tabs>
              <w:tab w:val="clear" w:pos="8459"/>
              <w:tab w:val="right" w:pos="9026" w:leader="dot"/>
            </w:tabs>
            <w:rPr/>
          </w:pPr>
          <w:hyperlink w:anchor="__RefHeading___Toc1986420_2749589250">
            <w:r>
              <w:rPr>
                <w:webHidden/>
                <w:rStyle w:val="IndexLink"/>
              </w:rPr>
              <w:t>2</w:t>
            </w:r>
            <w:r>
              <w:rPr>
                <w:rStyle w:val="IndexLink"/>
                <w:rtl w:val="true"/>
              </w:rPr>
              <w:t xml:space="preserve">. </w:t>
            </w:r>
            <w:r>
              <w:rPr>
                <w:rStyle w:val="IndexLink"/>
                <w:rtl w:val="true"/>
              </w:rPr>
              <w:t>مهدی</w:t>
            </w:r>
            <w:r>
              <w:rPr>
                <w:rStyle w:val="IndexLink"/>
              </w:rPr>
              <w:t></w:t>
            </w:r>
            <w:r>
              <w:rPr>
                <w:rStyle w:val="IndexLink"/>
                <w:rtl w:val="true"/>
              </w:rPr>
              <w:t xml:space="preserve"> در منابع اسلامی</w:t>
            </w:r>
            <w:r>
              <w:rPr>
                <w:rStyle w:val="IndexLink"/>
                <w:rtl w:val="true"/>
              </w:rPr>
              <w:tab/>
            </w:r>
            <w:r>
              <w:rPr>
                <w:rStyle w:val="IndexLink"/>
              </w:rPr>
              <w:t>35</w:t>
            </w:r>
          </w:hyperlink>
        </w:p>
        <w:p>
          <w:pPr>
            <w:pStyle w:val="Contents3"/>
            <w:tabs>
              <w:tab w:val="clear" w:pos="8459"/>
              <w:tab w:val="right" w:pos="9026" w:leader="dot"/>
            </w:tabs>
            <w:rPr/>
          </w:pPr>
          <w:hyperlink w:anchor="__RefHeading___Toc1986422_2749589250">
            <w:r>
              <w:rPr>
                <w:webHidden/>
                <w:rStyle w:val="IndexLink"/>
              </w:rPr>
              <w:t>3</w:t>
            </w:r>
            <w:r>
              <w:rPr>
                <w:rStyle w:val="IndexLink"/>
                <w:rtl w:val="true"/>
              </w:rPr>
              <w:t xml:space="preserve">. </w:t>
            </w:r>
            <w:r>
              <w:rPr>
                <w:rStyle w:val="IndexLink"/>
                <w:rtl w:val="true"/>
              </w:rPr>
              <w:t>مشترکات مهدی</w:t>
            </w:r>
            <w:r>
              <w:rPr>
                <w:rStyle w:val="IndexLink"/>
              </w:rPr>
              <w:t></w:t>
            </w:r>
            <w:r>
              <w:rPr>
                <w:rStyle w:val="IndexLink"/>
                <w:rtl w:val="true"/>
              </w:rPr>
              <w:t xml:space="preserve"> و سوشیانت</w:t>
            </w:r>
            <w:r>
              <w:rPr>
                <w:rStyle w:val="IndexLink"/>
                <w:rtl w:val="true"/>
              </w:rPr>
              <w:tab/>
            </w:r>
            <w:r>
              <w:rPr>
                <w:rStyle w:val="IndexLink"/>
              </w:rPr>
              <w:t>36</w:t>
            </w:r>
          </w:hyperlink>
        </w:p>
        <w:p>
          <w:pPr>
            <w:pStyle w:val="Contents3"/>
            <w:tabs>
              <w:tab w:val="clear" w:pos="8459"/>
              <w:tab w:val="right" w:pos="9026" w:leader="dot"/>
            </w:tabs>
            <w:rPr/>
          </w:pPr>
          <w:hyperlink w:anchor="__RefHeading___Toc1986424_2749589250">
            <w:r>
              <w:rPr>
                <w:webHidden/>
                <w:rStyle w:val="IndexLink"/>
              </w:rPr>
              <w:t>4</w:t>
            </w:r>
            <w:r>
              <w:rPr>
                <w:rStyle w:val="IndexLink"/>
                <w:rtl w:val="true"/>
              </w:rPr>
              <w:t xml:space="preserve">. </w:t>
            </w:r>
            <w:r>
              <w:rPr>
                <w:rStyle w:val="IndexLink"/>
                <w:rtl w:val="true"/>
              </w:rPr>
              <w:t>نقد ادعای تأثیرپذیری باور مهدی</w:t>
            </w:r>
            <w:r>
              <w:rPr>
                <w:rStyle w:val="IndexLink"/>
              </w:rPr>
              <w:t></w:t>
            </w:r>
            <w:r>
              <w:rPr>
                <w:rStyle w:val="IndexLink"/>
                <w:rtl w:val="true"/>
              </w:rPr>
              <w:t xml:space="preserve"> از باور سوشیانت</w:t>
            </w:r>
            <w:r>
              <w:rPr>
                <w:rStyle w:val="IndexLink"/>
                <w:rtl w:val="true"/>
              </w:rPr>
              <w:tab/>
            </w:r>
            <w:r>
              <w:rPr>
                <w:rStyle w:val="IndexLink"/>
              </w:rPr>
              <w:t>38</w:t>
            </w:r>
          </w:hyperlink>
        </w:p>
        <w:p>
          <w:pPr>
            <w:pStyle w:val="Contents4"/>
            <w:tabs>
              <w:tab w:val="clear" w:pos="8176"/>
              <w:tab w:val="right" w:pos="9026" w:leader="dot"/>
            </w:tabs>
            <w:rPr/>
          </w:pPr>
          <w:hyperlink w:anchor="__RefHeading___Toc1986426_274958925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986428_2749589250">
            <w:r>
              <w:rPr>
                <w:webHidden/>
                <w:rStyle w:val="IndexLink"/>
                <w:rtl w:val="true"/>
              </w:rPr>
              <w:t>الف</w:t>
            </w:r>
            <w:r>
              <w:rPr>
                <w:rStyle w:val="IndexLink"/>
                <w:rtl w:val="true"/>
              </w:rPr>
              <w:t xml:space="preserve">) </w:t>
            </w:r>
            <w:r>
              <w:rPr>
                <w:rStyle w:val="IndexLink"/>
                <w:rtl w:val="true"/>
              </w:rPr>
              <w:t>وجود متشابهات در بین باورهای ادیان و عدم دلالت آن بر تأثیرپذیری باورهای متأخر</w:t>
            </w:r>
            <w:r>
              <w:rPr>
                <w:rStyle w:val="IndexLink"/>
                <w:rtl w:val="true"/>
              </w:rPr>
              <w:tab/>
            </w:r>
            <w:r>
              <w:rPr>
                <w:rStyle w:val="IndexLink"/>
              </w:rPr>
              <w:t>38</w:t>
            </w:r>
          </w:hyperlink>
        </w:p>
        <w:p>
          <w:pPr>
            <w:pStyle w:val="Contents5"/>
            <w:tabs>
              <w:tab w:val="clear" w:pos="7892"/>
              <w:tab w:val="right" w:pos="9026" w:leader="dot"/>
            </w:tabs>
            <w:rPr/>
          </w:pPr>
          <w:hyperlink w:anchor="__RefHeading___Toc1986430_2749589250">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1986432_2749589250">
            <w:r>
              <w:rPr>
                <w:webHidden/>
                <w:rStyle w:val="IndexLink"/>
                <w:rtl w:val="true"/>
              </w:rPr>
              <w:t>تفاوت ماهوی</w:t>
            </w:r>
            <w:r>
              <w:rPr>
                <w:rStyle w:val="IndexLink"/>
                <w:rtl w:val="true"/>
              </w:rPr>
              <w:tab/>
            </w:r>
            <w:r>
              <w:rPr>
                <w:rStyle w:val="IndexLink"/>
              </w:rPr>
              <w:t>38</w:t>
            </w:r>
          </w:hyperlink>
        </w:p>
        <w:p>
          <w:pPr>
            <w:pStyle w:val="Contents6"/>
            <w:tabs>
              <w:tab w:val="clear" w:pos="7609"/>
              <w:tab w:val="right" w:pos="9026" w:leader="dot"/>
            </w:tabs>
            <w:rPr/>
          </w:pPr>
          <w:hyperlink w:anchor="__RefHeading___Toc1986434_2749589250">
            <w:r>
              <w:rPr>
                <w:webHidden/>
                <w:rStyle w:val="IndexLink"/>
                <w:rtl w:val="true"/>
              </w:rPr>
              <w:t>اشاره</w:t>
            </w:r>
            <w:r>
              <w:rPr>
                <w:rStyle w:val="IndexLink"/>
                <w:rtl w:val="true"/>
              </w:rPr>
              <w:tab/>
            </w:r>
            <w:r>
              <w:rPr>
                <w:rStyle w:val="IndexLink"/>
              </w:rPr>
              <w:t>38</w:t>
            </w:r>
          </w:hyperlink>
        </w:p>
        <w:p>
          <w:pPr>
            <w:pStyle w:val="Contents6"/>
            <w:tabs>
              <w:tab w:val="clear" w:pos="7609"/>
              <w:tab w:val="right" w:pos="9026" w:leader="dot"/>
            </w:tabs>
            <w:rPr/>
          </w:pPr>
          <w:hyperlink w:anchor="__RefHeading___Toc1986436_2749589250">
            <w:r>
              <w:rPr>
                <w:webHidden/>
                <w:rStyle w:val="IndexLink"/>
              </w:rPr>
              <w:t>1</w:t>
            </w:r>
            <w:r>
              <w:rPr>
                <w:rStyle w:val="IndexLink"/>
                <w:rtl w:val="true"/>
              </w:rPr>
              <w:tab/>
            </w:r>
            <w:r>
              <w:rPr>
                <w:rStyle w:val="IndexLink"/>
              </w:rPr>
              <w:t>38</w:t>
            </w:r>
          </w:hyperlink>
        </w:p>
        <w:p>
          <w:pPr>
            <w:pStyle w:val="Contents6"/>
            <w:tabs>
              <w:tab w:val="clear" w:pos="7609"/>
              <w:tab w:val="right" w:pos="9026" w:leader="dot"/>
            </w:tabs>
            <w:rPr/>
          </w:pPr>
          <w:hyperlink w:anchor="__RefHeading___Toc1986438_2749589250">
            <w:r>
              <w:rPr>
                <w:webHidden/>
                <w:rStyle w:val="IndexLink"/>
              </w:rPr>
              <w:t>2</w:t>
            </w:r>
            <w:r>
              <w:rPr>
                <w:rStyle w:val="IndexLink"/>
                <w:rtl w:val="true"/>
              </w:rPr>
              <w:tab/>
            </w:r>
            <w:r>
              <w:rPr>
                <w:rStyle w:val="IndexLink"/>
              </w:rPr>
              <w:t>39</w:t>
            </w:r>
          </w:hyperlink>
        </w:p>
        <w:p>
          <w:pPr>
            <w:pStyle w:val="Contents4"/>
            <w:tabs>
              <w:tab w:val="clear" w:pos="8176"/>
              <w:tab w:val="right" w:pos="9026" w:leader="dot"/>
            </w:tabs>
            <w:rPr/>
          </w:pPr>
          <w:hyperlink w:anchor="__RefHeading___Toc1986440_2749589250">
            <w:r>
              <w:rPr>
                <w:webHidden/>
                <w:rStyle w:val="IndexLink"/>
                <w:rtl w:val="true"/>
              </w:rPr>
              <w:t>ب</w:t>
            </w:r>
            <w:r>
              <w:rPr>
                <w:rStyle w:val="IndexLink"/>
                <w:rtl w:val="true"/>
              </w:rPr>
              <w:t>)</w:t>
            </w:r>
            <w:r>
              <w:rPr>
                <w:rStyle w:val="IndexLink"/>
                <w:rtl w:val="true"/>
              </w:rPr>
              <w:t>شواهد تاریخی اصالت باور مهدی موعود نزد شیعیان و مسلمانان</w:t>
            </w:r>
            <w:r>
              <w:rPr>
                <w:rStyle w:val="IndexLink"/>
                <w:rtl w:val="true"/>
              </w:rPr>
              <w:tab/>
            </w:r>
            <w:r>
              <w:rPr>
                <w:rStyle w:val="IndexLink"/>
              </w:rPr>
              <w:t>40</w:t>
            </w:r>
          </w:hyperlink>
        </w:p>
        <w:p>
          <w:pPr>
            <w:pStyle w:val="Contents4"/>
            <w:tabs>
              <w:tab w:val="clear" w:pos="8176"/>
              <w:tab w:val="right" w:pos="9026" w:leader="dot"/>
            </w:tabs>
            <w:rPr/>
          </w:pPr>
          <w:hyperlink w:anchor="__RefHeading___Toc1986442_2749589250">
            <w:r>
              <w:rPr>
                <w:webHidden/>
                <w:rStyle w:val="IndexLink"/>
                <w:rtl w:val="true"/>
              </w:rPr>
              <w:t>ج</w:t>
            </w:r>
            <w:r>
              <w:rPr>
                <w:rStyle w:val="IndexLink"/>
                <w:rtl w:val="true"/>
              </w:rPr>
              <w:t xml:space="preserve">) </w:t>
            </w:r>
            <w:r>
              <w:rPr>
                <w:rStyle w:val="IndexLink"/>
                <w:rtl w:val="true"/>
              </w:rPr>
              <w:t>احتمال تأثیرپذیری باورهای متأخر زرتشتی از باورهای اسلامی</w:t>
            </w:r>
            <w:r>
              <w:rPr>
                <w:rStyle w:val="IndexLink"/>
                <w:rtl w:val="true"/>
              </w:rPr>
              <w:tab/>
            </w:r>
            <w:r>
              <w:rPr>
                <w:rStyle w:val="IndexLink"/>
              </w:rPr>
              <w:t>42</w:t>
            </w:r>
          </w:hyperlink>
        </w:p>
        <w:p>
          <w:pPr>
            <w:pStyle w:val="Contents5"/>
            <w:tabs>
              <w:tab w:val="clear" w:pos="7892"/>
              <w:tab w:val="right" w:pos="9026" w:leader="dot"/>
            </w:tabs>
            <w:rPr/>
          </w:pPr>
          <w:hyperlink w:anchor="__RefHeading___Toc1986444_2749589250">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1986446_2749589250">
            <w:r>
              <w:rPr>
                <w:webHidden/>
                <w:rStyle w:val="IndexLink"/>
                <w:rtl w:val="true"/>
              </w:rPr>
              <w:t>ـ احسان یارشاطر</w:t>
            </w:r>
            <w:r>
              <w:rPr>
                <w:rStyle w:val="IndexLink"/>
                <w:rtl w:val="true"/>
              </w:rPr>
              <w:tab/>
            </w:r>
            <w:r>
              <w:rPr>
                <w:rStyle w:val="IndexLink"/>
              </w:rPr>
              <w:t>44</w:t>
            </w:r>
          </w:hyperlink>
        </w:p>
        <w:p>
          <w:pPr>
            <w:pStyle w:val="Contents5"/>
            <w:tabs>
              <w:tab w:val="clear" w:pos="7892"/>
              <w:tab w:val="right" w:pos="9026" w:leader="dot"/>
            </w:tabs>
            <w:rPr/>
          </w:pPr>
          <w:hyperlink w:anchor="__RefHeading___Toc1986448_2749589250">
            <w:r>
              <w:rPr>
                <w:webHidden/>
                <w:rStyle w:val="IndexLink"/>
                <w:rtl w:val="true"/>
              </w:rPr>
              <w:t>ـ چوکسی</w:t>
            </w:r>
            <w:r>
              <w:rPr>
                <w:rStyle w:val="IndexLink"/>
                <w:rtl w:val="true"/>
              </w:rPr>
              <w:tab/>
            </w:r>
            <w:r>
              <w:rPr>
                <w:rStyle w:val="IndexLink"/>
              </w:rPr>
              <w:t>45</w:t>
            </w:r>
          </w:hyperlink>
        </w:p>
        <w:p>
          <w:pPr>
            <w:pStyle w:val="Contents5"/>
            <w:tabs>
              <w:tab w:val="clear" w:pos="7892"/>
              <w:tab w:val="right" w:pos="9026" w:leader="dot"/>
            </w:tabs>
            <w:rPr/>
          </w:pPr>
          <w:hyperlink w:anchor="__RefHeading___Toc1986450_2749589250">
            <w:r>
              <w:rPr>
                <w:webHidden/>
                <w:rStyle w:val="IndexLink"/>
                <w:rtl w:val="true"/>
              </w:rPr>
              <w:t>ـ سیدحسن آصف آگاه</w:t>
            </w:r>
            <w:r>
              <w:rPr>
                <w:rStyle w:val="IndexLink"/>
                <w:rtl w:val="true"/>
              </w:rPr>
              <w:tab/>
            </w:r>
            <w:r>
              <w:rPr>
                <w:rStyle w:val="IndexLink"/>
              </w:rPr>
              <w:t>45</w:t>
            </w:r>
          </w:hyperlink>
        </w:p>
        <w:p>
          <w:pPr>
            <w:pStyle w:val="Contents5"/>
            <w:tabs>
              <w:tab w:val="clear" w:pos="7892"/>
              <w:tab w:val="right" w:pos="9026" w:leader="dot"/>
            </w:tabs>
            <w:rPr/>
          </w:pPr>
          <w:hyperlink w:anchor="__RefHeading___Toc1986452_2749589250">
            <w:r>
              <w:rPr>
                <w:webHidden/>
                <w:rStyle w:val="IndexLink"/>
                <w:rtl w:val="true"/>
              </w:rPr>
              <w:t>ـ دکتر فرهنگ مهر</w:t>
            </w:r>
            <w:r>
              <w:rPr>
                <w:rStyle w:val="IndexLink"/>
                <w:rtl w:val="true"/>
              </w:rPr>
              <w:tab/>
            </w:r>
            <w:r>
              <w:rPr>
                <w:rStyle w:val="IndexLink"/>
              </w:rPr>
              <w:t>45</w:t>
            </w:r>
          </w:hyperlink>
        </w:p>
        <w:p>
          <w:pPr>
            <w:pStyle w:val="Contents3"/>
            <w:tabs>
              <w:tab w:val="clear" w:pos="8459"/>
              <w:tab w:val="right" w:pos="9026" w:leader="dot"/>
            </w:tabs>
            <w:rPr/>
          </w:pPr>
          <w:hyperlink w:anchor="__RefHeading___Toc1986454_2749589250">
            <w:r>
              <w:rPr>
                <w:webHidden/>
                <w:rStyle w:val="IndexLink"/>
                <w:rtl w:val="true"/>
              </w:rPr>
              <w:t>نتیجه‌گیری</w:t>
            </w:r>
            <w:r>
              <w:rPr>
                <w:rStyle w:val="IndexLink"/>
                <w:rtl w:val="true"/>
              </w:rPr>
              <w:tab/>
            </w:r>
            <w:r>
              <w:rPr>
                <w:rStyle w:val="IndexLink"/>
              </w:rPr>
              <w:t>46</w:t>
            </w:r>
          </w:hyperlink>
        </w:p>
        <w:p>
          <w:pPr>
            <w:pStyle w:val="Contents4"/>
            <w:tabs>
              <w:tab w:val="clear" w:pos="8176"/>
              <w:tab w:val="right" w:pos="9026" w:leader="dot"/>
            </w:tabs>
            <w:rPr/>
          </w:pPr>
          <w:hyperlink w:anchor="__RefHeading___Toc1986456_274958925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986458_2749589250">
            <w:r>
              <w:rPr>
                <w:webHidden/>
                <w:rStyle w:val="IndexLink"/>
                <w:rtl w:val="true"/>
              </w:rPr>
              <w:t>اولاً</w:t>
            </w:r>
            <w:r>
              <w:rPr>
                <w:rStyle w:val="IndexLink"/>
                <w:rtl w:val="true"/>
              </w:rPr>
              <w:tab/>
            </w:r>
            <w:r>
              <w:rPr>
                <w:rStyle w:val="IndexLink"/>
              </w:rPr>
              <w:t>46</w:t>
            </w:r>
          </w:hyperlink>
        </w:p>
        <w:p>
          <w:pPr>
            <w:pStyle w:val="Contents4"/>
            <w:tabs>
              <w:tab w:val="clear" w:pos="8176"/>
              <w:tab w:val="right" w:pos="9026" w:leader="dot"/>
            </w:tabs>
            <w:rPr/>
          </w:pPr>
          <w:hyperlink w:anchor="__RefHeading___Toc1986460_2749589250">
            <w:r>
              <w:rPr>
                <w:webHidden/>
                <w:rStyle w:val="IndexLink"/>
                <w:rtl w:val="true"/>
              </w:rPr>
              <w:t>ثانیاً</w:t>
            </w:r>
            <w:r>
              <w:rPr>
                <w:rStyle w:val="IndexLink"/>
                <w:rtl w:val="true"/>
              </w:rPr>
              <w:tab/>
            </w:r>
            <w:r>
              <w:rPr>
                <w:rStyle w:val="IndexLink"/>
              </w:rPr>
              <w:t>46</w:t>
            </w:r>
          </w:hyperlink>
        </w:p>
        <w:p>
          <w:pPr>
            <w:pStyle w:val="Contents4"/>
            <w:tabs>
              <w:tab w:val="clear" w:pos="8176"/>
              <w:tab w:val="right" w:pos="9026" w:leader="dot"/>
            </w:tabs>
            <w:rPr/>
          </w:pPr>
          <w:hyperlink w:anchor="__RefHeading___Toc1986462_2749589250">
            <w:r>
              <w:rPr>
                <w:webHidden/>
                <w:rStyle w:val="IndexLink"/>
                <w:rtl w:val="true"/>
              </w:rPr>
              <w:t>ثالثاً</w:t>
            </w:r>
            <w:r>
              <w:rPr>
                <w:rStyle w:val="IndexLink"/>
                <w:rtl w:val="true"/>
              </w:rPr>
              <w:tab/>
            </w:r>
            <w:r>
              <w:rPr>
                <w:rStyle w:val="IndexLink"/>
              </w:rPr>
              <w:t>47</w:t>
            </w:r>
          </w:hyperlink>
        </w:p>
        <w:p>
          <w:pPr>
            <w:pStyle w:val="Contents4"/>
            <w:tabs>
              <w:tab w:val="clear" w:pos="8176"/>
              <w:tab w:val="right" w:pos="9026" w:leader="dot"/>
            </w:tabs>
            <w:rPr/>
          </w:pPr>
          <w:hyperlink w:anchor="__RefHeading___Toc1986464_2749589250">
            <w:r>
              <w:rPr>
                <w:webHidden/>
                <w:rStyle w:val="IndexLink"/>
                <w:rtl w:val="true"/>
              </w:rPr>
              <w:t>رابعاً</w:t>
            </w:r>
            <w:r>
              <w:rPr>
                <w:rStyle w:val="IndexLink"/>
                <w:rtl w:val="true"/>
              </w:rPr>
              <w:tab/>
            </w:r>
            <w:r>
              <w:rPr>
                <w:rStyle w:val="IndexLink"/>
              </w:rPr>
              <w:t>47</w:t>
            </w:r>
          </w:hyperlink>
        </w:p>
        <w:p>
          <w:pPr>
            <w:pStyle w:val="Contents4"/>
            <w:tabs>
              <w:tab w:val="clear" w:pos="8176"/>
              <w:tab w:val="right" w:pos="9026" w:leader="dot"/>
            </w:tabs>
            <w:rPr/>
          </w:pPr>
          <w:hyperlink w:anchor="__RefHeading___Toc1986466_2749589250">
            <w:r>
              <w:rPr>
                <w:webHidden/>
                <w:rStyle w:val="IndexLink"/>
                <w:rtl w:val="true"/>
              </w:rPr>
              <w:t>خامساً</w:t>
            </w:r>
            <w:r>
              <w:rPr>
                <w:rStyle w:val="IndexLink"/>
                <w:rtl w:val="true"/>
              </w:rPr>
              <w:tab/>
            </w:r>
            <w:r>
              <w:rPr>
                <w:rStyle w:val="IndexLink"/>
              </w:rPr>
              <w:t>47</w:t>
            </w:r>
          </w:hyperlink>
        </w:p>
        <w:p>
          <w:pPr>
            <w:pStyle w:val="Contents3"/>
            <w:tabs>
              <w:tab w:val="clear" w:pos="8459"/>
              <w:tab w:val="right" w:pos="9026" w:leader="dot"/>
            </w:tabs>
            <w:rPr/>
          </w:pPr>
          <w:hyperlink w:anchor="__RefHeading___Toc1986468_2749589250">
            <w:r>
              <w:rPr>
                <w:webHidden/>
                <w:rStyle w:val="IndexLink"/>
                <w:rtl w:val="true"/>
              </w:rPr>
              <w:t>منابع</w:t>
            </w:r>
            <w:r>
              <w:rPr>
                <w:rStyle w:val="IndexLink"/>
                <w:rtl w:val="true"/>
              </w:rPr>
              <w:tab/>
            </w:r>
            <w:r>
              <w:rPr>
                <w:rStyle w:val="IndexLink"/>
              </w:rPr>
              <w:t>47</w:t>
            </w:r>
          </w:hyperlink>
        </w:p>
        <w:p>
          <w:pPr>
            <w:pStyle w:val="Contents2"/>
            <w:tabs>
              <w:tab w:val="clear" w:pos="8743"/>
              <w:tab w:val="right" w:pos="9026" w:leader="dot"/>
            </w:tabs>
            <w:rPr/>
          </w:pPr>
          <w:hyperlink w:anchor="__RefHeading___Toc1986470_2749589250">
            <w:r>
              <w:rPr>
                <w:webHidden/>
                <w:rStyle w:val="IndexLink"/>
                <w:rtl w:val="true"/>
              </w:rPr>
              <w:t xml:space="preserve">بررسی و تقویت نقدهای </w:t>
            </w:r>
            <w:r>
              <w:rPr>
                <w:rStyle w:val="IndexLink"/>
                <w:rtl w:val="true"/>
              </w:rPr>
              <w:t>«</w:t>
            </w:r>
            <w:r>
              <w:rPr>
                <w:rStyle w:val="IndexLink"/>
                <w:rtl w:val="true"/>
              </w:rPr>
              <w:t>محمد بن علوی مالکی</w:t>
            </w:r>
            <w:r>
              <w:rPr>
                <w:rStyle w:val="IndexLink"/>
                <w:rtl w:val="true"/>
              </w:rPr>
              <w:t xml:space="preserve">» </w:t>
            </w:r>
            <w:r>
              <w:rPr>
                <w:rStyle w:val="IndexLink"/>
                <w:rtl w:val="true"/>
              </w:rPr>
              <w:t xml:space="preserve">بر </w:t>
            </w:r>
            <w:r>
              <w:rPr>
                <w:rStyle w:val="IndexLink"/>
                <w:rtl w:val="true"/>
              </w:rPr>
              <w:t>«</w:t>
            </w:r>
            <w:r>
              <w:rPr>
                <w:rStyle w:val="IndexLink"/>
                <w:rtl w:val="true"/>
              </w:rPr>
              <w:t>محمد بن صالح عثیمین</w:t>
            </w:r>
            <w:r>
              <w:rPr>
                <w:rStyle w:val="IndexLink"/>
                <w:rtl w:val="true"/>
              </w:rPr>
              <w:t xml:space="preserve">» </w:t>
            </w:r>
            <w:r>
              <w:rPr>
                <w:rStyle w:val="IndexLink"/>
                <w:rtl w:val="true"/>
              </w:rPr>
              <w:t xml:space="preserve">دربارۀ توسل </w:t>
            </w:r>
            <w:r>
              <w:rPr>
                <w:rStyle w:val="IndexLink"/>
                <w:rtl w:val="true"/>
              </w:rPr>
              <w:t xml:space="preserve">/ </w:t>
            </w:r>
            <w:r>
              <w:rPr>
                <w:rStyle w:val="IndexLink"/>
                <w:rtl w:val="true"/>
              </w:rPr>
              <w:t>میثم دوست محمدی ، محمد رضا کریمی والا</w:t>
            </w:r>
            <w:r>
              <w:rPr>
                <w:rStyle w:val="IndexLink"/>
                <w:rtl w:val="true"/>
              </w:rPr>
              <w:tab/>
            </w:r>
            <w:r>
              <w:rPr>
                <w:rStyle w:val="IndexLink"/>
              </w:rPr>
              <w:t>51</w:t>
            </w:r>
          </w:hyperlink>
        </w:p>
        <w:p>
          <w:pPr>
            <w:pStyle w:val="Contents3"/>
            <w:tabs>
              <w:tab w:val="clear" w:pos="8459"/>
              <w:tab w:val="right" w:pos="9026" w:leader="dot"/>
            </w:tabs>
            <w:rPr/>
          </w:pPr>
          <w:hyperlink w:anchor="__RefHeading___Toc1986472_274958925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986474_2749589250">
            <w:r>
              <w:rPr>
                <w:webHidden/>
                <w:rStyle w:val="IndexLink"/>
                <w:rtl w:val="true"/>
              </w:rPr>
              <w:t>چکیده</w:t>
            </w:r>
            <w:r>
              <w:rPr>
                <w:rStyle w:val="IndexLink"/>
                <w:rtl w:val="true"/>
              </w:rPr>
              <w:tab/>
            </w:r>
            <w:r>
              <w:rPr>
                <w:rStyle w:val="IndexLink"/>
              </w:rPr>
              <w:t>51</w:t>
            </w:r>
          </w:hyperlink>
        </w:p>
        <w:p>
          <w:pPr>
            <w:pStyle w:val="Contents3"/>
            <w:tabs>
              <w:tab w:val="clear" w:pos="8459"/>
              <w:tab w:val="right" w:pos="9026" w:leader="dot"/>
            </w:tabs>
            <w:rPr/>
          </w:pPr>
          <w:hyperlink w:anchor="__RefHeading___Toc1986476_2749589250">
            <w:r>
              <w:rPr>
                <w:webHidden/>
                <w:rStyle w:val="IndexLink"/>
                <w:rtl w:val="true"/>
              </w:rPr>
              <w:t>واژگان کلیدی</w:t>
            </w:r>
            <w:r>
              <w:rPr>
                <w:rStyle w:val="IndexLink"/>
                <w:rtl w:val="true"/>
              </w:rPr>
              <w:tab/>
            </w:r>
            <w:r>
              <w:rPr>
                <w:rStyle w:val="IndexLink"/>
              </w:rPr>
              <w:t>51</w:t>
            </w:r>
          </w:hyperlink>
        </w:p>
        <w:p>
          <w:pPr>
            <w:pStyle w:val="Contents3"/>
            <w:tabs>
              <w:tab w:val="clear" w:pos="8459"/>
              <w:tab w:val="right" w:pos="9026" w:leader="dot"/>
            </w:tabs>
            <w:rPr/>
          </w:pPr>
          <w:hyperlink w:anchor="__RefHeading___Toc1986478_2749589250">
            <w:r>
              <w:rPr>
                <w:webHidden/>
                <w:rStyle w:val="IndexLink"/>
                <w:rtl w:val="true"/>
              </w:rPr>
              <w:t>مقدمه</w:t>
            </w:r>
            <w:r>
              <w:rPr>
                <w:rStyle w:val="IndexLink"/>
                <w:rtl w:val="true"/>
              </w:rPr>
              <w:tab/>
            </w:r>
            <w:r>
              <w:rPr>
                <w:rStyle w:val="IndexLink"/>
              </w:rPr>
              <w:t>52</w:t>
            </w:r>
          </w:hyperlink>
        </w:p>
        <w:p>
          <w:pPr>
            <w:pStyle w:val="Contents3"/>
            <w:tabs>
              <w:tab w:val="clear" w:pos="8459"/>
              <w:tab w:val="right" w:pos="9026" w:leader="dot"/>
            </w:tabs>
            <w:rPr/>
          </w:pPr>
          <w:hyperlink w:anchor="__RefHeading___Toc1986480_2749589250">
            <w:r>
              <w:rPr>
                <w:webHidden/>
                <w:rStyle w:val="IndexLink"/>
              </w:rPr>
              <w:t>1</w:t>
            </w:r>
            <w:r>
              <w:rPr>
                <w:rStyle w:val="IndexLink"/>
                <w:rtl w:val="true"/>
              </w:rPr>
              <w:t xml:space="preserve">. </w:t>
            </w:r>
            <w:r>
              <w:rPr>
                <w:rStyle w:val="IndexLink"/>
                <w:rtl w:val="true"/>
              </w:rPr>
              <w:t>محمد بن صالح عثیمین و توسل به دعای پیامبر</w:t>
            </w:r>
            <w:r>
              <w:rPr>
                <w:rStyle w:val="IndexLink"/>
              </w:rPr>
              <w:t></w:t>
            </w:r>
            <w:r>
              <w:rPr>
                <w:rStyle w:val="IndexLink"/>
                <w:rtl w:val="true"/>
              </w:rPr>
              <w:t xml:space="preserve"> و صالحان</w:t>
            </w:r>
            <w:r>
              <w:rPr>
                <w:rStyle w:val="IndexLink"/>
                <w:rtl w:val="true"/>
              </w:rPr>
              <w:tab/>
            </w:r>
            <w:r>
              <w:rPr>
                <w:rStyle w:val="IndexLink"/>
              </w:rPr>
              <w:t>53</w:t>
            </w:r>
          </w:hyperlink>
        </w:p>
        <w:p>
          <w:pPr>
            <w:pStyle w:val="Contents4"/>
            <w:tabs>
              <w:tab w:val="clear" w:pos="8176"/>
              <w:tab w:val="right" w:pos="9026" w:leader="dot"/>
            </w:tabs>
            <w:rPr/>
          </w:pPr>
          <w:hyperlink w:anchor="__RefHeading___Toc1986482_274958925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986484_2749589250">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مستندات روایی</w:t>
            </w:r>
            <w:r>
              <w:rPr>
                <w:rStyle w:val="IndexLink"/>
                <w:rtl w:val="true"/>
              </w:rPr>
              <w:tab/>
            </w:r>
            <w:r>
              <w:rPr>
                <w:rStyle w:val="IndexLink"/>
              </w:rPr>
              <w:t>54</w:t>
            </w:r>
          </w:hyperlink>
        </w:p>
        <w:p>
          <w:pPr>
            <w:pStyle w:val="Contents4"/>
            <w:tabs>
              <w:tab w:val="clear" w:pos="8176"/>
              <w:tab w:val="right" w:pos="9026" w:leader="dot"/>
            </w:tabs>
            <w:rPr/>
          </w:pPr>
          <w:hyperlink w:anchor="__RefHeading___Toc1986486_2749589250">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 xml:space="preserve">ابن‌عثیمین و تبیین آیۀ </w:t>
            </w:r>
            <w:r>
              <w:rPr>
                <w:rStyle w:val="IndexLink"/>
              </w:rPr>
              <w:t>64</w:t>
            </w:r>
            <w:r>
              <w:rPr>
                <w:rStyle w:val="IndexLink"/>
                <w:rtl w:val="true"/>
              </w:rPr>
              <w:t xml:space="preserve"> </w:t>
            </w:r>
            <w:r>
              <w:rPr>
                <w:rStyle w:val="IndexLink"/>
                <w:rtl w:val="true"/>
              </w:rPr>
              <w:t>سورۀ نساء در جهت تقویت دیدگاه خود</w:t>
            </w:r>
            <w:r>
              <w:rPr>
                <w:rStyle w:val="IndexLink"/>
                <w:rtl w:val="true"/>
              </w:rPr>
              <w:tab/>
            </w:r>
            <w:r>
              <w:rPr>
                <w:rStyle w:val="IndexLink"/>
              </w:rPr>
              <w:t>55</w:t>
            </w:r>
          </w:hyperlink>
        </w:p>
        <w:p>
          <w:pPr>
            <w:pStyle w:val="Contents3"/>
            <w:tabs>
              <w:tab w:val="clear" w:pos="8459"/>
              <w:tab w:val="right" w:pos="9026" w:leader="dot"/>
            </w:tabs>
            <w:rPr/>
          </w:pPr>
          <w:hyperlink w:anchor="__RefHeading___Toc1986488_2749589250">
            <w:r>
              <w:rPr>
                <w:webHidden/>
                <w:rStyle w:val="IndexLink"/>
              </w:rPr>
              <w:t>2</w:t>
            </w:r>
            <w:r>
              <w:rPr>
                <w:rStyle w:val="IndexLink"/>
                <w:rtl w:val="true"/>
              </w:rPr>
              <w:t xml:space="preserve">. </w:t>
            </w:r>
            <w:r>
              <w:rPr>
                <w:rStyle w:val="IndexLink"/>
                <w:rtl w:val="true"/>
              </w:rPr>
              <w:t>محمد بن علوی مالکی و نقد عثیمین</w:t>
            </w:r>
            <w:r>
              <w:rPr>
                <w:rStyle w:val="IndexLink"/>
                <w:rtl w:val="true"/>
              </w:rPr>
              <w:tab/>
            </w:r>
            <w:r>
              <w:rPr>
                <w:rStyle w:val="IndexLink"/>
              </w:rPr>
              <w:t>56</w:t>
            </w:r>
          </w:hyperlink>
        </w:p>
        <w:p>
          <w:pPr>
            <w:pStyle w:val="Contents4"/>
            <w:tabs>
              <w:tab w:val="clear" w:pos="8176"/>
              <w:tab w:val="right" w:pos="9026" w:leader="dot"/>
            </w:tabs>
            <w:rPr/>
          </w:pPr>
          <w:hyperlink w:anchor="__RefHeading___Toc1986490_274958925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986492_2749589250">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مستندات روایی</w:t>
            </w:r>
            <w:r>
              <w:rPr>
                <w:rStyle w:val="IndexLink"/>
                <w:rtl w:val="true"/>
              </w:rPr>
              <w:tab/>
            </w:r>
            <w:r>
              <w:rPr>
                <w:rStyle w:val="IndexLink"/>
              </w:rPr>
              <w:t>56</w:t>
            </w:r>
          </w:hyperlink>
        </w:p>
        <w:p>
          <w:pPr>
            <w:pStyle w:val="Contents5"/>
            <w:tabs>
              <w:tab w:val="clear" w:pos="7892"/>
              <w:tab w:val="right" w:pos="9026" w:leader="dot"/>
            </w:tabs>
            <w:rPr/>
          </w:pPr>
          <w:hyperlink w:anchor="__RefHeading___Toc1986494_2749589250">
            <w:r>
              <w:rPr>
                <w:webHidden/>
                <w:rStyle w:val="IndexLink"/>
              </w:rPr>
              <w:t>1</w:t>
            </w:r>
            <w:r>
              <w:rPr>
                <w:rStyle w:val="IndexLink"/>
                <w:rtl w:val="true"/>
              </w:rPr>
              <w:t xml:space="preserve">. </w:t>
            </w:r>
            <w:r>
              <w:rPr>
                <w:rStyle w:val="IndexLink"/>
                <w:rtl w:val="true"/>
              </w:rPr>
              <w:t>روایت عبدالرحمن بن زید بن اَسلم</w:t>
            </w:r>
            <w:r>
              <w:rPr>
                <w:rStyle w:val="IndexLink"/>
                <w:rtl w:val="true"/>
              </w:rPr>
              <w:tab/>
            </w:r>
            <w:r>
              <w:rPr>
                <w:rStyle w:val="IndexLink"/>
              </w:rPr>
              <w:t>56</w:t>
            </w:r>
          </w:hyperlink>
        </w:p>
        <w:p>
          <w:pPr>
            <w:pStyle w:val="Contents5"/>
            <w:tabs>
              <w:tab w:val="clear" w:pos="7892"/>
              <w:tab w:val="right" w:pos="9026" w:leader="dot"/>
            </w:tabs>
            <w:rPr/>
          </w:pPr>
          <w:hyperlink w:anchor="__RefHeading___Toc1986496_2749589250">
            <w:r>
              <w:rPr>
                <w:webHidden/>
                <w:rStyle w:val="IndexLink"/>
              </w:rPr>
              <w:t>2</w:t>
            </w:r>
            <w:r>
              <w:rPr>
                <w:rStyle w:val="IndexLink"/>
                <w:rtl w:val="true"/>
              </w:rPr>
              <w:t xml:space="preserve">. </w:t>
            </w:r>
            <w:r>
              <w:rPr>
                <w:rStyle w:val="IndexLink"/>
                <w:rtl w:val="true"/>
              </w:rPr>
              <w:t>عثمان بن حنیف و راهنمایی فرد محتاج</w:t>
            </w:r>
            <w:r>
              <w:rPr>
                <w:rStyle w:val="IndexLink"/>
                <w:rtl w:val="true"/>
              </w:rPr>
              <w:tab/>
            </w:r>
            <w:r>
              <w:rPr>
                <w:rStyle w:val="IndexLink"/>
              </w:rPr>
              <w:t>57</w:t>
            </w:r>
          </w:hyperlink>
        </w:p>
        <w:p>
          <w:pPr>
            <w:pStyle w:val="Contents5"/>
            <w:tabs>
              <w:tab w:val="clear" w:pos="7892"/>
              <w:tab w:val="right" w:pos="9026" w:leader="dot"/>
            </w:tabs>
            <w:rPr/>
          </w:pPr>
          <w:hyperlink w:anchor="__RefHeading___Toc1986498_2749589250">
            <w:r>
              <w:rPr>
                <w:webHidden/>
                <w:rStyle w:val="IndexLink"/>
              </w:rPr>
              <w:t>3</w:t>
            </w:r>
            <w:r>
              <w:rPr>
                <w:rStyle w:val="IndexLink"/>
                <w:rtl w:val="true"/>
              </w:rPr>
              <w:t xml:space="preserve">. </w:t>
            </w:r>
            <w:r>
              <w:rPr>
                <w:rStyle w:val="IndexLink"/>
                <w:rtl w:val="true"/>
              </w:rPr>
              <w:t>توسل به پیامبر</w:t>
            </w:r>
            <w:r>
              <w:rPr>
                <w:rStyle w:val="IndexLink"/>
              </w:rPr>
              <w:t></w:t>
            </w:r>
            <w:r>
              <w:rPr>
                <w:rStyle w:val="IndexLink"/>
                <w:rtl w:val="true"/>
              </w:rPr>
              <w:t xml:space="preserve"> با راهنمایی عایشه</w:t>
            </w:r>
            <w:r>
              <w:rPr>
                <w:rStyle w:val="IndexLink"/>
                <w:rtl w:val="true"/>
              </w:rPr>
              <w:tab/>
            </w:r>
            <w:r>
              <w:rPr>
                <w:rStyle w:val="IndexLink"/>
              </w:rPr>
              <w:t>57</w:t>
            </w:r>
          </w:hyperlink>
        </w:p>
        <w:p>
          <w:pPr>
            <w:pStyle w:val="Contents5"/>
            <w:tabs>
              <w:tab w:val="clear" w:pos="7892"/>
              <w:tab w:val="right" w:pos="9026" w:leader="dot"/>
            </w:tabs>
            <w:rPr/>
          </w:pPr>
          <w:hyperlink w:anchor="__RefHeading___Toc1986500_2749589250">
            <w:r>
              <w:rPr>
                <w:webHidden/>
                <w:rStyle w:val="IndexLink"/>
              </w:rPr>
              <w:t>4</w:t>
            </w:r>
            <w:r>
              <w:rPr>
                <w:rStyle w:val="IndexLink"/>
                <w:rtl w:val="true"/>
              </w:rPr>
              <w:t xml:space="preserve">. </w:t>
            </w:r>
            <w:r>
              <w:rPr>
                <w:rStyle w:val="IndexLink"/>
                <w:rtl w:val="true"/>
              </w:rPr>
              <w:t>توسل اهل مدینه به پیامبر</w:t>
            </w:r>
            <w:r>
              <w:rPr>
                <w:rStyle w:val="IndexLink"/>
              </w:rPr>
              <w:t></w:t>
            </w:r>
            <w:r>
              <w:rPr>
                <w:rStyle w:val="IndexLink"/>
                <w:rtl w:val="true"/>
              </w:rPr>
              <w:t xml:space="preserve"> در دورۀ خلافت خلیفۀ دوم</w:t>
            </w:r>
            <w:r>
              <w:rPr>
                <w:rStyle w:val="IndexLink"/>
                <w:rtl w:val="true"/>
              </w:rPr>
              <w:tab/>
            </w:r>
            <w:r>
              <w:rPr>
                <w:rStyle w:val="IndexLink"/>
              </w:rPr>
              <w:t>58</w:t>
            </w:r>
          </w:hyperlink>
        </w:p>
        <w:p>
          <w:pPr>
            <w:pStyle w:val="Contents5"/>
            <w:tabs>
              <w:tab w:val="clear" w:pos="7892"/>
              <w:tab w:val="right" w:pos="9026" w:leader="dot"/>
            </w:tabs>
            <w:rPr/>
          </w:pPr>
          <w:hyperlink w:anchor="__RefHeading___Toc1986502_2749589250">
            <w:r>
              <w:rPr>
                <w:webHidden/>
                <w:rStyle w:val="IndexLink"/>
              </w:rPr>
              <w:t>5</w:t>
            </w:r>
            <w:r>
              <w:rPr>
                <w:rStyle w:val="IndexLink"/>
                <w:rtl w:val="true"/>
              </w:rPr>
              <w:t xml:space="preserve">. </w:t>
            </w:r>
            <w:r>
              <w:rPr>
                <w:rStyle w:val="IndexLink"/>
                <w:rtl w:val="true"/>
              </w:rPr>
              <w:t>توسل مسلمانان در جنگ یمامه</w:t>
            </w:r>
            <w:r>
              <w:rPr>
                <w:rStyle w:val="IndexLink"/>
                <w:rtl w:val="true"/>
              </w:rPr>
              <w:tab/>
            </w:r>
            <w:r>
              <w:rPr>
                <w:rStyle w:val="IndexLink"/>
              </w:rPr>
              <w:t>59</w:t>
            </w:r>
          </w:hyperlink>
        </w:p>
        <w:p>
          <w:pPr>
            <w:pStyle w:val="Contents5"/>
            <w:tabs>
              <w:tab w:val="clear" w:pos="7892"/>
              <w:tab w:val="right" w:pos="9026" w:leader="dot"/>
            </w:tabs>
            <w:rPr/>
          </w:pPr>
          <w:hyperlink w:anchor="__RefHeading___Toc1986504_2749589250">
            <w:r>
              <w:rPr>
                <w:webHidden/>
                <w:rStyle w:val="IndexLink"/>
              </w:rPr>
              <w:t>6</w:t>
            </w:r>
            <w:r>
              <w:rPr>
                <w:rStyle w:val="IndexLink"/>
                <w:rtl w:val="true"/>
              </w:rPr>
              <w:t xml:space="preserve">. </w:t>
            </w:r>
            <w:r>
              <w:rPr>
                <w:rStyle w:val="IndexLink"/>
                <w:rtl w:val="true"/>
              </w:rPr>
              <w:t>توسل اعرابی در کنار قبر پیامبر</w:t>
            </w:r>
            <w:r>
              <w:rPr>
                <w:rStyle w:val="IndexLink"/>
              </w:rPr>
              <w:t></w:t>
            </w:r>
            <w:r>
              <w:rPr>
                <w:rStyle w:val="IndexLink"/>
                <w:rtl w:val="true"/>
              </w:rPr>
              <w:tab/>
            </w:r>
            <w:r>
              <w:rPr>
                <w:rStyle w:val="IndexLink"/>
              </w:rPr>
              <w:t>59</w:t>
            </w:r>
          </w:hyperlink>
        </w:p>
        <w:p>
          <w:pPr>
            <w:pStyle w:val="Contents4"/>
            <w:tabs>
              <w:tab w:val="clear" w:pos="8176"/>
              <w:tab w:val="right" w:pos="9026" w:leader="dot"/>
            </w:tabs>
            <w:rPr/>
          </w:pPr>
          <w:hyperlink w:anchor="__RefHeading___Toc1986506_2749589250">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بررسی و تقویت استدلال محمد بن علوی مالکی</w:t>
            </w:r>
            <w:r>
              <w:rPr>
                <w:rStyle w:val="IndexLink"/>
                <w:rtl w:val="true"/>
              </w:rPr>
              <w:tab/>
            </w:r>
            <w:r>
              <w:rPr>
                <w:rStyle w:val="IndexLink"/>
              </w:rPr>
              <w:t>61</w:t>
            </w:r>
          </w:hyperlink>
        </w:p>
        <w:p>
          <w:pPr>
            <w:pStyle w:val="Contents5"/>
            <w:tabs>
              <w:tab w:val="clear" w:pos="7892"/>
              <w:tab w:val="right" w:pos="9026" w:leader="dot"/>
            </w:tabs>
            <w:rPr/>
          </w:pPr>
          <w:hyperlink w:anchor="__RefHeading___Toc1986508_2749589250">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1986510_2749589250">
            <w:r>
              <w:rPr>
                <w:webHidden/>
                <w:rStyle w:val="IndexLink"/>
              </w:rPr>
              <w:t>1</w:t>
            </w:r>
            <w:r>
              <w:rPr>
                <w:rStyle w:val="IndexLink"/>
                <w:rtl w:val="true"/>
              </w:rPr>
              <w:t xml:space="preserve">. </w:t>
            </w:r>
            <w:r>
              <w:rPr>
                <w:rStyle w:val="IndexLink"/>
                <w:rtl w:val="true"/>
              </w:rPr>
              <w:t xml:space="preserve">محمد بن عمرو بن البختری الرزاز </w:t>
            </w:r>
            <w:r>
              <w:rPr>
                <w:rStyle w:val="IndexLink"/>
                <w:rtl w:val="true"/>
              </w:rPr>
              <w:t>(</w:t>
            </w:r>
            <w:r>
              <w:rPr>
                <w:rStyle w:val="IndexLink"/>
                <w:rtl w:val="true"/>
              </w:rPr>
              <w:t>م</w:t>
            </w:r>
            <w:r>
              <w:rPr>
                <w:rStyle w:val="IndexLink"/>
                <w:rtl w:val="true"/>
              </w:rPr>
              <w:t xml:space="preserve">. </w:t>
            </w:r>
            <w:r>
              <w:rPr>
                <w:rStyle w:val="IndexLink"/>
              </w:rPr>
              <w:t>339</w:t>
            </w:r>
            <w:r>
              <w:rPr>
                <w:rStyle w:val="IndexLink"/>
                <w:rtl w:val="true"/>
              </w:rPr>
              <w:t>ق</w:t>
            </w:r>
            <w:r>
              <w:rPr>
                <w:rStyle w:val="IndexLink"/>
                <w:rtl w:val="true"/>
              </w:rPr>
              <w:t>):</w:t>
              <w:tab/>
            </w:r>
            <w:r>
              <w:rPr>
                <w:rStyle w:val="IndexLink"/>
              </w:rPr>
              <w:t>63</w:t>
            </w:r>
          </w:hyperlink>
        </w:p>
        <w:p>
          <w:pPr>
            <w:pStyle w:val="Contents5"/>
            <w:tabs>
              <w:tab w:val="clear" w:pos="7892"/>
              <w:tab w:val="right" w:pos="9026" w:leader="dot"/>
            </w:tabs>
            <w:rPr/>
          </w:pPr>
          <w:hyperlink w:anchor="__RefHeading___Toc1986512_2749589250">
            <w:r>
              <w:rPr>
                <w:webHidden/>
                <w:rStyle w:val="IndexLink"/>
              </w:rPr>
              <w:t>2</w:t>
            </w:r>
            <w:r>
              <w:rPr>
                <w:rStyle w:val="IndexLink"/>
                <w:rtl w:val="true"/>
              </w:rPr>
              <w:t xml:space="preserve">. </w:t>
            </w:r>
            <w:r>
              <w:rPr>
                <w:rStyle w:val="IndexLink"/>
                <w:rtl w:val="true"/>
              </w:rPr>
              <w:t xml:space="preserve">احمد بن اسحاق بن صالح، ابوبکر الوزان </w:t>
            </w:r>
            <w:r>
              <w:rPr>
                <w:rStyle w:val="IndexLink"/>
                <w:rtl w:val="true"/>
              </w:rPr>
              <w:t>(</w:t>
            </w:r>
            <w:r>
              <w:rPr>
                <w:rStyle w:val="IndexLink"/>
                <w:rtl w:val="true"/>
              </w:rPr>
              <w:t>م</w:t>
            </w:r>
            <w:r>
              <w:rPr>
                <w:rStyle w:val="IndexLink"/>
                <w:rtl w:val="true"/>
              </w:rPr>
              <w:t xml:space="preserve">. </w:t>
            </w:r>
            <w:r>
              <w:rPr>
                <w:rStyle w:val="IndexLink"/>
              </w:rPr>
              <w:t>281</w:t>
            </w:r>
            <w:r>
              <w:rPr>
                <w:rStyle w:val="IndexLink"/>
                <w:rtl w:val="true"/>
              </w:rPr>
              <w:t>ق</w:t>
            </w:r>
            <w:r>
              <w:rPr>
                <w:rStyle w:val="IndexLink"/>
                <w:rtl w:val="true"/>
              </w:rPr>
              <w:t>):</w:t>
              <w:tab/>
            </w:r>
            <w:r>
              <w:rPr>
                <w:rStyle w:val="IndexLink"/>
              </w:rPr>
              <w:t>63</w:t>
            </w:r>
          </w:hyperlink>
        </w:p>
        <w:p>
          <w:pPr>
            <w:pStyle w:val="Contents5"/>
            <w:tabs>
              <w:tab w:val="clear" w:pos="7892"/>
              <w:tab w:val="right" w:pos="9026" w:leader="dot"/>
            </w:tabs>
            <w:rPr/>
          </w:pPr>
          <w:hyperlink w:anchor="__RefHeading___Toc1986514_2749589250">
            <w:r>
              <w:rPr>
                <w:webHidden/>
                <w:rStyle w:val="IndexLink"/>
              </w:rPr>
              <w:t>3</w:t>
            </w:r>
            <w:r>
              <w:rPr>
                <w:rStyle w:val="IndexLink"/>
                <w:rtl w:val="true"/>
              </w:rPr>
              <w:t xml:space="preserve">. </w:t>
            </w:r>
            <w:r>
              <w:rPr>
                <w:rStyle w:val="IndexLink"/>
                <w:rtl w:val="true"/>
              </w:rPr>
              <w:t>محمد بن صالح</w:t>
            </w:r>
            <w:r>
              <w:rPr>
                <w:rStyle w:val="IndexLink"/>
                <w:rtl w:val="true"/>
              </w:rPr>
              <w:t>:</w:t>
              <w:tab/>
            </w:r>
            <w:r>
              <w:rPr>
                <w:rStyle w:val="IndexLink"/>
              </w:rPr>
              <w:t>63</w:t>
            </w:r>
          </w:hyperlink>
        </w:p>
        <w:p>
          <w:pPr>
            <w:pStyle w:val="Contents5"/>
            <w:tabs>
              <w:tab w:val="clear" w:pos="7892"/>
              <w:tab w:val="right" w:pos="9026" w:leader="dot"/>
            </w:tabs>
            <w:rPr/>
          </w:pPr>
          <w:hyperlink w:anchor="__RefHeading___Toc1986516_2749589250">
            <w:r>
              <w:rPr>
                <w:webHidden/>
                <w:rStyle w:val="IndexLink"/>
              </w:rPr>
              <w:t>4</w:t>
            </w:r>
            <w:r>
              <w:rPr>
                <w:rStyle w:val="IndexLink"/>
                <w:rtl w:val="true"/>
              </w:rPr>
              <w:t xml:space="preserve">. </w:t>
            </w:r>
            <w:r>
              <w:rPr>
                <w:rStyle w:val="IndexLink"/>
                <w:rtl w:val="true"/>
              </w:rPr>
              <w:t xml:space="preserve">محمد بن سنان العوقی </w:t>
            </w:r>
            <w:r>
              <w:rPr>
                <w:rStyle w:val="IndexLink"/>
                <w:rtl w:val="true"/>
              </w:rPr>
              <w:t>(</w:t>
            </w:r>
            <w:r>
              <w:rPr>
                <w:rStyle w:val="IndexLink"/>
                <w:rtl w:val="true"/>
              </w:rPr>
              <w:t>م</w:t>
            </w:r>
            <w:r>
              <w:rPr>
                <w:rStyle w:val="IndexLink"/>
                <w:rtl w:val="true"/>
              </w:rPr>
              <w:t xml:space="preserve">. </w:t>
            </w:r>
            <w:r>
              <w:rPr>
                <w:rStyle w:val="IndexLink"/>
              </w:rPr>
              <w:t>223</w:t>
            </w:r>
            <w:r>
              <w:rPr>
                <w:rStyle w:val="IndexLink"/>
                <w:rtl w:val="true"/>
              </w:rPr>
              <w:t>ق</w:t>
            </w:r>
            <w:r>
              <w:rPr>
                <w:rStyle w:val="IndexLink"/>
                <w:rtl w:val="true"/>
              </w:rPr>
              <w:t>):</w:t>
              <w:tab/>
            </w:r>
            <w:r>
              <w:rPr>
                <w:rStyle w:val="IndexLink"/>
              </w:rPr>
              <w:t>63</w:t>
            </w:r>
          </w:hyperlink>
        </w:p>
        <w:p>
          <w:pPr>
            <w:pStyle w:val="Contents5"/>
            <w:tabs>
              <w:tab w:val="clear" w:pos="7892"/>
              <w:tab w:val="right" w:pos="9026" w:leader="dot"/>
            </w:tabs>
            <w:rPr/>
          </w:pPr>
          <w:hyperlink w:anchor="__RefHeading___Toc1986518_2749589250">
            <w:r>
              <w:rPr>
                <w:webHidden/>
                <w:rStyle w:val="IndexLink"/>
              </w:rPr>
              <w:t>5</w:t>
            </w:r>
            <w:r>
              <w:rPr>
                <w:rStyle w:val="IndexLink"/>
                <w:rtl w:val="true"/>
              </w:rPr>
              <w:t xml:space="preserve">. </w:t>
            </w:r>
            <w:r>
              <w:rPr>
                <w:rStyle w:val="IndexLink"/>
                <w:rtl w:val="true"/>
              </w:rPr>
              <w:t xml:space="preserve">ابراهیم بن طهمان </w:t>
            </w:r>
            <w:r>
              <w:rPr>
                <w:rStyle w:val="IndexLink"/>
                <w:rtl w:val="true"/>
              </w:rPr>
              <w:t>(</w:t>
            </w:r>
            <w:r>
              <w:rPr>
                <w:rStyle w:val="IndexLink"/>
                <w:rtl w:val="true"/>
              </w:rPr>
              <w:t>م</w:t>
            </w:r>
            <w:r>
              <w:rPr>
                <w:rStyle w:val="IndexLink"/>
                <w:rtl w:val="true"/>
              </w:rPr>
              <w:t xml:space="preserve">. </w:t>
            </w:r>
            <w:r>
              <w:rPr>
                <w:rStyle w:val="IndexLink"/>
              </w:rPr>
              <w:t>168</w:t>
            </w:r>
            <w:r>
              <w:rPr>
                <w:rStyle w:val="IndexLink"/>
                <w:rtl w:val="true"/>
              </w:rPr>
              <w:t>ق</w:t>
            </w:r>
            <w:r>
              <w:rPr>
                <w:rStyle w:val="IndexLink"/>
                <w:rtl w:val="true"/>
              </w:rPr>
              <w:t>):</w:t>
              <w:tab/>
            </w:r>
            <w:r>
              <w:rPr>
                <w:rStyle w:val="IndexLink"/>
              </w:rPr>
              <w:t>63</w:t>
            </w:r>
          </w:hyperlink>
        </w:p>
        <w:p>
          <w:pPr>
            <w:pStyle w:val="Contents5"/>
            <w:tabs>
              <w:tab w:val="clear" w:pos="7892"/>
              <w:tab w:val="right" w:pos="9026" w:leader="dot"/>
            </w:tabs>
            <w:rPr/>
          </w:pPr>
          <w:hyperlink w:anchor="__RefHeading___Toc1986520_2749589250">
            <w:r>
              <w:rPr>
                <w:webHidden/>
                <w:rStyle w:val="IndexLink"/>
              </w:rPr>
              <w:t>6</w:t>
            </w:r>
            <w:r>
              <w:rPr>
                <w:rStyle w:val="IndexLink"/>
                <w:rtl w:val="true"/>
              </w:rPr>
              <w:t xml:space="preserve">. </w:t>
            </w:r>
            <w:r>
              <w:rPr>
                <w:rStyle w:val="IndexLink"/>
                <w:rtl w:val="true"/>
              </w:rPr>
              <w:t>بدیل بن میسره عقیلی</w:t>
            </w:r>
            <w:r>
              <w:rPr>
                <w:rStyle w:val="IndexLink"/>
                <w:rtl w:val="true"/>
              </w:rPr>
              <w:t>:</w:t>
              <w:tab/>
            </w:r>
            <w:r>
              <w:rPr>
                <w:rStyle w:val="IndexLink"/>
              </w:rPr>
              <w:t>63</w:t>
            </w:r>
          </w:hyperlink>
        </w:p>
        <w:p>
          <w:pPr>
            <w:pStyle w:val="Contents5"/>
            <w:tabs>
              <w:tab w:val="clear" w:pos="7892"/>
              <w:tab w:val="right" w:pos="9026" w:leader="dot"/>
            </w:tabs>
            <w:rPr/>
          </w:pPr>
          <w:hyperlink w:anchor="__RefHeading___Toc1986522_2749589250">
            <w:r>
              <w:rPr>
                <w:webHidden/>
                <w:rStyle w:val="IndexLink"/>
              </w:rPr>
              <w:t>7</w:t>
            </w:r>
            <w:r>
              <w:rPr>
                <w:rStyle w:val="IndexLink"/>
                <w:rtl w:val="true"/>
              </w:rPr>
              <w:t xml:space="preserve">. </w:t>
            </w:r>
            <w:r>
              <w:rPr>
                <w:rStyle w:val="IndexLink"/>
                <w:rtl w:val="true"/>
              </w:rPr>
              <w:t>عبدالله بن شقیق</w:t>
            </w:r>
            <w:r>
              <w:rPr>
                <w:rStyle w:val="IndexLink"/>
                <w:rtl w:val="true"/>
              </w:rPr>
              <w:t>:</w:t>
              <w:tab/>
            </w:r>
            <w:r>
              <w:rPr>
                <w:rStyle w:val="IndexLink"/>
              </w:rPr>
              <w:t>64</w:t>
            </w:r>
          </w:hyperlink>
        </w:p>
        <w:p>
          <w:pPr>
            <w:pStyle w:val="Contents4"/>
            <w:tabs>
              <w:tab w:val="clear" w:pos="8176"/>
              <w:tab w:val="right" w:pos="9026" w:leader="dot"/>
            </w:tabs>
            <w:rPr/>
          </w:pPr>
          <w:hyperlink w:anchor="__RefHeading___Toc1986524_2749589250">
            <w:r>
              <w:rPr>
                <w:webHidden/>
                <w:rStyle w:val="IndexLink"/>
              </w:rPr>
              <w:t>2</w:t>
            </w:r>
            <w:r>
              <w:rPr>
                <w:rStyle w:val="IndexLink"/>
                <w:rtl w:val="true"/>
              </w:rPr>
              <w:t>ـ</w:t>
            </w:r>
            <w:r>
              <w:rPr>
                <w:rStyle w:val="IndexLink"/>
              </w:rPr>
              <w:t>3</w:t>
            </w:r>
            <w:r>
              <w:rPr>
                <w:rStyle w:val="IndexLink"/>
                <w:rtl w:val="true"/>
              </w:rPr>
              <w:t xml:space="preserve">. </w:t>
            </w:r>
            <w:r>
              <w:rPr>
                <w:rStyle w:val="IndexLink"/>
                <w:rtl w:val="true"/>
              </w:rPr>
              <w:t>نقد برداشت ابن‌عثیمین از توسل خلیفۀ دوم به دعای عباس</w:t>
            </w:r>
            <w:r>
              <w:rPr>
                <w:rStyle w:val="IndexLink"/>
                <w:rtl w:val="true"/>
              </w:rPr>
              <w:tab/>
            </w:r>
            <w:r>
              <w:rPr>
                <w:rStyle w:val="IndexLink"/>
              </w:rPr>
              <w:t>64</w:t>
            </w:r>
          </w:hyperlink>
        </w:p>
        <w:p>
          <w:pPr>
            <w:pStyle w:val="Contents4"/>
            <w:tabs>
              <w:tab w:val="clear" w:pos="8176"/>
              <w:tab w:val="right" w:pos="9026" w:leader="dot"/>
            </w:tabs>
            <w:rPr/>
          </w:pPr>
          <w:hyperlink w:anchor="__RefHeading___Toc1986526_2749589250">
            <w:r>
              <w:rPr>
                <w:webHidden/>
                <w:rStyle w:val="IndexLink"/>
              </w:rPr>
              <w:t>2</w:t>
            </w:r>
            <w:r>
              <w:rPr>
                <w:rStyle w:val="IndexLink"/>
                <w:rtl w:val="true"/>
              </w:rPr>
              <w:t>ـ</w:t>
            </w:r>
            <w:r>
              <w:rPr>
                <w:rStyle w:val="IndexLink"/>
              </w:rPr>
              <w:t>4</w:t>
            </w:r>
            <w:r>
              <w:rPr>
                <w:rStyle w:val="IndexLink"/>
                <w:rtl w:val="true"/>
              </w:rPr>
              <w:t xml:space="preserve">. </w:t>
            </w:r>
            <w:r>
              <w:rPr>
                <w:rStyle w:val="IndexLink"/>
                <w:rtl w:val="true"/>
              </w:rPr>
              <w:t>مالکی و نقد برداشت ابن‌عثیمین از آیۀ شریفه</w:t>
            </w:r>
            <w:r>
              <w:rPr>
                <w:rStyle w:val="IndexLink"/>
                <w:rtl w:val="true"/>
              </w:rPr>
              <w:tab/>
            </w:r>
            <w:r>
              <w:rPr>
                <w:rStyle w:val="IndexLink"/>
              </w:rPr>
              <w:t>64</w:t>
            </w:r>
          </w:hyperlink>
        </w:p>
        <w:p>
          <w:pPr>
            <w:pStyle w:val="Contents3"/>
            <w:tabs>
              <w:tab w:val="clear" w:pos="8459"/>
              <w:tab w:val="right" w:pos="9026" w:leader="dot"/>
            </w:tabs>
            <w:rPr/>
          </w:pPr>
          <w:hyperlink w:anchor="__RefHeading___Toc1986528_2749589250">
            <w:r>
              <w:rPr>
                <w:webHidden/>
                <w:rStyle w:val="IndexLink"/>
                <w:rtl w:val="true"/>
              </w:rPr>
              <w:t>نتیجه‌گیری</w:t>
            </w:r>
            <w:r>
              <w:rPr>
                <w:rStyle w:val="IndexLink"/>
                <w:rtl w:val="true"/>
              </w:rPr>
              <w:tab/>
            </w:r>
            <w:r>
              <w:rPr>
                <w:rStyle w:val="IndexLink"/>
              </w:rPr>
              <w:t>66</w:t>
            </w:r>
          </w:hyperlink>
        </w:p>
        <w:p>
          <w:pPr>
            <w:pStyle w:val="Contents3"/>
            <w:tabs>
              <w:tab w:val="clear" w:pos="8459"/>
              <w:tab w:val="right" w:pos="9026" w:leader="dot"/>
            </w:tabs>
            <w:rPr/>
          </w:pPr>
          <w:hyperlink w:anchor="__RefHeading___Toc1986530_2749589250">
            <w:r>
              <w:rPr>
                <w:webHidden/>
                <w:rStyle w:val="IndexLink"/>
                <w:rtl w:val="true"/>
              </w:rPr>
              <w:t>منابع</w:t>
            </w:r>
            <w:r>
              <w:rPr>
                <w:rStyle w:val="IndexLink"/>
                <w:rtl w:val="true"/>
              </w:rPr>
              <w:tab/>
            </w:r>
            <w:r>
              <w:rPr>
                <w:rStyle w:val="IndexLink"/>
              </w:rPr>
              <w:t>67</w:t>
            </w:r>
          </w:hyperlink>
        </w:p>
        <w:p>
          <w:pPr>
            <w:pStyle w:val="Contents2"/>
            <w:tabs>
              <w:tab w:val="clear" w:pos="8743"/>
              <w:tab w:val="right" w:pos="9026" w:leader="dot"/>
            </w:tabs>
            <w:rPr/>
          </w:pPr>
          <w:hyperlink w:anchor="__RefHeading___Toc1986532_2749589250">
            <w:r>
              <w:rPr>
                <w:webHidden/>
                <w:rStyle w:val="IndexLink"/>
                <w:rtl w:val="true"/>
              </w:rPr>
              <w:t xml:space="preserve">رویکرد تفسیری فخر رازی در مواجهه با ادلۀ شیعه ذیل آیات ولایت و خلافت </w:t>
            </w:r>
            <w:r>
              <w:rPr>
                <w:rStyle w:val="IndexLink"/>
                <w:rtl w:val="true"/>
              </w:rPr>
              <w:t xml:space="preserve">/ </w:t>
            </w:r>
            <w:r>
              <w:rPr>
                <w:rStyle w:val="IndexLink"/>
                <w:rtl w:val="true"/>
              </w:rPr>
              <w:t>حامد دژآباد ، زهره بابا احمد میلانی</w:t>
            </w:r>
            <w:r>
              <w:rPr>
                <w:rStyle w:val="IndexLink"/>
                <w:rtl w:val="true"/>
              </w:rPr>
              <w:tab/>
            </w:r>
            <w:r>
              <w:rPr>
                <w:rStyle w:val="IndexLink"/>
              </w:rPr>
              <w:t>72</w:t>
            </w:r>
          </w:hyperlink>
        </w:p>
        <w:p>
          <w:pPr>
            <w:pStyle w:val="Contents3"/>
            <w:tabs>
              <w:tab w:val="clear" w:pos="8459"/>
              <w:tab w:val="right" w:pos="9026" w:leader="dot"/>
            </w:tabs>
            <w:rPr/>
          </w:pPr>
          <w:hyperlink w:anchor="__RefHeading___Toc1986534_274958925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986536_2749589250">
            <w:r>
              <w:rPr>
                <w:webHidden/>
                <w:rStyle w:val="IndexLink"/>
                <w:rtl w:val="true"/>
              </w:rPr>
              <w:t>چکیده</w:t>
            </w:r>
            <w:r>
              <w:rPr>
                <w:rStyle w:val="IndexLink"/>
                <w:rtl w:val="true"/>
              </w:rPr>
              <w:tab/>
            </w:r>
            <w:r>
              <w:rPr>
                <w:rStyle w:val="IndexLink"/>
              </w:rPr>
              <w:t>72</w:t>
            </w:r>
          </w:hyperlink>
        </w:p>
        <w:p>
          <w:pPr>
            <w:pStyle w:val="Contents3"/>
            <w:tabs>
              <w:tab w:val="clear" w:pos="8459"/>
              <w:tab w:val="right" w:pos="9026" w:leader="dot"/>
            </w:tabs>
            <w:rPr/>
          </w:pPr>
          <w:hyperlink w:anchor="__RefHeading___Toc1986538_2749589250">
            <w:r>
              <w:rPr>
                <w:webHidden/>
                <w:rStyle w:val="IndexLink"/>
                <w:rtl w:val="true"/>
              </w:rPr>
              <w:t>واژگان کلیدی</w:t>
            </w:r>
            <w:r>
              <w:rPr>
                <w:rStyle w:val="IndexLink"/>
                <w:rtl w:val="true"/>
              </w:rPr>
              <w:tab/>
            </w:r>
            <w:r>
              <w:rPr>
                <w:rStyle w:val="IndexLink"/>
              </w:rPr>
              <w:t>72</w:t>
            </w:r>
          </w:hyperlink>
        </w:p>
        <w:p>
          <w:pPr>
            <w:pStyle w:val="Contents3"/>
            <w:tabs>
              <w:tab w:val="clear" w:pos="8459"/>
              <w:tab w:val="right" w:pos="9026" w:leader="dot"/>
            </w:tabs>
            <w:rPr/>
          </w:pPr>
          <w:hyperlink w:anchor="__RefHeading___Toc1986540_2749589250">
            <w:r>
              <w:rPr>
                <w:webHidden/>
                <w:rStyle w:val="IndexLink"/>
                <w:rtl w:val="true"/>
              </w:rPr>
              <w:t>مقدمه</w:t>
            </w:r>
            <w:r>
              <w:rPr>
                <w:rStyle w:val="IndexLink"/>
                <w:rtl w:val="true"/>
              </w:rPr>
              <w:tab/>
            </w:r>
            <w:r>
              <w:rPr>
                <w:rStyle w:val="IndexLink"/>
              </w:rPr>
              <w:t>73</w:t>
            </w:r>
          </w:hyperlink>
        </w:p>
        <w:p>
          <w:pPr>
            <w:pStyle w:val="Contents3"/>
            <w:tabs>
              <w:tab w:val="clear" w:pos="8459"/>
              <w:tab w:val="right" w:pos="9026" w:leader="dot"/>
            </w:tabs>
            <w:rPr/>
          </w:pPr>
          <w:hyperlink w:anchor="__RefHeading___Toc1986542_2749589250">
            <w:r>
              <w:rPr>
                <w:webHidden/>
                <w:rStyle w:val="IndexLink"/>
              </w:rPr>
              <w:t>1</w:t>
            </w:r>
            <w:r>
              <w:rPr>
                <w:rStyle w:val="IndexLink"/>
                <w:rtl w:val="true"/>
              </w:rPr>
              <w:t xml:space="preserve">. </w:t>
            </w:r>
            <w:r>
              <w:rPr>
                <w:rStyle w:val="IndexLink"/>
                <w:rtl w:val="true"/>
              </w:rPr>
              <w:t>استناد به روایات ضعیف و جعلی</w:t>
            </w:r>
            <w:r>
              <w:rPr>
                <w:rStyle w:val="IndexLink"/>
                <w:rtl w:val="true"/>
              </w:rPr>
              <w:tab/>
            </w:r>
            <w:r>
              <w:rPr>
                <w:rStyle w:val="IndexLink"/>
              </w:rPr>
              <w:t>74</w:t>
            </w:r>
          </w:hyperlink>
        </w:p>
        <w:p>
          <w:pPr>
            <w:pStyle w:val="Contents3"/>
            <w:tabs>
              <w:tab w:val="clear" w:pos="8459"/>
              <w:tab w:val="right" w:pos="9026" w:leader="dot"/>
            </w:tabs>
            <w:rPr/>
          </w:pPr>
          <w:hyperlink w:anchor="__RefHeading___Toc1986544_2749589250">
            <w:r>
              <w:rPr>
                <w:webHidden/>
                <w:rStyle w:val="IndexLink"/>
              </w:rPr>
              <w:t>2</w:t>
            </w:r>
            <w:r>
              <w:rPr>
                <w:rStyle w:val="IndexLink"/>
                <w:rtl w:val="true"/>
              </w:rPr>
              <w:t xml:space="preserve">. </w:t>
            </w:r>
            <w:r>
              <w:rPr>
                <w:rStyle w:val="IndexLink"/>
                <w:rtl w:val="true"/>
              </w:rPr>
              <w:t>استناد به سیاق</w:t>
            </w:r>
            <w:r>
              <w:rPr>
                <w:rStyle w:val="IndexLink"/>
                <w:rtl w:val="true"/>
              </w:rPr>
              <w:tab/>
            </w:r>
            <w:r>
              <w:rPr>
                <w:rStyle w:val="IndexLink"/>
              </w:rPr>
              <w:t>75</w:t>
            </w:r>
          </w:hyperlink>
        </w:p>
        <w:p>
          <w:pPr>
            <w:pStyle w:val="Contents4"/>
            <w:tabs>
              <w:tab w:val="clear" w:pos="8176"/>
              <w:tab w:val="right" w:pos="9026" w:leader="dot"/>
            </w:tabs>
            <w:rPr/>
          </w:pPr>
          <w:hyperlink w:anchor="__RefHeading___Toc1986546_274958925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986548_2749589250">
            <w:r>
              <w:rPr>
                <w:webHidden/>
                <w:rStyle w:val="IndexLink"/>
                <w:rtl w:val="true"/>
              </w:rPr>
              <w:t>نقد و بررسی</w:t>
            </w:r>
            <w:r>
              <w:rPr>
                <w:rStyle w:val="IndexLink"/>
                <w:rtl w:val="true"/>
              </w:rPr>
              <w:tab/>
            </w:r>
            <w:r>
              <w:rPr>
                <w:rStyle w:val="IndexLink"/>
              </w:rPr>
              <w:t>77</w:t>
            </w:r>
          </w:hyperlink>
        </w:p>
        <w:p>
          <w:pPr>
            <w:pStyle w:val="Contents5"/>
            <w:tabs>
              <w:tab w:val="clear" w:pos="7892"/>
              <w:tab w:val="right" w:pos="9026" w:leader="dot"/>
            </w:tabs>
            <w:rPr/>
          </w:pPr>
          <w:hyperlink w:anchor="__RefHeading___Toc1986550_2749589250">
            <w:r>
              <w:rPr>
                <w:webHidden/>
                <w:rStyle w:val="IndexLink"/>
              </w:rPr>
              <w:t>1</w:t>
            </w:r>
            <w:r>
              <w:rPr>
                <w:rStyle w:val="IndexLink"/>
                <w:rtl w:val="true"/>
              </w:rPr>
              <w:tab/>
            </w:r>
            <w:r>
              <w:rPr>
                <w:rStyle w:val="IndexLink"/>
              </w:rPr>
              <w:t>77</w:t>
            </w:r>
          </w:hyperlink>
        </w:p>
        <w:p>
          <w:pPr>
            <w:pStyle w:val="Contents5"/>
            <w:tabs>
              <w:tab w:val="clear" w:pos="7892"/>
              <w:tab w:val="right" w:pos="9026" w:leader="dot"/>
            </w:tabs>
            <w:rPr/>
          </w:pPr>
          <w:hyperlink w:anchor="__RefHeading___Toc1986552_2749589250">
            <w:r>
              <w:rPr>
                <w:webHidden/>
                <w:rStyle w:val="IndexLink"/>
              </w:rPr>
              <w:t>2</w:t>
            </w:r>
            <w:r>
              <w:rPr>
                <w:rStyle w:val="IndexLink"/>
                <w:rtl w:val="true"/>
              </w:rPr>
              <w:tab/>
            </w:r>
            <w:r>
              <w:rPr>
                <w:rStyle w:val="IndexLink"/>
              </w:rPr>
              <w:t>77</w:t>
            </w:r>
          </w:hyperlink>
        </w:p>
        <w:p>
          <w:pPr>
            <w:pStyle w:val="Contents5"/>
            <w:tabs>
              <w:tab w:val="clear" w:pos="7892"/>
              <w:tab w:val="right" w:pos="9026" w:leader="dot"/>
            </w:tabs>
            <w:rPr/>
          </w:pPr>
          <w:hyperlink w:anchor="__RefHeading___Toc1986554_2749589250">
            <w:r>
              <w:rPr>
                <w:webHidden/>
                <w:rStyle w:val="IndexLink"/>
              </w:rPr>
              <w:t>3</w:t>
            </w:r>
            <w:r>
              <w:rPr>
                <w:rStyle w:val="IndexLink"/>
                <w:rtl w:val="true"/>
              </w:rPr>
              <w:tab/>
            </w:r>
            <w:r>
              <w:rPr>
                <w:rStyle w:val="IndexLink"/>
              </w:rPr>
              <w:t>77</w:t>
            </w:r>
          </w:hyperlink>
        </w:p>
        <w:p>
          <w:pPr>
            <w:pStyle w:val="Contents5"/>
            <w:tabs>
              <w:tab w:val="clear" w:pos="7892"/>
              <w:tab w:val="right" w:pos="9026" w:leader="dot"/>
            </w:tabs>
            <w:rPr/>
          </w:pPr>
          <w:hyperlink w:anchor="__RefHeading___Toc1986556_2749589250">
            <w:r>
              <w:rPr>
                <w:webHidden/>
                <w:rStyle w:val="IndexLink"/>
              </w:rPr>
              <w:t>4</w:t>
            </w:r>
            <w:r>
              <w:rPr>
                <w:rStyle w:val="IndexLink"/>
                <w:rtl w:val="true"/>
              </w:rPr>
              <w:tab/>
            </w:r>
            <w:r>
              <w:rPr>
                <w:rStyle w:val="IndexLink"/>
              </w:rPr>
              <w:t>78</w:t>
            </w:r>
          </w:hyperlink>
        </w:p>
        <w:p>
          <w:pPr>
            <w:pStyle w:val="Contents5"/>
            <w:tabs>
              <w:tab w:val="clear" w:pos="7892"/>
              <w:tab w:val="right" w:pos="9026" w:leader="dot"/>
            </w:tabs>
            <w:rPr/>
          </w:pPr>
          <w:hyperlink w:anchor="__RefHeading___Toc1986558_2749589250">
            <w:r>
              <w:rPr>
                <w:webHidden/>
                <w:rStyle w:val="IndexLink"/>
              </w:rPr>
              <w:t>5</w:t>
            </w:r>
            <w:r>
              <w:rPr>
                <w:rStyle w:val="IndexLink"/>
                <w:rtl w:val="true"/>
              </w:rPr>
              <w:tab/>
            </w:r>
            <w:r>
              <w:rPr>
                <w:rStyle w:val="IndexLink"/>
              </w:rPr>
              <w:t>78</w:t>
            </w:r>
          </w:hyperlink>
        </w:p>
        <w:p>
          <w:pPr>
            <w:pStyle w:val="Contents5"/>
            <w:tabs>
              <w:tab w:val="clear" w:pos="7892"/>
              <w:tab w:val="right" w:pos="9026" w:leader="dot"/>
            </w:tabs>
            <w:rPr/>
          </w:pPr>
          <w:hyperlink w:anchor="__RefHeading___Toc1986560_2749589250">
            <w:r>
              <w:rPr>
                <w:webHidden/>
                <w:rStyle w:val="IndexLink"/>
              </w:rPr>
              <w:t>6</w:t>
            </w:r>
            <w:r>
              <w:rPr>
                <w:rStyle w:val="IndexLink"/>
                <w:rtl w:val="true"/>
              </w:rPr>
              <w:tab/>
            </w:r>
            <w:r>
              <w:rPr>
                <w:rStyle w:val="IndexLink"/>
              </w:rPr>
              <w:t>79</w:t>
            </w:r>
          </w:hyperlink>
        </w:p>
        <w:p>
          <w:pPr>
            <w:pStyle w:val="Contents5"/>
            <w:tabs>
              <w:tab w:val="clear" w:pos="7892"/>
              <w:tab w:val="right" w:pos="9026" w:leader="dot"/>
            </w:tabs>
            <w:rPr/>
          </w:pPr>
          <w:hyperlink w:anchor="__RefHeading___Toc1986562_2749589250">
            <w:r>
              <w:rPr>
                <w:webHidden/>
                <w:rStyle w:val="IndexLink"/>
              </w:rPr>
              <w:t>7</w:t>
            </w:r>
            <w:r>
              <w:rPr>
                <w:rStyle w:val="IndexLink"/>
                <w:rtl w:val="true"/>
              </w:rPr>
              <w:tab/>
            </w:r>
            <w:r>
              <w:rPr>
                <w:rStyle w:val="IndexLink"/>
              </w:rPr>
              <w:t>79</w:t>
            </w:r>
          </w:hyperlink>
        </w:p>
        <w:p>
          <w:pPr>
            <w:pStyle w:val="Contents3"/>
            <w:tabs>
              <w:tab w:val="clear" w:pos="8459"/>
              <w:tab w:val="right" w:pos="9026" w:leader="dot"/>
            </w:tabs>
            <w:rPr/>
          </w:pPr>
          <w:hyperlink w:anchor="__RefHeading___Toc1986564_2749589250">
            <w:r>
              <w:rPr>
                <w:webHidden/>
                <w:rStyle w:val="IndexLink"/>
              </w:rPr>
              <w:t>3</w:t>
            </w:r>
            <w:r>
              <w:rPr>
                <w:rStyle w:val="IndexLink"/>
                <w:rtl w:val="true"/>
              </w:rPr>
              <w:t xml:space="preserve">. </w:t>
            </w:r>
            <w:r>
              <w:rPr>
                <w:rStyle w:val="IndexLink"/>
                <w:rtl w:val="true"/>
              </w:rPr>
              <w:t>استناد به مباحث ادبی</w:t>
            </w:r>
            <w:r>
              <w:rPr>
                <w:rStyle w:val="IndexLink"/>
                <w:rtl w:val="true"/>
              </w:rPr>
              <w:tab/>
            </w:r>
            <w:r>
              <w:rPr>
                <w:rStyle w:val="IndexLink"/>
              </w:rPr>
              <w:t>79</w:t>
            </w:r>
          </w:hyperlink>
        </w:p>
        <w:p>
          <w:pPr>
            <w:pStyle w:val="Contents4"/>
            <w:tabs>
              <w:tab w:val="clear" w:pos="8176"/>
              <w:tab w:val="right" w:pos="9026" w:leader="dot"/>
            </w:tabs>
            <w:rPr/>
          </w:pPr>
          <w:hyperlink w:anchor="__RefHeading___Toc1986566_2749589250">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986568_2749589250">
            <w:r>
              <w:rPr>
                <w:webHidden/>
                <w:rStyle w:val="IndexLink"/>
              </w:rPr>
              <w:t>3</w:t>
            </w:r>
            <w:r>
              <w:rPr>
                <w:rStyle w:val="IndexLink"/>
                <w:rtl w:val="true"/>
              </w:rPr>
              <w:t>ـ</w:t>
            </w:r>
            <w:r>
              <w:rPr>
                <w:rStyle w:val="IndexLink"/>
              </w:rPr>
              <w:t>1</w:t>
            </w:r>
            <w:r>
              <w:rPr>
                <w:rStyle w:val="IndexLink"/>
                <w:rtl w:val="true"/>
              </w:rPr>
              <w:t xml:space="preserve">. </w:t>
            </w:r>
            <w:r>
              <w:rPr>
                <w:rStyle w:val="IndexLink"/>
                <w:rtl w:val="true"/>
              </w:rPr>
              <w:t>خلاف ظاهر بودن اطلاق جمع و ارادۀ واحد</w:t>
            </w:r>
            <w:r>
              <w:rPr>
                <w:rStyle w:val="IndexLink"/>
                <w:rtl w:val="true"/>
              </w:rPr>
              <w:tab/>
            </w:r>
            <w:r>
              <w:rPr>
                <w:rStyle w:val="IndexLink"/>
              </w:rPr>
              <w:t>80</w:t>
            </w:r>
          </w:hyperlink>
        </w:p>
        <w:p>
          <w:pPr>
            <w:pStyle w:val="Contents5"/>
            <w:tabs>
              <w:tab w:val="clear" w:pos="7892"/>
              <w:tab w:val="right" w:pos="9026" w:leader="dot"/>
            </w:tabs>
            <w:rPr/>
          </w:pPr>
          <w:hyperlink w:anchor="__RefHeading___Toc1986570_2749589250">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1986572_2749589250">
            <w:r>
              <w:rPr>
                <w:webHidden/>
                <w:rStyle w:val="IndexLink"/>
                <w:rtl w:val="true"/>
              </w:rPr>
              <w:t>نقد و بررسی</w:t>
            </w:r>
            <w:r>
              <w:rPr>
                <w:rStyle w:val="IndexLink"/>
                <w:rtl w:val="true"/>
              </w:rPr>
              <w:tab/>
            </w:r>
            <w:r>
              <w:rPr>
                <w:rStyle w:val="IndexLink"/>
              </w:rPr>
              <w:t>80</w:t>
            </w:r>
          </w:hyperlink>
        </w:p>
        <w:p>
          <w:pPr>
            <w:pStyle w:val="Contents6"/>
            <w:tabs>
              <w:tab w:val="clear" w:pos="7609"/>
              <w:tab w:val="right" w:pos="9026" w:leader="dot"/>
            </w:tabs>
            <w:rPr/>
          </w:pPr>
          <w:hyperlink w:anchor="__RefHeading___Toc1986574_2749589250">
            <w:r>
              <w:rPr>
                <w:webHidden/>
                <w:rStyle w:val="IndexLink"/>
                <w:rtl w:val="true"/>
              </w:rPr>
              <w:t>الف</w:t>
            </w:r>
            <w:r>
              <w:rPr>
                <w:rStyle w:val="IndexLink"/>
                <w:rtl w:val="true"/>
              </w:rPr>
              <w:tab/>
            </w:r>
            <w:r>
              <w:rPr>
                <w:rStyle w:val="IndexLink"/>
              </w:rPr>
              <w:t>80</w:t>
            </w:r>
          </w:hyperlink>
        </w:p>
        <w:p>
          <w:pPr>
            <w:pStyle w:val="Contents6"/>
            <w:tabs>
              <w:tab w:val="clear" w:pos="7609"/>
              <w:tab w:val="right" w:pos="9026" w:leader="dot"/>
            </w:tabs>
            <w:rPr/>
          </w:pPr>
          <w:hyperlink w:anchor="__RefHeading___Toc1986576_2749589250">
            <w:r>
              <w:rPr>
                <w:webHidden/>
                <w:rStyle w:val="IndexLink"/>
                <w:rtl w:val="true"/>
              </w:rPr>
              <w:t>ب</w:t>
            </w:r>
            <w:r>
              <w:rPr>
                <w:rStyle w:val="IndexLink"/>
                <w:rtl w:val="true"/>
              </w:rPr>
              <w:tab/>
            </w:r>
            <w:r>
              <w:rPr>
                <w:rStyle w:val="IndexLink"/>
              </w:rPr>
              <w:t>81</w:t>
            </w:r>
          </w:hyperlink>
        </w:p>
        <w:p>
          <w:pPr>
            <w:pStyle w:val="Contents6"/>
            <w:tabs>
              <w:tab w:val="clear" w:pos="7609"/>
              <w:tab w:val="right" w:pos="9026" w:leader="dot"/>
            </w:tabs>
            <w:rPr/>
          </w:pPr>
          <w:hyperlink w:anchor="__RefHeading___Toc1986578_2749589250">
            <w:r>
              <w:rPr>
                <w:webHidden/>
                <w:rStyle w:val="IndexLink"/>
                <w:rtl w:val="true"/>
              </w:rPr>
              <w:t>ج</w:t>
            </w:r>
            <w:r>
              <w:rPr>
                <w:rStyle w:val="IndexLink"/>
                <w:rtl w:val="true"/>
              </w:rPr>
              <w:tab/>
            </w:r>
            <w:r>
              <w:rPr>
                <w:rStyle w:val="IndexLink"/>
              </w:rPr>
              <w:t>81</w:t>
            </w:r>
          </w:hyperlink>
        </w:p>
        <w:p>
          <w:pPr>
            <w:pStyle w:val="Contents6"/>
            <w:tabs>
              <w:tab w:val="clear" w:pos="7609"/>
              <w:tab w:val="right" w:pos="9026" w:leader="dot"/>
            </w:tabs>
            <w:rPr/>
          </w:pPr>
          <w:hyperlink w:anchor="__RefHeading___Toc1986580_2749589250">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1986582_2749589250">
            <w:r>
              <w:rPr>
                <w:webHidden/>
                <w:rStyle w:val="IndexLink"/>
              </w:rPr>
              <w:t>1</w:t>
            </w:r>
            <w:r>
              <w:rPr>
                <w:rStyle w:val="IndexLink"/>
                <w:rtl w:val="true"/>
              </w:rPr>
              <w:tab/>
            </w:r>
            <w:r>
              <w:rPr>
                <w:rStyle w:val="IndexLink"/>
              </w:rPr>
              <w:t>81</w:t>
            </w:r>
          </w:hyperlink>
        </w:p>
        <w:p>
          <w:pPr>
            <w:pStyle w:val="Contents6"/>
            <w:tabs>
              <w:tab w:val="clear" w:pos="7609"/>
              <w:tab w:val="right" w:pos="9026" w:leader="dot"/>
            </w:tabs>
            <w:rPr/>
          </w:pPr>
          <w:hyperlink w:anchor="__RefHeading___Toc1986584_2749589250">
            <w:r>
              <w:rPr>
                <w:webHidden/>
                <w:rStyle w:val="IndexLink"/>
              </w:rPr>
              <w:t>2</w:t>
            </w:r>
            <w:r>
              <w:rPr>
                <w:rStyle w:val="IndexLink"/>
                <w:rtl w:val="true"/>
              </w:rPr>
              <w:tab/>
            </w:r>
            <w:r>
              <w:rPr>
                <w:rStyle w:val="IndexLink"/>
              </w:rPr>
              <w:t>81</w:t>
            </w:r>
          </w:hyperlink>
        </w:p>
        <w:p>
          <w:pPr>
            <w:pStyle w:val="Contents6"/>
            <w:tabs>
              <w:tab w:val="clear" w:pos="7609"/>
              <w:tab w:val="right" w:pos="9026" w:leader="dot"/>
            </w:tabs>
            <w:rPr/>
          </w:pPr>
          <w:hyperlink w:anchor="__RefHeading___Toc1986586_2749589250">
            <w:r>
              <w:rPr>
                <w:webHidden/>
                <w:rStyle w:val="IndexLink"/>
                <w:rtl w:val="true"/>
              </w:rPr>
              <w:t>د</w:t>
            </w:r>
            <w:r>
              <w:rPr>
                <w:rStyle w:val="IndexLink"/>
                <w:rtl w:val="true"/>
              </w:rPr>
              <w:tab/>
            </w:r>
            <w:r>
              <w:rPr>
                <w:rStyle w:val="IndexLink"/>
              </w:rPr>
              <w:t>81</w:t>
            </w:r>
          </w:hyperlink>
        </w:p>
        <w:p>
          <w:pPr>
            <w:pStyle w:val="Contents4"/>
            <w:tabs>
              <w:tab w:val="clear" w:pos="8176"/>
              <w:tab w:val="right" w:pos="9026" w:leader="dot"/>
            </w:tabs>
            <w:rPr/>
          </w:pPr>
          <w:hyperlink w:anchor="__RefHeading___Toc1986588_2749589250">
            <w:r>
              <w:rPr>
                <w:webHidden/>
                <w:rStyle w:val="IndexLink"/>
              </w:rPr>
              <w:t>3</w:t>
            </w:r>
            <w:r>
              <w:rPr>
                <w:rStyle w:val="IndexLink"/>
                <w:rtl w:val="true"/>
              </w:rPr>
              <w:t>ـ</w:t>
            </w:r>
            <w:r>
              <w:rPr>
                <w:rStyle w:val="IndexLink"/>
              </w:rPr>
              <w:t>2</w:t>
            </w:r>
            <w:r>
              <w:rPr>
                <w:rStyle w:val="IndexLink"/>
                <w:rtl w:val="true"/>
              </w:rPr>
              <w:t xml:space="preserve">. </w:t>
            </w:r>
            <w:r>
              <w:rPr>
                <w:rStyle w:val="IndexLink"/>
                <w:rtl w:val="true"/>
              </w:rPr>
              <w:t>اشکال در معنای واژگان</w:t>
            </w:r>
            <w:r>
              <w:rPr>
                <w:rStyle w:val="IndexLink"/>
                <w:rtl w:val="true"/>
              </w:rPr>
              <w:tab/>
            </w:r>
            <w:r>
              <w:rPr>
                <w:rStyle w:val="IndexLink"/>
              </w:rPr>
              <w:t>81</w:t>
            </w:r>
          </w:hyperlink>
        </w:p>
        <w:p>
          <w:pPr>
            <w:pStyle w:val="Contents5"/>
            <w:tabs>
              <w:tab w:val="clear" w:pos="7892"/>
              <w:tab w:val="right" w:pos="9026" w:leader="dot"/>
            </w:tabs>
            <w:rPr/>
          </w:pPr>
          <w:hyperlink w:anchor="__RefHeading___Toc1986590_2749589250">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1986592_2749589250">
            <w:r>
              <w:rPr>
                <w:webHidden/>
                <w:rStyle w:val="IndexLink"/>
                <w:rtl w:val="true"/>
              </w:rPr>
              <w:t>نقد و بررسی</w:t>
            </w:r>
            <w:r>
              <w:rPr>
                <w:rStyle w:val="IndexLink"/>
                <w:rtl w:val="true"/>
              </w:rPr>
              <w:tab/>
            </w:r>
            <w:r>
              <w:rPr>
                <w:rStyle w:val="IndexLink"/>
              </w:rPr>
              <w:t>82</w:t>
            </w:r>
          </w:hyperlink>
        </w:p>
        <w:p>
          <w:pPr>
            <w:pStyle w:val="Contents6"/>
            <w:tabs>
              <w:tab w:val="clear" w:pos="7609"/>
              <w:tab w:val="right" w:pos="9026" w:leader="dot"/>
            </w:tabs>
            <w:rPr/>
          </w:pPr>
          <w:hyperlink w:anchor="__RefHeading___Toc1986594_2749589250">
            <w:r>
              <w:rPr>
                <w:webHidden/>
                <w:rStyle w:val="IndexLink"/>
              </w:rPr>
              <w:t>1</w:t>
            </w:r>
            <w:r>
              <w:rPr>
                <w:rStyle w:val="IndexLink"/>
                <w:rtl w:val="true"/>
              </w:rPr>
              <w:tab/>
            </w:r>
            <w:r>
              <w:rPr>
                <w:rStyle w:val="IndexLink"/>
              </w:rPr>
              <w:t>82</w:t>
            </w:r>
          </w:hyperlink>
        </w:p>
        <w:p>
          <w:pPr>
            <w:pStyle w:val="Contents6"/>
            <w:tabs>
              <w:tab w:val="clear" w:pos="7609"/>
              <w:tab w:val="right" w:pos="9026" w:leader="dot"/>
            </w:tabs>
            <w:rPr/>
          </w:pPr>
          <w:hyperlink w:anchor="__RefHeading___Toc1986596_2749589250">
            <w:r>
              <w:rPr>
                <w:webHidden/>
                <w:rStyle w:val="IndexLink"/>
              </w:rPr>
              <w:t>2</w:t>
            </w:r>
            <w:r>
              <w:rPr>
                <w:rStyle w:val="IndexLink"/>
                <w:rtl w:val="true"/>
              </w:rPr>
              <w:tab/>
            </w:r>
            <w:r>
              <w:rPr>
                <w:rStyle w:val="IndexLink"/>
              </w:rPr>
              <w:t>82</w:t>
            </w:r>
          </w:hyperlink>
        </w:p>
        <w:p>
          <w:pPr>
            <w:pStyle w:val="Contents6"/>
            <w:tabs>
              <w:tab w:val="clear" w:pos="7609"/>
              <w:tab w:val="right" w:pos="9026" w:leader="dot"/>
            </w:tabs>
            <w:rPr/>
          </w:pPr>
          <w:hyperlink w:anchor="__RefHeading___Toc1986598_2749589250">
            <w:r>
              <w:rPr>
                <w:webHidden/>
                <w:rStyle w:val="IndexLink"/>
                <w:rtl w:val="true"/>
              </w:rPr>
              <w:t>اشاره</w:t>
            </w:r>
            <w:r>
              <w:rPr>
                <w:rStyle w:val="IndexLink"/>
                <w:rtl w:val="true"/>
              </w:rPr>
              <w:tab/>
            </w:r>
            <w:r>
              <w:rPr>
                <w:rStyle w:val="IndexLink"/>
              </w:rPr>
              <w:t>82</w:t>
            </w:r>
          </w:hyperlink>
        </w:p>
        <w:p>
          <w:pPr>
            <w:pStyle w:val="Contents6"/>
            <w:tabs>
              <w:tab w:val="clear" w:pos="7609"/>
              <w:tab w:val="right" w:pos="9026" w:leader="dot"/>
            </w:tabs>
            <w:rPr/>
          </w:pPr>
          <w:hyperlink w:anchor="__RefHeading___Toc1986600_2749589250">
            <w:r>
              <w:rPr>
                <w:webHidden/>
                <w:rStyle w:val="IndexLink"/>
              </w:rPr>
              <w:t>1</w:t>
            </w:r>
            <w:r>
              <w:rPr>
                <w:rStyle w:val="IndexLink"/>
                <w:rtl w:val="true"/>
              </w:rPr>
              <w:tab/>
            </w:r>
            <w:r>
              <w:rPr>
                <w:rStyle w:val="IndexLink"/>
              </w:rPr>
              <w:t>82</w:t>
            </w:r>
          </w:hyperlink>
        </w:p>
        <w:p>
          <w:pPr>
            <w:pStyle w:val="Contents6"/>
            <w:tabs>
              <w:tab w:val="clear" w:pos="7609"/>
              <w:tab w:val="right" w:pos="9026" w:leader="dot"/>
            </w:tabs>
            <w:rPr/>
          </w:pPr>
          <w:hyperlink w:anchor="__RefHeading___Toc1986602_2749589250">
            <w:r>
              <w:rPr>
                <w:webHidden/>
                <w:rStyle w:val="IndexLink"/>
              </w:rPr>
              <w:t>2</w:t>
            </w:r>
            <w:r>
              <w:rPr>
                <w:rStyle w:val="IndexLink"/>
                <w:rtl w:val="true"/>
              </w:rPr>
              <w:tab/>
            </w:r>
            <w:r>
              <w:rPr>
                <w:rStyle w:val="IndexLink"/>
              </w:rPr>
              <w:t>82</w:t>
            </w:r>
          </w:hyperlink>
        </w:p>
        <w:p>
          <w:pPr>
            <w:pStyle w:val="Contents6"/>
            <w:tabs>
              <w:tab w:val="clear" w:pos="7609"/>
              <w:tab w:val="right" w:pos="9026" w:leader="dot"/>
            </w:tabs>
            <w:rPr/>
          </w:pPr>
          <w:hyperlink w:anchor="__RefHeading___Toc1986604_2749589250">
            <w:r>
              <w:rPr>
                <w:webHidden/>
                <w:rStyle w:val="IndexLink"/>
              </w:rPr>
              <w:t>3</w:t>
            </w:r>
            <w:r>
              <w:rPr>
                <w:rStyle w:val="IndexLink"/>
                <w:rtl w:val="true"/>
              </w:rPr>
              <w:tab/>
            </w:r>
            <w:r>
              <w:rPr>
                <w:rStyle w:val="IndexLink"/>
              </w:rPr>
              <w:t>83</w:t>
            </w:r>
          </w:hyperlink>
        </w:p>
        <w:p>
          <w:pPr>
            <w:pStyle w:val="Contents4"/>
            <w:tabs>
              <w:tab w:val="clear" w:pos="8176"/>
              <w:tab w:val="right" w:pos="9026" w:leader="dot"/>
            </w:tabs>
            <w:rPr/>
          </w:pPr>
          <w:hyperlink w:anchor="__RefHeading___Toc1986606_2749589250">
            <w:r>
              <w:rPr>
                <w:webHidden/>
                <w:rStyle w:val="IndexLink"/>
              </w:rPr>
              <w:t>3-3</w:t>
            </w:r>
            <w:r>
              <w:rPr>
                <w:rStyle w:val="IndexLink"/>
                <w:rtl w:val="true"/>
              </w:rPr>
              <w:t xml:space="preserve">. </w:t>
            </w:r>
            <w:r>
              <w:rPr>
                <w:rStyle w:val="IndexLink"/>
                <w:rtl w:val="true"/>
              </w:rPr>
              <w:t xml:space="preserve">عدم دلالت </w:t>
            </w:r>
            <w:r>
              <w:rPr>
                <w:rStyle w:val="IndexLink"/>
                <w:rtl w:val="true"/>
              </w:rPr>
              <w:t>«</w:t>
            </w:r>
            <w:r>
              <w:rPr>
                <w:rStyle w:val="IndexLink"/>
                <w:rtl w:val="true"/>
              </w:rPr>
              <w:t>إنما</w:t>
            </w:r>
            <w:r>
              <w:rPr>
                <w:rStyle w:val="IndexLink"/>
                <w:rtl w:val="true"/>
              </w:rPr>
              <w:t xml:space="preserve">» </w:t>
            </w:r>
            <w:r>
              <w:rPr>
                <w:rStyle w:val="IndexLink"/>
                <w:rtl w:val="true"/>
              </w:rPr>
              <w:t>بر حصر</w:t>
            </w:r>
            <w:r>
              <w:rPr>
                <w:rStyle w:val="IndexLink"/>
                <w:rtl w:val="true"/>
              </w:rPr>
              <w:tab/>
            </w:r>
            <w:r>
              <w:rPr>
                <w:rStyle w:val="IndexLink"/>
              </w:rPr>
              <w:t>84</w:t>
            </w:r>
          </w:hyperlink>
        </w:p>
        <w:p>
          <w:pPr>
            <w:pStyle w:val="Contents5"/>
            <w:tabs>
              <w:tab w:val="clear" w:pos="7892"/>
              <w:tab w:val="right" w:pos="9026" w:leader="dot"/>
            </w:tabs>
            <w:rPr/>
          </w:pPr>
          <w:hyperlink w:anchor="__RefHeading___Toc1986608_2749589250">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1986610_2749589250">
            <w:r>
              <w:rPr>
                <w:webHidden/>
                <w:rStyle w:val="IndexLink"/>
                <w:rtl w:val="true"/>
              </w:rPr>
              <w:t>نقد و بررسی</w:t>
            </w:r>
            <w:r>
              <w:rPr>
                <w:rStyle w:val="IndexLink"/>
                <w:rtl w:val="true"/>
              </w:rPr>
              <w:tab/>
            </w:r>
            <w:r>
              <w:rPr>
                <w:rStyle w:val="IndexLink"/>
              </w:rPr>
              <w:t>84</w:t>
            </w:r>
          </w:hyperlink>
        </w:p>
        <w:p>
          <w:pPr>
            <w:pStyle w:val="Contents6"/>
            <w:tabs>
              <w:tab w:val="clear" w:pos="7609"/>
              <w:tab w:val="right" w:pos="9026" w:leader="dot"/>
            </w:tabs>
            <w:rPr/>
          </w:pPr>
          <w:hyperlink w:anchor="__RefHeading___Toc1986612_2749589250">
            <w:r>
              <w:rPr>
                <w:webHidden/>
                <w:rStyle w:val="IndexLink"/>
              </w:rPr>
              <w:t>1</w:t>
            </w:r>
            <w:r>
              <w:rPr>
                <w:rStyle w:val="IndexLink"/>
                <w:rtl w:val="true"/>
              </w:rPr>
              <w:tab/>
            </w:r>
            <w:r>
              <w:rPr>
                <w:rStyle w:val="IndexLink"/>
              </w:rPr>
              <w:t>84</w:t>
            </w:r>
          </w:hyperlink>
        </w:p>
        <w:p>
          <w:pPr>
            <w:pStyle w:val="Contents6"/>
            <w:tabs>
              <w:tab w:val="clear" w:pos="7609"/>
              <w:tab w:val="right" w:pos="9026" w:leader="dot"/>
            </w:tabs>
            <w:rPr/>
          </w:pPr>
          <w:hyperlink w:anchor="__RefHeading___Toc1986614_2749589250">
            <w:r>
              <w:rPr>
                <w:webHidden/>
                <w:rStyle w:val="IndexLink"/>
              </w:rPr>
              <w:t>2</w:t>
            </w:r>
            <w:r>
              <w:rPr>
                <w:rStyle w:val="IndexLink"/>
                <w:rtl w:val="true"/>
              </w:rPr>
              <w:tab/>
            </w:r>
            <w:r>
              <w:rPr>
                <w:rStyle w:val="IndexLink"/>
              </w:rPr>
              <w:t>85</w:t>
            </w:r>
          </w:hyperlink>
        </w:p>
        <w:p>
          <w:pPr>
            <w:pStyle w:val="Contents4"/>
            <w:tabs>
              <w:tab w:val="clear" w:pos="8176"/>
              <w:tab w:val="right" w:pos="9026" w:leader="dot"/>
            </w:tabs>
            <w:rPr/>
          </w:pPr>
          <w:hyperlink w:anchor="__RefHeading___Toc1986616_2749589250">
            <w:r>
              <w:rPr>
                <w:webHidden/>
                <w:rStyle w:val="IndexLink"/>
              </w:rPr>
              <w:t>4-3</w:t>
            </w:r>
            <w:r>
              <w:rPr>
                <w:rStyle w:val="IndexLink"/>
                <w:rtl w:val="true"/>
              </w:rPr>
              <w:t xml:space="preserve">. </w:t>
            </w:r>
            <w:r>
              <w:rPr>
                <w:rStyle w:val="IndexLink"/>
                <w:rtl w:val="true"/>
              </w:rPr>
              <w:t>اهانت به مخالفان</w:t>
            </w:r>
            <w:r>
              <w:rPr>
                <w:rStyle w:val="IndexLink"/>
                <w:rtl w:val="true"/>
              </w:rPr>
              <w:tab/>
            </w:r>
            <w:r>
              <w:rPr>
                <w:rStyle w:val="IndexLink"/>
              </w:rPr>
              <w:t>85</w:t>
            </w:r>
          </w:hyperlink>
        </w:p>
        <w:p>
          <w:pPr>
            <w:pStyle w:val="Contents5"/>
            <w:tabs>
              <w:tab w:val="clear" w:pos="7892"/>
              <w:tab w:val="right" w:pos="9026" w:leader="dot"/>
            </w:tabs>
            <w:rPr/>
          </w:pPr>
          <w:hyperlink w:anchor="__RefHeading___Toc1986618_2749589250">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1986620_2749589250">
            <w:r>
              <w:rPr>
                <w:webHidden/>
                <w:rStyle w:val="IndexLink"/>
                <w:rtl w:val="true"/>
              </w:rPr>
              <w:t>نقد و بررسی</w:t>
            </w:r>
            <w:r>
              <w:rPr>
                <w:rStyle w:val="IndexLink"/>
                <w:rtl w:val="true"/>
              </w:rPr>
              <w:tab/>
            </w:r>
            <w:r>
              <w:rPr>
                <w:rStyle w:val="IndexLink"/>
              </w:rPr>
              <w:t>86</w:t>
            </w:r>
          </w:hyperlink>
        </w:p>
        <w:p>
          <w:pPr>
            <w:pStyle w:val="Contents6"/>
            <w:tabs>
              <w:tab w:val="clear" w:pos="7609"/>
              <w:tab w:val="right" w:pos="9026" w:leader="dot"/>
            </w:tabs>
            <w:rPr/>
          </w:pPr>
          <w:hyperlink w:anchor="__RefHeading___Toc1986622_2749589250">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1986624_2749589250">
            <w:r>
              <w:rPr>
                <w:webHidden/>
                <w:rStyle w:val="IndexLink"/>
                <w:rtl w:val="true"/>
              </w:rPr>
              <w:t>الف</w:t>
            </w:r>
            <w:r>
              <w:rPr>
                <w:rStyle w:val="IndexLink"/>
                <w:rtl w:val="true"/>
              </w:rPr>
              <w:t xml:space="preserve">. </w:t>
            </w:r>
            <w:r>
              <w:rPr>
                <w:rStyle w:val="IndexLink"/>
                <w:rtl w:val="true"/>
              </w:rPr>
              <w:t>بررسی شیوۀ برخورد پیامبر اکرم و اهل‌بیت</w:t>
            </w:r>
            <w:r>
              <w:rPr>
                <w:rStyle w:val="IndexLink"/>
              </w:rPr>
              <w:t></w:t>
            </w:r>
            <w:r>
              <w:rPr>
                <w:rStyle w:val="IndexLink"/>
                <w:rtl w:val="true"/>
              </w:rPr>
              <w:t xml:space="preserve"> در برابر مخالفان</w:t>
            </w:r>
            <w:r>
              <w:rPr>
                <w:rStyle w:val="IndexLink"/>
                <w:rtl w:val="true"/>
              </w:rPr>
              <w:tab/>
            </w:r>
            <w:r>
              <w:rPr>
                <w:rStyle w:val="IndexLink"/>
              </w:rPr>
              <w:t>86</w:t>
            </w:r>
          </w:hyperlink>
        </w:p>
        <w:p>
          <w:pPr>
            <w:pStyle w:val="Contents6"/>
            <w:tabs>
              <w:tab w:val="clear" w:pos="7609"/>
              <w:tab w:val="right" w:pos="9026" w:leader="dot"/>
            </w:tabs>
            <w:rPr/>
          </w:pPr>
          <w:hyperlink w:anchor="__RefHeading___Toc1986626_2749589250">
            <w:r>
              <w:rPr>
                <w:webHidden/>
                <w:rStyle w:val="IndexLink"/>
                <w:rtl w:val="true"/>
              </w:rPr>
              <w:t>ب</w:t>
            </w:r>
            <w:r>
              <w:rPr>
                <w:rStyle w:val="IndexLink"/>
                <w:rtl w:val="true"/>
              </w:rPr>
              <w:t xml:space="preserve">. </w:t>
            </w:r>
            <w:r>
              <w:rPr>
                <w:rStyle w:val="IndexLink"/>
                <w:rtl w:val="true"/>
              </w:rPr>
              <w:t>شیوۀ برخورد علمای برجستۀ شیعه با مخالفان</w:t>
            </w:r>
            <w:r>
              <w:rPr>
                <w:rStyle w:val="IndexLink"/>
                <w:rtl w:val="true"/>
              </w:rPr>
              <w:tab/>
            </w:r>
            <w:r>
              <w:rPr>
                <w:rStyle w:val="IndexLink"/>
              </w:rPr>
              <w:t>86</w:t>
            </w:r>
          </w:hyperlink>
        </w:p>
        <w:p>
          <w:pPr>
            <w:pStyle w:val="Contents4"/>
            <w:tabs>
              <w:tab w:val="clear" w:pos="8176"/>
              <w:tab w:val="right" w:pos="9026" w:leader="dot"/>
            </w:tabs>
            <w:rPr/>
          </w:pPr>
          <w:hyperlink w:anchor="__RefHeading___Toc1986628_2749589250">
            <w:r>
              <w:rPr>
                <w:webHidden/>
                <w:rStyle w:val="IndexLink"/>
              </w:rPr>
              <w:t>5-3</w:t>
            </w:r>
            <w:r>
              <w:rPr>
                <w:rStyle w:val="IndexLink"/>
                <w:rtl w:val="true"/>
              </w:rPr>
              <w:t xml:space="preserve">. </w:t>
            </w:r>
            <w:r>
              <w:rPr>
                <w:rStyle w:val="IndexLink"/>
                <w:rtl w:val="true"/>
              </w:rPr>
              <w:t>عدم ذکر شأن نزول</w:t>
            </w:r>
            <w:r>
              <w:rPr>
                <w:rStyle w:val="IndexLink"/>
                <w:rtl w:val="true"/>
              </w:rPr>
              <w:t>¬</w:t>
            </w:r>
            <w:r>
              <w:rPr>
                <w:rStyle w:val="IndexLink"/>
                <w:rtl w:val="true"/>
              </w:rPr>
              <w:t>ها و اقوال مشهور</w:t>
            </w:r>
            <w:r>
              <w:rPr>
                <w:rStyle w:val="IndexLink"/>
                <w:rtl w:val="true"/>
              </w:rPr>
              <w:tab/>
            </w:r>
            <w:r>
              <w:rPr>
                <w:rStyle w:val="IndexLink"/>
              </w:rPr>
              <w:t>87</w:t>
            </w:r>
          </w:hyperlink>
        </w:p>
        <w:p>
          <w:pPr>
            <w:pStyle w:val="Contents4"/>
            <w:tabs>
              <w:tab w:val="clear" w:pos="8176"/>
              <w:tab w:val="right" w:pos="9026" w:leader="dot"/>
            </w:tabs>
            <w:rPr/>
          </w:pPr>
          <w:hyperlink w:anchor="__RefHeading___Toc1986630_2749589250">
            <w:r>
              <w:rPr>
                <w:webHidden/>
                <w:rStyle w:val="IndexLink"/>
              </w:rPr>
              <w:t>6-3</w:t>
            </w:r>
            <w:r>
              <w:rPr>
                <w:rStyle w:val="IndexLink"/>
                <w:rtl w:val="true"/>
              </w:rPr>
              <w:t xml:space="preserve">. </w:t>
            </w:r>
            <w:r>
              <w:rPr>
                <w:rStyle w:val="IndexLink"/>
                <w:rtl w:val="true"/>
              </w:rPr>
              <w:t>غبارآلود کردن فضا و ذکر اقوال پراکنده بدون ترجیح</w:t>
            </w:r>
            <w:r>
              <w:rPr>
                <w:rStyle w:val="IndexLink"/>
                <w:rtl w:val="true"/>
              </w:rPr>
              <w:tab/>
            </w:r>
            <w:r>
              <w:rPr>
                <w:rStyle w:val="IndexLink"/>
              </w:rPr>
              <w:t>88</w:t>
            </w:r>
          </w:hyperlink>
        </w:p>
        <w:p>
          <w:pPr>
            <w:pStyle w:val="Contents3"/>
            <w:tabs>
              <w:tab w:val="clear" w:pos="8459"/>
              <w:tab w:val="right" w:pos="9026" w:leader="dot"/>
            </w:tabs>
            <w:rPr/>
          </w:pPr>
          <w:hyperlink w:anchor="__RefHeading___Toc1986632_2749589250">
            <w:r>
              <w:rPr>
                <w:webHidden/>
                <w:rStyle w:val="IndexLink"/>
                <w:rtl w:val="true"/>
              </w:rPr>
              <w:t>نتیجه‌گیری</w:t>
            </w:r>
            <w:r>
              <w:rPr>
                <w:rStyle w:val="IndexLink"/>
                <w:rtl w:val="true"/>
              </w:rPr>
              <w:tab/>
            </w:r>
            <w:r>
              <w:rPr>
                <w:rStyle w:val="IndexLink"/>
              </w:rPr>
              <w:t>89</w:t>
            </w:r>
          </w:hyperlink>
        </w:p>
        <w:p>
          <w:pPr>
            <w:pStyle w:val="Contents4"/>
            <w:tabs>
              <w:tab w:val="clear" w:pos="8176"/>
              <w:tab w:val="right" w:pos="9026" w:leader="dot"/>
            </w:tabs>
            <w:rPr/>
          </w:pPr>
          <w:hyperlink w:anchor="__RefHeading___Toc1986634_2749589250">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986636_2749589250">
            <w:r>
              <w:rPr>
                <w:webHidden/>
                <w:rStyle w:val="IndexLink"/>
              </w:rPr>
              <w:t>1</w:t>
            </w:r>
            <w:r>
              <w:rPr>
                <w:rStyle w:val="IndexLink"/>
                <w:rtl w:val="true"/>
              </w:rPr>
              <w:tab/>
            </w:r>
            <w:r>
              <w:rPr>
                <w:rStyle w:val="IndexLink"/>
              </w:rPr>
              <w:t>89</w:t>
            </w:r>
          </w:hyperlink>
        </w:p>
        <w:p>
          <w:pPr>
            <w:pStyle w:val="Contents4"/>
            <w:tabs>
              <w:tab w:val="clear" w:pos="8176"/>
              <w:tab w:val="right" w:pos="9026" w:leader="dot"/>
            </w:tabs>
            <w:rPr/>
          </w:pPr>
          <w:hyperlink w:anchor="__RefHeading___Toc1986638_2749589250">
            <w:r>
              <w:rPr>
                <w:webHidden/>
                <w:rStyle w:val="IndexLink"/>
              </w:rPr>
              <w:t>2</w:t>
            </w:r>
            <w:r>
              <w:rPr>
                <w:rStyle w:val="IndexLink"/>
                <w:rtl w:val="true"/>
              </w:rPr>
              <w:tab/>
            </w:r>
            <w:r>
              <w:rPr>
                <w:rStyle w:val="IndexLink"/>
              </w:rPr>
              <w:t>89</w:t>
            </w:r>
          </w:hyperlink>
        </w:p>
        <w:p>
          <w:pPr>
            <w:pStyle w:val="Contents4"/>
            <w:tabs>
              <w:tab w:val="clear" w:pos="8176"/>
              <w:tab w:val="right" w:pos="9026" w:leader="dot"/>
            </w:tabs>
            <w:rPr/>
          </w:pPr>
          <w:hyperlink w:anchor="__RefHeading___Toc1986640_2749589250">
            <w:r>
              <w:rPr>
                <w:webHidden/>
                <w:rStyle w:val="IndexLink"/>
              </w:rPr>
              <w:t>3</w:t>
            </w:r>
            <w:r>
              <w:rPr>
                <w:rStyle w:val="IndexLink"/>
                <w:rtl w:val="true"/>
              </w:rPr>
              <w:tab/>
            </w:r>
            <w:r>
              <w:rPr>
                <w:rStyle w:val="IndexLink"/>
              </w:rPr>
              <w:t>89</w:t>
            </w:r>
          </w:hyperlink>
        </w:p>
        <w:p>
          <w:pPr>
            <w:pStyle w:val="Contents4"/>
            <w:tabs>
              <w:tab w:val="clear" w:pos="8176"/>
              <w:tab w:val="right" w:pos="9026" w:leader="dot"/>
            </w:tabs>
            <w:rPr/>
          </w:pPr>
          <w:hyperlink w:anchor="__RefHeading___Toc1986642_2749589250">
            <w:r>
              <w:rPr>
                <w:webHidden/>
                <w:rStyle w:val="IndexLink"/>
              </w:rPr>
              <w:t>4</w:t>
            </w:r>
            <w:r>
              <w:rPr>
                <w:rStyle w:val="IndexLink"/>
                <w:rtl w:val="true"/>
              </w:rPr>
              <w:tab/>
            </w:r>
            <w:r>
              <w:rPr>
                <w:rStyle w:val="IndexLink"/>
              </w:rPr>
              <w:t>89</w:t>
            </w:r>
          </w:hyperlink>
        </w:p>
        <w:p>
          <w:pPr>
            <w:pStyle w:val="Contents4"/>
            <w:tabs>
              <w:tab w:val="clear" w:pos="8176"/>
              <w:tab w:val="right" w:pos="9026" w:leader="dot"/>
            </w:tabs>
            <w:rPr/>
          </w:pPr>
          <w:hyperlink w:anchor="__RefHeading___Toc1986644_2749589250">
            <w:r>
              <w:rPr>
                <w:webHidden/>
                <w:rStyle w:val="IndexLink"/>
              </w:rPr>
              <w:t>5</w:t>
            </w:r>
            <w:r>
              <w:rPr>
                <w:rStyle w:val="IndexLink"/>
                <w:rtl w:val="true"/>
              </w:rPr>
              <w:tab/>
            </w:r>
            <w:r>
              <w:rPr>
                <w:rStyle w:val="IndexLink"/>
              </w:rPr>
              <w:t>90</w:t>
            </w:r>
          </w:hyperlink>
        </w:p>
        <w:p>
          <w:pPr>
            <w:pStyle w:val="Contents3"/>
            <w:tabs>
              <w:tab w:val="clear" w:pos="8459"/>
              <w:tab w:val="right" w:pos="9026" w:leader="dot"/>
            </w:tabs>
            <w:rPr/>
          </w:pPr>
          <w:hyperlink w:anchor="__RefHeading___Toc1986646_2749589250">
            <w:r>
              <w:rPr>
                <w:webHidden/>
                <w:rStyle w:val="IndexLink"/>
                <w:rtl w:val="true"/>
              </w:rPr>
              <w:t>منابع</w:t>
            </w:r>
            <w:r>
              <w:rPr>
                <w:rStyle w:val="IndexLink"/>
                <w:rtl w:val="true"/>
              </w:rPr>
              <w:tab/>
            </w:r>
            <w:r>
              <w:rPr>
                <w:rStyle w:val="IndexLink"/>
              </w:rPr>
              <w:t>90</w:t>
            </w:r>
          </w:hyperlink>
        </w:p>
        <w:p>
          <w:pPr>
            <w:pStyle w:val="Contents2"/>
            <w:tabs>
              <w:tab w:val="clear" w:pos="8743"/>
              <w:tab w:val="right" w:pos="9026" w:leader="dot"/>
            </w:tabs>
            <w:rPr/>
          </w:pPr>
          <w:hyperlink w:anchor="__RefHeading___Toc1986648_2749589250">
            <w:r>
              <w:rPr>
                <w:webHidden/>
                <w:rStyle w:val="IndexLink"/>
                <w:rtl w:val="true"/>
              </w:rPr>
              <w:t xml:space="preserve">بررسی جایگاه </w:t>
            </w:r>
            <w:r>
              <w:rPr>
                <w:rStyle w:val="IndexLink"/>
                <w:rtl w:val="true"/>
              </w:rPr>
              <w:t>«</w:t>
            </w:r>
            <w:r>
              <w:rPr>
                <w:rStyle w:val="IndexLink"/>
                <w:rtl w:val="true"/>
              </w:rPr>
              <w:t>نظر و تفکر</w:t>
            </w:r>
            <w:r>
              <w:rPr>
                <w:rStyle w:val="IndexLink"/>
                <w:rtl w:val="true"/>
              </w:rPr>
              <w:t xml:space="preserve">» </w:t>
            </w:r>
            <w:r>
              <w:rPr>
                <w:rStyle w:val="IndexLink"/>
                <w:rtl w:val="true"/>
              </w:rPr>
              <w:t xml:space="preserve">نزد قاضی عبدالجبار </w:t>
            </w:r>
            <w:r>
              <w:rPr>
                <w:rStyle w:val="IndexLink"/>
                <w:rtl w:val="true"/>
              </w:rPr>
              <w:t>/</w:t>
            </w:r>
            <w:r>
              <w:rPr>
                <w:rStyle w:val="IndexLink"/>
                <w:rtl w:val="true"/>
              </w:rPr>
              <w:t>محمد بیدهندی ، حسین سلطانی</w:t>
            </w:r>
            <w:r>
              <w:rPr>
                <w:rStyle w:val="IndexLink"/>
                <w:rtl w:val="true"/>
              </w:rPr>
              <w:tab/>
            </w:r>
            <w:r>
              <w:rPr>
                <w:rStyle w:val="IndexLink"/>
              </w:rPr>
              <w:t>94</w:t>
            </w:r>
          </w:hyperlink>
        </w:p>
        <w:p>
          <w:pPr>
            <w:pStyle w:val="Contents3"/>
            <w:tabs>
              <w:tab w:val="clear" w:pos="8459"/>
              <w:tab w:val="right" w:pos="9026" w:leader="dot"/>
            </w:tabs>
            <w:rPr/>
          </w:pPr>
          <w:hyperlink w:anchor="__RefHeading___Toc1986650_274958925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1986652_2749589250">
            <w:r>
              <w:rPr>
                <w:webHidden/>
                <w:rStyle w:val="IndexLink"/>
                <w:rtl w:val="true"/>
              </w:rPr>
              <w:t>چکیده</w:t>
            </w:r>
            <w:r>
              <w:rPr>
                <w:rStyle w:val="IndexLink"/>
                <w:rtl w:val="true"/>
              </w:rPr>
              <w:tab/>
            </w:r>
            <w:r>
              <w:rPr>
                <w:rStyle w:val="IndexLink"/>
              </w:rPr>
              <w:t>94</w:t>
            </w:r>
          </w:hyperlink>
        </w:p>
        <w:p>
          <w:pPr>
            <w:pStyle w:val="Contents3"/>
            <w:tabs>
              <w:tab w:val="clear" w:pos="8459"/>
              <w:tab w:val="right" w:pos="9026" w:leader="dot"/>
            </w:tabs>
            <w:rPr/>
          </w:pPr>
          <w:hyperlink w:anchor="__RefHeading___Toc1986654_2749589250">
            <w:r>
              <w:rPr>
                <w:webHidden/>
                <w:rStyle w:val="IndexLink"/>
                <w:rtl w:val="true"/>
              </w:rPr>
              <w:t>واژگان کلیدی</w:t>
            </w:r>
            <w:r>
              <w:rPr>
                <w:rStyle w:val="IndexLink"/>
                <w:rtl w:val="true"/>
              </w:rPr>
              <w:tab/>
            </w:r>
            <w:r>
              <w:rPr>
                <w:rStyle w:val="IndexLink"/>
              </w:rPr>
              <w:t>94</w:t>
            </w:r>
          </w:hyperlink>
        </w:p>
        <w:p>
          <w:pPr>
            <w:pStyle w:val="Contents3"/>
            <w:tabs>
              <w:tab w:val="clear" w:pos="8459"/>
              <w:tab w:val="right" w:pos="9026" w:leader="dot"/>
            </w:tabs>
            <w:rPr/>
          </w:pPr>
          <w:hyperlink w:anchor="__RefHeading___Toc1986656_2749589250">
            <w:r>
              <w:rPr>
                <w:webHidden/>
                <w:rStyle w:val="IndexLink"/>
                <w:rtl w:val="true"/>
              </w:rPr>
              <w:t>مقدمه</w:t>
            </w:r>
            <w:r>
              <w:rPr>
                <w:rStyle w:val="IndexLink"/>
                <w:rtl w:val="true"/>
              </w:rPr>
              <w:tab/>
            </w:r>
            <w:r>
              <w:rPr>
                <w:rStyle w:val="IndexLink"/>
              </w:rPr>
              <w:t>95</w:t>
            </w:r>
          </w:hyperlink>
        </w:p>
        <w:p>
          <w:pPr>
            <w:pStyle w:val="Contents3"/>
            <w:tabs>
              <w:tab w:val="clear" w:pos="8459"/>
              <w:tab w:val="right" w:pos="9026" w:leader="dot"/>
            </w:tabs>
            <w:rPr/>
          </w:pPr>
          <w:hyperlink w:anchor="__RefHeading___Toc1986658_2749589250">
            <w:r>
              <w:rPr>
                <w:webHidden/>
                <w:rStyle w:val="IndexLink"/>
              </w:rPr>
              <w:t>1</w:t>
            </w:r>
            <w:r>
              <w:rPr>
                <w:rStyle w:val="IndexLink"/>
                <w:rtl w:val="true"/>
              </w:rPr>
              <w:t xml:space="preserve">. </w:t>
            </w:r>
            <w:r>
              <w:rPr>
                <w:rStyle w:val="IndexLink"/>
                <w:rtl w:val="true"/>
              </w:rPr>
              <w:t>فکر و نظر</w:t>
            </w:r>
            <w:r>
              <w:rPr>
                <w:rStyle w:val="IndexLink"/>
                <w:rtl w:val="true"/>
              </w:rPr>
              <w:tab/>
            </w:r>
            <w:r>
              <w:rPr>
                <w:rStyle w:val="IndexLink"/>
              </w:rPr>
              <w:t>96</w:t>
            </w:r>
          </w:hyperlink>
        </w:p>
        <w:p>
          <w:pPr>
            <w:pStyle w:val="Contents3"/>
            <w:tabs>
              <w:tab w:val="clear" w:pos="8459"/>
              <w:tab w:val="right" w:pos="9026" w:leader="dot"/>
            </w:tabs>
            <w:rPr/>
          </w:pPr>
          <w:hyperlink w:anchor="__RefHeading___Toc1986660_2749589250">
            <w:r>
              <w:rPr>
                <w:webHidden/>
                <w:rStyle w:val="IndexLink"/>
              </w:rPr>
              <w:t>2</w:t>
            </w:r>
            <w:r>
              <w:rPr>
                <w:rStyle w:val="IndexLink"/>
                <w:rtl w:val="true"/>
              </w:rPr>
              <w:t xml:space="preserve">. </w:t>
            </w:r>
            <w:r>
              <w:rPr>
                <w:rStyle w:val="IndexLink"/>
                <w:rtl w:val="true"/>
              </w:rPr>
              <w:t>علم و معرفت</w:t>
            </w:r>
            <w:r>
              <w:rPr>
                <w:rStyle w:val="IndexLink"/>
                <w:rtl w:val="true"/>
              </w:rPr>
              <w:tab/>
            </w:r>
            <w:r>
              <w:rPr>
                <w:rStyle w:val="IndexLink"/>
              </w:rPr>
              <w:t>98</w:t>
            </w:r>
          </w:hyperlink>
        </w:p>
        <w:p>
          <w:pPr>
            <w:pStyle w:val="Contents3"/>
            <w:tabs>
              <w:tab w:val="clear" w:pos="8459"/>
              <w:tab w:val="right" w:pos="9026" w:leader="dot"/>
            </w:tabs>
            <w:rPr/>
          </w:pPr>
          <w:hyperlink w:anchor="__RefHeading___Toc1986662_2749589250">
            <w:r>
              <w:rPr>
                <w:webHidden/>
                <w:rStyle w:val="IndexLink"/>
              </w:rPr>
              <w:t>3</w:t>
            </w:r>
            <w:r>
              <w:rPr>
                <w:rStyle w:val="IndexLink"/>
                <w:rtl w:val="true"/>
              </w:rPr>
              <w:t xml:space="preserve">. </w:t>
            </w:r>
            <w:r>
              <w:rPr>
                <w:rStyle w:val="IndexLink"/>
                <w:rtl w:val="true"/>
              </w:rPr>
              <w:t>اقسام علم</w:t>
            </w:r>
            <w:r>
              <w:rPr>
                <w:rStyle w:val="IndexLink"/>
                <w:rtl w:val="true"/>
              </w:rPr>
              <w:tab/>
            </w:r>
            <w:r>
              <w:rPr>
                <w:rStyle w:val="IndexLink"/>
              </w:rPr>
              <w:t>100</w:t>
            </w:r>
          </w:hyperlink>
        </w:p>
        <w:p>
          <w:pPr>
            <w:pStyle w:val="Contents3"/>
            <w:tabs>
              <w:tab w:val="clear" w:pos="8459"/>
              <w:tab w:val="right" w:pos="9026" w:leader="dot"/>
            </w:tabs>
            <w:rPr/>
          </w:pPr>
          <w:hyperlink w:anchor="__RefHeading___Toc1986664_2749589250">
            <w:r>
              <w:rPr>
                <w:webHidden/>
                <w:rStyle w:val="IndexLink"/>
              </w:rPr>
              <w:t>4</w:t>
            </w:r>
            <w:r>
              <w:rPr>
                <w:rStyle w:val="IndexLink"/>
                <w:rtl w:val="true"/>
              </w:rPr>
              <w:t xml:space="preserve">. </w:t>
            </w:r>
            <w:r>
              <w:rPr>
                <w:rStyle w:val="IndexLink"/>
                <w:rtl w:val="true"/>
              </w:rPr>
              <w:t xml:space="preserve">نسبتِ </w:t>
            </w:r>
            <w:r>
              <w:rPr>
                <w:rStyle w:val="IndexLink"/>
                <w:rtl w:val="true"/>
              </w:rPr>
              <w:t>«</w:t>
            </w:r>
            <w:r>
              <w:rPr>
                <w:rStyle w:val="IndexLink"/>
                <w:rtl w:val="true"/>
              </w:rPr>
              <w:t>فکر و نظر</w:t>
            </w:r>
            <w:r>
              <w:rPr>
                <w:rStyle w:val="IndexLink"/>
                <w:rtl w:val="true"/>
              </w:rPr>
              <w:t xml:space="preserve">» </w:t>
            </w:r>
            <w:r>
              <w:rPr>
                <w:rStyle w:val="IndexLink"/>
                <w:rtl w:val="true"/>
              </w:rPr>
              <w:t xml:space="preserve">با </w:t>
            </w:r>
            <w:r>
              <w:rPr>
                <w:rStyle w:val="IndexLink"/>
                <w:rtl w:val="true"/>
              </w:rPr>
              <w:t>«</w:t>
            </w:r>
            <w:r>
              <w:rPr>
                <w:rStyle w:val="IndexLink"/>
                <w:rtl w:val="true"/>
              </w:rPr>
              <w:t>علم و معرفت</w:t>
            </w:r>
            <w:r>
              <w:rPr>
                <w:rStyle w:val="IndexLink"/>
                <w:rtl w:val="true"/>
              </w:rPr>
              <w:t>»</w:t>
              <w:tab/>
            </w:r>
            <w:r>
              <w:rPr>
                <w:rStyle w:val="IndexLink"/>
              </w:rPr>
              <w:t>101</w:t>
            </w:r>
          </w:hyperlink>
        </w:p>
        <w:p>
          <w:pPr>
            <w:pStyle w:val="Contents3"/>
            <w:tabs>
              <w:tab w:val="clear" w:pos="8459"/>
              <w:tab w:val="right" w:pos="9026" w:leader="dot"/>
            </w:tabs>
            <w:rPr/>
          </w:pPr>
          <w:hyperlink w:anchor="__RefHeading___Toc1986666_2749589250">
            <w:r>
              <w:rPr>
                <w:webHidden/>
                <w:rStyle w:val="IndexLink"/>
              </w:rPr>
              <w:t>5</w:t>
            </w:r>
            <w:r>
              <w:rPr>
                <w:rStyle w:val="IndexLink"/>
                <w:rtl w:val="true"/>
              </w:rPr>
              <w:t xml:space="preserve">. </w:t>
            </w:r>
            <w:r>
              <w:rPr>
                <w:rStyle w:val="IndexLink"/>
                <w:rtl w:val="true"/>
              </w:rPr>
              <w:t>دلایل تولید علم و معرفت از نظر</w:t>
            </w:r>
            <w:r>
              <w:rPr>
                <w:rStyle w:val="IndexLink"/>
                <w:rtl w:val="true"/>
              </w:rPr>
              <w:tab/>
            </w:r>
            <w:r>
              <w:rPr>
                <w:rStyle w:val="IndexLink"/>
              </w:rPr>
              <w:t>103</w:t>
            </w:r>
          </w:hyperlink>
        </w:p>
        <w:p>
          <w:pPr>
            <w:pStyle w:val="Contents3"/>
            <w:tabs>
              <w:tab w:val="clear" w:pos="8459"/>
              <w:tab w:val="right" w:pos="9026" w:leader="dot"/>
            </w:tabs>
            <w:rPr/>
          </w:pPr>
          <w:hyperlink w:anchor="__RefHeading___Toc1986668_2749589250">
            <w:r>
              <w:rPr>
                <w:webHidden/>
                <w:rStyle w:val="IndexLink"/>
              </w:rPr>
              <w:t>6</w:t>
            </w:r>
            <w:r>
              <w:rPr>
                <w:rStyle w:val="IndexLink"/>
                <w:rtl w:val="true"/>
              </w:rPr>
              <w:t xml:space="preserve">. </w:t>
            </w:r>
            <w:r>
              <w:rPr>
                <w:rStyle w:val="IndexLink"/>
                <w:rtl w:val="true"/>
              </w:rPr>
              <w:t>نظر و نقش آن در معرفت خداوند</w:t>
            </w:r>
            <w:r>
              <w:rPr>
                <w:rStyle w:val="IndexLink"/>
                <w:rtl w:val="true"/>
              </w:rPr>
              <w:tab/>
            </w:r>
            <w:r>
              <w:rPr>
                <w:rStyle w:val="IndexLink"/>
              </w:rPr>
              <w:t>104</w:t>
            </w:r>
          </w:hyperlink>
        </w:p>
        <w:p>
          <w:pPr>
            <w:pStyle w:val="Contents4"/>
            <w:tabs>
              <w:tab w:val="clear" w:pos="8176"/>
              <w:tab w:val="right" w:pos="9026" w:leader="dot"/>
            </w:tabs>
            <w:rPr/>
          </w:pPr>
          <w:hyperlink w:anchor="__RefHeading___Toc1986670_274958925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986672_2749589250">
            <w:r>
              <w:rPr>
                <w:webHidden/>
                <w:rStyle w:val="IndexLink"/>
              </w:rPr>
              <w:t>1</w:t>
            </w:r>
            <w:r>
              <w:rPr>
                <w:rStyle w:val="IndexLink"/>
                <w:rtl w:val="true"/>
              </w:rPr>
              <w:t>ـ</w:t>
            </w:r>
            <w:r>
              <w:rPr>
                <w:rStyle w:val="IndexLink"/>
              </w:rPr>
              <w:t>6</w:t>
            </w:r>
            <w:r>
              <w:rPr>
                <w:rStyle w:val="IndexLink"/>
                <w:rtl w:val="true"/>
              </w:rPr>
              <w:t xml:space="preserve">. </w:t>
            </w:r>
            <w:r>
              <w:rPr>
                <w:rStyle w:val="IndexLink"/>
                <w:rtl w:val="true"/>
              </w:rPr>
              <w:t>وجوب نظر در معرفت خدا</w:t>
            </w:r>
            <w:r>
              <w:rPr>
                <w:rStyle w:val="IndexLink"/>
                <w:rtl w:val="true"/>
              </w:rPr>
              <w:tab/>
            </w:r>
            <w:r>
              <w:rPr>
                <w:rStyle w:val="IndexLink"/>
              </w:rPr>
              <w:t>105</w:t>
            </w:r>
          </w:hyperlink>
        </w:p>
        <w:p>
          <w:pPr>
            <w:pStyle w:val="Contents4"/>
            <w:tabs>
              <w:tab w:val="clear" w:pos="8176"/>
              <w:tab w:val="right" w:pos="9026" w:leader="dot"/>
            </w:tabs>
            <w:rPr/>
          </w:pPr>
          <w:hyperlink w:anchor="__RefHeading___Toc1986674_2749589250">
            <w:r>
              <w:rPr>
                <w:webHidden/>
                <w:rStyle w:val="IndexLink"/>
              </w:rPr>
              <w:t>2</w:t>
            </w:r>
            <w:r>
              <w:rPr>
                <w:rStyle w:val="IndexLink"/>
                <w:rtl w:val="true"/>
              </w:rPr>
              <w:t>ـ</w:t>
            </w:r>
            <w:r>
              <w:rPr>
                <w:rStyle w:val="IndexLink"/>
              </w:rPr>
              <w:t>6</w:t>
            </w:r>
            <w:r>
              <w:rPr>
                <w:rStyle w:val="IndexLink"/>
                <w:rtl w:val="true"/>
              </w:rPr>
              <w:t xml:space="preserve">. </w:t>
            </w:r>
            <w:r>
              <w:rPr>
                <w:rStyle w:val="IndexLink"/>
                <w:rtl w:val="true"/>
              </w:rPr>
              <w:t>جهت وجوب نظر در معرفت خداوند</w:t>
            </w:r>
            <w:r>
              <w:rPr>
                <w:rStyle w:val="IndexLink"/>
                <w:rtl w:val="true"/>
              </w:rPr>
              <w:tab/>
            </w:r>
            <w:r>
              <w:rPr>
                <w:rStyle w:val="IndexLink"/>
              </w:rPr>
              <w:t>105</w:t>
            </w:r>
          </w:hyperlink>
        </w:p>
        <w:p>
          <w:pPr>
            <w:pStyle w:val="Contents3"/>
            <w:tabs>
              <w:tab w:val="clear" w:pos="8459"/>
              <w:tab w:val="right" w:pos="9026" w:leader="dot"/>
            </w:tabs>
            <w:rPr/>
          </w:pPr>
          <w:hyperlink w:anchor="__RefHeading___Toc1986676_2749589250">
            <w:r>
              <w:rPr>
                <w:webHidden/>
                <w:rStyle w:val="IndexLink"/>
              </w:rPr>
              <w:t>7</w:t>
            </w:r>
            <w:r>
              <w:rPr>
                <w:rStyle w:val="IndexLink"/>
                <w:rtl w:val="true"/>
              </w:rPr>
              <w:t xml:space="preserve">. </w:t>
            </w:r>
            <w:r>
              <w:rPr>
                <w:rStyle w:val="IndexLink"/>
                <w:rtl w:val="true"/>
              </w:rPr>
              <w:t>طریق شناخت خدا از دیدگاه عبدالجبار</w:t>
            </w:r>
            <w:r>
              <w:rPr>
                <w:rStyle w:val="IndexLink"/>
                <w:rtl w:val="true"/>
              </w:rPr>
              <w:tab/>
            </w:r>
            <w:r>
              <w:rPr>
                <w:rStyle w:val="IndexLink"/>
              </w:rPr>
              <w:t>106</w:t>
            </w:r>
          </w:hyperlink>
        </w:p>
        <w:p>
          <w:pPr>
            <w:pStyle w:val="Contents3"/>
            <w:tabs>
              <w:tab w:val="clear" w:pos="8459"/>
              <w:tab w:val="right" w:pos="9026" w:leader="dot"/>
            </w:tabs>
            <w:rPr/>
          </w:pPr>
          <w:hyperlink w:anchor="__RefHeading___Toc1986678_2749589250">
            <w:r>
              <w:rPr>
                <w:webHidden/>
                <w:rStyle w:val="IndexLink"/>
              </w:rPr>
              <w:t>8</w:t>
            </w:r>
            <w:r>
              <w:rPr>
                <w:rStyle w:val="IndexLink"/>
                <w:rtl w:val="true"/>
              </w:rPr>
              <w:t xml:space="preserve">. </w:t>
            </w:r>
            <w:r>
              <w:rPr>
                <w:rStyle w:val="IndexLink"/>
                <w:rtl w:val="true"/>
              </w:rPr>
              <w:t>دلایل نظری بودن معرفت خدا</w:t>
            </w:r>
            <w:r>
              <w:rPr>
                <w:rStyle w:val="IndexLink"/>
                <w:rtl w:val="true"/>
              </w:rPr>
              <w:tab/>
            </w:r>
            <w:r>
              <w:rPr>
                <w:rStyle w:val="IndexLink"/>
              </w:rPr>
              <w:t>107</w:t>
            </w:r>
          </w:hyperlink>
        </w:p>
        <w:p>
          <w:pPr>
            <w:pStyle w:val="Contents3"/>
            <w:tabs>
              <w:tab w:val="clear" w:pos="8459"/>
              <w:tab w:val="right" w:pos="9026" w:leader="dot"/>
            </w:tabs>
            <w:rPr/>
          </w:pPr>
          <w:hyperlink w:anchor="__RefHeading___Toc1986680_2749589250">
            <w:r>
              <w:rPr>
                <w:webHidden/>
                <w:rStyle w:val="IndexLink"/>
                <w:rtl w:val="true"/>
              </w:rPr>
              <w:t>نتیجه‌گیری</w:t>
            </w:r>
            <w:r>
              <w:rPr>
                <w:rStyle w:val="IndexLink"/>
                <w:rtl w:val="true"/>
              </w:rPr>
              <w:tab/>
            </w:r>
            <w:r>
              <w:rPr>
                <w:rStyle w:val="IndexLink"/>
              </w:rPr>
              <w:t>108</w:t>
            </w:r>
          </w:hyperlink>
        </w:p>
        <w:p>
          <w:pPr>
            <w:pStyle w:val="Contents3"/>
            <w:tabs>
              <w:tab w:val="clear" w:pos="8459"/>
              <w:tab w:val="right" w:pos="9026" w:leader="dot"/>
            </w:tabs>
            <w:rPr/>
          </w:pPr>
          <w:hyperlink w:anchor="__RefHeading___Toc1986682_2749589250">
            <w:r>
              <w:rPr>
                <w:webHidden/>
                <w:rStyle w:val="IndexLink"/>
                <w:rtl w:val="true"/>
              </w:rPr>
              <w:t>منابع</w:t>
            </w:r>
            <w:r>
              <w:rPr>
                <w:rStyle w:val="IndexLink"/>
                <w:rtl w:val="true"/>
              </w:rPr>
              <w:tab/>
            </w:r>
            <w:r>
              <w:rPr>
                <w:rStyle w:val="IndexLink"/>
              </w:rPr>
              <w:t>109</w:t>
            </w:r>
          </w:hyperlink>
        </w:p>
        <w:p>
          <w:pPr>
            <w:pStyle w:val="Contents2"/>
            <w:tabs>
              <w:tab w:val="clear" w:pos="8743"/>
              <w:tab w:val="right" w:pos="9026" w:leader="dot"/>
            </w:tabs>
            <w:rPr/>
          </w:pPr>
          <w:hyperlink w:anchor="__RefHeading___Toc1986684_2749589250">
            <w:r>
              <w:rPr>
                <w:webHidden/>
                <w:rStyle w:val="IndexLink"/>
                <w:rtl w:val="true"/>
              </w:rPr>
              <w:t xml:space="preserve">مراحل فعل الهی در آیات و روایات </w:t>
            </w:r>
            <w:r>
              <w:rPr>
                <w:rStyle w:val="IndexLink"/>
                <w:rtl w:val="true"/>
              </w:rPr>
              <w:t xml:space="preserve">/ </w:t>
            </w:r>
            <w:r>
              <w:rPr>
                <w:rStyle w:val="IndexLink"/>
                <w:rtl w:val="true"/>
              </w:rPr>
              <w:t>رضا برنجکار ،مکارم ترجمان</w:t>
            </w:r>
            <w:r>
              <w:rPr>
                <w:rStyle w:val="IndexLink"/>
                <w:rtl w:val="true"/>
              </w:rPr>
              <w:tab/>
            </w:r>
            <w:r>
              <w:rPr>
                <w:rStyle w:val="IndexLink"/>
              </w:rPr>
              <w:t>112</w:t>
            </w:r>
          </w:hyperlink>
        </w:p>
        <w:p>
          <w:pPr>
            <w:pStyle w:val="Contents3"/>
            <w:tabs>
              <w:tab w:val="clear" w:pos="8459"/>
              <w:tab w:val="right" w:pos="9026" w:leader="dot"/>
            </w:tabs>
            <w:rPr/>
          </w:pPr>
          <w:hyperlink w:anchor="__RefHeading___Toc1986686_2749589250">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1986688_2749589250">
            <w:r>
              <w:rPr>
                <w:webHidden/>
                <w:rStyle w:val="IndexLink"/>
                <w:rtl w:val="true"/>
              </w:rPr>
              <w:t>چکیده</w:t>
            </w:r>
            <w:r>
              <w:rPr>
                <w:rStyle w:val="IndexLink"/>
                <w:rtl w:val="true"/>
              </w:rPr>
              <w:tab/>
            </w:r>
            <w:r>
              <w:rPr>
                <w:rStyle w:val="IndexLink"/>
              </w:rPr>
              <w:t>112</w:t>
            </w:r>
          </w:hyperlink>
        </w:p>
        <w:p>
          <w:pPr>
            <w:pStyle w:val="Contents3"/>
            <w:tabs>
              <w:tab w:val="clear" w:pos="8459"/>
              <w:tab w:val="right" w:pos="9026" w:leader="dot"/>
            </w:tabs>
            <w:rPr/>
          </w:pPr>
          <w:hyperlink w:anchor="__RefHeading___Toc1986690_2749589250">
            <w:r>
              <w:rPr>
                <w:webHidden/>
                <w:rStyle w:val="IndexLink"/>
                <w:rtl w:val="true"/>
              </w:rPr>
              <w:t>واژگان کلیدی</w:t>
            </w:r>
            <w:r>
              <w:rPr>
                <w:rStyle w:val="IndexLink"/>
                <w:rtl w:val="true"/>
              </w:rPr>
              <w:tab/>
            </w:r>
            <w:r>
              <w:rPr>
                <w:rStyle w:val="IndexLink"/>
              </w:rPr>
              <w:t>112</w:t>
            </w:r>
          </w:hyperlink>
        </w:p>
        <w:p>
          <w:pPr>
            <w:pStyle w:val="Contents3"/>
            <w:tabs>
              <w:tab w:val="clear" w:pos="8459"/>
              <w:tab w:val="right" w:pos="9026" w:leader="dot"/>
            </w:tabs>
            <w:rPr/>
          </w:pPr>
          <w:hyperlink w:anchor="__RefHeading___Toc1986692_2749589250">
            <w:r>
              <w:rPr>
                <w:webHidden/>
                <w:rStyle w:val="IndexLink"/>
                <w:rtl w:val="true"/>
              </w:rPr>
              <w:t>درآمد</w:t>
            </w:r>
            <w:r>
              <w:rPr>
                <w:rStyle w:val="IndexLink"/>
                <w:rtl w:val="true"/>
              </w:rPr>
              <w:tab/>
            </w:r>
            <w:r>
              <w:rPr>
                <w:rStyle w:val="IndexLink"/>
              </w:rPr>
              <w:t>113</w:t>
            </w:r>
          </w:hyperlink>
        </w:p>
        <w:p>
          <w:pPr>
            <w:pStyle w:val="Contents3"/>
            <w:tabs>
              <w:tab w:val="clear" w:pos="8459"/>
              <w:tab w:val="right" w:pos="9026" w:leader="dot"/>
            </w:tabs>
            <w:rPr/>
          </w:pPr>
          <w:hyperlink w:anchor="__RefHeading___Toc1986694_2749589250">
            <w:r>
              <w:rPr>
                <w:webHidden/>
                <w:rStyle w:val="IndexLink"/>
                <w:rtl w:val="true"/>
              </w:rPr>
              <w:t>مشیت</w:t>
            </w:r>
            <w:r>
              <w:rPr>
                <w:rStyle w:val="IndexLink"/>
                <w:rtl w:val="true"/>
              </w:rPr>
              <w:tab/>
            </w:r>
            <w:r>
              <w:rPr>
                <w:rStyle w:val="IndexLink"/>
              </w:rPr>
              <w:t>114</w:t>
            </w:r>
          </w:hyperlink>
        </w:p>
        <w:p>
          <w:pPr>
            <w:pStyle w:val="Contents4"/>
            <w:tabs>
              <w:tab w:val="clear" w:pos="8176"/>
              <w:tab w:val="right" w:pos="9026" w:leader="dot"/>
            </w:tabs>
            <w:rPr/>
          </w:pPr>
          <w:hyperlink w:anchor="__RefHeading___Toc1986696_274958925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986698_2749589250">
            <w:r>
              <w:rPr>
                <w:webHidden/>
                <w:rStyle w:val="IndexLink"/>
                <w:rtl w:val="true"/>
              </w:rPr>
              <w:t>جمع‌بندی بحث مشیت</w:t>
            </w:r>
            <w:r>
              <w:rPr>
                <w:rStyle w:val="IndexLink"/>
                <w:rtl w:val="true"/>
              </w:rPr>
              <w:tab/>
            </w:r>
            <w:r>
              <w:rPr>
                <w:rStyle w:val="IndexLink"/>
              </w:rPr>
              <w:t>116</w:t>
            </w:r>
          </w:hyperlink>
        </w:p>
        <w:p>
          <w:pPr>
            <w:pStyle w:val="Contents3"/>
            <w:tabs>
              <w:tab w:val="clear" w:pos="8459"/>
              <w:tab w:val="right" w:pos="9026" w:leader="dot"/>
            </w:tabs>
            <w:rPr/>
          </w:pPr>
          <w:hyperlink w:anchor="__RefHeading___Toc1986700_2749589250">
            <w:r>
              <w:rPr>
                <w:webHidden/>
                <w:rStyle w:val="IndexLink"/>
                <w:rtl w:val="true"/>
              </w:rPr>
              <w:t>اراده</w:t>
            </w:r>
            <w:r>
              <w:rPr>
                <w:rStyle w:val="IndexLink"/>
                <w:rtl w:val="true"/>
              </w:rPr>
              <w:tab/>
            </w:r>
            <w:r>
              <w:rPr>
                <w:rStyle w:val="IndexLink"/>
              </w:rPr>
              <w:t>116</w:t>
            </w:r>
          </w:hyperlink>
        </w:p>
        <w:p>
          <w:pPr>
            <w:pStyle w:val="Contents4"/>
            <w:tabs>
              <w:tab w:val="clear" w:pos="8176"/>
              <w:tab w:val="right" w:pos="9026" w:leader="dot"/>
            </w:tabs>
            <w:rPr/>
          </w:pPr>
          <w:hyperlink w:anchor="__RefHeading___Toc1986702_2749589250">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1986704_2749589250">
            <w:r>
              <w:rPr>
                <w:webHidden/>
                <w:rStyle w:val="IndexLink"/>
                <w:rtl w:val="true"/>
              </w:rPr>
              <w:t>جمع‌بندی بحث اراده</w:t>
            </w:r>
            <w:r>
              <w:rPr>
                <w:rStyle w:val="IndexLink"/>
                <w:rtl w:val="true"/>
              </w:rPr>
              <w:tab/>
            </w:r>
            <w:r>
              <w:rPr>
                <w:rStyle w:val="IndexLink"/>
              </w:rPr>
              <w:t>118</w:t>
            </w:r>
          </w:hyperlink>
        </w:p>
        <w:p>
          <w:pPr>
            <w:pStyle w:val="Contents3"/>
            <w:tabs>
              <w:tab w:val="clear" w:pos="8459"/>
              <w:tab w:val="right" w:pos="9026" w:leader="dot"/>
            </w:tabs>
            <w:rPr/>
          </w:pPr>
          <w:hyperlink w:anchor="__RefHeading___Toc1986706_2749589250">
            <w:r>
              <w:rPr>
                <w:webHidden/>
                <w:rStyle w:val="IndexLink"/>
                <w:rtl w:val="true"/>
              </w:rPr>
              <w:t>قدر و قضا</w:t>
            </w:r>
            <w:r>
              <w:rPr>
                <w:rStyle w:val="IndexLink"/>
                <w:rtl w:val="true"/>
              </w:rPr>
              <w:tab/>
            </w:r>
            <w:r>
              <w:rPr>
                <w:rStyle w:val="IndexLink"/>
              </w:rPr>
              <w:t>118</w:t>
            </w:r>
          </w:hyperlink>
        </w:p>
        <w:p>
          <w:pPr>
            <w:pStyle w:val="Contents4"/>
            <w:tabs>
              <w:tab w:val="clear" w:pos="8176"/>
              <w:tab w:val="right" w:pos="9026" w:leader="dot"/>
            </w:tabs>
            <w:rPr/>
          </w:pPr>
          <w:hyperlink w:anchor="__RefHeading___Toc1986708_2749589250">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1986710_2749589250">
            <w:r>
              <w:rPr>
                <w:webHidden/>
                <w:rStyle w:val="IndexLink"/>
                <w:rtl w:val="true"/>
              </w:rPr>
              <w:t>جمع‌بندی بحث قضا و قدر</w:t>
            </w:r>
            <w:r>
              <w:rPr>
                <w:rStyle w:val="IndexLink"/>
                <w:rtl w:val="true"/>
              </w:rPr>
              <w:tab/>
            </w:r>
            <w:r>
              <w:rPr>
                <w:rStyle w:val="IndexLink"/>
              </w:rPr>
              <w:t>120</w:t>
            </w:r>
          </w:hyperlink>
        </w:p>
        <w:p>
          <w:pPr>
            <w:pStyle w:val="Contents3"/>
            <w:tabs>
              <w:tab w:val="clear" w:pos="8459"/>
              <w:tab w:val="right" w:pos="9026" w:leader="dot"/>
            </w:tabs>
            <w:rPr/>
          </w:pPr>
          <w:hyperlink w:anchor="__RefHeading___Toc1986712_2749589250">
            <w:r>
              <w:rPr>
                <w:webHidden/>
                <w:rStyle w:val="IndexLink"/>
                <w:rtl w:val="true"/>
              </w:rPr>
              <w:t>اذن، کتاب و أجل</w:t>
            </w:r>
            <w:r>
              <w:rPr>
                <w:rStyle w:val="IndexLink"/>
                <w:rtl w:val="true"/>
              </w:rPr>
              <w:tab/>
            </w:r>
            <w:r>
              <w:rPr>
                <w:rStyle w:val="IndexLink"/>
              </w:rPr>
              <w:t>121</w:t>
            </w:r>
          </w:hyperlink>
        </w:p>
        <w:p>
          <w:pPr>
            <w:pStyle w:val="Contents4"/>
            <w:tabs>
              <w:tab w:val="clear" w:pos="8176"/>
              <w:tab w:val="right" w:pos="9026" w:leader="dot"/>
            </w:tabs>
            <w:rPr/>
          </w:pPr>
          <w:hyperlink w:anchor="__RefHeading___Toc1986714_2749589250">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1986716_2749589250">
            <w:r>
              <w:rPr>
                <w:webHidden/>
                <w:rStyle w:val="IndexLink"/>
                <w:rtl w:val="true"/>
              </w:rPr>
              <w:t>جمع‌بندی بحث اذن، اجل و کتاب</w:t>
            </w:r>
            <w:r>
              <w:rPr>
                <w:rStyle w:val="IndexLink"/>
                <w:rtl w:val="true"/>
              </w:rPr>
              <w:tab/>
            </w:r>
            <w:r>
              <w:rPr>
                <w:rStyle w:val="IndexLink"/>
              </w:rPr>
              <w:t>123</w:t>
            </w:r>
          </w:hyperlink>
        </w:p>
        <w:p>
          <w:pPr>
            <w:pStyle w:val="Contents3"/>
            <w:tabs>
              <w:tab w:val="clear" w:pos="8459"/>
              <w:tab w:val="right" w:pos="9026" w:leader="dot"/>
            </w:tabs>
            <w:rPr/>
          </w:pPr>
          <w:hyperlink w:anchor="__RefHeading___Toc1986718_2749589250">
            <w:r>
              <w:rPr>
                <w:webHidden/>
                <w:rStyle w:val="IndexLink"/>
                <w:rtl w:val="true"/>
              </w:rPr>
              <w:t>نتیجه‌گیری</w:t>
            </w:r>
            <w:r>
              <w:rPr>
                <w:rStyle w:val="IndexLink"/>
                <w:rtl w:val="true"/>
              </w:rPr>
              <w:tab/>
            </w:r>
            <w:r>
              <w:rPr>
                <w:rStyle w:val="IndexLink"/>
              </w:rPr>
              <w:t>123</w:t>
            </w:r>
          </w:hyperlink>
        </w:p>
        <w:p>
          <w:pPr>
            <w:pStyle w:val="Contents3"/>
            <w:tabs>
              <w:tab w:val="clear" w:pos="8459"/>
              <w:tab w:val="right" w:pos="9026" w:leader="dot"/>
            </w:tabs>
            <w:rPr/>
          </w:pPr>
          <w:hyperlink w:anchor="__RefHeading___Toc1986720_2749589250">
            <w:r>
              <w:rPr>
                <w:webHidden/>
                <w:rStyle w:val="IndexLink"/>
                <w:rtl w:val="true"/>
              </w:rPr>
              <w:t>منابع</w:t>
            </w:r>
            <w:r>
              <w:rPr>
                <w:rStyle w:val="IndexLink"/>
                <w:rtl w:val="true"/>
              </w:rPr>
              <w:tab/>
            </w:r>
            <w:r>
              <w:rPr>
                <w:rStyle w:val="IndexLink"/>
              </w:rPr>
              <w:t>124</w:t>
            </w:r>
          </w:hyperlink>
        </w:p>
        <w:p>
          <w:pPr>
            <w:pStyle w:val="Contents2"/>
            <w:tabs>
              <w:tab w:val="clear" w:pos="8743"/>
              <w:tab w:val="right" w:pos="9026" w:leader="dot"/>
            </w:tabs>
            <w:rPr/>
          </w:pPr>
          <w:hyperlink w:anchor="__RefHeading___Toc1986722_2749589250">
            <w:r>
              <w:rPr>
                <w:webHidden/>
                <w:rStyle w:val="IndexLink"/>
                <w:rtl w:val="true"/>
              </w:rPr>
              <w:t>خلاصة المقالات باللغة العربیة</w:t>
            </w:r>
            <w:r>
              <w:rPr>
                <w:rStyle w:val="IndexLink"/>
                <w:rtl w:val="true"/>
              </w:rPr>
              <w:tab/>
            </w:r>
            <w:r>
              <w:rPr>
                <w:rStyle w:val="IndexLink"/>
              </w:rPr>
              <w:t>128</w:t>
            </w:r>
          </w:hyperlink>
        </w:p>
        <w:p>
          <w:pPr>
            <w:pStyle w:val="Contents3"/>
            <w:tabs>
              <w:tab w:val="clear" w:pos="8459"/>
              <w:tab w:val="right" w:pos="9026" w:leader="dot"/>
            </w:tabs>
            <w:rPr/>
          </w:pPr>
          <w:hyperlink w:anchor="__RefHeading___Toc1986724_2749589250">
            <w:r>
              <w:rPr>
                <w:webHidden/>
                <w:rStyle w:val="IndexLink"/>
                <w:rtl w:val="true"/>
              </w:rPr>
              <w:t xml:space="preserve">دراسة و نقد إشکالات الفخر الرازی علی براهین ابن سینا فی إثبات علم الله </w:t>
            </w:r>
            <w:r>
              <w:rPr>
                <w:rStyle w:val="IndexLink"/>
                <w:rtl w:val="true"/>
              </w:rPr>
              <w:t xml:space="preserve">/ </w:t>
            </w:r>
            <w:r>
              <w:rPr>
                <w:rStyle w:val="IndexLink"/>
                <w:rtl w:val="true"/>
              </w:rPr>
              <w:t>محمود الصیدی ، هادی الهاشمی</w:t>
            </w:r>
            <w:r>
              <w:rPr>
                <w:rStyle w:val="IndexLink"/>
                <w:rtl w:val="true"/>
              </w:rPr>
              <w:tab/>
            </w:r>
            <w:r>
              <w:rPr>
                <w:rStyle w:val="IndexLink"/>
              </w:rPr>
              <w:t>128</w:t>
            </w:r>
          </w:hyperlink>
        </w:p>
        <w:p>
          <w:pPr>
            <w:pStyle w:val="Contents4"/>
            <w:tabs>
              <w:tab w:val="clear" w:pos="8176"/>
              <w:tab w:val="right" w:pos="9026" w:leader="dot"/>
            </w:tabs>
            <w:rPr/>
          </w:pPr>
          <w:hyperlink w:anchor="__RefHeading___Toc1986726_2749589250">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1986728_2749589250">
            <w:r>
              <w:rPr>
                <w:webHidden/>
                <w:rStyle w:val="IndexLink"/>
                <w:rtl w:val="true"/>
              </w:rPr>
              <w:t>الألفاظ المحوریة</w:t>
            </w:r>
            <w:r>
              <w:rPr>
                <w:rStyle w:val="IndexLink"/>
                <w:rtl w:val="true"/>
              </w:rPr>
              <w:tab/>
            </w:r>
            <w:r>
              <w:rPr>
                <w:rStyle w:val="IndexLink"/>
              </w:rPr>
              <w:t>128</w:t>
            </w:r>
          </w:hyperlink>
        </w:p>
        <w:p>
          <w:pPr>
            <w:pStyle w:val="Contents3"/>
            <w:tabs>
              <w:tab w:val="clear" w:pos="8459"/>
              <w:tab w:val="right" w:pos="9026" w:leader="dot"/>
            </w:tabs>
            <w:rPr/>
          </w:pPr>
          <w:hyperlink w:anchor="__RefHeading___Toc1986730_2749589250">
            <w:r>
              <w:rPr>
                <w:webHidden/>
                <w:rStyle w:val="IndexLink"/>
                <w:rtl w:val="true"/>
              </w:rPr>
              <w:t xml:space="preserve">نقد دعوی تأثر مفهوم المهدویة بعقائد </w:t>
            </w:r>
            <w:r>
              <w:rPr>
                <w:rStyle w:val="IndexLink"/>
                <w:rtl w:val="true"/>
              </w:rPr>
              <w:t>«</w:t>
            </w:r>
            <w:r>
              <w:rPr>
                <w:rStyle w:val="IndexLink"/>
                <w:rtl w:val="true"/>
              </w:rPr>
              <w:t>سوشیانت</w:t>
            </w:r>
            <w:r>
              <w:rPr>
                <w:rStyle w:val="IndexLink"/>
                <w:rtl w:val="true"/>
              </w:rPr>
              <w:t>» /</w:t>
            </w:r>
            <w:r>
              <w:rPr>
                <w:rStyle w:val="IndexLink"/>
                <w:rtl w:val="true"/>
              </w:rPr>
              <w:t>رسول الرضوی ،أحمد جمشیدیان</w:t>
            </w:r>
            <w:r>
              <w:rPr>
                <w:rStyle w:val="IndexLink"/>
                <w:rtl w:val="true"/>
              </w:rPr>
              <w:tab/>
            </w:r>
            <w:r>
              <w:rPr>
                <w:rStyle w:val="IndexLink"/>
              </w:rPr>
              <w:t>129</w:t>
            </w:r>
          </w:hyperlink>
        </w:p>
        <w:p>
          <w:pPr>
            <w:pStyle w:val="Contents4"/>
            <w:tabs>
              <w:tab w:val="clear" w:pos="8176"/>
              <w:tab w:val="right" w:pos="9026" w:leader="dot"/>
            </w:tabs>
            <w:rPr/>
          </w:pPr>
          <w:hyperlink w:anchor="__RefHeading___Toc1986732_274958925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1986734_2749589250">
            <w:r>
              <w:rPr>
                <w:webHidden/>
                <w:rStyle w:val="IndexLink"/>
                <w:rtl w:val="true"/>
              </w:rPr>
              <w:t>الألفاظ المحوریة</w:t>
            </w:r>
            <w:r>
              <w:rPr>
                <w:rStyle w:val="IndexLink"/>
                <w:rtl w:val="true"/>
              </w:rPr>
              <w:tab/>
            </w:r>
            <w:r>
              <w:rPr>
                <w:rStyle w:val="IndexLink"/>
              </w:rPr>
              <w:t>129</w:t>
            </w:r>
          </w:hyperlink>
        </w:p>
        <w:p>
          <w:pPr>
            <w:pStyle w:val="Contents3"/>
            <w:tabs>
              <w:tab w:val="clear" w:pos="8459"/>
              <w:tab w:val="right" w:pos="9026" w:leader="dot"/>
            </w:tabs>
            <w:rPr/>
          </w:pPr>
          <w:hyperlink w:anchor="__RefHeading___Toc1986736_2749589250">
            <w:r>
              <w:rPr>
                <w:webHidden/>
                <w:rStyle w:val="IndexLink"/>
                <w:rtl w:val="true"/>
              </w:rPr>
              <w:t xml:space="preserve">دراسة و دعم نقود </w:t>
            </w:r>
            <w:r>
              <w:rPr>
                <w:rStyle w:val="IndexLink"/>
                <w:rtl w:val="true"/>
              </w:rPr>
              <w:t>«</w:t>
            </w:r>
            <w:r>
              <w:rPr>
                <w:rStyle w:val="IndexLink"/>
                <w:rtl w:val="true"/>
              </w:rPr>
              <w:t>محمد بن علوی المالکی</w:t>
            </w:r>
            <w:r>
              <w:rPr>
                <w:rStyle w:val="IndexLink"/>
                <w:rtl w:val="true"/>
              </w:rPr>
              <w:t xml:space="preserve">» </w:t>
            </w:r>
            <w:r>
              <w:rPr>
                <w:rStyle w:val="IndexLink"/>
                <w:rtl w:val="true"/>
              </w:rPr>
              <w:t xml:space="preserve">علی </w:t>
            </w:r>
            <w:r>
              <w:rPr>
                <w:rStyle w:val="IndexLink"/>
                <w:rtl w:val="true"/>
              </w:rPr>
              <w:t>«</w:t>
            </w:r>
            <w:r>
              <w:rPr>
                <w:rStyle w:val="IndexLink"/>
                <w:rtl w:val="true"/>
              </w:rPr>
              <w:t>محمد بن صالح العثیمین</w:t>
            </w:r>
            <w:r>
              <w:rPr>
                <w:rStyle w:val="IndexLink"/>
                <w:rtl w:val="true"/>
              </w:rPr>
              <w:t xml:space="preserve">» </w:t>
            </w:r>
            <w:r>
              <w:rPr>
                <w:rStyle w:val="IndexLink"/>
                <w:rtl w:val="true"/>
              </w:rPr>
              <w:t xml:space="preserve">فیما یتعلق بالتوسل </w:t>
            </w:r>
            <w:r>
              <w:rPr>
                <w:rStyle w:val="IndexLink"/>
                <w:rtl w:val="true"/>
              </w:rPr>
              <w:t xml:space="preserve">/ </w:t>
            </w:r>
            <w:r>
              <w:rPr>
                <w:rStyle w:val="IndexLink"/>
                <w:rtl w:val="true"/>
              </w:rPr>
              <w:t>میثم دوست المحمدی ، محمد رضا کریمی والا</w:t>
            </w:r>
            <w:r>
              <w:rPr>
                <w:rStyle w:val="IndexLink"/>
                <w:rtl w:val="true"/>
              </w:rPr>
              <w:tab/>
            </w:r>
            <w:r>
              <w:rPr>
                <w:rStyle w:val="IndexLink"/>
              </w:rPr>
              <w:t>130</w:t>
            </w:r>
          </w:hyperlink>
        </w:p>
        <w:p>
          <w:pPr>
            <w:pStyle w:val="Contents4"/>
            <w:tabs>
              <w:tab w:val="clear" w:pos="8176"/>
              <w:tab w:val="right" w:pos="9026" w:leader="dot"/>
            </w:tabs>
            <w:rPr/>
          </w:pPr>
          <w:hyperlink w:anchor="__RefHeading___Toc1986738_2749589250">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1986740_2749589250">
            <w:r>
              <w:rPr>
                <w:webHidden/>
                <w:rStyle w:val="IndexLink"/>
                <w:rtl w:val="true"/>
              </w:rPr>
              <w:t>الألفاظ المحوریة</w:t>
            </w:r>
            <w:r>
              <w:rPr>
                <w:rStyle w:val="IndexLink"/>
                <w:rtl w:val="true"/>
              </w:rPr>
              <w:tab/>
            </w:r>
            <w:r>
              <w:rPr>
                <w:rStyle w:val="IndexLink"/>
              </w:rPr>
              <w:t>130</w:t>
            </w:r>
          </w:hyperlink>
        </w:p>
        <w:p>
          <w:pPr>
            <w:pStyle w:val="Contents3"/>
            <w:tabs>
              <w:tab w:val="clear" w:pos="8459"/>
              <w:tab w:val="right" w:pos="9026" w:leader="dot"/>
            </w:tabs>
            <w:rPr/>
          </w:pPr>
          <w:hyperlink w:anchor="__RefHeading___Toc1986742_2749589250">
            <w:r>
              <w:rPr>
                <w:webHidden/>
                <w:rStyle w:val="IndexLink"/>
                <w:rtl w:val="true"/>
              </w:rPr>
              <w:t xml:space="preserve">الاتجاه التفسیری للفخر الرازی فی مواجهة أدلة الشیعة ذیل آیات الولایة و الخلافة </w:t>
            </w:r>
            <w:r>
              <w:rPr>
                <w:rStyle w:val="IndexLink"/>
                <w:rtl w:val="true"/>
              </w:rPr>
              <w:t xml:space="preserve">/ </w:t>
            </w:r>
            <w:r>
              <w:rPr>
                <w:rStyle w:val="IndexLink"/>
                <w:rtl w:val="true"/>
              </w:rPr>
              <w:t>حامد دج</w:t>
            </w:r>
            <w:r>
              <w:rPr>
                <w:rStyle w:val="IndexLink"/>
                <w:rtl w:val="true"/>
              </w:rPr>
              <w:t>¬</w:t>
            </w:r>
            <w:r>
              <w:rPr>
                <w:rStyle w:val="IndexLink"/>
                <w:rtl w:val="true"/>
              </w:rPr>
              <w:t>آباد ، زهره بابا أحمد المیلانی</w:t>
            </w:r>
            <w:r>
              <w:rPr>
                <w:rStyle w:val="IndexLink"/>
                <w:rtl w:val="true"/>
              </w:rPr>
              <w:tab/>
            </w:r>
            <w:r>
              <w:rPr>
                <w:rStyle w:val="IndexLink"/>
              </w:rPr>
              <w:t>131</w:t>
            </w:r>
          </w:hyperlink>
        </w:p>
        <w:p>
          <w:pPr>
            <w:pStyle w:val="Contents4"/>
            <w:tabs>
              <w:tab w:val="clear" w:pos="8176"/>
              <w:tab w:val="right" w:pos="9026" w:leader="dot"/>
            </w:tabs>
            <w:rPr/>
          </w:pPr>
          <w:hyperlink w:anchor="__RefHeading___Toc1986744_2749589250">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1986746_2749589250">
            <w:r>
              <w:rPr>
                <w:webHidden/>
                <w:rStyle w:val="IndexLink"/>
                <w:rtl w:val="true"/>
              </w:rPr>
              <w:t>الألفاظ المحوریة</w:t>
            </w:r>
            <w:r>
              <w:rPr>
                <w:rStyle w:val="IndexLink"/>
                <w:rtl w:val="true"/>
              </w:rPr>
              <w:tab/>
            </w:r>
            <w:r>
              <w:rPr>
                <w:rStyle w:val="IndexLink"/>
              </w:rPr>
              <w:t>131</w:t>
            </w:r>
          </w:hyperlink>
        </w:p>
        <w:p>
          <w:pPr>
            <w:pStyle w:val="Contents3"/>
            <w:tabs>
              <w:tab w:val="clear" w:pos="8459"/>
              <w:tab w:val="right" w:pos="9026" w:leader="dot"/>
            </w:tabs>
            <w:rPr/>
          </w:pPr>
          <w:hyperlink w:anchor="__RefHeading___Toc1986748_2749589250">
            <w:r>
              <w:rPr>
                <w:webHidden/>
                <w:rStyle w:val="IndexLink"/>
                <w:rtl w:val="true"/>
              </w:rPr>
              <w:t xml:space="preserve">دراسة منزلة </w:t>
            </w:r>
            <w:r>
              <w:rPr>
                <w:rStyle w:val="IndexLink"/>
                <w:rtl w:val="true"/>
              </w:rPr>
              <w:t>«</w:t>
            </w:r>
            <w:r>
              <w:rPr>
                <w:rStyle w:val="IndexLink"/>
                <w:rtl w:val="true"/>
              </w:rPr>
              <w:t>النظر و التفکر</w:t>
            </w:r>
            <w:r>
              <w:rPr>
                <w:rStyle w:val="IndexLink"/>
                <w:rtl w:val="true"/>
              </w:rPr>
              <w:t xml:space="preserve">» </w:t>
            </w:r>
            <w:r>
              <w:rPr>
                <w:rStyle w:val="IndexLink"/>
                <w:rtl w:val="true"/>
              </w:rPr>
              <w:t xml:space="preserve">عند االقاضی عبدالجبار </w:t>
            </w:r>
            <w:r>
              <w:rPr>
                <w:rStyle w:val="IndexLink"/>
                <w:rtl w:val="true"/>
              </w:rPr>
              <w:t xml:space="preserve">/ </w:t>
            </w:r>
            <w:r>
              <w:rPr>
                <w:rStyle w:val="IndexLink"/>
                <w:rtl w:val="true"/>
              </w:rPr>
              <w:t>محمد البیدهندی ، حسین السلطانی</w:t>
            </w:r>
            <w:r>
              <w:rPr>
                <w:rStyle w:val="IndexLink"/>
                <w:rtl w:val="true"/>
              </w:rPr>
              <w:tab/>
            </w:r>
            <w:r>
              <w:rPr>
                <w:rStyle w:val="IndexLink"/>
              </w:rPr>
              <w:t>132</w:t>
            </w:r>
          </w:hyperlink>
        </w:p>
        <w:p>
          <w:pPr>
            <w:pStyle w:val="Contents4"/>
            <w:tabs>
              <w:tab w:val="clear" w:pos="8176"/>
              <w:tab w:val="right" w:pos="9026" w:leader="dot"/>
            </w:tabs>
            <w:rPr/>
          </w:pPr>
          <w:hyperlink w:anchor="__RefHeading___Toc1986750_2749589250">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1986752_2749589250">
            <w:r>
              <w:rPr>
                <w:webHidden/>
                <w:rStyle w:val="IndexLink"/>
                <w:rtl w:val="true"/>
              </w:rPr>
              <w:t>الألفاظ المحوریة</w:t>
            </w:r>
            <w:r>
              <w:rPr>
                <w:rStyle w:val="IndexLink"/>
                <w:rtl w:val="true"/>
              </w:rPr>
              <w:tab/>
            </w:r>
            <w:r>
              <w:rPr>
                <w:rStyle w:val="IndexLink"/>
              </w:rPr>
              <w:t>132</w:t>
            </w:r>
          </w:hyperlink>
        </w:p>
        <w:p>
          <w:pPr>
            <w:pStyle w:val="Contents3"/>
            <w:tabs>
              <w:tab w:val="clear" w:pos="8459"/>
              <w:tab w:val="right" w:pos="9026" w:leader="dot"/>
            </w:tabs>
            <w:rPr/>
          </w:pPr>
          <w:hyperlink w:anchor="__RefHeading___Toc1986754_2749589250">
            <w:r>
              <w:rPr>
                <w:webHidden/>
                <w:rStyle w:val="IndexLink"/>
                <w:rtl w:val="true"/>
              </w:rPr>
              <w:t xml:space="preserve">مراحل الفعل الإلهی فی الآیات و الروایات </w:t>
            </w:r>
            <w:r>
              <w:rPr>
                <w:rStyle w:val="IndexLink"/>
                <w:rtl w:val="true"/>
              </w:rPr>
              <w:t xml:space="preserve">/ </w:t>
            </w:r>
            <w:r>
              <w:rPr>
                <w:rStyle w:val="IndexLink"/>
                <w:rtl w:val="true"/>
              </w:rPr>
              <w:t>رضا برنجکار ، مکارم ترجمان</w:t>
            </w:r>
            <w:r>
              <w:rPr>
                <w:rStyle w:val="IndexLink"/>
                <w:rtl w:val="true"/>
              </w:rPr>
              <w:tab/>
            </w:r>
            <w:r>
              <w:rPr>
                <w:rStyle w:val="IndexLink"/>
              </w:rPr>
              <w:t>133</w:t>
            </w:r>
          </w:hyperlink>
        </w:p>
        <w:p>
          <w:pPr>
            <w:pStyle w:val="Contents4"/>
            <w:tabs>
              <w:tab w:val="clear" w:pos="8176"/>
              <w:tab w:val="right" w:pos="9026" w:leader="dot"/>
            </w:tabs>
            <w:rPr/>
          </w:pPr>
          <w:hyperlink w:anchor="__RefHeading___Toc1986756_2749589250">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1986758_2749589250">
            <w:r>
              <w:rPr>
                <w:webHidden/>
                <w:rStyle w:val="IndexLink"/>
                <w:rtl w:val="true"/>
              </w:rPr>
              <w:t>الألفاظ المحوریة</w:t>
            </w:r>
            <w:r>
              <w:rPr>
                <w:rStyle w:val="IndexLink"/>
                <w:rtl w:val="true"/>
              </w:rPr>
              <w:tab/>
            </w:r>
            <w:r>
              <w:rPr>
                <w:rStyle w:val="IndexLink"/>
              </w:rPr>
              <w:t>133</w:t>
            </w:r>
          </w:hyperlink>
        </w:p>
        <w:p>
          <w:pPr>
            <w:pStyle w:val="Contents2"/>
            <w:tabs>
              <w:tab w:val="clear" w:pos="8743"/>
              <w:tab w:val="right" w:pos="9026" w:leader="dot"/>
            </w:tabs>
            <w:rPr/>
          </w:pPr>
          <w:hyperlink w:anchor="__RefHeading___Toc1986760_2749589250">
            <w:r>
              <w:rPr>
                <w:webHidden/>
                <w:rStyle w:val="IndexLink"/>
              </w:rPr>
              <w:t>Abstracts</w:t>
            </w:r>
            <w:r>
              <w:rPr>
                <w:rStyle w:val="IndexLink"/>
                <w:rtl w:val="true"/>
              </w:rPr>
              <w:tab/>
            </w:r>
            <w:r>
              <w:rPr>
                <w:rStyle w:val="IndexLink"/>
              </w:rPr>
              <w:t>134</w:t>
            </w:r>
          </w:hyperlink>
        </w:p>
        <w:p>
          <w:pPr>
            <w:pStyle w:val="Contents3"/>
            <w:tabs>
              <w:tab w:val="clear" w:pos="8459"/>
              <w:tab w:val="right" w:pos="9026" w:leader="dot"/>
            </w:tabs>
            <w:rPr/>
          </w:pPr>
          <w:hyperlink w:anchor="__RefHeading___Toc1986762_2749589250">
            <w:r>
              <w:rPr>
                <w:webHidden/>
                <w:rStyle w:val="IndexLink"/>
              </w:rPr>
              <w:t>Examination and Criticism of Fakhr al-Razi's Objections against Avicenna's Arguments in Proving the Divine Knowledge/ Mahmood Saydi- Hadi Hashemi</w:t>
            </w:r>
            <w:r>
              <w:rPr>
                <w:rStyle w:val="IndexLink"/>
                <w:rtl w:val="true"/>
              </w:rPr>
              <w:tab/>
            </w:r>
            <w:r>
              <w:rPr>
                <w:rStyle w:val="IndexLink"/>
              </w:rPr>
              <w:t>134</w:t>
            </w:r>
          </w:hyperlink>
        </w:p>
        <w:p>
          <w:pPr>
            <w:pStyle w:val="Contents4"/>
            <w:tabs>
              <w:tab w:val="clear" w:pos="8176"/>
              <w:tab w:val="right" w:pos="9026" w:leader="dot"/>
            </w:tabs>
            <w:rPr/>
          </w:pPr>
          <w:hyperlink w:anchor="__RefHeading___Toc1986764_2749589250">
            <w:r>
              <w:rPr>
                <w:webHidden/>
                <w:rStyle w:val="IndexLink"/>
              </w:rPr>
              <w:t>Point</w:t>
            </w:r>
            <w:r>
              <w:rPr>
                <w:rStyle w:val="IndexLink"/>
                <w:rtl w:val="true"/>
              </w:rPr>
              <w:tab/>
            </w:r>
            <w:r>
              <w:rPr>
                <w:rStyle w:val="IndexLink"/>
              </w:rPr>
              <w:t>134</w:t>
            </w:r>
          </w:hyperlink>
        </w:p>
        <w:p>
          <w:pPr>
            <w:pStyle w:val="Contents4"/>
            <w:tabs>
              <w:tab w:val="clear" w:pos="8176"/>
              <w:tab w:val="right" w:pos="9026" w:leader="dot"/>
            </w:tabs>
            <w:rPr/>
          </w:pPr>
          <w:hyperlink w:anchor="__RefHeading___Toc1986766_2749589250">
            <w:r>
              <w:rPr>
                <w:webHidden/>
                <w:rStyle w:val="IndexLink"/>
              </w:rPr>
              <w:t>Keywords</w:t>
            </w:r>
            <w:r>
              <w:rPr>
                <w:rStyle w:val="IndexLink"/>
                <w:rtl w:val="true"/>
              </w:rPr>
              <w:tab/>
            </w:r>
            <w:r>
              <w:rPr>
                <w:rStyle w:val="IndexLink"/>
              </w:rPr>
              <w:t>134</w:t>
            </w:r>
          </w:hyperlink>
        </w:p>
        <w:p>
          <w:pPr>
            <w:pStyle w:val="Contents3"/>
            <w:tabs>
              <w:tab w:val="clear" w:pos="8459"/>
              <w:tab w:val="right" w:pos="9026" w:leader="dot"/>
            </w:tabs>
            <w:rPr/>
          </w:pPr>
          <w:hyperlink w:anchor="__RefHeading___Toc1986768_2749589250">
            <w:r>
              <w:rPr>
                <w:webHidden/>
                <w:rStyle w:val="IndexLink"/>
              </w:rPr>
              <w:t>Criticizing the Claim that the Teaching of Mahdawiyyah is influenced by Belief in Soshyant / Rasul Razawi- Ahmad Jamshidian</w:t>
            </w:r>
            <w:r>
              <w:rPr>
                <w:rStyle w:val="IndexLink"/>
                <w:rtl w:val="true"/>
              </w:rPr>
              <w:tab/>
            </w:r>
            <w:r>
              <w:rPr>
                <w:rStyle w:val="IndexLink"/>
              </w:rPr>
              <w:t>135</w:t>
            </w:r>
          </w:hyperlink>
        </w:p>
        <w:p>
          <w:pPr>
            <w:pStyle w:val="Contents4"/>
            <w:tabs>
              <w:tab w:val="clear" w:pos="8176"/>
              <w:tab w:val="right" w:pos="9026" w:leader="dot"/>
            </w:tabs>
            <w:rPr/>
          </w:pPr>
          <w:hyperlink w:anchor="__RefHeading___Toc1986770_2749589250">
            <w:r>
              <w:rPr>
                <w:webHidden/>
                <w:rStyle w:val="IndexLink"/>
              </w:rPr>
              <w:t>Point</w:t>
            </w:r>
            <w:r>
              <w:rPr>
                <w:rStyle w:val="IndexLink"/>
                <w:rtl w:val="true"/>
              </w:rPr>
              <w:tab/>
            </w:r>
            <w:r>
              <w:rPr>
                <w:rStyle w:val="IndexLink"/>
              </w:rPr>
              <w:t>135</w:t>
            </w:r>
          </w:hyperlink>
        </w:p>
        <w:p>
          <w:pPr>
            <w:pStyle w:val="Contents4"/>
            <w:tabs>
              <w:tab w:val="clear" w:pos="8176"/>
              <w:tab w:val="right" w:pos="9026" w:leader="dot"/>
            </w:tabs>
            <w:rPr/>
          </w:pPr>
          <w:hyperlink w:anchor="__RefHeading___Toc1986772_2749589250">
            <w:r>
              <w:rPr>
                <w:webHidden/>
                <w:rStyle w:val="IndexLink"/>
              </w:rPr>
              <w:t>Keywords</w:t>
            </w:r>
            <w:r>
              <w:rPr>
                <w:rStyle w:val="IndexLink"/>
                <w:rtl w:val="true"/>
              </w:rPr>
              <w:tab/>
            </w:r>
            <w:r>
              <w:rPr>
                <w:rStyle w:val="IndexLink"/>
              </w:rPr>
              <w:t>135</w:t>
            </w:r>
          </w:hyperlink>
        </w:p>
        <w:p>
          <w:pPr>
            <w:pStyle w:val="Contents3"/>
            <w:tabs>
              <w:tab w:val="clear" w:pos="8459"/>
              <w:tab w:val="right" w:pos="9026" w:leader="dot"/>
            </w:tabs>
            <w:rPr/>
          </w:pPr>
          <w:hyperlink w:anchor="__RefHeading___Toc1986774_2749589250">
            <w:r>
              <w:rPr>
                <w:webHidden/>
                <w:rStyle w:val="IndexLink"/>
              </w:rPr>
              <w:t>Examining and Reinforcing the Mohammad ibn Alavi Maleki's Criticisms against Mohammad ibn Saleh 'Othayminon Tawssul (recourse)/Meitham Doustmohammadi- Mohammadreaza Karimivala</w:t>
            </w:r>
            <w:r>
              <w:rPr>
                <w:rStyle w:val="IndexLink"/>
                <w:rtl w:val="true"/>
              </w:rPr>
              <w:tab/>
            </w:r>
            <w:r>
              <w:rPr>
                <w:rStyle w:val="IndexLink"/>
              </w:rPr>
              <w:t>136</w:t>
            </w:r>
          </w:hyperlink>
        </w:p>
        <w:p>
          <w:pPr>
            <w:pStyle w:val="Contents4"/>
            <w:tabs>
              <w:tab w:val="clear" w:pos="8176"/>
              <w:tab w:val="right" w:pos="9026" w:leader="dot"/>
            </w:tabs>
            <w:rPr/>
          </w:pPr>
          <w:hyperlink w:anchor="__RefHeading___Toc1986776_2749589250">
            <w:r>
              <w:rPr>
                <w:webHidden/>
                <w:rStyle w:val="IndexLink"/>
              </w:rPr>
              <w:t>Point</w:t>
            </w:r>
            <w:r>
              <w:rPr>
                <w:rStyle w:val="IndexLink"/>
                <w:rtl w:val="true"/>
              </w:rPr>
              <w:tab/>
            </w:r>
            <w:r>
              <w:rPr>
                <w:rStyle w:val="IndexLink"/>
              </w:rPr>
              <w:t>136</w:t>
            </w:r>
          </w:hyperlink>
        </w:p>
        <w:p>
          <w:pPr>
            <w:pStyle w:val="Contents4"/>
            <w:tabs>
              <w:tab w:val="clear" w:pos="8176"/>
              <w:tab w:val="right" w:pos="9026" w:leader="dot"/>
            </w:tabs>
            <w:rPr/>
          </w:pPr>
          <w:hyperlink w:anchor="__RefHeading___Toc1986778_2749589250">
            <w:r>
              <w:rPr>
                <w:webHidden/>
                <w:rStyle w:val="IndexLink"/>
              </w:rPr>
              <w:t>Keywords</w:t>
            </w:r>
            <w:r>
              <w:rPr>
                <w:rStyle w:val="IndexLink"/>
                <w:rtl w:val="true"/>
              </w:rPr>
              <w:tab/>
            </w:r>
            <w:r>
              <w:rPr>
                <w:rStyle w:val="IndexLink"/>
              </w:rPr>
              <w:t>136</w:t>
            </w:r>
          </w:hyperlink>
        </w:p>
        <w:p>
          <w:pPr>
            <w:pStyle w:val="Contents3"/>
            <w:tabs>
              <w:tab w:val="clear" w:pos="8459"/>
              <w:tab w:val="right" w:pos="9026" w:leader="dot"/>
            </w:tabs>
            <w:rPr/>
          </w:pPr>
          <w:hyperlink w:anchor="__RefHeading___Toc1986780_2749589250">
            <w:r>
              <w:rPr>
                <w:webHidden/>
                <w:rStyle w:val="IndexLink"/>
              </w:rPr>
              <w:t>The Exegetical Approach of Fakhr al-Razi in Encounter to the Shi'a Arguments about the Verses of Guardianship and Succession/ Hamed Dejabad - Zora Babaahmad Milani</w:t>
            </w:r>
            <w:r>
              <w:rPr>
                <w:rStyle w:val="IndexLink"/>
                <w:rtl w:val="true"/>
              </w:rPr>
              <w:tab/>
            </w:r>
            <w:r>
              <w:rPr>
                <w:rStyle w:val="IndexLink"/>
              </w:rPr>
              <w:t>137</w:t>
            </w:r>
          </w:hyperlink>
        </w:p>
        <w:p>
          <w:pPr>
            <w:pStyle w:val="Contents4"/>
            <w:tabs>
              <w:tab w:val="clear" w:pos="8176"/>
              <w:tab w:val="right" w:pos="9026" w:leader="dot"/>
            </w:tabs>
            <w:rPr/>
          </w:pPr>
          <w:hyperlink w:anchor="__RefHeading___Toc1986782_2749589250">
            <w:r>
              <w:rPr>
                <w:webHidden/>
                <w:rStyle w:val="IndexLink"/>
              </w:rPr>
              <w:t>Point</w:t>
            </w:r>
            <w:r>
              <w:rPr>
                <w:rStyle w:val="IndexLink"/>
                <w:rtl w:val="true"/>
              </w:rPr>
              <w:tab/>
            </w:r>
            <w:r>
              <w:rPr>
                <w:rStyle w:val="IndexLink"/>
              </w:rPr>
              <w:t>137</w:t>
            </w:r>
          </w:hyperlink>
        </w:p>
        <w:p>
          <w:pPr>
            <w:pStyle w:val="Contents4"/>
            <w:tabs>
              <w:tab w:val="clear" w:pos="8176"/>
              <w:tab w:val="right" w:pos="9026" w:leader="dot"/>
            </w:tabs>
            <w:rPr/>
          </w:pPr>
          <w:hyperlink w:anchor="__RefHeading___Toc1986784_2749589250">
            <w:r>
              <w:rPr>
                <w:webHidden/>
                <w:rStyle w:val="IndexLink"/>
              </w:rPr>
              <w:t>Keywords</w:t>
            </w:r>
            <w:r>
              <w:rPr>
                <w:rStyle w:val="IndexLink"/>
                <w:rtl w:val="true"/>
              </w:rPr>
              <w:tab/>
            </w:r>
            <w:r>
              <w:rPr>
                <w:rStyle w:val="IndexLink"/>
              </w:rPr>
              <w:t>137</w:t>
            </w:r>
          </w:hyperlink>
        </w:p>
        <w:p>
          <w:pPr>
            <w:pStyle w:val="Contents3"/>
            <w:tabs>
              <w:tab w:val="clear" w:pos="8459"/>
              <w:tab w:val="right" w:pos="9026" w:leader="dot"/>
            </w:tabs>
            <w:rPr/>
          </w:pPr>
          <w:hyperlink w:anchor="__RefHeading___Toc1986786_2749589250">
            <w:r>
              <w:rPr>
                <w:webHidden/>
                <w:rStyle w:val="IndexLink"/>
              </w:rPr>
              <w:t>Examining the Place of "Nazar and Thinking" from the Viewpoint of Qazi 'Abd al-Jabbar/ Mohammad Bidhendi - Hosein Sultani</w:t>
            </w:r>
            <w:r>
              <w:rPr>
                <w:rStyle w:val="IndexLink"/>
                <w:rtl w:val="true"/>
              </w:rPr>
              <w:tab/>
            </w:r>
            <w:r>
              <w:rPr>
                <w:rStyle w:val="IndexLink"/>
              </w:rPr>
              <w:t>138</w:t>
            </w:r>
          </w:hyperlink>
        </w:p>
        <w:p>
          <w:pPr>
            <w:pStyle w:val="Contents4"/>
            <w:tabs>
              <w:tab w:val="clear" w:pos="8176"/>
              <w:tab w:val="right" w:pos="9026" w:leader="dot"/>
            </w:tabs>
            <w:rPr/>
          </w:pPr>
          <w:hyperlink w:anchor="__RefHeading___Toc1986788_2749589250">
            <w:r>
              <w:rPr>
                <w:webHidden/>
                <w:rStyle w:val="IndexLink"/>
              </w:rPr>
              <w:t>Point</w:t>
            </w:r>
            <w:r>
              <w:rPr>
                <w:rStyle w:val="IndexLink"/>
                <w:rtl w:val="true"/>
              </w:rPr>
              <w:tab/>
            </w:r>
            <w:r>
              <w:rPr>
                <w:rStyle w:val="IndexLink"/>
              </w:rPr>
              <w:t>138</w:t>
            </w:r>
          </w:hyperlink>
        </w:p>
        <w:p>
          <w:pPr>
            <w:pStyle w:val="Contents4"/>
            <w:tabs>
              <w:tab w:val="clear" w:pos="8176"/>
              <w:tab w:val="right" w:pos="9026" w:leader="dot"/>
            </w:tabs>
            <w:rPr/>
          </w:pPr>
          <w:hyperlink w:anchor="__RefHeading___Toc1986790_2749589250">
            <w:r>
              <w:rPr>
                <w:webHidden/>
                <w:rStyle w:val="IndexLink"/>
              </w:rPr>
              <w:t>Keywords</w:t>
            </w:r>
            <w:r>
              <w:rPr>
                <w:rStyle w:val="IndexLink"/>
                <w:rtl w:val="true"/>
              </w:rPr>
              <w:tab/>
            </w:r>
            <w:r>
              <w:rPr>
                <w:rStyle w:val="IndexLink"/>
              </w:rPr>
              <w:t>138</w:t>
            </w:r>
          </w:hyperlink>
        </w:p>
        <w:p>
          <w:pPr>
            <w:pStyle w:val="Contents3"/>
            <w:tabs>
              <w:tab w:val="clear" w:pos="8459"/>
              <w:tab w:val="right" w:pos="9026" w:leader="dot"/>
            </w:tabs>
            <w:rPr/>
          </w:pPr>
          <w:hyperlink w:anchor="__RefHeading___Toc1986792_2749589250">
            <w:r>
              <w:rPr>
                <w:webHidden/>
                <w:rStyle w:val="IndexLink"/>
              </w:rPr>
              <w:t>The Degrees of the Divine Act in the Quranic Verses / Reza Brenjkar - Makarem Tarjoman</w:t>
            </w:r>
            <w:r>
              <w:rPr>
                <w:rStyle w:val="IndexLink"/>
                <w:rtl w:val="true"/>
              </w:rPr>
              <w:tab/>
            </w:r>
            <w:r>
              <w:rPr>
                <w:rStyle w:val="IndexLink"/>
              </w:rPr>
              <w:t>139</w:t>
            </w:r>
          </w:hyperlink>
        </w:p>
        <w:p>
          <w:pPr>
            <w:pStyle w:val="Contents4"/>
            <w:tabs>
              <w:tab w:val="clear" w:pos="8176"/>
              <w:tab w:val="right" w:pos="9026" w:leader="dot"/>
            </w:tabs>
            <w:rPr/>
          </w:pPr>
          <w:hyperlink w:anchor="__RefHeading___Toc1986794_2749589250">
            <w:r>
              <w:rPr>
                <w:webHidden/>
                <w:rStyle w:val="IndexLink"/>
              </w:rPr>
              <w:t>Point</w:t>
            </w:r>
            <w:r>
              <w:rPr>
                <w:rStyle w:val="IndexLink"/>
                <w:rtl w:val="true"/>
              </w:rPr>
              <w:tab/>
            </w:r>
            <w:r>
              <w:rPr>
                <w:rStyle w:val="IndexLink"/>
              </w:rPr>
              <w:t>139</w:t>
            </w:r>
          </w:hyperlink>
        </w:p>
        <w:p>
          <w:pPr>
            <w:pStyle w:val="Contents4"/>
            <w:tabs>
              <w:tab w:val="clear" w:pos="8176"/>
              <w:tab w:val="right" w:pos="9026" w:leader="dot"/>
            </w:tabs>
            <w:rPr/>
          </w:pPr>
          <w:hyperlink w:anchor="__RefHeading___Toc1986796_2749589250">
            <w:r>
              <w:rPr>
                <w:webHidden/>
                <w:rStyle w:val="IndexLink"/>
              </w:rPr>
              <w:t>Keywords</w:t>
            </w:r>
            <w:r>
              <w:rPr>
                <w:rStyle w:val="IndexLink"/>
                <w:rtl w:val="true"/>
              </w:rPr>
              <w:tab/>
            </w:r>
            <w:r>
              <w:rPr>
                <w:rStyle w:val="IndexLink"/>
              </w:rPr>
              <w:t>139</w:t>
            </w:r>
          </w:hyperlink>
        </w:p>
        <w:p>
          <w:pPr>
            <w:pStyle w:val="Contents3"/>
            <w:tabs>
              <w:tab w:val="clear" w:pos="8459"/>
              <w:tab w:val="right" w:pos="9026" w:leader="dot"/>
            </w:tabs>
            <w:rPr/>
          </w:pPr>
          <w:hyperlink w:anchor="__RefHeading___Toc1986798_2749589250">
            <w:r>
              <w:rPr>
                <w:webHidden/>
                <w:rStyle w:val="IndexLink"/>
              </w:rPr>
              <w:t>Tahqīqāt-e Kalām</w:t>
            </w:r>
            <w:r>
              <w:rPr>
                <w:rStyle w:val="IndexLink"/>
                <w:rtl w:val="true"/>
              </w:rPr>
              <w:tab/>
            </w:r>
            <w:r>
              <w:rPr>
                <w:rStyle w:val="IndexLink"/>
              </w:rPr>
              <w:t>140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45_36473"/>
      <w:bookmarkStart w:id="1" w:name="pg3245_36473"/>
      <w:bookmarkEnd w:id="1"/>
    </w:p>
    <w:p>
      <w:pPr>
        <w:pStyle w:val="Heading2"/>
        <w:numPr>
          <w:ilvl w:val="1"/>
          <w:numId w:val="1"/>
        </w:numPr>
        <w:rPr/>
      </w:pPr>
      <w:bookmarkStart w:id="2" w:name="pg3245_36473"/>
      <w:bookmarkStart w:id="3" w:name="__RefHeading___Toc1986324_2749589250"/>
      <w:bookmarkStart w:id="4" w:name="_Toc1"/>
      <w:bookmarkEnd w:id="2"/>
      <w:bookmarkEnd w:id="3"/>
      <w:r>
        <w:rPr>
          <w:rtl w:val="true"/>
        </w:rPr>
        <w:t>مشخصات فصلنامه</w:t>
      </w:r>
      <w:bookmarkEnd w:id="4"/>
    </w:p>
    <w:p>
      <w:pPr>
        <w:pStyle w:val="BookText"/>
        <w:rPr/>
      </w:pPr>
      <w:r>
        <w:rPr>
          <w:rFonts w:ascii="IRNazanin" w:hAnsi="IRNazanin" w:eastAsia="IRNazanin"/>
          <w:color w:val="111111"/>
          <w:sz w:val="28"/>
          <w:sz w:val="28"/>
          <w:szCs w:val="28"/>
          <w:rtl w:val="true"/>
          <w:lang w:bidi="fa-IR"/>
        </w:rPr>
        <w:t>فصلنامه علمی – پژوهشی</w:t>
      </w:r>
    </w:p>
    <w:p>
      <w:pPr>
        <w:pStyle w:val="BookText"/>
        <w:rPr/>
      </w:pPr>
      <w:r>
        <w:rPr>
          <w:rFonts w:ascii="IRNazanin" w:hAnsi="IRNazanin" w:eastAsia="IRNazanin"/>
          <w:color w:val="111111"/>
          <w:sz w:val="28"/>
          <w:sz w:val="28"/>
          <w:szCs w:val="28"/>
          <w:rtl w:val="true"/>
          <w:lang w:bidi="fa-IR"/>
        </w:rPr>
        <w:t>انجمن کلام اسلامی حوزه علمیه</w:t>
      </w:r>
    </w:p>
    <w:p>
      <w:pPr>
        <w:pStyle w:val="BookText"/>
        <w:rPr/>
      </w:pPr>
      <w:r>
        <w:rPr>
          <w:rFonts w:ascii="IRNazanin" w:hAnsi="IRNazanin" w:eastAsia="IRNazanin"/>
          <w:color w:val="111111"/>
          <w:sz w:val="28"/>
          <w:sz w:val="28"/>
          <w:szCs w:val="28"/>
          <w:rtl w:val="true"/>
          <w:lang w:bidi="fa-IR"/>
        </w:rPr>
        <w:t xml:space="preserve">سال چهارم، شماره سیزدهم، تابستان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کلام اسلامی حوزه علمیه</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صادقی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برنجکار</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اشکوری</w:t>
      </w:r>
    </w:p>
    <w:p>
      <w:pPr>
        <w:pStyle w:val="BookText"/>
        <w:rPr/>
      </w:pPr>
      <w:r>
        <w:rPr>
          <w:rFonts w:ascii="IRNazanin" w:hAnsi="IRNazanin" w:eastAsia="IRNazanin"/>
          <w:color w:val="111111"/>
          <w:sz w:val="28"/>
          <w:sz w:val="28"/>
          <w:szCs w:val="28"/>
          <w:rtl w:val="true"/>
          <w:lang w:bidi="fa-IR"/>
        </w:rPr>
        <w:t>مترجم چکیده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مسجدی</w:t>
      </w:r>
    </w:p>
    <w:p>
      <w:pPr>
        <w:pStyle w:val="BookText"/>
        <w:rPr/>
      </w:pPr>
      <w:r>
        <w:rPr>
          <w:rFonts w:ascii="IRNazanin" w:hAnsi="IRNazanin" w:eastAsia="IRNazanin"/>
          <w:color w:val="111111"/>
          <w:sz w:val="28"/>
          <w:sz w:val="28"/>
          <w:szCs w:val="28"/>
          <w:rtl w:val="true"/>
          <w:lang w:bidi="fa-IR"/>
        </w:rPr>
        <w:t>مترجم چکیده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سیدلطف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رامین باباگل زاده</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نوروزی</w:t>
      </w:r>
    </w:p>
    <w:p>
      <w:pPr>
        <w:pStyle w:val="BookText"/>
        <w:rPr/>
      </w:pPr>
      <w:r>
        <w:rPr>
          <w:rFonts w:eastAsia="Times New Roman" w:cs="Times New Roman" w:ascii="Times New Roman" w:hAnsi="Times New Roman"/>
          <w:color w:val="111111"/>
          <w:sz w:val="28"/>
          <w:szCs w:val="28"/>
          <w:lang w:val="en-US" w:bidi="en-US"/>
        </w:rPr>
        <w:t>ISSN: 2345-3788</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امین، بلوار جمهوری اسلامی، کوچه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فرعی اول سمت چپ،</w:t>
      </w:r>
    </w:p>
    <w:p>
      <w:pPr>
        <w:pStyle w:val="BookText"/>
        <w:rPr/>
      </w:pPr>
      <w:r>
        <w:rPr>
          <w:rFonts w:ascii="IRNazanin" w:hAnsi="IRNazanin" w:eastAsia="IRNazanin"/>
          <w:color w:val="111111"/>
          <w:sz w:val="28"/>
          <w:sz w:val="28"/>
          <w:szCs w:val="28"/>
          <w:rtl w:val="true"/>
          <w:lang w:bidi="fa-IR"/>
        </w:rPr>
        <w:t>ساختمان انجمن های علمی حوزه، انجمن کلام اسلامی حوزه علمیه</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37165</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32928546</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پیامک</w:t>
      </w:r>
      <w:r>
        <w:rPr>
          <w:rFonts w:eastAsia="IRNazanin" w:cs="IRNazanin"/>
          <w:color w:val="111111"/>
          <w:sz w:val="28"/>
          <w:szCs w:val="28"/>
          <w:rtl w:val="true"/>
          <w:lang w:bidi="fa-IR"/>
        </w:rPr>
        <w:t xml:space="preserve">: </w:t>
      </w:r>
      <w:r>
        <w:rPr>
          <w:rFonts w:eastAsia="IRNazanin" w:cs="IRNazanin"/>
          <w:color w:val="111111"/>
          <w:sz w:val="28"/>
          <w:szCs w:val="28"/>
          <w:lang w:bidi="fa-IR"/>
        </w:rPr>
        <w:t>30007227007705</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www.tkalam.ir / www.ikq.ir</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Info@ikq.ir / Info@tkalam.ir</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86326_2749589250"/>
      <w:bookmarkStart w:id="6" w:name="_Toc2"/>
      <w:bookmarkEnd w:id="5"/>
      <w:r>
        <w:rPr>
          <w:rtl w:val="true"/>
        </w:rPr>
        <w:t>رتبه علمی فصلنامه</w:t>
      </w:r>
      <w:bookmarkEnd w:id="6"/>
    </w:p>
    <w:p>
      <w:pPr>
        <w:pStyle w:val="BookText"/>
        <w:rPr/>
      </w:pPr>
      <w:r>
        <w:rPr>
          <w:rFonts w:ascii="IRNazanin" w:hAnsi="IRNazanin" w:eastAsia="IRNazanin"/>
          <w:color w:val="111111"/>
          <w:sz w:val="28"/>
          <w:sz w:val="28"/>
          <w:szCs w:val="28"/>
          <w:rtl w:val="true"/>
          <w:lang w:bidi="fa-IR"/>
        </w:rPr>
        <w:t xml:space="preserve">به استناد مصوبه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24/6/1387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حوزه های علمیه و با توجه به ارزیـابی کـمیسیون نـشریات علمی حوزه، شورای اعطای مجوزها و امتیازهای علمی در جـلسه مورخ </w:t>
      </w:r>
      <w:r>
        <w:rPr>
          <w:rFonts w:eastAsia="IRNazanin" w:cs="IRNazanin"/>
          <w:color w:val="111111"/>
          <w:sz w:val="28"/>
          <w:szCs w:val="28"/>
          <w:lang w:bidi="fa-IR"/>
        </w:rPr>
        <w:t>28/03/1392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رتـبه عـلمی ـ پـژوهشی بهنـشریه تـحقیقات کـلامی اعـطاء گردید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استناد ماده واحده مصوبه جلسه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21/3/1387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مصوبات شورای عالی حوزه علمیه قم در خصوص اعطای امتیاز علمی به مجلات علمی، تأسیس انجمن های علمی، قطب های علمی و واحدهای پژوهشی و همچنین امتیازات کرسی های نظریه پردازی، نقد و مناظره و آزاداندیشی در حـوزه، دارای اعـتبار رسمی بـوده و مـوجد امـتیازات قـانونی در دانـشگاه ها و حوزه های علمیه می باشد</w:t>
      </w:r>
      <w:bookmarkStart w:id="7" w:name="pg3245_36476"/>
    </w:p>
    <w:p>
      <w:pPr>
        <w:pStyle w:val="Heading2"/>
        <w:numPr>
          <w:ilvl w:val="1"/>
          <w:numId w:val="1"/>
        </w:numPr>
        <w:rPr/>
      </w:pPr>
      <w:bookmarkStart w:id="8" w:name="__RefHeading___Toc1986328_2749589250"/>
      <w:bookmarkStart w:id="9" w:name="_Toc3"/>
      <w:bookmarkEnd w:id="7"/>
      <w:bookmarkEnd w:id="8"/>
      <w:r>
        <w:rPr>
          <w:rtl w:val="true"/>
        </w:rPr>
        <w:t>راهنمای نویسندگان</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مقاله باید در راستای اهداف فصلنامه و مرتبط با موضوعات علم کلام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نباید پیش تر در نشریات داخلی چاپ شده باشد و یا هم زمان برای استفاده به سایر مجلات علمی ارائه شده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محتوای مقاله، نکات علمی و ادبی زیر حتی المقدور رعایت شده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علمی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رویکرد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ساختار منطقی و مطلوب، سطح علمی مناسب و فصل بندی صحیح مطالب؛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نظرات اساسی مطرح در مسأله، ذکر دیدگاه مخالفان، تجزیه و تحلیل و نقد صحیح و کامل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گویی به پرسش ها و شبهات مطرح در مسأله؛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در ساختار، محتوا یا روش ارائه؛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روش و محتوا با عنوان مقاله و ارتباط منطقی بین مباحث؛</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رویکرد کلامی و دفاع از آموزه های اعتقادی اسلام؛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استنادات معتبر و کافی؛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امانت در نقل قول از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ادبی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قواعد دستوری، ادبی و نگارشی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مقدمه، ذکر چکیده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نگارش پی نوشته ها، ذکر فهرست منابع؛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اطناب و ایجاز بی مورد؛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و شیوایی در قلم؛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 حجم مقاله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ترجمه شده، در صورت دارابودن نکات بدیع و تازه، با ذکر مشخصات منبع اصلی و مشخصات کامل نویسنده آن امکان چاپ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متن اصلی به همراه ترجمه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مآخذ باید به شیوه درج سند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خانوادگی، سال انتشار، شماره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ذکر اسناد در پاورقی خودداری شود، اما بیان توضیحات ضروری به تشخیص نویسنده در پاورقی مانعی ندارد؛</w:t>
      </w:r>
    </w:p>
    <w:p>
      <w:pPr>
        <w:pStyle w:val="BookText"/>
        <w:rPr/>
      </w:pPr>
      <w:r>
        <w:rPr>
          <w:rFonts w:ascii="IRNazanin" w:hAnsi="IRNazanin" w:eastAsia="IRNazanin"/>
          <w:color w:val="111111"/>
          <w:sz w:val="28"/>
          <w:sz w:val="28"/>
          <w:szCs w:val="28"/>
          <w:rtl w:val="true"/>
          <w:lang w:bidi="fa-IR"/>
        </w:rPr>
        <w:t>فهرست منابع در انتهای مقاله و به صورت زیر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مترجم یا مصحح، ناشر؛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مترجم، نام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 شماره صفحات؛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دسترسی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سایت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مقالات صرفاً از طریق سایت </w:t>
      </w:r>
      <w:r>
        <w:rPr>
          <w:rFonts w:eastAsia="Times New Roman" w:cs="Times New Roman" w:ascii="Times New Roman" w:hAnsi="Times New Roman"/>
          <w:color w:val="111111"/>
          <w:sz w:val="28"/>
          <w:szCs w:val="28"/>
          <w:lang w:val="en-US" w:bidi="en-US"/>
        </w:rPr>
        <w:t>www.tkalam.ir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خواهد شد که پس از احراز شرایط مذکور، برای بررسی به هیأت تحریریه فصلنامه ارجاع می شود و در صورت تأیید نهایی مورد استفاده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مجله هیچ گونه تعهدی نسبت به بازگرداندن مقالات نخواهد داشت؛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در ویرایش مقالات یا تلخیص آنها به گونه ای که در محتوای علمی آنها دگرگونی ایجاد نشود،آزاد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باید با فرمت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 فونت </w:t>
      </w:r>
      <w:r>
        <w:rPr>
          <w:rFonts w:eastAsia="Times New Roman" w:cs="Times New Roman" w:ascii="Times New Roman" w:hAnsi="Times New Roman"/>
          <w:color w:val="111111"/>
          <w:sz w:val="28"/>
          <w:szCs w:val="28"/>
          <w:lang w:val="en-US" w:bidi="en-US"/>
        </w:rPr>
        <w:t>B Zar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اندازه قلم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حکم کارگزینی هیأت علمی برای درج رتبه علمی نویسندگان، ضروری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یا نویسندگان مقاله باید نشانی، تلفن همراه و پست الکترونیک خود را برای ارتباط بعدی به مجله اعلام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 که مقاله بیش از یک نویسنده داشته باشد، همه آن ها می بایست مسئولیت مقاله را کتباً بپذیرند و به مجله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نویسنده ها چند نفر باشند بعد از نام اولین نویسنده و بعد از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 تاریخ چاپ، فقط سال قمری مانند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شود و در میلادی و شمسی نیازی به درج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سال نیست </w:t>
      </w:r>
      <w:r>
        <w:rPr>
          <w:rFonts w:eastAsia="IRNazanin" w:cs="IRNazanin"/>
          <w:color w:val="111111"/>
          <w:sz w:val="28"/>
          <w:szCs w:val="28"/>
          <w:rtl w:val="true"/>
          <w:lang w:bidi="fa-IR"/>
        </w:rPr>
        <w:t>.</w:t>
      </w:r>
      <w:bookmarkStart w:id="10" w:name="pg3245_36477"/>
    </w:p>
    <w:p>
      <w:pPr>
        <w:pStyle w:val="Heading2"/>
        <w:numPr>
          <w:ilvl w:val="1"/>
          <w:numId w:val="1"/>
        </w:numPr>
        <w:rPr/>
      </w:pPr>
      <w:bookmarkStart w:id="11" w:name="__RefHeading___Toc1986330_2749589250"/>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بررسی و نقد اشکالات فخر رازی به براهین ابن‌سینا در اثبات 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صیدی، هادی هاشمی</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نقد ادعای تأثیرپذیری آموزۀ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رضوی، احمد جمشیدیان</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بررسی و تقویت نقدهای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علوی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صالح عثیمین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توسل</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میثم دوست محمدی، محمدرضا کریمی والا</w:t>
      </w:r>
    </w:p>
    <w:p>
      <w:pPr>
        <w:pStyle w:val="BookText"/>
        <w:rPr/>
      </w:pPr>
      <w:r>
        <w:rPr>
          <w:rFonts w:ascii="IRNazanin" w:hAnsi="IRNazanin" w:eastAsia="IRNazanin"/>
          <w:color w:val="111111"/>
          <w:sz w:val="28"/>
          <w:sz w:val="28"/>
          <w:szCs w:val="28"/>
          <w:rtl w:val="true"/>
          <w:lang w:bidi="fa-IR"/>
        </w:rPr>
        <w:t xml:space="preserve">رویکرد تفسیری فخر رازی در مواجهه با ادلۀ شیعه ذیل آیات ولایت و خلافت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حامد دژآباد، زهره بابااحمد میلانی</w:t>
      </w:r>
    </w:p>
    <w:p>
      <w:pPr>
        <w:pStyle w:val="BookText"/>
        <w:rPr/>
      </w:pPr>
      <w:r>
        <w:rPr>
          <w:rFonts w:ascii="IRNazanin" w:hAnsi="IRNazanin" w:eastAsia="IRNazanin"/>
          <w:color w:val="111111"/>
          <w:sz w:val="28"/>
          <w:sz w:val="28"/>
          <w:szCs w:val="28"/>
          <w:rtl w:val="true"/>
          <w:lang w:bidi="fa-IR"/>
        </w:rPr>
        <w:t xml:space="preserve">بررسی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و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قاضی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بیدهندی، حسین سلطانی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مراحل فعل الهی در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برنجکار، مکارم ترجمان</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ترجمه چکیده مقالات به زبان عربی</w:t>
      </w:r>
      <w:r>
        <w:rPr>
          <w:rFonts w:eastAsia="IRNazanin" w:cs="IRNazanin"/>
          <w:color w:val="111111"/>
          <w:sz w:val="28"/>
          <w:szCs w:val="28"/>
          <w:lang w:bidi="fa-IR"/>
        </w:rPr>
        <w:t>121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چکیده مقالات به زبان انگلیسی</w:t>
      </w:r>
      <w:r>
        <w:rPr>
          <w:rFonts w:eastAsia="IRNazanin" w:cs="IRNazanin"/>
          <w:color w:val="111111"/>
          <w:sz w:val="28"/>
          <w:szCs w:val="28"/>
          <w:lang w:bidi="fa-IR"/>
        </w:rPr>
        <w:t>127</w:t>
      </w:r>
      <w:bookmarkStart w:id="13" w:name="pg3245_36479"/>
    </w:p>
    <w:p>
      <w:pPr>
        <w:pStyle w:val="Heading2"/>
        <w:numPr>
          <w:ilvl w:val="1"/>
          <w:numId w:val="1"/>
        </w:numPr>
        <w:rPr/>
      </w:pPr>
      <w:bookmarkStart w:id="14" w:name="__RefHeading___Toc1986332_2749589250"/>
      <w:bookmarkStart w:id="15" w:name="_Toc5"/>
      <w:bookmarkEnd w:id="13"/>
      <w:bookmarkEnd w:id="14"/>
      <w:r>
        <w:rPr>
          <w:rtl w:val="true"/>
        </w:rPr>
        <w:t xml:space="preserve">بررسی و نقد اشکالات فخر رازی به براهین ابن‌سینا در اثبات علم الهی </w:t>
      </w:r>
      <w:r>
        <w:rPr>
          <w:rtl w:val="true"/>
        </w:rPr>
        <w:t>/</w:t>
      </w:r>
      <w:r>
        <w:rPr>
          <w:rtl w:val="true"/>
        </w:rPr>
        <w:t>محمود صیدی ، هادی هاشمی</w:t>
      </w:r>
      <w:bookmarkEnd w:id="15"/>
    </w:p>
    <w:p>
      <w:pPr>
        <w:pStyle w:val="Heading3"/>
        <w:numPr>
          <w:ilvl w:val="2"/>
          <w:numId w:val="1"/>
        </w:numPr>
        <w:rPr/>
      </w:pPr>
      <w:bookmarkStart w:id="16" w:name="__RefHeading___Toc1986334_274958925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محمود صیدی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هادی هاشمی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07/04/1395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20/06/1395</w:t>
      </w:r>
    </w:p>
    <w:p>
      <w:pPr>
        <w:pStyle w:val="Heading3"/>
        <w:numPr>
          <w:ilvl w:val="2"/>
          <w:numId w:val="1"/>
        </w:numPr>
        <w:rPr/>
      </w:pPr>
      <w:bookmarkStart w:id="18" w:name="__RefHeading___Toc1986336_2749589250"/>
      <w:bookmarkStart w:id="19" w:name="_Toc7"/>
      <w:bookmarkEnd w:id="18"/>
      <w:r>
        <w:rPr/>
        <w:t>1</w:t>
      </w:r>
      <w:r>
        <w:rPr>
          <w:rtl w:val="true"/>
        </w:rPr>
        <w:t xml:space="preserve"> </w:t>
      </w:r>
      <w:r>
        <w:rPr>
          <w:rtl w:val="true"/>
        </w:rPr>
        <w:t>چکیده</w:t>
      </w:r>
      <w:bookmarkEnd w:id="19"/>
    </w:p>
    <w:p>
      <w:pPr>
        <w:pStyle w:val="BookText"/>
        <w:rPr/>
      </w:pPr>
      <w:r>
        <w:rPr>
          <w:rFonts w:ascii="IRNazanin" w:hAnsi="IRNazanin" w:eastAsia="IRNazanin"/>
          <w:color w:val="111111"/>
          <w:sz w:val="28"/>
          <w:sz w:val="28"/>
          <w:szCs w:val="28"/>
          <w:rtl w:val="true"/>
          <w:lang w:bidi="fa-IR"/>
        </w:rPr>
        <w:t>ابن‌سینا برای اثبات علم ذاتی الهی و تعلق این علم به همۀ موجودات، دو برهان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نخستِ او مبتنی بر این است که واجب الوجود به دلیل مادی نبودن، ذات خویش را تعقل و ادراک می‌کند و در نتیجه، عالم به ذات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دوم نیز در اثبات علم به همۀ موجودات، مبتنی بر علم ذاتی واجب الوجود و استلزام علم به علت، نسبت به علم به معلول است که در این صورت همۀ موجودات معلوم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تفصیلاً به نقد این دو برهان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برآنیم تا ضمن بیان انتقادات فخر رازی بر این براهین، به نقاط ضعف استدلال‌های او اشاره کنیم و مغالطات صورت‌گرفته که عمدتاً ناشی از مغالطۀ مفهوم با مصداق و مفهوم با ماهیت در ادراک انسانی از خداوند، علّیت تامه خداوند نسبت به موجودات ممکن و نظریۀ ناصواب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بحث وجود ذهنی است، بپردازیم</w:t>
      </w:r>
      <w:r>
        <w:rPr>
          <w:rFonts w:eastAsia="IRNazanin" w:cs="IRNazanin"/>
          <w:color w:val="111111"/>
          <w:sz w:val="28"/>
          <w:szCs w:val="28"/>
          <w:rtl w:val="true"/>
          <w:lang w:bidi="fa-IR"/>
        </w:rPr>
        <w:t>.</w:t>
      </w:r>
    </w:p>
    <w:p>
      <w:pPr>
        <w:pStyle w:val="Heading3"/>
        <w:numPr>
          <w:ilvl w:val="2"/>
          <w:numId w:val="1"/>
        </w:numPr>
        <w:rPr/>
      </w:pPr>
      <w:bookmarkStart w:id="20" w:name="__RefHeading___Toc1986338_2749589250"/>
      <w:bookmarkStart w:id="21" w:name="_Toc8"/>
      <w:bookmarkEnd w:id="20"/>
      <w:r>
        <w:rPr/>
        <w:t>2</w:t>
      </w:r>
      <w:r>
        <w:rPr>
          <w:rtl w:val="true"/>
        </w:rPr>
        <w:t xml:space="preserve"> </w:t>
      </w:r>
      <w:r>
        <w:rPr>
          <w:rtl w:val="true"/>
        </w:rPr>
        <w:t>واژگان کلیدی</w:t>
      </w:r>
      <w:bookmarkEnd w:id="2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ابن‌سینا، فخر رازی، علم</w:t>
      </w:r>
      <w:r>
        <w:rPr>
          <w:rFonts w:eastAsia="IRNazanin" w:cs="IRNazanin"/>
          <w:color w:val="111111"/>
          <w:sz w:val="28"/>
          <w:szCs w:val="28"/>
          <w:rtl w:val="true"/>
          <w:lang w:bidi="fa-IR"/>
        </w:rPr>
        <w:t>.</w:t>
      </w:r>
      <w:bookmarkStart w:id="22" w:name="pg3245_36480"/>
    </w:p>
    <w:p>
      <w:pPr>
        <w:pStyle w:val="Heading3"/>
        <w:numPr>
          <w:ilvl w:val="2"/>
          <w:numId w:val="1"/>
        </w:numPr>
        <w:rPr/>
      </w:pPr>
      <w:bookmarkStart w:id="23" w:name="__RefHeading___Toc1986340_2749589250"/>
      <w:bookmarkStart w:id="24" w:name="_Toc9"/>
      <w:bookmarkEnd w:id="22"/>
      <w:bookmarkEnd w:id="23"/>
      <w:r>
        <w:rPr/>
        <w:t>3</w:t>
      </w:r>
      <w:r>
        <w:rPr>
          <w:rtl w:val="true"/>
        </w:rPr>
        <w:t xml:space="preserve"> </w:t>
      </w:r>
      <w:r>
        <w:rPr>
          <w:rtl w:val="true"/>
        </w:rPr>
        <w:t>مقدمه</w:t>
      </w:r>
      <w:bookmarkEnd w:id="24"/>
    </w:p>
    <w:p>
      <w:pPr>
        <w:pStyle w:val="BookText"/>
        <w:rPr/>
      </w:pPr>
      <w:r>
        <w:rPr>
          <w:rFonts w:ascii="IRNazanin" w:hAnsi="IRNazanin" w:eastAsia="IRNazanin"/>
          <w:color w:val="111111"/>
          <w:sz w:val="28"/>
          <w:sz w:val="28"/>
          <w:szCs w:val="28"/>
          <w:rtl w:val="true"/>
          <w:lang w:bidi="fa-IR"/>
        </w:rPr>
        <w:t>قرآن کریم در آیات متعددی از وجود خداوند و صفات متعدد او سخن می‌گوید که تفکر اندیشمندان مسلمان دربارۀ آن‌ها و سعی در ارائه نظامی برهانی از این مسائل، منجر به شکل‌گیری مباحث الهیاتی در عالم اسلامی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مباحث مربوط به اثبات وجود خداوند و صفات او، همواره از مسائل اساسی و بااهمیت در فلسفه و کلام اسلامی بوده و بخش‌های مهمی از کتاب‌های مربوطه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متفکران اسلامی بعد از اقامه براهینی در اثبات وجود خداوند، به بررسی و اثبات صفات او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ویژه‌ای برخوردار بوده و بحث‌های زیادی دربارۀ آن مطرح شده است، تا بدان جا که می‌توان گفت در میان صفات الهی، بیشترین مباحث دربارۀ این صفت مطرح می‌گردد و هر یک از متکلمان و فیلسوفان اسلامی، به سبک خاص خویش، عالم بودن خداوند و نحوۀ تعلق علم او به همۀ موجودات ممکن را اثبات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عالم بالذات بودن خداوند و تعلق علم او به همۀ مخلوقات مورد اتفاق همه متفکران اسلامی است، ولی در چگونگی اثبات آن هر یک مسیر خاص خود را پیموده‌اند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متفکران اسلامی، ابن‌سینا تأثیر فراوانی در شکل‌گیری مباحث الهیاتی پس از خود داشته و نظریات او همواره مورد توجه اندیشمندان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بحث‌های فراوانی در اثبات علم خداوند و نحوۀ تعلق آن به کلیات و جزئیات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ابن‌سینا در این زمینه موافقان و مخالفان زیادی داشته که هر یک به نوبۀ خود سعی در تبیین یا تضعیف و ابطال مبانی او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از مهم‌ترین منتقدان ابن‌سینا در مباحث مختلف فلسفی و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براهین ابن‌سینا در اثبات علم خداوند را به دو دستۀ کلی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می‌کند و به بررسی نقادانۀ آن‌ها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به بررسی و نقد انتقادات فخر رازی به براهین ابن‌سینا در اثبات علم الهی می‌پردازد و سعی می‌کند با استفاده از مبانی شیخ الرئیس، به آن‌ها پاسخ دهد</w:t>
      </w:r>
      <w:r>
        <w:rPr>
          <w:rFonts w:eastAsia="IRNazanin" w:cs="IRNazanin"/>
          <w:color w:val="111111"/>
          <w:sz w:val="28"/>
          <w:szCs w:val="28"/>
          <w:rtl w:val="true"/>
          <w:lang w:bidi="fa-IR"/>
        </w:rPr>
        <w:t>.</w:t>
      </w:r>
    </w:p>
    <w:p>
      <w:pPr>
        <w:pStyle w:val="Heading3"/>
        <w:numPr>
          <w:ilvl w:val="2"/>
          <w:numId w:val="1"/>
        </w:numPr>
        <w:rPr/>
      </w:pPr>
      <w:bookmarkStart w:id="25" w:name="__RefHeading___Toc1986342_2749589250"/>
      <w:bookmarkStart w:id="26" w:name="_Toc10"/>
      <w:bookmarkEnd w:id="25"/>
      <w:r>
        <w:rPr/>
        <w:t>4</w:t>
      </w:r>
      <w:r>
        <w:rPr>
          <w:rtl w:val="true"/>
        </w:rPr>
        <w:t xml:space="preserve"> </w:t>
      </w:r>
      <w:r>
        <w:rPr>
          <w:rtl w:val="true"/>
        </w:rPr>
        <w:t>برهان ابن‌سینا در اثبات علم ذاتی خداوند</w:t>
      </w:r>
      <w:bookmarkEnd w:id="26"/>
    </w:p>
    <w:p>
      <w:pPr>
        <w:pStyle w:val="Heading4"/>
        <w:numPr>
          <w:ilvl w:val="3"/>
          <w:numId w:val="1"/>
        </w:numPr>
        <w:rPr/>
      </w:pPr>
      <w:bookmarkStart w:id="27" w:name="__RefHeading___Toc1986344_2749589250"/>
      <w:bookmarkStart w:id="28" w:name="_Toc11"/>
      <w:bookmarkEnd w:id="27"/>
      <w:r>
        <w:rPr>
          <w:rtl w:val="true"/>
        </w:rPr>
        <w:t>اشاره</w:t>
      </w:r>
      <w:bookmarkEnd w:id="2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ابن‌سینا برهانی در اثبات علم ذاتی خداوند بدین شرح اقامه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مانند هر شیء دیگری امکان معقول واقع شدن دارد، چراکه هر موجودی هرچند با مفاهیمی عام مانند شیئیت،</w:t>
      </w:r>
      <w:bookmarkStart w:id="29" w:name="pg3245_36481"/>
    </w:p>
    <w:p>
      <w:pPr>
        <w:pStyle w:val="BookText"/>
        <w:rPr/>
      </w:pPr>
      <w:bookmarkEnd w:id="29"/>
      <w:r>
        <w:rPr>
          <w:rFonts w:ascii="IRNazanin" w:hAnsi="IRNazanin" w:eastAsia="IRNazanin"/>
          <w:color w:val="111111"/>
          <w:sz w:val="28"/>
          <w:sz w:val="28"/>
          <w:szCs w:val="28"/>
          <w:rtl w:val="true"/>
          <w:lang w:bidi="fa-IR"/>
        </w:rPr>
        <w:t>وجود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تعقل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لوازم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عرض و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معقول بودن هستند و برای تعقل باید از شیء حذف و تقشیر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مفروض برهان دربارۀ جوهری است که بالذات مجرد از ماده است؛ پس در تعقل آن نیازی به تقشیر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مادی نبودن، واجب الوجود ذات خویش را تعقل و ادراک می‌کند و مانعی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 لوازم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ذات خداوند، عاقل و معقول ذات خویش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ابن‌سینا،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واجب الوجود ذات خویش را تعقل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تضایف میان عاقل و معقول، معقول نیز در مقام ذات عاقل است، زیرا مفروض این برهان لحاظ واجب الوجود به تنهایی و با قطع نظر از هر موجود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متضایفان دو موجود جداگانه هستند؛ مانند علت و معلول، محرّک و متحرک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تغایر و تفاوت خارجی ندارند، بلکه از یک موجود دو مفهوم متضایف انتزاع می‌گردد؛ مانند عاقل و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خود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تکثر و تفاوت دو طرف آن نیست، بلکه سبب کثیر بودن متضایفان امری خارج از ذات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عاقل و معقول بودن سبب کثرت در ذات خداوند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ابن‌سینا،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موجود مجردی است که عاقل ذات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پیداست، ابن‌سینا با تقریری که از این برهان به دست می‌دهد، در صدد اثبات علم ذاتی خداوند است و لذا در این برهان، نظری به اثبات علم واجب الوجود به موجودات ممکن و مخلوقات الهی ندارد؛ ولی فخر رازی با استفاده از مبانی فلسفی ابن‌سینا، این برهان را به گونۀ دیگری تقریر می‌کند که علم خداوند به معلولات او را نیز نتیجه دهد</w:t>
      </w:r>
      <w:r>
        <w:rPr>
          <w:rFonts w:eastAsia="IRNazanin" w:cs="IRNazanin"/>
          <w:color w:val="111111"/>
          <w:sz w:val="28"/>
          <w:szCs w:val="28"/>
          <w:rtl w:val="true"/>
          <w:lang w:bidi="fa-IR"/>
        </w:rPr>
        <w:t>.</w:t>
      </w:r>
    </w:p>
    <w:p>
      <w:pPr>
        <w:pStyle w:val="Heading4"/>
        <w:numPr>
          <w:ilvl w:val="3"/>
          <w:numId w:val="1"/>
        </w:numPr>
        <w:rPr/>
      </w:pPr>
      <w:bookmarkStart w:id="30" w:name="__RefHeading___Toc1986346_2749589250"/>
      <w:bookmarkStart w:id="31" w:name="_Toc12"/>
      <w:bookmarkEnd w:id="30"/>
      <w:r>
        <w:rPr>
          <w:rtl w:val="true"/>
        </w:rPr>
        <w:t>تقریر فخر رازی از برهان ابن‌سینا</w:t>
      </w:r>
      <w:bookmarkEnd w:id="31"/>
    </w:p>
    <w:p>
      <w:pPr>
        <w:pStyle w:val="BookText"/>
        <w:rPr/>
      </w:pPr>
      <w:r>
        <w:rPr>
          <w:rFonts w:ascii="IRNazanin" w:hAnsi="IRNazanin" w:eastAsia="IRNazanin"/>
          <w:color w:val="111111"/>
          <w:sz w:val="28"/>
          <w:sz w:val="28"/>
          <w:szCs w:val="28"/>
          <w:rtl w:val="true"/>
          <w:lang w:bidi="fa-IR"/>
        </w:rPr>
        <w:t>پیش از نقد ادلۀ فخر رازی لازم است تقریر او از برهان ابن‌سینا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فخر رازی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واقع شدن ذات واجب الوجود و مخلوقات او، امکان دارد و ممتنع نیست؛ یعنی چنین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مجرد بودن و انتفای تزاحمات و موانع مادی، امکان عام در موجودات مجرد، مساوی وجوب و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تعقل ذات و موجودات ممکن نسبت به واجب الوجود ضرورت و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فخر رازی، لازمه این مطلب،</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
      </w:r>
      <w:bookmarkStart w:id="32" w:name="pg3245_36482"/>
    </w:p>
    <w:p>
      <w:pPr>
        <w:pStyle w:val="BookText"/>
        <w:rPr/>
      </w:pPr>
      <w:bookmarkEnd w:id="32"/>
      <w:r>
        <w:rPr>
          <w:rFonts w:ascii="IRNazanin" w:hAnsi="IRNazanin" w:eastAsia="IRNazanin"/>
          <w:color w:val="111111"/>
          <w:sz w:val="28"/>
          <w:sz w:val="28"/>
          <w:szCs w:val="28"/>
          <w:rtl w:val="true"/>
          <w:lang w:bidi="fa-IR"/>
        </w:rPr>
        <w:t xml:space="preserve">حصول ماهیت واجب الوجود و موجودات ممکن در ذهن انسانی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هنگام علم یافتن به موجودی، حصول ماهیت آن در ذهن ضروری است تا این‌که علم مطابق معلوم خارجی باشد و به سفسطه منجر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تقریر، فخر رازی با استفاده از علم ذاتی خداوند، علم داشتن او به موجودات ممکن را نیز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بدین نکته بسنده نمی‌کند و با استفاده از علم الهی به موجودات ممکن، علم ذاتی واجب الوجود را نیز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اثبات این مدعا به عبارتی از ابن‌سینا نیز استشهاد می‌جوید که طی آن علم داشتن به موجودی دیگر، مستلزم علم ذاتی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کل شی‌ء یعقل شیئا، فإنه یعقل بالقوة القریبة من الفعل أن یعقل، و ذلک عقل منه لذاته، فکل ما یعقل شیئا فله أن یعقل ذاته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ابن‌سینا،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از نظر فخر رازی با نظر به برهان اثبات علم ذاتی و مبانی فلسفی دیگر ابن‌سینا، علم داشتن واجب الوجود به موجودات ممکن، مستلزم علم داشتن خداوند به ذات خویش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 با نظر به مبانی فخر رازی، اثبات علم ذاتی خداوند با علم او به ممکنات، با یکدیگر ملازمه دارند و اثبات برهانی یکی از این دو نحوۀ علم، دیگری را نیز نتیجه می‌دهد</w:t>
      </w:r>
      <w:r>
        <w:rPr>
          <w:rFonts w:eastAsia="IRNazanin" w:cs="IRNazanin"/>
          <w:color w:val="111111"/>
          <w:sz w:val="28"/>
          <w:szCs w:val="28"/>
          <w:rtl w:val="true"/>
          <w:lang w:bidi="fa-IR"/>
        </w:rPr>
        <w:t>.</w:t>
      </w:r>
    </w:p>
    <w:p>
      <w:pPr>
        <w:pStyle w:val="Heading3"/>
        <w:numPr>
          <w:ilvl w:val="2"/>
          <w:numId w:val="1"/>
        </w:numPr>
        <w:rPr/>
      </w:pPr>
      <w:bookmarkStart w:id="33" w:name="__RefHeading___Toc1986348_2749589250"/>
      <w:bookmarkStart w:id="34" w:name="_Toc13"/>
      <w:bookmarkEnd w:id="33"/>
      <w:r>
        <w:rPr/>
        <w:t>5</w:t>
      </w:r>
      <w:r>
        <w:rPr>
          <w:rtl w:val="true"/>
        </w:rPr>
        <w:t xml:space="preserve"> </w:t>
      </w:r>
      <w:r>
        <w:rPr>
          <w:rtl w:val="true"/>
        </w:rPr>
        <w:t>انتقادات فخر رازی به برهان ابن‌سینا در اثبات علم ذاتی خداوند</w:t>
      </w:r>
      <w:bookmarkEnd w:id="34"/>
    </w:p>
    <w:p>
      <w:pPr>
        <w:pStyle w:val="Heading4"/>
        <w:numPr>
          <w:ilvl w:val="3"/>
          <w:numId w:val="1"/>
        </w:numPr>
        <w:rPr/>
      </w:pPr>
      <w:bookmarkStart w:id="35" w:name="__RefHeading___Toc1986350_2749589250"/>
      <w:bookmarkStart w:id="36" w:name="_Toc14"/>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فخر رازی از چندین جهت به بررسی نقادانۀ برهان ابن‌سینا در اثبات علم ذاتی واجب الوجود می‌پردازد و در طی آن‌ها، صحیح نبودن این استدلال را نتیجه‌گیری می‌کند که در این قسمت به بررسی و نقد آن‌ها پرداخته می‌شود</w:t>
      </w:r>
      <w:r>
        <w:rPr>
          <w:rFonts w:eastAsia="IRNazanin" w:cs="IRNazanin"/>
          <w:color w:val="111111"/>
          <w:sz w:val="28"/>
          <w:szCs w:val="28"/>
          <w:rtl w:val="true"/>
          <w:lang w:bidi="fa-IR"/>
        </w:rPr>
        <w:t>:</w:t>
      </w:r>
    </w:p>
    <w:p>
      <w:pPr>
        <w:pStyle w:val="Heading4"/>
        <w:numPr>
          <w:ilvl w:val="3"/>
          <w:numId w:val="1"/>
        </w:numPr>
        <w:rPr/>
      </w:pPr>
      <w:bookmarkStart w:id="37" w:name="__RefHeading___Toc1986352_2749589250"/>
      <w:bookmarkStart w:id="38" w:name="_Toc15"/>
      <w:bookmarkEnd w:id="37"/>
      <w:r>
        <w:rPr>
          <w:rtl w:val="true"/>
        </w:rPr>
        <w:t>الف</w:t>
      </w:r>
      <w:bookmarkEnd w:id="3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ابن‌سینا بر ممکن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امتناع نداشتن تعقل ذات خداوند 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تعقل او همراه با ممکنات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مفروضِ این برهان این است که انسان توانایی ادراک ذات خداوند و ممکنات را دارد تا این‌که بتواند با نظر به آن‌ها، عالم بودن واجب الوجود را اثبات و تحلیل کند؛ ولی مسئله این است که ذات خداوند، معلوم انسان نیست، بلکه صرفاً صفات سلبی و اضافی واجب الوجود برای انسان شناخته شده و معلوم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ذات خداوند معلوم انسان باشد، همۀ موجودات و لوازم آن‌ها نیز معقول انسان خواهد بود، زیرا خداوند علت همۀ مخلوقات است و علم به علت نیز مستلزم علم یافتن به معلول‌های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تعقل و ادراک ذات خداوند به تنهایی امکان ندارد و در نتیجه، تعقل ذات او همراه با سایر موجودات نیز ممتنع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تبیین نادرستی این مقدمه، یعنی معلوم نبودن ذات</w:t>
      </w:r>
      <w:bookmarkStart w:id="39" w:name="pg3245_36483"/>
    </w:p>
    <w:p>
      <w:pPr>
        <w:pStyle w:val="BookText"/>
        <w:rPr/>
      </w:pPr>
      <w:bookmarkEnd w:id="39"/>
      <w:r>
        <w:rPr>
          <w:rFonts w:ascii="IRNazanin" w:hAnsi="IRNazanin" w:eastAsia="IRNazanin"/>
          <w:color w:val="111111"/>
          <w:sz w:val="28"/>
          <w:sz w:val="28"/>
          <w:szCs w:val="28"/>
          <w:rtl w:val="true"/>
          <w:lang w:bidi="fa-IR"/>
        </w:rPr>
        <w:t>خداوند، نتیجۀ آن یعنی اثبات علم ذاتی واجب الوجود و علم او نسبت به ممکنات، ابطال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ابن‌سینا، انسان حقیقت واجب الوجود را ادراک نمی‌کند، بلکه صرفاً مفاهیمی از او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نیز حقیقت واجب الوجود و مصداق خارجی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تحلیل این مفهوم، به اثبات صفات دیگر خداوند، مانند واحد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نعرف حقیقة الأول، إنما نعرف منه أنه یجب له الوجود أو ما یجب له الوجود و هذا هو لازم من لوازمه لا حقیقته و نعرف بواسطة هذا اللازم لوازم أخری کالوحدانیة و سائر الصفات و حقیقته إن کان یمکن إدراکها هو الموجود بذاته أی الذی له الوجود بذاته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ابن‌سینا،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عقل انسانی با تحلیل مفاهیم وجودی، آن‌ها را به دو قسمت امکانی و وجوبی تقسیم می‌کند که این دو مفهوم از جمله وجوب، بدیهی بوده و از مفاهیم دیگر اکتساب و استنباط نشده‌اند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نعرف فی الأول أنه واجب الوجود بذاته معرفة أولیة من غیر اکتساب فإنا نقسم الوجود إلی الواجب و الممکن، ثم نعرف أن واجب الوجود بذاته یجب أن یکون واحدا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ابن‌سینا،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این مطلب، در تقریر این برهان نیازی به ادراک حقیقت واجب الوجود نیست، بلکه شناخت مفهومی در این زمینه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در نظر ابن‌سینا، عقل انسان با تحلیل مفهوم وجود و تقسیم آن به دو قسم امکانی و وجوبی، امکان معقول واقع شدن واجب الوجود را تبیین و اثبات می‌کند و با استفاده از آن، علم ذاتی واجب الوجود اثبات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 انتقاد فخر رازی در این قسمت ناشی از خلط و مغالطۀ میان شناخت مفهومی و مصداقی یا حقیقت خارجی واجب الوجود است</w:t>
      </w:r>
      <w:r>
        <w:rPr>
          <w:rFonts w:eastAsia="IRNazanin" w:cs="IRNazanin"/>
          <w:color w:val="111111"/>
          <w:sz w:val="28"/>
          <w:szCs w:val="28"/>
          <w:rtl w:val="true"/>
          <w:lang w:bidi="fa-IR"/>
        </w:rPr>
        <w:t>.</w:t>
      </w:r>
    </w:p>
    <w:p>
      <w:pPr>
        <w:pStyle w:val="Heading4"/>
        <w:numPr>
          <w:ilvl w:val="3"/>
          <w:numId w:val="1"/>
        </w:numPr>
        <w:rPr/>
      </w:pPr>
      <w:bookmarkStart w:id="40" w:name="__RefHeading___Toc1986354_2749589250"/>
      <w:bookmarkStart w:id="41" w:name="_Toc16"/>
      <w:bookmarkEnd w:id="40"/>
      <w:r>
        <w:rPr>
          <w:rtl w:val="true"/>
        </w:rPr>
        <w:t>ب</w:t>
      </w:r>
      <w:bookmarkEnd w:id="4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ذهن انسان معلومی را ادراک می‌کند، تعقلِ معلومی دیگر برای او ممکن نیست؛ مانند کسی که ذهن او مشغول حل مسئله‌ای منطقی است، تفکرِ هم‌زمان او دربارۀ مسئله‌ای هندسی، ممتنع و محال است و محال بودن آن نیز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تبیین این مطلب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قوای ادراکی انسان مشغول ادراک امری قوی شوند، تعقل امور ضعیف برای او ممکن نیست؛ مانند امتناع ادراک نور ضعیف بعد از تعقل نور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خداوند شدیدترین موجودات است و در بی‌نهایت شدت وجودی است؛ از این رو، حتی در صورتی که امکان تعقل ذات واجب الوجود پذیرفته شود، تعقل موجودات دیگر همراه او امکان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نمی‌توان با استفاده از آن، به اثبات علم الهی نسبت به موجودات</w:t>
      </w:r>
      <w:bookmarkStart w:id="42" w:name="pg3245_36484"/>
    </w:p>
    <w:p>
      <w:pPr>
        <w:pStyle w:val="BookText"/>
        <w:rPr/>
      </w:pPr>
      <w:bookmarkEnd w:id="42"/>
      <w:r>
        <w:rPr>
          <w:rFonts w:ascii="IRNazanin" w:hAnsi="IRNazanin" w:eastAsia="IRNazanin"/>
          <w:color w:val="111111"/>
          <w:sz w:val="28"/>
          <w:sz w:val="28"/>
          <w:szCs w:val="28"/>
          <w:rtl w:val="true"/>
          <w:lang w:bidi="fa-IR"/>
        </w:rPr>
        <w:t>ممکن پرداخت</w:t>
      </w:r>
      <w:r>
        <w:rPr>
          <w:rFonts w:eastAsia="IRNazanin" w:cs="IRNazanin"/>
          <w:color w:val="111111"/>
          <w:sz w:val="28"/>
          <w:szCs w:val="28"/>
          <w:rtl w:val="true"/>
          <w:lang w:bidi="fa-IR"/>
        </w:rPr>
        <w:t>.</w:t>
      </w:r>
    </w:p>
    <w:p>
      <w:pPr>
        <w:pStyle w:val="BookText"/>
        <w:rPr/>
      </w:pP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براهینی که ابن‌سینا در اثبات تجرد نفس ناطقه اقامه می‌کند، از جهت عدم توانایی قوای بدنی در ادراک امور ضعیف بعد از شدید است، در حالی که قوۀ عاقله چنین نیست؛ در نتیجه، نفس ناطقه با قوای جسمانی متفاوت بوده و مجرد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با استفاده از این نکته، ممکن نبودن تعقل موجودات ممکن همراه با تعقل ذات خداوند را اثبات می‌کند، ولی مسئله این است که طبق برهان ابن‌سینا در اثبات تجرد نفس ناطقه، این قوای بدنی هستند که توانایی ادراک امور ضعیف بعد از شدید را ندارند نه قوه عاقله، چراکه این قوه به دلیل مجرد بودن می‌تواند موجودات ضعیف را همراه شدید تعقل کند؛ پس نفس ناطقۀ انسانی به دلیل مادی نبودن می‌تواند واجب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شدت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موجودات ممکن تعقل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طرح این اشکال از سوی فخر رازی مبنی بر فهم نادرستی از برهان ابن‌سینا در اثبات تجرد نفس ناطقه و مغالطه میان احکام قوای مادی با مجرد است</w:t>
      </w:r>
      <w:r>
        <w:rPr>
          <w:rFonts w:eastAsia="IRNazanin" w:cs="IRNazanin"/>
          <w:color w:val="111111"/>
          <w:sz w:val="28"/>
          <w:szCs w:val="28"/>
          <w:rtl w:val="true"/>
          <w:lang w:bidi="fa-IR"/>
        </w:rPr>
        <w:t>.</w:t>
      </w:r>
    </w:p>
    <w:p>
      <w:pPr>
        <w:pStyle w:val="Heading4"/>
        <w:numPr>
          <w:ilvl w:val="3"/>
          <w:numId w:val="1"/>
        </w:numPr>
        <w:rPr/>
      </w:pPr>
      <w:bookmarkStart w:id="43" w:name="__RefHeading___Toc1986356_2749589250"/>
      <w:bookmarkStart w:id="44" w:name="_Toc17"/>
      <w:bookmarkEnd w:id="43"/>
      <w:r>
        <w:rPr>
          <w:rtl w:val="true"/>
        </w:rPr>
        <w:t>ج</w:t>
      </w:r>
      <w:bookmarkEnd w:id="44"/>
    </w:p>
    <w:p>
      <w:pPr>
        <w:pStyle w:val="BookText"/>
        <w:rPr/>
      </w:pPr>
      <w:r>
        <w:rPr>
          <w:rFonts w:ascii="IRNazanin" w:hAnsi="IRNazanin" w:eastAsia="IRNazanin"/>
          <w:color w:val="111111"/>
          <w:sz w:val="28"/>
          <w:sz w:val="28"/>
          <w:szCs w:val="28"/>
          <w:rtl w:val="true"/>
          <w:lang w:bidi="fa-IR"/>
        </w:rPr>
        <w:t>در برهان ابن‌سینا بر اثبات علم الهی بیان گردید که تعقل ذات خداوند همراه با موجودات دیگر،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فخر رازی، چنین حکمی دربارۀ موجودات زمانی صحیح است که انسان پیش‌تر تجربۀ ادراکی از آن‌ها داشته باشد؛ ولی اشکال این است که انسان نمی‌تواند تجربۀ ادراکی از همۀ مخلوقات الهی داشته باشد، زیرا آن‌ها نامتناهی‌اند، ولی ادراک انسانی،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 دلیل امتناع تجربۀ ادراکی داشتن از همه مخلوقات خداوند، نمی‌توان امکان تعقل ذات خداوند همراه با ممکنات را اثبات کرد و لذا چنین حکمی ممتنع است نه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ذات خداوند همراه با اشیای دیگر مبتنی بر علّیت خداوند نسبت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خود فخر رازی در تقریر این برهان از ماهیت بودن سایر معلومات استفاده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کل مجرد فانه یمکنه ان یقارنه سائر المجردات فکل ما یمکن فی حق الباری تعالی فهو واجب فاذا الباری یجب ان تقارن ذاته سائر الماهیات فهو اذا عالم بجمیع الماهیات التی تغایره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رازی،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ملاک نیاز معلول به علت، حالت تساوی داشتن ماهیت</w:t>
      </w:r>
      <w:bookmarkStart w:id="45" w:name="pg3245_36485"/>
    </w:p>
    <w:p>
      <w:pPr>
        <w:pStyle w:val="BookText"/>
        <w:rPr/>
      </w:pPr>
      <w:bookmarkEnd w:id="45"/>
      <w:r>
        <w:rPr>
          <w:rFonts w:ascii="IRNazanin" w:hAnsi="IRNazanin" w:eastAsia="IRNazanin"/>
          <w:color w:val="111111"/>
          <w:sz w:val="28"/>
          <w:sz w:val="28"/>
          <w:szCs w:val="28"/>
          <w:rtl w:val="true"/>
          <w:lang w:bidi="fa-IR"/>
        </w:rPr>
        <w:t>نسبت به وجود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میان علت و معلول رابطۀ تضایف برقرار است و به این دلیل، تعقل هر یک با ادراک دیگری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امکان تعقل ذات خداوند با هر موجودی دیگری نیز اثبات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این‌که، ثبوت این برهان مبتنی بر تجربۀ ادراکی نیست، بلکه متوقف بر علّیت خداوند نسبت به سایر معلومات و ممکنات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در اثبات امکان تعقل ذات خداوند با ممکنات، علم اجمالی کفایت می‌کند و نیازی به علم تفصیلی نسبت به همۀ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مخلوقات نیز مقدور انسانی است</w:t>
      </w:r>
      <w:r>
        <w:rPr>
          <w:rFonts w:eastAsia="IRNazanin" w:cs="IRNazanin"/>
          <w:color w:val="111111"/>
          <w:sz w:val="28"/>
          <w:szCs w:val="28"/>
          <w:rtl w:val="true"/>
          <w:lang w:bidi="fa-IR"/>
        </w:rPr>
        <w:t>.</w:t>
      </w:r>
    </w:p>
    <w:p>
      <w:pPr>
        <w:pStyle w:val="Heading4"/>
        <w:numPr>
          <w:ilvl w:val="3"/>
          <w:numId w:val="1"/>
        </w:numPr>
        <w:rPr/>
      </w:pPr>
      <w:bookmarkStart w:id="46" w:name="__RefHeading___Toc1986358_2749589250"/>
      <w:bookmarkStart w:id="47" w:name="_Toc18"/>
      <w:bookmarkEnd w:id="46"/>
      <w:r>
        <w:rPr>
          <w:rtl w:val="true"/>
        </w:rPr>
        <w:t>د</w:t>
      </w:r>
      <w:bookmarkEnd w:id="47"/>
    </w:p>
    <w:p>
      <w:pPr>
        <w:pStyle w:val="BookText"/>
        <w:rPr/>
      </w:pPr>
      <w:r>
        <w:rPr>
          <w:rFonts w:ascii="IRNazanin" w:hAnsi="IRNazanin" w:eastAsia="IRNazanin"/>
          <w:color w:val="111111"/>
          <w:sz w:val="28"/>
          <w:sz w:val="28"/>
          <w:szCs w:val="28"/>
          <w:rtl w:val="true"/>
          <w:lang w:bidi="fa-IR"/>
        </w:rPr>
        <w:t xml:space="preserve">گاهی حکم تک تک افراد یک کل مجموعی با حکم کل آن مجموعه، یکی نیست؛ مانند حکم به سیر شدن با یک قرص نان که دربارۀ تک تک افراد انسانی صحیح است، ولی دربارۀ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حتی در صورت پذیرش امکان ادراک ذات خداوند همراه با تک تک معلومات و مخلوقات او، ادراک ذات خداوند همراه با همۀ آن‌ها امکان ندارد و ممتنع است؛ در حالی که مدعای این برهان اثبات ادراک ذات خداوند و همۀ معلومات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حکم مجموعی با حکم افرادی متفاوت است؛ مانند حکم به سیر شدن با یک قرص نان که دربارۀ تک تک افراد انسانی صحیح است، ولی دربارۀ همۀ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حکم مجموعی با حکم افرادی یکسان است؛ مانند حکم ممکن بودن نسبت به یک معلول که دربارۀ همه معلول‌ها نیز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امکان تعقل همۀ ممکنات همراه با خداوند، حکم افرادی با حکم مجموعی یکسان است و تفاوتی ندارد، زیرا ملاک چنین امری، ممکن و مخلوق بودن آن‌ها نسبت به واجب الوجود است که در همۀ آن‌ها وجود دارد و یکسان است</w:t>
      </w:r>
      <w:r>
        <w:rPr>
          <w:rFonts w:eastAsia="IRNazanin" w:cs="IRNazanin"/>
          <w:color w:val="111111"/>
          <w:sz w:val="28"/>
          <w:szCs w:val="28"/>
          <w:rtl w:val="true"/>
          <w:lang w:bidi="fa-IR"/>
        </w:rPr>
        <w:t>.</w:t>
      </w:r>
    </w:p>
    <w:p>
      <w:pPr>
        <w:pStyle w:val="Heading4"/>
        <w:numPr>
          <w:ilvl w:val="3"/>
          <w:numId w:val="1"/>
        </w:numPr>
        <w:rPr/>
      </w:pPr>
      <w:bookmarkStart w:id="48" w:name="__RefHeading___Toc1986360_2749589250"/>
      <w:bookmarkStart w:id="49" w:name="_Toc19"/>
      <w:bookmarkEnd w:id="48"/>
      <w:r>
        <w:rPr>
          <w:rtl w:val="true"/>
        </w:rPr>
        <w:t>ه</w:t>
      </w:r>
      <w:bookmarkEnd w:id="4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برهان مبتنی بر حصول ماهیات اشیای خارجی در ذهن انسان هنگام تعقل آن‌هاست، زیرا با استفاده از مقارن بودن ادراک ماهیات اشیای خارجی با ذات خداوند به اثبات علم الهی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از دیدگاه ابن‌سینا، ماهیت اشیای خارجی هنگام ادراک آن‌ها در ذهن انسانی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ماهیت موجودات خارجی در ذهن حلول می‌کند و ذهن میان آن‌ها مقارنت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فخر رازی، این نظریه در بحث وجود ذهنی صحیح نیست و با اشکالات متعددی از جمله لزوم اجتماع مثلین در تعقل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حلول حقیقت جمادات در ذهن هنگام ادراک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است</w:t>
      </w:r>
      <w:r>
        <w:rPr>
          <w:rFonts w:eastAsia="IRNazanin" w:cs="IRNazanin"/>
          <w:color w:val="111111"/>
          <w:sz w:val="28"/>
          <w:szCs w:val="28"/>
          <w:rtl w:val="true"/>
          <w:lang w:bidi="fa-IR"/>
        </w:rPr>
        <w:t>.</w:t>
      </w:r>
      <w:bookmarkStart w:id="50" w:name="pg3245_36486"/>
    </w:p>
    <w:p>
      <w:pPr>
        <w:pStyle w:val="BookText"/>
        <w:rPr/>
      </w:pPr>
      <w:bookmarkEnd w:id="50"/>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دو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حصولی به واسطۀ حلول ماهیت اشیای خارجی در ذهن عاقل است، ولی علم حضوری چنین نیست و حضور خود ذات بدون نیاز به حلول ماهیت، در ادراک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ابن‌سینا،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از دیدگاه ابن‌سینا، علم انسان به ذات خویش، به واسطۀ حلول صورتی در ذهن نیست تا اشکال اجتماع مثلین لازم آید؛ به بیان دیگر، علم انسان به ذات خویش حضوری است و لذا نیازی به حصول ماهیت موجود خارجی در ذهن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فشعورها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النفس الناطقه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بذاتها بالطبع لها و إذا کان کذلک لم یکن باکتساب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نکات گفته‌شده، فخر رازی در طرح این اشکال میان دو قسم علم، یعنی حضوری و حصولی تفاوت نمی‌گذارد و گرفتار مغالطۀ میان آن 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دیدگاه ابن‌سینا، حصول ماهیت اشیای خارجی به معنای انتقال حقیقت خارجی آن‌ها به ذهن عاقل نیست، بلکه تعقل یا انتزاع معنا و ماهیت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العقل ینتزع صور الموجودات و یستثبتها فی ذاته، فلیس معناه أنه ینتزع تلک الصور و الذوات کما هی، بل یعقل معناها و یستثبت ذلک المعنی فی ذاته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هنگام تعقل، ماهیت شیء خارجی در ذهن حاصل می‌شود، نه عوارض خارجی آن؛</w:t>
      </w:r>
    </w:p>
    <w:p>
      <w:pPr>
        <w:pStyle w:val="BookText"/>
        <w:rPr/>
      </w:pPr>
      <w:r>
        <w:rPr>
          <w:rFonts w:ascii="IRNazanin" w:hAnsi="IRNazanin" w:eastAsia="IRNazanin"/>
          <w:color w:val="111111"/>
          <w:sz w:val="28"/>
          <w:sz w:val="28"/>
          <w:szCs w:val="28"/>
          <w:rtl w:val="true"/>
          <w:lang w:bidi="fa-IR"/>
        </w:rPr>
        <w:t>از این رو، هنگام تعقل و ادراک جمادات، حقیقت خارجی آن‌ها در ذهن انسانی حاصل</w:t>
      </w:r>
    </w:p>
    <w:p>
      <w:pPr>
        <w:pStyle w:val="BookText"/>
        <w:rPr/>
      </w:pPr>
      <w:r>
        <w:rPr>
          <w:rFonts w:ascii="IRNazanin" w:hAnsi="IRNazanin" w:eastAsia="IRNazanin"/>
          <w:color w:val="111111"/>
          <w:sz w:val="28"/>
          <w:sz w:val="28"/>
          <w:szCs w:val="28"/>
          <w:rtl w:val="true"/>
          <w:lang w:bidi="fa-IR"/>
        </w:rPr>
        <w:t>نمی‌گردد</w:t>
      </w:r>
      <w:r>
        <w:rPr>
          <w:rFonts w:eastAsia="IRNazanin" w:cs="IRNazanin"/>
          <w:color w:val="111111"/>
          <w:sz w:val="28"/>
          <w:szCs w:val="28"/>
          <w:rtl w:val="true"/>
          <w:lang w:bidi="fa-IR"/>
        </w:rPr>
        <w:t>.</w:t>
      </w:r>
    </w:p>
    <w:p>
      <w:pPr>
        <w:pStyle w:val="Heading4"/>
        <w:numPr>
          <w:ilvl w:val="3"/>
          <w:numId w:val="1"/>
        </w:numPr>
        <w:rPr/>
      </w:pPr>
      <w:bookmarkStart w:id="51" w:name="__RefHeading___Toc1986362_2749589250"/>
      <w:bookmarkStart w:id="52" w:name="_Toc20"/>
      <w:bookmarkEnd w:id="51"/>
      <w:r>
        <w:rPr>
          <w:rtl w:val="true"/>
        </w:rPr>
        <w:t>و</w:t>
      </w:r>
      <w:bookmarkEnd w:id="5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مقارنت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نسبت به حال، حال نسبت به محل و دو حال نسبت به یک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مقارنت میان علم به خداوند با علم به موجودات ممکن، از نوع مقارنت دو حال نسبت به یک محل است، زیرا هر دو در ذهن انسانی حلول کرده‌اند؛ ولی همراهی میان صورت‌های ذهنی و نفس ناطقه، از نوع مقارنت میان حال با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مقارنت موجود خارجی با صور عقلی از نوع محل نسبت به 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تفاوت این سه نوع مقارنت، از صدق یکی از آن‌ها صدق انواع دیگر لازم نمی‌آید، زیرا ماهیات مختلف، احکام یکسانی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ذهنی، مساوی اشیای خارجی در تمام ماهیت هستند؛ از این رو، اگر مقارنت میان آن‌ها در حالت ذهنی بودن صادق است، در حالت خارجی بودن نیز باید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مطلبِ صحیحی نیست، چراکه مقارنت برخی با برخی دیگر، مقارنت دو حال در یک محل و مقارنت آن‌ها با جوهر نفس، مقارنت حال با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فرض وجود خارجی آن‌ها و مقارنت با صورت‌های دیگر، مقارنت محل با حال خواهد بود که با فرض نخستین سازگار نبوده و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تفاوت این سه نوع مقارنت، از صدق یکی از آن‌ها صدق انواع دیگر لازم نمی‌آید، زیرا</w:t>
      </w:r>
      <w:bookmarkStart w:id="53" w:name="pg3245_36487"/>
    </w:p>
    <w:p>
      <w:pPr>
        <w:pStyle w:val="BookText"/>
        <w:rPr/>
      </w:pPr>
      <w:bookmarkEnd w:id="53"/>
      <w:r>
        <w:rPr>
          <w:rFonts w:ascii="IRNazanin" w:hAnsi="IRNazanin" w:eastAsia="IRNazanin"/>
          <w:color w:val="111111"/>
          <w:sz w:val="28"/>
          <w:sz w:val="28"/>
          <w:szCs w:val="28"/>
          <w:rtl w:val="true"/>
          <w:lang w:bidi="fa-IR"/>
        </w:rPr>
        <w:t>احکام ماهیات مختلف،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برهان مغالطۀ میان انواع مقارنت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ابن‌سینا از مقارنت دو حال نسبت به یک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علم به خداوند با علم به موجودات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مقارنت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حال نسبت به یک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می‌گیرد؛ در حالی که چنین مطلبی صحیح نیست و ماهیات مختلف، احکام متفاوتی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فخر رازی نیز در این اشکال بیان می‌کند، صورت‌های ذهنی، مقارنت دو حال نسبت به یک محل دارند، زیرا ماهیات ذهنی، چنین نسبتی با یکدیگر دارند و در یک محل حلول کرده‌اند؛ ولی با وجود تساوی ماهوی میان ماهیات ذهنی و خارجی، آن دو در همۀ لوازم یکسان نیستند، چون ماهیات خارجی، دارای عوارض خارجی‌اند و در مقابل ماهیات ذهنی، فاقد این‌گونه عوارض بوده و نسبت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تساوی ماهوی و مقارنت ذهنی، تساوی مقارنت خارجی و ذهنی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مقارنت میان صورت‌های ذهنی، ناظر به خارجی می‌باشد و ذهنی 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خلط میان مقارنت ذهنی با خارجی در این برهان صورت نگرفته است</w:t>
      </w:r>
    </w:p>
    <w:p>
      <w:pPr>
        <w:pStyle w:val="Heading4"/>
        <w:numPr>
          <w:ilvl w:val="3"/>
          <w:numId w:val="1"/>
        </w:numPr>
        <w:rPr/>
      </w:pPr>
      <w:bookmarkStart w:id="54" w:name="__RefHeading___Toc1986364_2749589250"/>
      <w:bookmarkStart w:id="55" w:name="_Toc21"/>
      <w:bookmarkEnd w:id="54"/>
      <w:r>
        <w:rPr>
          <w:rtl w:val="true"/>
        </w:rPr>
        <w:t>ی</w:t>
      </w:r>
      <w:bookmarkEnd w:id="55"/>
    </w:p>
    <w:p>
      <w:pPr>
        <w:pStyle w:val="BookText"/>
        <w:rPr/>
      </w:pPr>
      <w:r>
        <w:rPr>
          <w:rFonts w:ascii="IRNazanin" w:hAnsi="IRNazanin" w:eastAsia="IRNazanin"/>
          <w:color w:val="111111"/>
          <w:sz w:val="28"/>
          <w:sz w:val="28"/>
          <w:szCs w:val="28"/>
          <w:rtl w:val="true"/>
          <w:lang w:bidi="fa-IR"/>
        </w:rPr>
        <w:t>طبق برهان ابن‌سینا، احکام ماهیت در وجود خارجی و ذهنی یکسان است، زیرا در برهان او، از حکم ذهنی امکان معقول بودن، خارجی بودن آن نتیجه‌گیری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مطلب صحیح نیست، چون ماهیات ذهنی، عَرَض بوده و نیازمند محل هستند، ولی ماهیات خارجی، جوهر بوده و بی‌نیاز از محل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الوجود نیز ماهیت ذهنی ندارد، چراکه در این صورت، واجب الوجود ماهیت نوعی نسبت به اشخاص و افراد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تشخص و تعین خویش نیازمند عوارض مادی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صورت وجود ذهنی داشتن، واجب الوجود نیز در تعین ذهنی نیازمند محل و ذهن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ادراک واجب الوجود، ماهیت او در ذهن انسانی حلول نمی‌کند، زیرا واجب الوجود ماهیت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انسان واجب الوجود را با مفاهیمی کلی مانند وجوب وجود، وحدت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برهان متوقف بر حلول ماهیت واجب الوجود در ذهن نیست تا این‌که از چنین مطلبی، به دلیل تساوی ماهیت در ذهن و خارج، خارجی بودن علم واجب الوجود نتیجه‌گیری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فخر رازی در این انتقاد میان ماهیت و وجود، خلط می‌کند و گرفتار مغالطۀ میان احکام آن‌ها می‌گردد</w:t>
      </w:r>
      <w:r>
        <w:rPr>
          <w:rFonts w:eastAsia="IRNazanin" w:cs="IRNazanin"/>
          <w:color w:val="111111"/>
          <w:sz w:val="28"/>
          <w:szCs w:val="28"/>
          <w:rtl w:val="true"/>
          <w:lang w:bidi="fa-IR"/>
        </w:rPr>
        <w:t>.</w:t>
      </w:r>
      <w:bookmarkStart w:id="56" w:name="pg3245_36488"/>
    </w:p>
    <w:p>
      <w:pPr>
        <w:pStyle w:val="Heading3"/>
        <w:numPr>
          <w:ilvl w:val="2"/>
          <w:numId w:val="1"/>
        </w:numPr>
        <w:rPr/>
      </w:pPr>
      <w:bookmarkStart w:id="57" w:name="__RefHeading___Toc1986366_2749589250"/>
      <w:bookmarkStart w:id="58" w:name="_Toc22"/>
      <w:bookmarkEnd w:id="56"/>
      <w:bookmarkEnd w:id="57"/>
      <w:r>
        <w:rPr/>
        <w:t>6</w:t>
      </w:r>
      <w:r>
        <w:rPr>
          <w:rtl w:val="true"/>
        </w:rPr>
        <w:t xml:space="preserve"> </w:t>
      </w:r>
      <w:r>
        <w:rPr>
          <w:rtl w:val="true"/>
        </w:rPr>
        <w:t>برهان ابن‌سینا در اثبات علم خداوند به موجودات ممکن</w:t>
      </w:r>
      <w:bookmarkEnd w:id="58"/>
    </w:p>
    <w:p>
      <w:pPr>
        <w:pStyle w:val="BookText"/>
        <w:rPr/>
      </w:pPr>
      <w:r>
        <w:rPr>
          <w:rFonts w:ascii="IRNazanin" w:hAnsi="IRNazanin" w:eastAsia="IRNazanin"/>
          <w:color w:val="111111"/>
          <w:sz w:val="28"/>
          <w:sz w:val="28"/>
          <w:szCs w:val="28"/>
          <w:rtl w:val="true"/>
          <w:lang w:bidi="fa-IR"/>
        </w:rPr>
        <w:t>در قسمت قبل، برهان ابن‌سینا در اثبات علم ذاتی خداوند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الرئیس استدلالی دیگر در اثبات عالم بودن خداوند نسبت به مخلوقات اقامه می‌کند که تقریر آن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برهان قبل، خداوند عالم به ذات خویش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ابن‌سینا،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علت، مستلزم علم به معلول نیز هست؛ از این رو، واجب الوجود به دلیل علت بودن نسبت به همۀ موجودات و مخلوقات، نسبت به آن‌ها عالم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منجمی با علم یافتن نسبت به اسباب و علل، وقوع کسوف در زمان معین و مشخصی را پیش‌بینی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علمی به دلیل اکتساب نشدن از معلوم خارجی،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علم انفعالی قرار دارد که بعد از وقوع کسوف، علم به آن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ابن‌سینا،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برهان، خداوند جزئیات را به نحو کلی تعقل می‌کند و تغییر آن‌ها، در تعقل خداوند خللی ایجاد نمی‌کند، زیرا خداوند از جهت اسباب و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آن‌ها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دلیل علم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استلزام علم به علت نسبت به علم به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بودن خداوند نسبت به همۀ موجودات اثبات می‌گردد، زیرا واجب الوجود علت همۀ ممکنات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ابن‌سینا،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Heading3"/>
        <w:numPr>
          <w:ilvl w:val="2"/>
          <w:numId w:val="1"/>
        </w:numPr>
        <w:rPr/>
      </w:pPr>
      <w:bookmarkStart w:id="59" w:name="__RefHeading___Toc1986368_2749589250"/>
      <w:bookmarkStart w:id="60" w:name="_Toc23"/>
      <w:bookmarkEnd w:id="59"/>
      <w:r>
        <w:rPr/>
        <w:t>7</w:t>
      </w:r>
      <w:r>
        <w:rPr>
          <w:rtl w:val="true"/>
        </w:rPr>
        <w:t xml:space="preserve"> </w:t>
      </w:r>
      <w:r>
        <w:rPr>
          <w:rtl w:val="true"/>
        </w:rPr>
        <w:t>انتقادات فخر رازی به برهان ابن‌سینا در اثبات علم خداوند به ممکنات</w:t>
      </w:r>
      <w:bookmarkEnd w:id="60"/>
    </w:p>
    <w:p>
      <w:pPr>
        <w:pStyle w:val="Heading4"/>
        <w:numPr>
          <w:ilvl w:val="3"/>
          <w:numId w:val="1"/>
        </w:numPr>
        <w:rPr/>
      </w:pPr>
      <w:bookmarkStart w:id="61" w:name="__RefHeading___Toc1986370_2749589250"/>
      <w:bookmarkStart w:id="62" w:name="_Toc24"/>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در قسمت قبل بیان گردید که برهان ابن‌سینا در اثبات علم الهی نسبت به ممکنات، از دو مقدمه اصلی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انتقادات فخر رازی نسبت به این برهان نیز مبتنی بر دو مقدمۀ آن است که در قسمت‌های بعد به ترتیب به بررسی و نقد آن‌ها پرداخته می‌شود</w:t>
      </w:r>
      <w:r>
        <w:rPr>
          <w:rFonts w:eastAsia="IRNazanin" w:cs="IRNazanin"/>
          <w:color w:val="111111"/>
          <w:sz w:val="28"/>
          <w:szCs w:val="28"/>
          <w:rtl w:val="true"/>
          <w:lang w:bidi="fa-IR"/>
        </w:rPr>
        <w:t>.</w:t>
      </w:r>
    </w:p>
    <w:p>
      <w:pPr>
        <w:pStyle w:val="Heading4"/>
        <w:numPr>
          <w:ilvl w:val="3"/>
          <w:numId w:val="1"/>
        </w:numPr>
        <w:rPr/>
      </w:pPr>
      <w:bookmarkStart w:id="63" w:name="__RefHeading___Toc1986372_2749589250"/>
      <w:bookmarkStart w:id="64" w:name="_Toc25"/>
      <w:bookmarkEnd w:id="63"/>
      <w:r>
        <w:rPr/>
        <w:t>1</w:t>
      </w:r>
      <w:r>
        <w:rPr>
          <w:rtl w:val="true"/>
        </w:rPr>
        <w:t xml:space="preserve">. </w:t>
      </w:r>
      <w:r>
        <w:rPr>
          <w:rtl w:val="true"/>
        </w:rPr>
        <w:t>نقادی انتقادات فخر رازی به عالم بالذات بودن خداوند از دیدگاه ابن‌سینا</w:t>
      </w:r>
      <w:bookmarkEnd w:id="64"/>
    </w:p>
    <w:p>
      <w:pPr>
        <w:pStyle w:val="Heading5"/>
        <w:numPr>
          <w:ilvl w:val="4"/>
          <w:numId w:val="1"/>
        </w:numPr>
        <w:rPr/>
      </w:pPr>
      <w:bookmarkStart w:id="65" w:name="__RefHeading___Toc1986374_2749589250"/>
      <w:bookmarkStart w:id="66" w:name="_Toc26"/>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مقدمۀ نخست برهان ابن‌سینا در اثبات علم الهی نسبت به ممکنات، علم ذاتی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اشکالاتی را دربارۀ این مطلب مطرح می‌کند که به بررسی آن‌ها می‌پردازیم</w:t>
      </w:r>
      <w:r>
        <w:rPr>
          <w:rFonts w:eastAsia="IRNazanin" w:cs="IRNazanin"/>
          <w:color w:val="111111"/>
          <w:sz w:val="28"/>
          <w:szCs w:val="28"/>
          <w:rtl w:val="true"/>
          <w:lang w:bidi="fa-IR"/>
        </w:rPr>
        <w:t>:</w:t>
      </w:r>
    </w:p>
    <w:p>
      <w:pPr>
        <w:pStyle w:val="Heading5"/>
        <w:numPr>
          <w:ilvl w:val="4"/>
          <w:numId w:val="1"/>
        </w:numPr>
        <w:rPr/>
      </w:pPr>
      <w:bookmarkStart w:id="67" w:name="__RefHeading___Toc1986376_2749589250"/>
      <w:bookmarkStart w:id="68" w:name="_Toc27"/>
      <w:bookmarkEnd w:id="67"/>
      <w:r>
        <w:rPr>
          <w:rtl w:val="true"/>
        </w:rPr>
        <w:t>الف</w:t>
      </w:r>
      <w:bookmarkEnd w:id="6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این برهان متوقف بر حصول ماهیت اشیای خارجی در ذهن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برهان از علم به علت، یعنی حصول ماهیت علت در ذهن، به وجود معلول استدلال می‌شود؛ به این بیان که انسان با حاضر کردن ماهیت علت در ذهن خویش از سویی، و ماهیت معلول از سوی دیگر، استلزام میان علم به علت را با علم به معلول نتیجه‌گیری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بیان گردید که حصول ماهیت اشیای خارجی در باب علم، به دلیل اجتماع</w:t>
      </w:r>
      <w:bookmarkStart w:id="69" w:name="pg3245_36489"/>
    </w:p>
    <w:p>
      <w:pPr>
        <w:pStyle w:val="BookText"/>
        <w:rPr/>
      </w:pPr>
      <w:bookmarkEnd w:id="69"/>
      <w:r>
        <w:rPr>
          <w:rFonts w:ascii="IRNazanin" w:hAnsi="IRNazanin" w:eastAsia="IRNazanin"/>
          <w:color w:val="111111"/>
          <w:sz w:val="28"/>
          <w:sz w:val="28"/>
          <w:szCs w:val="28"/>
          <w:rtl w:val="true"/>
          <w:lang w:bidi="fa-IR"/>
        </w:rPr>
        <w:t xml:space="preserve">مثلین صحیح نیست؛ بدین جهت، فخر رازی معتقد به نظریۀ اضافه در بحث وجود ذهنی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قسمت‌های پیشین بیان گردید که انتقادات فخر رازی به حصول ماهیات اشیای خارجی در ذهن، صحیح نیست، زیرا او در این انتقادات میان علم حصول و حضوری خلط می‌کند و گرفتار مغالطۀ میان احکام آن‌ها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هنگامی که ماهیت موجود خارجی در ذهن انسانی حاصل می‌گردد، نسبتی میان صورت ذهنی و معلوم خارجی آن برقرار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لازمۀ حصول ماهیت در ذهن، داشتن نسبت با معلوم خارجی است که فخر رازی در طرح نظریۀ اضافه میان لازم و ملزوم خلط کرده و گرفتار مغالطه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این اشکال، تعقل مفاهیم علت و معلول در ثبوت این برهان کفایت می‌کند و نیازی به حصول ماهیت آن‌ها در ذهن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خلط مفهوم با ماهیت، یکی دیگر از مغالطات فخر رازی در طرح این اشکال است</w:t>
      </w:r>
      <w:r>
        <w:rPr>
          <w:rFonts w:eastAsia="IRNazanin" w:cs="IRNazanin"/>
          <w:color w:val="111111"/>
          <w:sz w:val="28"/>
          <w:szCs w:val="28"/>
          <w:rtl w:val="true"/>
          <w:lang w:bidi="fa-IR"/>
        </w:rPr>
        <w:t>.</w:t>
      </w:r>
    </w:p>
    <w:p>
      <w:pPr>
        <w:pStyle w:val="Heading5"/>
        <w:numPr>
          <w:ilvl w:val="4"/>
          <w:numId w:val="1"/>
        </w:numPr>
        <w:rPr/>
      </w:pPr>
      <w:bookmarkStart w:id="70" w:name="__RefHeading___Toc1986378_2749589250"/>
      <w:bookmarkStart w:id="71" w:name="_Toc28"/>
      <w:bookmarkEnd w:id="70"/>
      <w:r>
        <w:rPr>
          <w:rtl w:val="true"/>
        </w:rPr>
        <w:t>ب</w:t>
      </w:r>
      <w:bookmarkEnd w:id="7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بودن موجودی نزد موجودی دیگر به معنای حصول نسبت و اضافۀ میان آن دو، یعنی عالم و معلوم است تا ادراک و تعقل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چنین مطلبی دربارۀ علم ذاتی که طرف دومی در آن وجود ندارد،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تغایر و تفاوت در ذات عالم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دلیل این‌که علم با وجود اضافه میان عالم و معلوم حاصل می‌شود، در فرض نبود اضافه مانند علم ذاتی خداوند، ادراکی متحقق نیست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مقوله‌ای دوطرفه است که با تعقل هر یک، دیگری نیز ادراک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نظریۀ اضافه در بحث وجود ذهنی نیز مستلزم وجود دو طرف عالم و معلوم است که فخر رازی در مواردی از آثار و کتب خویش، وجود آن را در علم ذاتی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الإدراک عبارة عن حالة نسبیة إضافیة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حصلت لذات الإنسان مع ذاتها تلک الإضافة، صار الإنسان عالما بذاته المخصوصة و إلّا بقی غافلا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رازی،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این اشکال رازی با مبانی دیگر او سازگار نیست و مبانی او در این زمینه دچار ناسازگاری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در علم ذاتی به دلیل حضوری بودن، نیازی به حصول نسبت یا اضافه نیست و علم و عالم و معلوم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مغالطۀ دیگر این اشکال، خلط علم حضوری با حصولی است</w:t>
      </w:r>
      <w:bookmarkStart w:id="72" w:name="pg3245_36490"/>
    </w:p>
    <w:p>
      <w:pPr>
        <w:pStyle w:val="Heading4"/>
        <w:numPr>
          <w:ilvl w:val="3"/>
          <w:numId w:val="1"/>
        </w:numPr>
        <w:rPr/>
      </w:pPr>
      <w:bookmarkStart w:id="73" w:name="__RefHeading___Toc1986380_2749589250"/>
      <w:bookmarkStart w:id="74" w:name="_Toc29"/>
      <w:bookmarkEnd w:id="72"/>
      <w:bookmarkEnd w:id="73"/>
      <w:r>
        <w:rPr/>
        <w:t>2</w:t>
      </w:r>
      <w:r>
        <w:rPr>
          <w:rtl w:val="true"/>
        </w:rPr>
        <w:t xml:space="preserve">. </w:t>
      </w:r>
      <w:r>
        <w:rPr>
          <w:rtl w:val="true"/>
        </w:rPr>
        <w:t>نقادی انتقادات فخر رازی دربارۀ استلزام علم به علت نسبت به علم به معلول</w:t>
      </w:r>
      <w:bookmarkEnd w:id="74"/>
    </w:p>
    <w:p>
      <w:pPr>
        <w:pStyle w:val="Heading5"/>
        <w:numPr>
          <w:ilvl w:val="4"/>
          <w:numId w:val="1"/>
        </w:numPr>
        <w:rPr/>
      </w:pPr>
      <w:bookmarkStart w:id="75" w:name="__RefHeading___Toc1986382_2749589250"/>
      <w:bookmarkStart w:id="76" w:name="_Toc30"/>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مقدمۀ دوم برهان ابن‌سینا در اثبات علم واجب الوجود نسبت به موجودات ممکن، استلزام علم به علت نسبت به علم به معلول بود که در این قسمت به بررسی نقادانۀ انتقادات فخر رازی نسبت به آن پرداخته می‌شود</w:t>
      </w:r>
      <w:r>
        <w:rPr>
          <w:rFonts w:eastAsia="IRNazanin" w:cs="IRNazanin"/>
          <w:color w:val="111111"/>
          <w:sz w:val="28"/>
          <w:szCs w:val="28"/>
          <w:rtl w:val="true"/>
          <w:lang w:bidi="fa-IR"/>
        </w:rPr>
        <w:t>.</w:t>
      </w:r>
    </w:p>
    <w:p>
      <w:pPr>
        <w:pStyle w:val="Heading5"/>
        <w:numPr>
          <w:ilvl w:val="4"/>
          <w:numId w:val="1"/>
        </w:numPr>
        <w:rPr/>
      </w:pPr>
      <w:bookmarkStart w:id="77" w:name="__RefHeading___Toc1986384_2749589250"/>
      <w:bookmarkStart w:id="78" w:name="_Toc31"/>
      <w:bookmarkEnd w:id="77"/>
      <w:r>
        <w:rPr>
          <w:rtl w:val="true"/>
        </w:rPr>
        <w:t>الف</w:t>
      </w:r>
      <w:bookmarkEnd w:id="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از علم به علت، نسبت به علم به معلول، در صورتی صحیح است که طبق نظریۀ ابن‌سینا، خداوند فاعل ایجاب‌کننده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ممکنات باشد؛ اما در صورت مختار دانستن خداوند طبق نظریۀ متکلمان اشعری، این استدلال صحیح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فاعل موجِب ضرورتاً ایجادکنندۀ معلول است و همیشه آن را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فاعل مختار با اختیار خویش میان انجام یا عدم انجام فعل، یکی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علم به علت، مقتضی علم به معلول نیست، زیرا ممکن است فاعل مختار، ایجاد نکردن فعل را اراده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ابن‌سینا، خداوند فاعل مختار است و با ارادۀ خویش ممکنات را خلق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ابن‌سینا،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علت یعنی واجب الوجود ایجاب‌کننده و ضرورت‌دهندۀ وجود معلول نیز هست، زیرا اولویت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حد ضرورت نرسیدن ممکن در موجود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فاعل مختار است و در عین حال، ایجاب‌کننده و ضرورت‌دهندۀ وجود معلول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فاعل ارادی بودن خداوند، با ضرورت‌دهی به معلول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علم به علت، مستلزم علم به معلول است، زیرا با تحقق علت تام معلول ضرورتاً به وجود می‌آید</w:t>
      </w:r>
      <w:r>
        <w:rPr>
          <w:rFonts w:eastAsia="IRNazanin" w:cs="IRNazanin"/>
          <w:color w:val="111111"/>
          <w:sz w:val="28"/>
          <w:szCs w:val="28"/>
          <w:rtl w:val="true"/>
          <w:lang w:bidi="fa-IR"/>
        </w:rPr>
        <w:t>.</w:t>
      </w:r>
    </w:p>
    <w:p>
      <w:pPr>
        <w:pStyle w:val="Heading5"/>
        <w:numPr>
          <w:ilvl w:val="4"/>
          <w:numId w:val="1"/>
        </w:numPr>
        <w:rPr/>
      </w:pPr>
      <w:bookmarkStart w:id="79" w:name="__RefHeading___Toc1986386_2749589250"/>
      <w:bookmarkStart w:id="80" w:name="_Toc32"/>
      <w:bookmarkEnd w:id="79"/>
      <w:r>
        <w:rPr>
          <w:rtl w:val="true"/>
        </w:rPr>
        <w:t>ب</w:t>
      </w:r>
      <w:bookmarkEnd w:id="8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علت 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بوده و یکی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و حقیقت ویژه‌ای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حقیقی و بدون نیاز به مقایسه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علت بودن ناظر به حالت نسبی و اضافی آن در مقایسه با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حالت، متفاوتند و یکی نیستند، زیرا صفت حقیقی بدون مقایسه و حالت اضافی است، ولی صفت اضافی در حالت مقایسه معنا می‌یابد و ناظر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حیثیت علّیت بودن آن متفاوت بوده و یکی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می‌توان علم به حقیقتی خاص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ولی از حیثیت علّیت آن نسبت به شیء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می‌توان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کرد، ولی از حقیقت خاص آن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ذات یک شیء با حیثیت علت یا معلول بودن آن، متفاوت است و به این دلیل از علم به علت، علم به معلول حاصل</w:t>
      </w:r>
      <w:bookmarkStart w:id="81" w:name="pg3245_36491"/>
    </w:p>
    <w:p>
      <w:pPr>
        <w:pStyle w:val="BookText"/>
        <w:rPr/>
      </w:pPr>
      <w:bookmarkEnd w:id="81"/>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علم خداوند به ذات خویش، مستلزم علم او به معلولات و موجودات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ابن‌سینا، معلول وابستگی وجودی به علت تام دارد و لذا در صورت موجود بودن آن، وجود معلول نیز ضروری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ابن‌سینا،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چنین رابطۀ وجودی، تعقل علت تام با ادراک معلول ملازمه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علت در ذهن یا خارج موجود شود، وجود معلول نیز ضروری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از دیدگاه ابن‌سینا، واجب الوجود وجود بسیطی است که تعدد جهات و حیثیات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ذات واجب الوجود حیثیتی جداگانه از علّیت او نسبت به ممکنات ندارد، بلکه از همۀ جهات و حیثیات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5"/>
        <w:numPr>
          <w:ilvl w:val="4"/>
          <w:numId w:val="1"/>
        </w:numPr>
        <w:rPr/>
      </w:pPr>
      <w:bookmarkStart w:id="82" w:name="__RefHeading___Toc1986388_2749589250"/>
      <w:bookmarkStart w:id="83" w:name="_Toc33"/>
      <w:bookmarkEnd w:id="82"/>
      <w:r>
        <w:rPr>
          <w:rtl w:val="true"/>
        </w:rPr>
        <w:t>ج</w:t>
      </w:r>
      <w:bookmarkEnd w:id="8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به ماهیتی، سبب علم به لوازم آن نیز باشد، در صورت حصول علم به ماهیتی، باید تمام لوازم آن نیز در ذهن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آن‌که چنین مطلبی ممکن نیست و ممتنع می‌باشد، زیرا یک ماهیت ممکن است لوازم نامتناهی داشته باشد؛ در نتیجه علم به علت، مستلزم علم به معلول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صورتی که لازمۀ علم به ممکنات، علم ذاتی باشد، در مرتبۀ سوم نیز همین مطلب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داشتن به علم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خواهد شد و همین‌طور تا بی‌نهایت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این‌که امکان عام دربارۀ واجب الوجود، به معنای ضرورت و وجوب است، همۀ این مراتب نامتناهی دربارۀ واجب الوجود بالفعل حاصل خواهند شد و واجب الوجود علوم بی‌نهایت در مراتب نامتناهی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لازمۀ این مطلب، وجود مراتب نامتناهی علت و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تسلسل است؛ در حالی که تسلسل و وجود سلسلۀ نامتناهی محال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پیش‌تر گذشت، این برهان دو مقدمه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ذاتی واجب الوجود و استلزام علم به علت نسبت به علم به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دو مقدمه، علم داشتن واجب الوجود به تمام مراتب وجودی به دلیل معلول بودن باواسطه یا بی‌واسطۀ آن‌ها نسبت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واجب الوجود علم تفصیلی به همۀ مراتب وجودی و افراد نامتناهی آن‌ها دارد که ابن‌سینا نیز به این مطلب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الباری بالأشیاء الجزئیة هو أن یعرف الأشیاء من ذاته و ذاته مبدأ لها، فیعرف أوائل الموجودات و لوازمها و لوازم لوازمها إلی أقصی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هلّم جرا حتی ینتهی إلی الجزئی، فإنّه یعرفه لکنّه یعرفه بعلله و أسبابه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نکات گفته‌شده، اشکال و انتقاد فخر رازی محذور یا امتناعی ندارد، زیرا نتیجۀ این</w:t>
      </w:r>
      <w:bookmarkStart w:id="84" w:name="pg3245_36492"/>
    </w:p>
    <w:p>
      <w:pPr>
        <w:pStyle w:val="BookText"/>
        <w:rPr/>
      </w:pPr>
      <w:bookmarkEnd w:id="84"/>
      <w:r>
        <w:rPr>
          <w:rFonts w:ascii="IRNazanin" w:hAnsi="IRNazanin" w:eastAsia="IRNazanin"/>
          <w:color w:val="111111"/>
          <w:sz w:val="28"/>
          <w:sz w:val="28"/>
          <w:szCs w:val="28"/>
          <w:rtl w:val="true"/>
          <w:lang w:bidi="fa-IR"/>
        </w:rPr>
        <w:t>برهان ابن‌سینا چنین بوده و خود او نیز تصریح به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انتقاد فخر رازی در واقع تقریر برهان ابن‌سینا و محذور رازی، نتیجۀ برهان سینوی است</w:t>
      </w:r>
      <w:r>
        <w:rPr>
          <w:rFonts w:eastAsia="IRNazanin" w:cs="IRNazanin"/>
          <w:color w:val="111111"/>
          <w:sz w:val="28"/>
          <w:szCs w:val="28"/>
          <w:rtl w:val="true"/>
          <w:lang w:bidi="fa-IR"/>
        </w:rPr>
        <w:t>.</w:t>
      </w:r>
    </w:p>
    <w:p>
      <w:pPr>
        <w:pStyle w:val="Heading5"/>
        <w:numPr>
          <w:ilvl w:val="4"/>
          <w:numId w:val="1"/>
        </w:numPr>
        <w:rPr/>
      </w:pPr>
      <w:bookmarkStart w:id="85" w:name="__RefHeading___Toc1986390_2749589250"/>
      <w:bookmarkStart w:id="86" w:name="_Toc34"/>
      <w:bookmarkEnd w:id="85"/>
      <w:r>
        <w:rPr>
          <w:rtl w:val="true"/>
        </w:rPr>
        <w:t>د</w:t>
      </w:r>
      <w:bookmarkEnd w:id="8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ابن‌سینا در برهان خویش بیان نمود که معلول از لوازم علت است و با استفاده از آن، علم واجب الوجود به ممکنات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انتقاد به این نکته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معلول از لوازم علت است، علت نیز از لوازم معلول است و از جهت لازم بودن، فرقی میان علت و معلول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اگر لازمۀ علم به علت، علم به معلول باشد، لازمۀ علم به معلول نیز علم به علت خواهد بود؛ ولی لازمۀ علم به معلول، علم به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انسان عالم به ذات خویش است و ذات او معلول مجردات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استلزام علم به معلول نسبت به علم به علت، همۀ مجردات معلوم انسان خواهند بود، در حالی که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نمی‌توان از رابطۀ لزومی میان علت و معلول، استلزام علم میان آن‌ها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معلول مستلزم علم به علت نامعین است، زیرا معلول در تحقق خویش نیازمند علتی است که ممکن است هر علتی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علت مستلزم معلول معین و مشخص است، زیرا هر علتی معلول خاص خود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فرض دوسویه بودن این قاعده، میان دو طرف آن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علم ذاتی مستلزم علم داشتن به معلول بودن اوست؛ یعنی این‌که علتی نامعین و نامشخص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چنین علمی مستلزم علم تفصیلی به همۀ مجردات طولی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ابن‌سینا، معلول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العلم بلوازمها التی منها معلولاتها الواجبة بوجوبها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این برهان در صدد اثبات علم واجب الوجود نسبت به موجودات دیگر است که همگی معلول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نمی‌توان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علت نیز سرایت داد</w:t>
      </w:r>
      <w:r>
        <w:rPr>
          <w:rFonts w:eastAsia="IRNazanin" w:cs="IRNazanin"/>
          <w:color w:val="111111"/>
          <w:sz w:val="28"/>
          <w:szCs w:val="28"/>
          <w:rtl w:val="true"/>
          <w:lang w:bidi="fa-IR"/>
        </w:rPr>
        <w:t>.</w:t>
      </w:r>
    </w:p>
    <w:p>
      <w:pPr>
        <w:pStyle w:val="Heading5"/>
        <w:numPr>
          <w:ilvl w:val="4"/>
          <w:numId w:val="1"/>
        </w:numPr>
        <w:rPr/>
      </w:pPr>
      <w:bookmarkStart w:id="87" w:name="__RefHeading___Toc1986392_2749589250"/>
      <w:bookmarkStart w:id="88" w:name="_Toc35"/>
      <w:bookmarkEnd w:id="87"/>
      <w:r>
        <w:rPr>
          <w:rtl w:val="true"/>
        </w:rPr>
        <w:t>ه</w:t>
      </w:r>
      <w:bookmarkEnd w:id="88"/>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ماهیت و حقیقت جسم، بدیهی می‌باشد که ممکن است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نظریه قدیم بودن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نظریۀ حدوث زمانی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به ماهیت، مستلزم علم به لوازم آن نیز باشد، باید با حصول علم به ماهیت جسم، حدوث یا قدم آن نیز دانسته شود، در حالی که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اختلاف بسیاری میان متفکران دربارۀ حادث یا قدیم بودن عالم وجود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ابن‌سینا، علت در قاعدۀ مورد بحث، علت تام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التام بالعلة التامة یقتضی العلم بالمعلول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ابن‌سینا،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جسم، علت تام نسبت به حدوث یا</w:t>
      </w:r>
      <w:bookmarkStart w:id="89" w:name="pg3245_36493"/>
    </w:p>
    <w:p>
      <w:pPr>
        <w:pStyle w:val="BookText"/>
        <w:rPr/>
      </w:pPr>
      <w:bookmarkEnd w:id="89"/>
      <w:r>
        <w:rPr>
          <w:rFonts w:ascii="IRNazanin" w:hAnsi="IRNazanin" w:eastAsia="IRNazanin"/>
          <w:color w:val="111111"/>
          <w:sz w:val="28"/>
          <w:sz w:val="28"/>
          <w:szCs w:val="28"/>
          <w:rtl w:val="true"/>
          <w:lang w:bidi="fa-IR"/>
        </w:rPr>
        <w:t>قدم نیست، زیرا حدوث و قدم از لوازم وجودی جسم هستند نه معلول آن؛ به این بیان که جسم در صورت آغاز زمانی داشتن، حادث است و اگر ابتدای زمانی نداشته باشد، قدیم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پیش‌تر بیان گردید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قاعده،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فخر رازی در طرح این اشکال گرفتار مغالطۀ اشتراک اسم شده و میان اقسام لزوم، تفاوتی نگذارده است</w:t>
      </w:r>
      <w:r>
        <w:rPr>
          <w:rFonts w:eastAsia="IRNazanin" w:cs="IRNazanin"/>
          <w:color w:val="111111"/>
          <w:sz w:val="28"/>
          <w:szCs w:val="28"/>
          <w:rtl w:val="true"/>
          <w:lang w:bidi="fa-IR"/>
        </w:rPr>
        <w:t>.</w:t>
      </w:r>
    </w:p>
    <w:p>
      <w:pPr>
        <w:pStyle w:val="Heading5"/>
        <w:numPr>
          <w:ilvl w:val="4"/>
          <w:numId w:val="1"/>
        </w:numPr>
        <w:rPr/>
      </w:pPr>
      <w:bookmarkStart w:id="90" w:name="__RefHeading___Toc1986394_2749589250"/>
      <w:bookmarkStart w:id="91" w:name="_Toc36"/>
      <w:bookmarkEnd w:id="90"/>
      <w:r>
        <w:rPr>
          <w:rtl w:val="true"/>
        </w:rPr>
        <w:t>و</w:t>
      </w:r>
      <w:bookmarkEnd w:id="91"/>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جوهری مجرد از جسم و لوازم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دیدگاه ابن‌سینا، یعنی علم حضوری نفس ناطق به ذات خویش، نفس انسانی به همۀ آثار و لوازم خویش نیز عالم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باید علم نفس ناطقه به تجرد، حدوث جسمانی و بقای پس از فانی شدن جسم، بدیهی باشد؛ در حالی که چنین نیست و مؤید آن نیز وجود اختلافات بسیار میان متفکران دربارۀ این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لازمۀ علم به ذات، علم به همۀ لوازم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 از این مطلب در اثبات علم الهی نسبت به ممکنات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 که این برهان دربارۀ علّیت حقیقی و افاضه‌کنندۀ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دیگر، نفس ناطقه فاعل جسمانی بوده و در افعال خویش نیازمند بدن و آلات بدنی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ابن‌سینا،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نفس ناطقه علت تام نسبت به بدن نیست، زیرا در افعال خویش نیازمند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علمِ نفس ناطقه به لوازم خویش دربارۀ این برهان جاری نمی‌شود و لذا برهان ابن‌سینا در اثبات علم الهی نسبت به ممکنات با نفس ناطقه و افعال او نقض نمی‌گردد</w:t>
      </w:r>
      <w:r>
        <w:rPr>
          <w:rFonts w:eastAsia="IRNazanin" w:cs="IRNazanin"/>
          <w:color w:val="111111"/>
          <w:sz w:val="28"/>
          <w:szCs w:val="28"/>
          <w:rtl w:val="true"/>
          <w:lang w:bidi="fa-IR"/>
        </w:rPr>
        <w:t>.</w:t>
      </w:r>
    </w:p>
    <w:p>
      <w:pPr>
        <w:pStyle w:val="Heading3"/>
        <w:numPr>
          <w:ilvl w:val="2"/>
          <w:numId w:val="1"/>
        </w:numPr>
        <w:rPr/>
      </w:pPr>
      <w:bookmarkStart w:id="92" w:name="__RefHeading___Toc1986396_2749589250"/>
      <w:bookmarkStart w:id="93" w:name="_Toc37"/>
      <w:bookmarkEnd w:id="92"/>
      <w:r>
        <w:rPr/>
        <w:t>8</w:t>
      </w:r>
      <w:r>
        <w:rPr>
          <w:rtl w:val="true"/>
        </w:rPr>
        <w:t xml:space="preserve"> </w:t>
      </w:r>
      <w:r>
        <w:rPr>
          <w:rtl w:val="true"/>
        </w:rPr>
        <w:t>نتیجه‌گیری</w:t>
      </w:r>
      <w:bookmarkEnd w:id="93"/>
    </w:p>
    <w:p>
      <w:pPr>
        <w:pStyle w:val="BookText"/>
        <w:rPr/>
      </w:pPr>
      <w:r>
        <w:rPr>
          <w:rFonts w:ascii="IRNazanin" w:hAnsi="IRNazanin" w:eastAsia="IRNazanin"/>
          <w:color w:val="111111"/>
          <w:sz w:val="28"/>
          <w:sz w:val="28"/>
          <w:szCs w:val="28"/>
          <w:rtl w:val="true"/>
          <w:lang w:bidi="fa-IR"/>
        </w:rPr>
        <w:t>اثبات وجود خداوند و صفات او همواره از مباحث بااهمیت و اساسی در فلسفه و کلامی اسلامی بوده است و متفکران اسلامی بحث‌های بسیاری در این باره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ابن‌سینا دو برهان در اثبات صفت علم الهی اقامه می‌کند که در طی آن‌ها، علم ذاتی خداوند و عالم بودن او نسبت به مخلوقات و ممکنات را نتیجه‌گیری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انتقادات بسیاری را دربارۀ این دو برهان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عمدۀ ایرادات وی ناشی از تقریر نامناسب او از براهین ابن‌سینا، خلط بین مفهوم و مصداق، وجود ذهنی و وجود خارجی و علم حضوری با علم حصولی، و نظریۀ ناصواب او در بحث وجود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موارد منجر به بروز مغالطه‌های متعدد در انتقادات او بر براهین ابن‌سینا شده</w:t>
      </w:r>
      <w:bookmarkStart w:id="94" w:name="pg3245_36494"/>
    </w:p>
    <w:p>
      <w:pPr>
        <w:pStyle w:val="BookText"/>
        <w:rPr/>
      </w:pPr>
      <w:bookmarkEnd w:id="9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مغالطۀ موجود در انتقادات فخر رازی، چگونگی ادراک انسانی از مفاهیم اصلی این براهین، مانند واجب الوجود، علت و معلول و نظریۀ اضافه او در بحث وجود ذهنی بود که پذیرش براهین ابن‌سینا را برای وی با دشواری مواجه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نقاط تاریک و ضعف استدلال‌های او تبیین و مورد نقد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می‌بینیم که براهین ابن‌سینا بر اثبات علم ذاتی خداوند و علم به موجودات ممکن، در صورت فهم و تقریر صحیح از آن‌ها، از استحکام و اتقان لازم برخوردار است</w:t>
      </w:r>
      <w:r>
        <w:rPr>
          <w:rFonts w:eastAsia="IRNazanin" w:cs="IRNazanin"/>
          <w:color w:val="111111"/>
          <w:sz w:val="28"/>
          <w:szCs w:val="28"/>
          <w:rtl w:val="true"/>
          <w:lang w:bidi="fa-IR"/>
        </w:rPr>
        <w:t>.</w:t>
      </w:r>
    </w:p>
    <w:p>
      <w:pPr>
        <w:pStyle w:val="Heading3"/>
        <w:numPr>
          <w:ilvl w:val="2"/>
          <w:numId w:val="1"/>
        </w:numPr>
        <w:rPr/>
      </w:pPr>
      <w:bookmarkStart w:id="95" w:name="__RefHeading___Toc1986398_2749589250"/>
      <w:bookmarkStart w:id="96" w:name="_Toc38"/>
      <w:bookmarkEnd w:id="95"/>
      <w:r>
        <w:rPr/>
        <w:t>9</w:t>
      </w:r>
      <w:r>
        <w:rPr>
          <w:rtl w:val="true"/>
        </w:rPr>
        <w:t xml:space="preserve"> </w:t>
      </w:r>
      <w:r>
        <w:rPr>
          <w:rtl w:val="true"/>
        </w:rPr>
        <w:t>منابع</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ابن‌سینا، حسین بن عبدالله،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الالهیات من کتاب الشفاء،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حسن‌زاده آملی، قم، بوستان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الاشارات و التنبیهات، قم، نشر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التعلیقات،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بدوی، بیروت، مکتبة الاعلام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النفس من کتاب الشفاء،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حسن زاده آملی، قم، مکتب الاعلام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البرهان من کتاب الشفاء، قم، کتابخانه آیت‌الله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المطالب العالیۀ من العلم الالهی،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احمد حجازی، بیروت، دار 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الرسالۀ الکمالیه فی الحقایق الالهیۀ،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محیی الدین، بیروت، دار 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المباحث المشرقیه،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بیدارفر، قم، بیدار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هادی،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المنظومة،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حسن زاده آملی، تهران، نشر ناب</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محمدحسین،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نهایة الحکمة،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 زراعی سبزواری، قم، مؤسسة النشر الاسلامی</w:t>
      </w:r>
      <w:r>
        <w:rPr>
          <w:rFonts w:eastAsia="IRNazanin" w:cs="IRNazanin"/>
          <w:color w:val="111111"/>
          <w:sz w:val="28"/>
          <w:szCs w:val="28"/>
          <w:rtl w:val="true"/>
          <w:lang w:bidi="fa-IR"/>
        </w:rPr>
        <w:t>.</w:t>
      </w:r>
      <w:bookmarkStart w:id="97" w:name="pg3245_36495"/>
    </w:p>
    <w:p>
      <w:pPr>
        <w:pStyle w:val="Heading2"/>
        <w:numPr>
          <w:ilvl w:val="1"/>
          <w:numId w:val="1"/>
        </w:numPr>
        <w:rPr/>
      </w:pPr>
      <w:bookmarkStart w:id="98" w:name="__RefHeading___Toc1986400_2749589250"/>
      <w:bookmarkStart w:id="99" w:name="_Toc39"/>
      <w:bookmarkEnd w:id="97"/>
      <w:bookmarkEnd w:id="98"/>
      <w:r>
        <w:rPr>
          <w:rtl w:val="true"/>
        </w:rPr>
        <w:t xml:space="preserve">نقد ادعای تأثیرپذیری آموزۀ </w:t>
      </w:r>
      <w:r>
        <w:rPr>
          <w:rtl w:val="true"/>
        </w:rPr>
        <w:t>«</w:t>
      </w:r>
      <w:r>
        <w:rPr>
          <w:rtl w:val="true"/>
        </w:rPr>
        <w:t>مهدویت</w:t>
      </w:r>
      <w:r>
        <w:rPr>
          <w:rtl w:val="true"/>
        </w:rPr>
        <w:t xml:space="preserve">» </w:t>
      </w:r>
      <w:r>
        <w:rPr>
          <w:rtl w:val="true"/>
        </w:rPr>
        <w:t xml:space="preserve">از باور </w:t>
      </w:r>
      <w:r>
        <w:rPr>
          <w:rtl w:val="true"/>
        </w:rPr>
        <w:t>«</w:t>
      </w:r>
      <w:r>
        <w:rPr>
          <w:rtl w:val="true"/>
        </w:rPr>
        <w:t>سوشیانت</w:t>
      </w:r>
      <w:r>
        <w:rPr>
          <w:rtl w:val="true"/>
        </w:rPr>
        <w:t xml:space="preserve">» / </w:t>
      </w:r>
      <w:r>
        <w:rPr>
          <w:rtl w:val="true"/>
        </w:rPr>
        <w:t>رسول رضوی ، احمد جمشیدیان</w:t>
      </w:r>
      <w:bookmarkEnd w:id="99"/>
    </w:p>
    <w:p>
      <w:pPr>
        <w:pStyle w:val="Heading3"/>
        <w:numPr>
          <w:ilvl w:val="2"/>
          <w:numId w:val="1"/>
        </w:numPr>
        <w:rPr/>
      </w:pPr>
      <w:bookmarkStart w:id="100" w:name="__RefHeading___Toc1986402_2749589250"/>
      <w:bookmarkStart w:id="101" w:name="_Toc40"/>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 xml:space="preserve">رسول رضوی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احمد جمشیدیان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20/04/1395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25/06/1395</w:t>
      </w:r>
    </w:p>
    <w:p>
      <w:pPr>
        <w:pStyle w:val="Heading3"/>
        <w:numPr>
          <w:ilvl w:val="2"/>
          <w:numId w:val="1"/>
        </w:numPr>
        <w:rPr/>
      </w:pPr>
      <w:bookmarkStart w:id="102" w:name="__RefHeading___Toc1986404_2749589250"/>
      <w:bookmarkStart w:id="103" w:name="_Toc41"/>
      <w:bookmarkEnd w:id="102"/>
      <w:r>
        <w:rPr>
          <w:rtl w:val="true"/>
        </w:rPr>
        <w:t>چکیده</w:t>
      </w:r>
      <w:bookmarkEnd w:id="103"/>
    </w:p>
    <w:p>
      <w:pPr>
        <w:pStyle w:val="BookText"/>
        <w:rPr/>
      </w:pPr>
      <w:r>
        <w:rPr>
          <w:rFonts w:ascii="IRNazanin" w:hAnsi="IRNazanin" w:eastAsia="IRNazanin"/>
          <w:color w:val="111111"/>
          <w:sz w:val="28"/>
          <w:sz w:val="28"/>
          <w:szCs w:val="28"/>
          <w:rtl w:val="true"/>
          <w:lang w:bidi="fa-IR"/>
        </w:rPr>
        <w:t xml:space="preserve">یکی از ادعاهای مستشرقان علیه آموزۀ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تأثیرپذیری از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منجی ایرانیان زرتشتی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ادعا را می‌توان وجود منجی‌باوری در منابع ایرانی زرتشتی و هم‌سویی آن‌ها در بسیاری از جزئیات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مقالۀ حاضر، نخست با واژه‌شناسی سوشیانت و کیفیت کاربرد آن در منابع زرتشتی، این ادعا را 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اساس منبع‌شناسی مکتوبات زرتشتی و سنجش اعتبار آن‌ها و بیان شواهد و قرائنی مبنی بر متأثر شدن منابع زرتشتی از آموزه‌های اسلامی در سال‌های پس از فتح ایران و سیطرۀ کامل اسلام بر این کشور، به احتمالِ برعکس بودن این ادعا تأکید می کند</w:t>
      </w:r>
      <w:r>
        <w:rPr>
          <w:rFonts w:eastAsia="IRNazanin" w:cs="IRNazanin"/>
          <w:color w:val="111111"/>
          <w:sz w:val="28"/>
          <w:szCs w:val="28"/>
          <w:rtl w:val="true"/>
          <w:lang w:bidi="fa-IR"/>
        </w:rPr>
        <w:t>.</w:t>
      </w:r>
    </w:p>
    <w:p>
      <w:pPr>
        <w:pStyle w:val="Heading3"/>
        <w:numPr>
          <w:ilvl w:val="2"/>
          <w:numId w:val="1"/>
        </w:numPr>
        <w:rPr/>
      </w:pPr>
      <w:bookmarkStart w:id="104" w:name="__RefHeading___Toc1986406_2749589250"/>
      <w:bookmarkStart w:id="105" w:name="_Toc42"/>
      <w:bookmarkEnd w:id="104"/>
      <w:r>
        <w:rPr>
          <w:rtl w:val="true"/>
        </w:rPr>
        <w:t>واژگان کلیدی</w:t>
      </w:r>
      <w:bookmarkEnd w:id="10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مهدویت، منجی‌گری، سوشیانت، زرتشت، مستشرقان</w:t>
      </w:r>
      <w:r>
        <w:rPr>
          <w:rFonts w:eastAsia="IRNazanin" w:cs="IRNazanin"/>
          <w:color w:val="111111"/>
          <w:sz w:val="28"/>
          <w:szCs w:val="28"/>
          <w:rtl w:val="true"/>
          <w:lang w:bidi="fa-IR"/>
        </w:rPr>
        <w:t>.</w:t>
      </w:r>
      <w:bookmarkStart w:id="106" w:name="pg3245_36496"/>
    </w:p>
    <w:p>
      <w:pPr>
        <w:pStyle w:val="Heading3"/>
        <w:numPr>
          <w:ilvl w:val="2"/>
          <w:numId w:val="1"/>
        </w:numPr>
        <w:rPr/>
      </w:pPr>
      <w:bookmarkStart w:id="107" w:name="__RefHeading___Toc1986408_2749589250"/>
      <w:bookmarkStart w:id="108" w:name="_Toc43"/>
      <w:bookmarkEnd w:id="106"/>
      <w:bookmarkEnd w:id="107"/>
      <w:r>
        <w:rPr>
          <w:rtl w:val="true"/>
        </w:rPr>
        <w:t>مقدمه</w:t>
      </w:r>
      <w:bookmarkEnd w:id="108"/>
    </w:p>
    <w:p>
      <w:pPr>
        <w:pStyle w:val="Heading4"/>
        <w:numPr>
          <w:ilvl w:val="3"/>
          <w:numId w:val="1"/>
        </w:numPr>
        <w:rPr/>
      </w:pPr>
      <w:bookmarkStart w:id="109" w:name="__RefHeading___Toc1986410_2749589250"/>
      <w:bookmarkStart w:id="110" w:name="_Toc44"/>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یکی از باورهای مشترک میان ادیان الهی، اعتقاد به ظهور نجات‌دهنده‌ای است که در آخرالزمان، تمامی پلیدی‌ها را به نیکی تبدیل کرده و زمین را از عدل و داد فراگیر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منجی در دیانت زرتشتیان و ایرانیان زرتشتی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دیانت اسلام و تشیع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آموزه در منابع ایرانی زرتشتی که در ظاهر سبقت تاریخی از منابع اسلامی دارند، یافت شده و از سوی دیگر بین این دو آموزه در منابع ایرانی و اسلامی شباهت‌ها و هم‌سویی‌های فراوانی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به پیامبر دین، محافظت از منجی، اختفای بارداری در دو منجی، ظهور در بخش مرکزی، زمینه‌سازان ظهور، یاران دو منجی، تشکیل حکومت جهانی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این امر برخی مستشرقان و خاورشناسان را به این ادعا وا‌داشته که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مسلمانان و به‌ویژه شیعیان را اعتقادی برگرفته از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باورهای ایرانیان باستان بدانند که بعدها به تکامل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تنها مهدویت را متأثر از باور سوشیانت دانسته‌اند، بلکه اعتقاد به منجی در آیین یهود و مسیحیت را نیز متأثر از آن باور دانسته و معتقدند، ابتدا این عقیده را ایرانیان باستان در میان یهودیان منتشر کرده و سپس به مسیحیان و مسلمانان منتقل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 در میان کلمات بسیاری از مستشرقان و دنباله‌روهای ایشان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شائول شاکد </w:t>
      </w:r>
      <w:r>
        <w:rPr>
          <w:rStyle w:val="FootnoteAnchor"/>
          <w:rtl w:val="true"/>
        </w:rPr>
        <w:footnoteReference w:id="8"/>
      </w:r>
      <w:r>
        <w:rPr>
          <w:rFonts w:ascii="IRNazanin" w:hAnsi="IRNazanin" w:eastAsia="IRNazanin"/>
          <w:color w:val="111111"/>
          <w:sz w:val="28"/>
          <w:sz w:val="28"/>
          <w:szCs w:val="28"/>
          <w:rtl w:val="true"/>
          <w:lang w:bidi="fa-IR"/>
        </w:rPr>
        <w:t xml:space="preserve">، دارمستتر </w:t>
      </w:r>
      <w:r>
        <w:rPr>
          <w:rStyle w:val="FootnoteAnchor"/>
          <w:rtl w:val="true"/>
        </w:rPr>
        <w:footnoteReference w:id="9"/>
      </w:r>
      <w:r>
        <w:rPr>
          <w:rFonts w:ascii="IRNazanin" w:hAnsi="IRNazanin" w:eastAsia="IRNazanin"/>
          <w:color w:val="111111"/>
          <w:sz w:val="28"/>
          <w:sz w:val="28"/>
          <w:szCs w:val="28"/>
          <w:rtl w:val="true"/>
          <w:lang w:bidi="fa-IR"/>
        </w:rPr>
        <w:t xml:space="preserve">، گلدزهیر </w:t>
      </w:r>
      <w:r>
        <w:rPr>
          <w:rFonts w:eastAsia="Times New Roman" w:cs="Times New Roman" w:ascii="Times New Roman" w:hAnsi="Times New Roman"/>
          <w:color w:val="111111"/>
          <w:sz w:val="28"/>
          <w:szCs w:val="28"/>
          <w:lang w:val="en-US" w:bidi="en-US"/>
        </w:rPr>
        <w:t>Ignaz Goldziher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احمد کسروی، احمد امین مصری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می‌آید که برای نمونه به گوشه‌ای از این ادعاها اشاره می‌شود</w:t>
      </w:r>
      <w:r>
        <w:rPr>
          <w:rFonts w:eastAsia="IRNazanin" w:cs="IRNazanin"/>
          <w:color w:val="111111"/>
          <w:sz w:val="28"/>
          <w:szCs w:val="28"/>
          <w:rtl w:val="true"/>
          <w:lang w:bidi="fa-IR"/>
        </w:rPr>
        <w:t>.</w:t>
      </w:r>
    </w:p>
    <w:p>
      <w:pPr>
        <w:pStyle w:val="Heading4"/>
        <w:numPr>
          <w:ilvl w:val="3"/>
          <w:numId w:val="1"/>
        </w:numPr>
        <w:rPr/>
      </w:pPr>
      <w:bookmarkStart w:id="111" w:name="__RefHeading___Toc1986412_2749589250"/>
      <w:bookmarkStart w:id="112" w:name="_Toc45"/>
      <w:bookmarkEnd w:id="111"/>
      <w:r>
        <w:rPr>
          <w:rtl w:val="true"/>
        </w:rPr>
        <w:t>الف</w:t>
      </w:r>
      <w:bookmarkEnd w:id="11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دارمستتر، خاورشناس فرانسوی، با توجه به دل‌بستگی و ارادتی که به اسطوره‌های ایران باستان دارد، در تحلیل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بر آن داشته که قرابتی بین اندیشۀ مهدویت و سوشیانت برقرار کند و اصرار بر تأثر این باور میان اعراب و مسلمانان از سوشیانت ایرانی داشته 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می‌دانید که محمد چگونه شریعت خود را بنیان نهاد؟ وقتی که او ظهور کرد، در عربستان علاوه بر شرک ملی باستانی، سه دیانت بیگانه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آیین یهود و دیگر دیانت عیسوی و سه دیگر کیش زرتشت؛ یعنی دیانتی که پیش از نهضت اعراب در</w:t>
      </w:r>
      <w:bookmarkStart w:id="113" w:name="pg3245_36497"/>
    </w:p>
    <w:p>
      <w:pPr>
        <w:pStyle w:val="BookText"/>
        <w:rPr/>
      </w:pPr>
      <w:bookmarkEnd w:id="113"/>
      <w:r>
        <w:rPr>
          <w:rFonts w:ascii="IRNazanin" w:hAnsi="IRNazanin" w:eastAsia="IRNazanin"/>
          <w:color w:val="111111"/>
          <w:sz w:val="28"/>
          <w:sz w:val="28"/>
          <w:szCs w:val="28"/>
          <w:rtl w:val="true"/>
          <w:lang w:bidi="fa-IR"/>
        </w:rPr>
        <w:t>ایران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دیانت اسلام آثاری از اصول دیانت یهودان و عیسویان و اساطیر ملل مذکور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مشترکی که در این سه دیانت یافت می‌شود عبارت از اعتقاد به یک وجود فوق‌الطبیعه بود که بایستی در آخرالزمان ظهور کند و نظم و عدالت رفته را به جهان بازآرد و مقدمۀ خلود و سعادت دائم را فراهم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دارمستتر،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نه تنها در اعتقاد به مهدی چنین اصراری دارد، بلکه باور همۀ ادیان همچون یهودیت، مسیحیت و اسلام را در مسئله تسلط شرور و نیروهای شیطانی بر گیتی به هنگامۀ ظهور را ناشی از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 ایرانیان باستان دانسته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تعالیم این سه دیانت، پیش از ظهور منجی باید نیروی بد بر جهان حکم‌فرما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 را یهودیان به هجوم و تخریب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داده‌اند و عیسویان به اژدها یا جانور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اپوکالیس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به ظهور یک پیغمبر دروغین یا پیغمبر شیطانی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ایرانیان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نشانۀ اهرمن که اصل بدی است و در حقیقت، ایرانیانِ زرتشتی که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منجی باید از نژاد پیغمبر ایرانی، یعنی زرتشت ظهور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پس از ورود مسلمان به مرزهایشان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أعلام و اسامی خاص را تغییر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دارمستتر،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114" w:name="__RefHeading___Toc1986414_2749589250"/>
      <w:bookmarkStart w:id="115" w:name="_Toc46"/>
      <w:bookmarkEnd w:id="114"/>
      <w:r>
        <w:rPr>
          <w:rtl w:val="true"/>
        </w:rPr>
        <w:t>ب</w:t>
      </w:r>
      <w:bookmarkEnd w:id="11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ایجانس گلدزهیر، شرق‌شناسی یهودی نیز همچون دارمستتر معتقد است، تفکر مهدویت در میان مسلمانان، به‌ویژه شیعیان، متأثر از ادیان پیشین به‌خصوص زرتشتیان و ایرانیان باستان بوده است و در این زمینه صریحاً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به مسئله مهدویت، در ریشۀ خود به عناصر یهودی و مسیحی برمی‌گردد و در آن پاره‌ای از ویژگی‌های مبحث سوشیانت که مورد اعتقاد زرتشتیان است، یافت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گلدزهیر، </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4"/>
        <w:numPr>
          <w:ilvl w:val="3"/>
          <w:numId w:val="1"/>
        </w:numPr>
        <w:rPr/>
      </w:pPr>
      <w:bookmarkStart w:id="116" w:name="__RefHeading___Toc1986416_2749589250"/>
      <w:bookmarkStart w:id="117" w:name="_Toc47"/>
      <w:bookmarkEnd w:id="116"/>
      <w:r>
        <w:rPr>
          <w:rtl w:val="true"/>
        </w:rPr>
        <w:t>ج</w:t>
      </w:r>
      <w:bookmarkEnd w:id="11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کسروی نیز بر آن است که به مسئله مهدویت رنگ تاریخی دهد و در این زمینه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عرب‌ها در ایران نفوذ یافتند، دانشمندان ایرانی بیشترین کتاب‌های دینی پهلوی و بیشترین کتاب‌های رزمی حماسی را از زبان پهلوی به عربی برگرداندند و در محافل و مجالس خود از برای عرب‌های تازه‌وارد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در مغز آن‌ها موضوع موعود جای گرفت، به طوری که دیگر بیرون کردن آن را نتوانستند و بعدها جزء عقاید دینی آن‌ها شد و در مذهب تشیع راه کمال پیمود و با عقاید کهن وفق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معتقد است، در قرآن مجید به هیچ وجه، نه صراحتاً و نه به اشاره، سخنی از موعود نبوده و بر آن است که این عقیده بعدها جزء عقاید شیعیان گردیده و در نهایت به افسانه بودن مهدی‌گری و منجی‌باوری در میان سایر ادیان پافشاری می‌کند و مدعی می‌شود که مهدویت را ایرانیان در بین مسلمانان ترویج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bookmarkStart w:id="118" w:name="pg3245_36498"/>
    </w:p>
    <w:p>
      <w:pPr>
        <w:pStyle w:val="BookText"/>
        <w:rPr/>
      </w:pPr>
      <w:bookmarkEnd w:id="118"/>
      <w:r>
        <w:rPr>
          <w:rFonts w:ascii="IRNazanin" w:hAnsi="IRNazanin" w:eastAsia="IRNazanin"/>
          <w:color w:val="111111"/>
          <w:sz w:val="28"/>
          <w:sz w:val="28"/>
          <w:szCs w:val="28"/>
          <w:rtl w:val="true"/>
          <w:lang w:bidi="fa-IR"/>
        </w:rPr>
        <w:t>این بود نمونه‌ای از ادعاهای مطرح‌شده مبنی بر تأثیرپذیری باور مهدویت از سوشیانت که متأسفانه در زمینۀ نقد آن، تحقیقات شایانی صورت نگرفته است؛ اگرچه در برخی آثار بدان جهت که در جایگاه نقد این ادعا نبوده‌اند، به صورت پراکنده از ادعای تأثیرپذیری باورهای شیعۀ امامیه نقد‌هایی کلی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همچون تاریخ تشیع در ایران از آغاز تا طلوع دولت صفوی نوشته رسول جعفریان، که به ارائه گزارشی تاریخی از چگونگی ورود تشیع به ایران از آغاز تا پیدایش دولت صفوی پرداخته است، در لابه‌لای مباحث خود به این ادعا به صورت کلی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شهید مطهری در بخش اول کتاب خدمات متقابل ایران و اسلام در ضمن بحث مذهب تشیع، با اثبات عدم اجبار ایرانیان به پذیرش اسلام به این ادعا که ایرانیان پس از شکست کامل از اسلام در چهره‌ای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دیانت خود ثابت‌قدم ماندند، با چند نقد تاریخی پاسخ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سبحانی نیز در الشیعة فی موکب التاریخ با اشاره به شواهدی مبنی بر قدمت و اصالت باورهای امامیه و رواج آن در میان شیعیان حتی پیش از فتح ایران، به ادعای تأثیرپذیری مجموع باورهای امامیه از باورهای ایرانی زرتشتی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تمایز نوشتار حاضر از پیشینۀ تحقیق در این زمینه بدان است که در این مقاله تمامی زوایا و احتمالات تأثیرپذیری باورهای امامیه، به‌ویژه باور مهدی موعود، از باورهای ایرانیان باستان بررسی شده و با توجه به متون ایرانی زرتشتی و تاریخ تألیفشان و با ارائه شواهد و مؤیدات بر اصالت باور مهدی موعود در میان شیعیان امامیه تأکید می‌کند</w:t>
      </w:r>
      <w:r>
        <w:rPr>
          <w:rFonts w:eastAsia="IRNazanin" w:cs="IRNazanin"/>
          <w:color w:val="111111"/>
          <w:sz w:val="28"/>
          <w:szCs w:val="28"/>
          <w:rtl w:val="true"/>
          <w:lang w:bidi="fa-IR"/>
        </w:rPr>
        <w:t>.</w:t>
      </w:r>
    </w:p>
    <w:p>
      <w:pPr>
        <w:pStyle w:val="Heading3"/>
        <w:numPr>
          <w:ilvl w:val="2"/>
          <w:numId w:val="1"/>
        </w:numPr>
        <w:rPr/>
      </w:pPr>
      <w:bookmarkStart w:id="119" w:name="__RefHeading___Toc1986418_2749589250"/>
      <w:bookmarkStart w:id="120" w:name="_Toc48"/>
      <w:bookmarkEnd w:id="119"/>
      <w:r>
        <w:rPr/>
        <w:t>1</w:t>
      </w:r>
      <w:r>
        <w:rPr>
          <w:rtl w:val="true"/>
        </w:rPr>
        <w:t xml:space="preserve">. </w:t>
      </w:r>
      <w:r>
        <w:rPr>
          <w:rtl w:val="true"/>
        </w:rPr>
        <w:t>سوشیانت در منابع زرتشتی</w:t>
      </w:r>
      <w:bookmarkEnd w:id="120"/>
    </w:p>
    <w:p>
      <w:pPr>
        <w:pStyle w:val="BookText"/>
        <w:rPr/>
      </w:pPr>
      <w:r>
        <w:rPr>
          <w:rFonts w:ascii="IRNazanin" w:hAnsi="IRNazanin" w:eastAsia="IRNazanin"/>
          <w:color w:val="111111"/>
          <w:sz w:val="28"/>
          <w:sz w:val="28"/>
          <w:szCs w:val="28"/>
          <w:rtl w:val="true"/>
          <w:lang w:bidi="fa-IR"/>
        </w:rPr>
        <w:t xml:space="preserve">نام منجی دین زرتشت که در متون کهن ایرانی،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راشد محصل،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و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متون ایرانی ـ زرتشتی به دو مفهوم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عام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سودرسان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خاص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نمی‌توان به صورت مطلق هر کجا واژۀ سوشیانت در منابع زرتشتی یافت شد، به معنای خاص آن یعنی منجی و موعود دانست، بلکه سوشیانت در منابع زرتشتی هم‌چنین در منابع متأخر آن به معانی گوناگونی به کار رفته است که نیاز به تحقیق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باغ‌بیدی،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 و سرآغاز باور سوشیانت در منابع زرتشتی را نخست در اوستا و پس از آن در نامه‌های دینی مزدیسنا باید جست‌وجو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اوستاشناسان کتاب مقدس</w:t>
      </w:r>
    </w:p>
    <w:p>
      <w:pPr>
        <w:pStyle w:val="BookText"/>
        <w:rPr/>
      </w:pPr>
      <w:r>
        <w:rPr>
          <w:rFonts w:ascii="IRNazanin" w:hAnsi="IRNazanin" w:eastAsia="IRNazanin"/>
          <w:color w:val="111111"/>
          <w:sz w:val="28"/>
          <w:sz w:val="28"/>
          <w:szCs w:val="28"/>
          <w:rtl w:val="true"/>
          <w:lang w:bidi="fa-IR"/>
        </w:rPr>
        <w:t xml:space="preserve">زرتشتیان را 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اوستای 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اوستای کهن که بخش اندکی از اوستای موجود را شامل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گات‌ها</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اوستا که مشهور است از سروده‌های زرتشت است، دربارۀ سوشیانت به مفهوم خاص آن، اثری ملاحظه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باغ‌بیدی،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زرتشت با سوشیانت نامیدن خود و آنان که خواهند آمد، از این واژه به شکلی عمومی و غیراختصاصی به معنای مطلق سودرسان، بهره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اوستا، یسنه هات، فصل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شیوه و کاربرد واژۀ سوشیانت در گات‌ها، می‌توان مدعی شد که مفهوم موعود دست‌آورد ابتکار یا رسالت زرتشت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واژه در سایر قسمت‌های اوستا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غالباً به صورت جمع آمده است که منظور از آن مفهوم عام، یعنی پیشوایان و سودرسانان به مردم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اوستا، یسنا، فصل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وندیداد، فصل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فروردین یشت، کرده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 این حال باید ملاحظه کرد که در این بخش، کدام موارد به سوشیانت به معنای خاص او اشاره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یَشت‌ها</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بخش فروردین یشت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 فروردین 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زامیاد یشت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 زامیاد 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موعودهای مزدیسنا و سوشیانت‌ها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منابع اگرچه دربارۀ اتفاقات و جزئیات ظهور این منجیان به صورت شفاف و واضح سخن به میان آورده نشده، سرنوشت این سودرسانان را با آخرالزمان به وضوح گره زده‌اند که از آن‌ها معنا و مفهوم منجی را می‌توان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رضی،</w:t>
      </w:r>
    </w:p>
    <w:p>
      <w:pPr>
        <w:pStyle w:val="BookText"/>
        <w:rPr/>
      </w:pP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دینکرد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در کتاب هفتم شرح زندگی زرتشت آورده شده و سپس حوادث</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زرتشت و فرزندان او تا پایان جهان نقل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اوستا، دینکرت، 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بُندهش</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دربارۀ سوشیانت نکته‌ای نیست و تنها به مرگ</w:t>
      </w:r>
      <w:bookmarkStart w:id="121" w:name="pg3245_36500"/>
    </w:p>
    <w:p>
      <w:pPr>
        <w:pStyle w:val="BookText"/>
        <w:rPr/>
      </w:pPr>
      <w:bookmarkEnd w:id="121"/>
      <w:r>
        <w:rPr>
          <w:rFonts w:ascii="IRNazanin" w:hAnsi="IRNazanin" w:eastAsia="IRNazanin"/>
          <w:color w:val="111111"/>
          <w:sz w:val="28"/>
          <w:sz w:val="28"/>
          <w:szCs w:val="28"/>
          <w:rtl w:val="true"/>
          <w:lang w:bidi="fa-IR"/>
        </w:rPr>
        <w:t xml:space="preserve">ضحاک </w:t>
      </w:r>
      <w:r>
        <w:rPr>
          <w:rStyle w:val="FootnoteAnchor"/>
          <w:rtl w:val="true"/>
        </w:rPr>
        <w:footnoteReference w:id="14"/>
      </w:r>
      <w:r>
        <w:rPr>
          <w:rFonts w:ascii="IRNazanin" w:hAnsi="IRNazanin" w:eastAsia="IRNazanin"/>
          <w:color w:val="111111"/>
          <w:sz w:val="28"/>
          <w:sz w:val="28"/>
          <w:szCs w:val="28"/>
          <w:rtl w:val="true"/>
          <w:lang w:bidi="fa-IR"/>
        </w:rPr>
        <w:t xml:space="preserve">پیش از ظهور سوشیانت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متوسلیان، پایان نامه،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دربارۀ مسئله منجی نظریه‌هایی چون نظریات شیعه دارد، در حالی که در اوستا این موارد به چشم نمی‌خورد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نوکده، بی‌تا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وَندیداد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نیز سوشیانت آخرین آفریده و مخلوق اهورامزدا دانسته شده و ضمناً به محل ولادت 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رود هامون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جدال زرتشت با اهریمن نیز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اوستا، وندیداد، 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اوستا، اندیشۀ موعود، در متون دینی متأخر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زندوهومن یسن</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 نامه</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گستردگی فوق‌العاده‌ای مطرح شده و شاخ و برگ فراوانی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شهیدی،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بقیۀ کتب و متون زرتشتی نیز کم‌وبیش این موضوع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خوبی می‌یابیم که باور سوشیانت را نمی‌توان به زرتشت نسبت داد، بلکه این باور از باورهایی است که در سنت زرتشتیان متأخر به وجود آمده است</w:t>
      </w:r>
      <w:r>
        <w:rPr>
          <w:rFonts w:eastAsia="IRNazanin" w:cs="IRNazanin"/>
          <w:color w:val="111111"/>
          <w:sz w:val="28"/>
          <w:szCs w:val="28"/>
          <w:rtl w:val="true"/>
          <w:lang w:bidi="fa-IR"/>
        </w:rPr>
        <w:t>.</w:t>
      </w:r>
    </w:p>
    <w:p>
      <w:pPr>
        <w:pStyle w:val="Heading3"/>
        <w:numPr>
          <w:ilvl w:val="2"/>
          <w:numId w:val="1"/>
        </w:numPr>
        <w:rPr/>
      </w:pPr>
      <w:bookmarkStart w:id="122" w:name="__RefHeading___Toc1986420_2749589250"/>
      <w:bookmarkStart w:id="123" w:name="_Toc49"/>
      <w:bookmarkEnd w:id="122"/>
      <w:r>
        <w:rPr/>
        <w:t>2</w:t>
      </w:r>
      <w:r>
        <w:rPr>
          <w:rtl w:val="true"/>
        </w:rPr>
        <w:t xml:space="preserve">. </w:t>
      </w:r>
      <w:r>
        <w:rPr>
          <w:rtl w:val="true"/>
        </w:rPr>
        <w:t>مهدی</w:t>
      </w:r>
      <w:r>
        <w:rPr/>
        <w:t></w:t>
      </w:r>
      <w:r>
        <w:rPr>
          <w:rtl w:val="true"/>
        </w:rPr>
        <w:t xml:space="preserve"> در منابع اسلامی</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مشهورترین لقب از القابِ امام دوازدهم شیعیان، از فرزندان خاتم‌الانبیاست و نام اصلی ایشان همان نام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به دیدگاه همۀ مسلمانان، منجی آخرالزمان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ابن‌أبی‌الحدید، بی‌تا،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اعتقاد شیعیان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سامرا از امام حسن عسکری علیه السلام ، از نوادگان امام حسین علیه السلام و از مادری امّ‌ولد،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 خاتون، سوسن، 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رسم کنیزی از روم به ایران آورده شده بود، قدم به عالم دنیا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ابن‌أبی‌الحدید، بی‌تا،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باورهای شیعی، ایشان در سنّ پنج‌سالگی به هنگام شهادت پدر بزرگوارشان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امامت رسید و در همان ابتدای امامتشان، برای در امان بودن از کید و حیلۀ دشمنان در پس پردۀ غیبت رفته و در ابتدا حدود هفتاد سال توسط نایبان خاص، با مردم در ارتباط بودند که این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و پس از</w:t>
      </w:r>
    </w:p>
    <w:p>
      <w:pPr>
        <w:pStyle w:val="BookText"/>
        <w:rPr/>
      </w:pP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کتب زرتشتیان است که نسخه اصلی آن به گفته محققانی همچون صادق هدایت و دکتر وست به پیش از دوره اشکانیان می‌رسد، ولی نسخه مشهور فعلی آن بنا بر تحقیق، آن نسخه اصلی نیست و در آن نمونه‌های دست‌کاری فراوانی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شخصیت‌های ایران باستان است که درباره آخرالزمان پیش‌گویی‌هایی دارد و کتاب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bookmarkStart w:id="124" w:name="pg3245_36501"/>
    </w:p>
    <w:p>
      <w:pPr>
        <w:pStyle w:val="BookText"/>
        <w:rPr/>
      </w:pPr>
      <w:bookmarkEnd w:id="124"/>
      <w:r>
        <w:rPr>
          <w:rFonts w:ascii="IRNazanin" w:hAnsi="IRNazanin" w:eastAsia="IRNazanin"/>
          <w:color w:val="111111"/>
          <w:sz w:val="28"/>
          <w:sz w:val="28"/>
          <w:szCs w:val="28"/>
          <w:rtl w:val="true"/>
          <w:lang w:bidi="fa-IR"/>
        </w:rPr>
        <w:t xml:space="preserve">آن به تقدیر الهی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ارتباط آن حضرت با مردم به کمترین درجۀ خود تنزل یافت تا آن‌گاه که خداوند بخواهد و شرایط ظهور آن حضرت فراهم آمده و چشم مردم به جمال بی‌مثال حضرتش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صریح در قرآن نیامده است، اما آیات متعددی </w:t>
      </w:r>
      <w:r>
        <w:rPr>
          <w:rStyle w:val="FootnoteAnchor"/>
          <w:rtl w:val="true"/>
        </w:rPr>
        <w:footnoteReference w:id="19"/>
      </w:r>
      <w:r>
        <w:rPr>
          <w:rFonts w:ascii="Amiri" w:hAnsi="Amiri" w:eastAsia="Amiri" w:cs="Amiri"/>
          <w:color w:val="111111"/>
          <w:sz w:val="28"/>
          <w:sz w:val="28"/>
          <w:szCs w:val="28"/>
          <w:rtl w:val="true"/>
          <w:lang w:bidi="ar-SA"/>
        </w:rPr>
        <w:t>به صورت کنایه و تأویل در روایات شیعه و اهل‌سنت به حضرت مهدی علیه السلام تفسیر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نمونه می‌توان به این آیه اشاره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تفسیر البرهان به نقل از امام صادق علیه السلام ذیل این آیه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تأویل این آیه تا به حال محقق نگشته و نخواهد گشت تا این‌که قائم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زمانی که وی قیام کند، هیچ کافری به خدا و هیچ مشرکی نیست مگر این‌که از خروج ایشان کراهت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نیز ذیل این آیه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احدی در عالم یافت نمی‌شود،مگر این‌که به رسالت پیامبر اکرم صلی الله علیه و اله و سلم اعتراف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آموزه را در روایات فراوانی که شیعه و نیز اهل‌سنت ناقل آن بوده‌اند، می‌توان ملاحظه کرد؛ تا جایی که نه تنها شیعه، بلکه برخی از اهل‌سنت ادعای تواتر روایات مربوط به آن حضرت را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بی‌تا،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آن‌چنان شایع و فراوان است که بسیاری از علمای فریقین دست به تألیفات خاصی، مربوط به روایات موجود حول مهدی علیه السلام زده‌اند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برای نمونه، در کتاب‌های فریقین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پیامبر اکرم صلی الله علیه و اله و سلم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زمانه تنها یک روز باقی ماند، خداوند آن روز را آن‌قدر طولانی کند تا این‌که مردی از اهل‌بیتم ظهور کرده و عالم را پر از عدالت کند، همان‌گونه که از ظلم پر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ابی‌داوود،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Heading3"/>
        <w:numPr>
          <w:ilvl w:val="2"/>
          <w:numId w:val="1"/>
        </w:numPr>
        <w:rPr/>
      </w:pPr>
      <w:bookmarkStart w:id="125" w:name="__RefHeading___Toc1986422_2749589250"/>
      <w:bookmarkStart w:id="126" w:name="_Toc50"/>
      <w:bookmarkEnd w:id="125"/>
      <w:r>
        <w:rPr/>
        <w:t>3</w:t>
      </w:r>
      <w:r>
        <w:rPr>
          <w:rtl w:val="true"/>
        </w:rPr>
        <w:t xml:space="preserve">. </w:t>
      </w:r>
      <w:r>
        <w:rPr>
          <w:rtl w:val="true"/>
        </w:rPr>
        <w:t>مشترکات مهدی</w:t>
      </w:r>
      <w:r>
        <w:rPr/>
        <w:t></w:t>
      </w:r>
      <w:r>
        <w:rPr>
          <w:rtl w:val="true"/>
        </w:rPr>
        <w:t xml:space="preserve"> و سوشیانت</w:t>
      </w:r>
      <w:bookmarkEnd w:id="12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جست‌وجو در منابع اسلامی و ایرانی زرتشتی، مشترکات فراوانی را میان این دو آموزه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هم‌سویی و مشترکات آن‌چنان تنگاتنگ و نزدیک به هم بوده‌اند که در ابتدای</w:t>
      </w:r>
    </w:p>
    <w:p>
      <w:pPr>
        <w:pStyle w:val="BookText"/>
        <w:rPr/>
      </w:pPr>
      <w:r>
        <w:rPr>
          <w:rFonts w:ascii="IRNazanin" w:hAnsi="IRNazanin" w:eastAsia="IRNazanin"/>
          <w:color w:val="111111"/>
          <w:sz w:val="28"/>
          <w:sz w:val="28"/>
          <w:szCs w:val="28"/>
          <w:rtl w:val="true"/>
          <w:lang w:bidi="fa-IR"/>
        </w:rPr>
        <w:t>امر هر خواننده‌ای را بر این فکر وامی‌دارد که باور دوم و متأخر، تأثیرپذیرفته از باور نخستین است و در حقیقت همین امر بوده است که برخی مستشرقان و دنباله‌روهای ایشان را به انحراف کشیده و ایشان را به ادعای تأثیرپذیری باور مهدویت از باور سوشیانت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به نمونه‌ای از مشترکات این دو آموزه به صورت مختصر اشاره‌ای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موعود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 زامیادیشت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فروردین یشت، کرده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انتساب هر دو موعود به پیامبران دین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 فروردین 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فروردین 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سجستانی، 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اختفای بارداری در هر دو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نوشیروان، بی‌تا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محافظت از هر دو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 فروردین 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فروردین 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عاملی،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آشکار شدن موجوداتی اهریمنی پیش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دارمستتر،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فراگیری ظلم و تاریکی در زمین پیش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اوستا، یشت‌ها، کرده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اربلی،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ظهور در بخش مرکزی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اوستا، بند هشن، 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فروردین یشت، بند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نعمانی،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زمینه‌سازان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اوستا، زند بهمن یسن، فصل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بهزادی،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مصطفوی،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یاران دو موعود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اوستا، یشت‌ها،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نعمانی،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برپایی حکومت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اوستا، یشت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قمی،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نابودی شیطان و اهریمن در هنگام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 زامیاد 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مجلسی،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نتایج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میردهقان، بی‌تا</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bookmarkStart w:id="127" w:name="pg3245_36503"/>
    </w:p>
    <w:p>
      <w:pPr>
        <w:pStyle w:val="BookText"/>
        <w:rPr/>
      </w:pPr>
      <w:bookmarkEnd w:id="127"/>
      <w:r>
        <w:rPr>
          <w:rFonts w:ascii="IRNazanin" w:hAnsi="IRNazanin" w:eastAsia="IRNazanin"/>
          <w:color w:val="111111"/>
          <w:sz w:val="28"/>
          <w:sz w:val="28"/>
          <w:szCs w:val="28"/>
          <w:rtl w:val="true"/>
          <w:lang w:bidi="fa-IR"/>
        </w:rPr>
        <w:t>البته با جست‌وجو، به نمونه‌های بیشتری از این شباهت‌ها می‌توان دست یافت که به جهت اختصار از آن صرف‌نظر می‌کنیم</w:t>
      </w:r>
      <w:r>
        <w:rPr>
          <w:rFonts w:eastAsia="IRNazanin" w:cs="IRNazanin"/>
          <w:color w:val="111111"/>
          <w:sz w:val="28"/>
          <w:szCs w:val="28"/>
          <w:rtl w:val="true"/>
          <w:lang w:bidi="fa-IR"/>
        </w:rPr>
        <w:t>.</w:t>
      </w:r>
    </w:p>
    <w:p>
      <w:pPr>
        <w:pStyle w:val="Heading3"/>
        <w:numPr>
          <w:ilvl w:val="2"/>
          <w:numId w:val="1"/>
        </w:numPr>
        <w:rPr/>
      </w:pPr>
      <w:bookmarkStart w:id="128" w:name="__RefHeading___Toc1986424_2749589250"/>
      <w:bookmarkStart w:id="129" w:name="_Toc51"/>
      <w:bookmarkEnd w:id="128"/>
      <w:r>
        <w:rPr/>
        <w:t>4</w:t>
      </w:r>
      <w:r>
        <w:rPr>
          <w:rtl w:val="true"/>
        </w:rPr>
        <w:t xml:space="preserve">. </w:t>
      </w:r>
      <w:r>
        <w:rPr>
          <w:rtl w:val="true"/>
        </w:rPr>
        <w:t>نقد ادعای تأثیرپذیری باور مهدی</w:t>
      </w:r>
      <w:r>
        <w:rPr/>
        <w:t></w:t>
      </w:r>
      <w:r>
        <w:rPr>
          <w:rtl w:val="true"/>
        </w:rPr>
        <w:t xml:space="preserve"> از باور سوشیانت</w:t>
      </w:r>
      <w:bookmarkEnd w:id="129"/>
    </w:p>
    <w:p>
      <w:pPr>
        <w:pStyle w:val="Heading4"/>
        <w:numPr>
          <w:ilvl w:val="3"/>
          <w:numId w:val="1"/>
        </w:numPr>
        <w:rPr/>
      </w:pPr>
      <w:bookmarkStart w:id="130" w:name="__RefHeading___Toc1986426_2749589250"/>
      <w:bookmarkStart w:id="131" w:name="_Toc52"/>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بر ادعای تأثیرپذیری باورهای اسلامی از باورهای ادیان پیشین، به‌خصوص آیین زرتشت، نقدهای جدّی وارد است که بررسی آن‌ها فرصتی دراز می‌طلبد که در این مجال، فقط به برخی از این نقدها اشاره می‌شود</w:t>
      </w:r>
      <w:r>
        <w:rPr>
          <w:rFonts w:eastAsia="IRNazanin" w:cs="IRNazanin"/>
          <w:color w:val="111111"/>
          <w:sz w:val="28"/>
          <w:szCs w:val="28"/>
          <w:rtl w:val="true"/>
          <w:lang w:bidi="fa-IR"/>
        </w:rPr>
        <w:t>.</w:t>
      </w:r>
    </w:p>
    <w:p>
      <w:pPr>
        <w:pStyle w:val="Heading4"/>
        <w:numPr>
          <w:ilvl w:val="3"/>
          <w:numId w:val="1"/>
        </w:numPr>
        <w:rPr/>
      </w:pPr>
      <w:bookmarkStart w:id="132" w:name="__RefHeading___Toc1986428_2749589250"/>
      <w:bookmarkStart w:id="133" w:name="_Toc53"/>
      <w:bookmarkEnd w:id="132"/>
      <w:r>
        <w:rPr>
          <w:rtl w:val="true"/>
        </w:rPr>
        <w:t>الف</w:t>
      </w:r>
      <w:r>
        <w:rPr>
          <w:rtl w:val="true"/>
        </w:rPr>
        <w:t xml:space="preserve">) </w:t>
      </w:r>
      <w:r>
        <w:rPr>
          <w:rtl w:val="true"/>
        </w:rPr>
        <w:t>وجود متشابهات در بین باورهای ادیان و عدم دلالت آن بر تأثیرپذیری باورهای متأخر</w:t>
      </w:r>
      <w:bookmarkEnd w:id="133"/>
    </w:p>
    <w:p>
      <w:pPr>
        <w:pStyle w:val="Heading5"/>
        <w:numPr>
          <w:ilvl w:val="4"/>
          <w:numId w:val="1"/>
        </w:numPr>
        <w:rPr/>
      </w:pPr>
      <w:bookmarkStart w:id="134" w:name="__RefHeading___Toc1986430_2749589250"/>
      <w:bookmarkStart w:id="135" w:name="_Toc54"/>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باید توجه داشت که صرف وجود شباهت ظاهری در بین باورهای موجود میان ادیان، نمی‌تواند این ادعای خاورشناسان را مبنی بر تأثیرپذیری باوری از باور متقدم را ثابت کند، به چند دلیل</w:t>
      </w:r>
      <w:r>
        <w:rPr>
          <w:rFonts w:eastAsia="IRNazanin" w:cs="IRNazanin"/>
          <w:color w:val="111111"/>
          <w:sz w:val="28"/>
          <w:szCs w:val="28"/>
          <w:rtl w:val="true"/>
          <w:lang w:bidi="fa-IR"/>
        </w:rPr>
        <w:t>:</w:t>
      </w:r>
    </w:p>
    <w:p>
      <w:pPr>
        <w:pStyle w:val="Heading5"/>
        <w:numPr>
          <w:ilvl w:val="4"/>
          <w:numId w:val="1"/>
        </w:numPr>
        <w:rPr/>
      </w:pPr>
      <w:bookmarkStart w:id="136" w:name="__RefHeading___Toc1986432_2749589250"/>
      <w:bookmarkStart w:id="137" w:name="_Toc55"/>
      <w:bookmarkEnd w:id="136"/>
      <w:r>
        <w:rPr>
          <w:rtl w:val="true"/>
        </w:rPr>
        <w:t>تفاوت ماهوی</w:t>
      </w:r>
      <w:bookmarkEnd w:id="137"/>
    </w:p>
    <w:p>
      <w:pPr>
        <w:pStyle w:val="Heading6"/>
        <w:numPr>
          <w:ilvl w:val="5"/>
          <w:numId w:val="1"/>
        </w:numPr>
        <w:rPr/>
      </w:pPr>
      <w:bookmarkStart w:id="138" w:name="__RefHeading___Toc1986434_2749589250"/>
      <w:bookmarkStart w:id="139" w:name="_Toc56"/>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نخستین مسئله‌ای که در باورهای متشابه موجود در میان ادیان باید مورد توجه قرار گیرد، این است که در بسیاری از موارد، این شباهت‌ها تنها شباهت‌های ظاهری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بین این باورهای به ظاهر مشترک، تفاوت سنخیتی و مفهومی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باورهای ایرانی ـ زرتشتی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اسلامی شیعی نیز تنها در برخی جزئیات شباهت‌هایی در کار است و در حقیقت، تفاوت‌های اساسی بسیاری وجود دارد که می‌توان از میان آن تفاوت‌ها به این موارد اشاره کرد</w:t>
      </w:r>
      <w:r>
        <w:rPr>
          <w:rFonts w:eastAsia="IRNazanin" w:cs="IRNazanin"/>
          <w:color w:val="111111"/>
          <w:sz w:val="28"/>
          <w:szCs w:val="28"/>
          <w:rtl w:val="true"/>
          <w:lang w:bidi="fa-IR"/>
        </w:rPr>
        <w:t>:</w:t>
      </w:r>
    </w:p>
    <w:p>
      <w:pPr>
        <w:pStyle w:val="Heading6"/>
        <w:numPr>
          <w:ilvl w:val="5"/>
          <w:numId w:val="1"/>
        </w:numPr>
        <w:rPr/>
      </w:pPr>
      <w:bookmarkStart w:id="140" w:name="__RefHeading___Toc1986436_2749589250"/>
      <w:bookmarkStart w:id="141" w:name="_Toc57"/>
      <w:bookmarkEnd w:id="140"/>
      <w:r>
        <w:rPr/>
        <w:t>1</w:t>
      </w:r>
      <w:bookmarkEnd w:id="14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به مهدی موعود نزد شیعیان، تنها جنبۀ منجی بودن و نجات‌بخشی در انتهای عالم را ندارد، بلکه برای مهدی علیه السلام در نزد شیعیان شئونِ متعددی در کار است که یکی از آن شئون، نجات‌بخشی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یکی از باورهای مهمّ شیعیان این است که امام مهدی از حجت‌های الهی بوده و خداوند زمین را هیچ‌گاه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نمی‌گذارد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حجتی که وظیفه هدایت، رهبری، امان زمین و واسطۀ فیض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این مبنا، شیعیان، مهدی علیه السلام را زنده و حیّ می‌دانند که داری تمامی این شئون بوده، اما به گونه‌ای که در میان مردم به طور ناشناس مشغول به تکالیف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در باور زرتشتیان، برای سوشیانت چنین وظایفی تعریف نشده است؛ وی تنها وظیفۀ نجات‌بخشی و رهانیدن مردم از ظلم‌ها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هدایت‌گری هم داشته باشد، تنها در همان آخرالزمان خواهد بود و لذا می‌بینیم که در آخرالزمان متولد می‌شود تا مردم را از ظلم و</w:t>
      </w:r>
      <w:bookmarkStart w:id="142" w:name="pg3245_36504"/>
    </w:p>
    <w:p>
      <w:pPr>
        <w:pStyle w:val="BookText"/>
        <w:rPr/>
      </w:pPr>
      <w:bookmarkEnd w:id="142"/>
      <w:r>
        <w:rPr>
          <w:rFonts w:ascii="IRNazanin" w:hAnsi="IRNazanin" w:eastAsia="IRNazanin"/>
          <w:color w:val="111111"/>
          <w:sz w:val="28"/>
          <w:sz w:val="28"/>
          <w:szCs w:val="28"/>
          <w:rtl w:val="true"/>
          <w:lang w:bidi="fa-IR"/>
        </w:rPr>
        <w:t>جور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باور شبیهِ باور مشهور اهل تسنن دربارۀ مهدی موعود است، نه باور شیعیان؛ لذا این اشکال بر باور مهدویت شیعه، به‌خصوص از ناحیۀ برخی علمای اهل‌سنت، همچون ابن‌حزم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ابن‌حزم، بی‌تا،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امین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امین، بی‌تا</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دنبالۀ مستشرقان این اشکال را وارد کرده‌اند، اشکالی بی‌مورد خواهد بود</w:t>
      </w:r>
      <w:r>
        <w:rPr>
          <w:rFonts w:eastAsia="IRNazanin" w:cs="IRNazanin"/>
          <w:color w:val="111111"/>
          <w:sz w:val="28"/>
          <w:szCs w:val="28"/>
          <w:rtl w:val="true"/>
          <w:lang w:bidi="fa-IR"/>
        </w:rPr>
        <w:t>.</w:t>
      </w:r>
    </w:p>
    <w:p>
      <w:pPr>
        <w:pStyle w:val="Heading6"/>
        <w:numPr>
          <w:ilvl w:val="5"/>
          <w:numId w:val="1"/>
        </w:numPr>
        <w:rPr/>
      </w:pPr>
      <w:bookmarkStart w:id="143" w:name="__RefHeading___Toc1986438_2749589250"/>
      <w:bookmarkStart w:id="144" w:name="_Toc58"/>
      <w:bookmarkEnd w:id="143"/>
      <w:r>
        <w:rPr/>
        <w:t>2</w:t>
      </w:r>
      <w:bookmarkEnd w:id="144"/>
    </w:p>
    <w:p>
      <w:pPr>
        <w:pStyle w:val="BookText"/>
        <w:rPr/>
      </w:pPr>
      <w:r>
        <w:rPr>
          <w:rFonts w:ascii="IRNazanin" w:hAnsi="IRNazanin" w:eastAsia="IRNazanin"/>
          <w:color w:val="111111"/>
          <w:sz w:val="28"/>
          <w:sz w:val="28"/>
          <w:szCs w:val="28"/>
          <w:rtl w:val="true"/>
          <w:lang w:bidi="fa-IR"/>
        </w:rPr>
        <w:t xml:space="preserve">ایرانیان و زرتشتیان به سه منجی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پرورانندۀ قانون که در انتهای هزارۀ اول از دورۀ چهارم ظهور می‌کند؛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هوشیدرماه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پرورانندۀ نماز و نیایش که در انتهای هزارۀ دومِ دورۀ چهارم ظهور می‌کند؛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استوت 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سودرساننده که در انتهای هزارۀ سوم از آن دوره ظهور می‌کند که با آمدن او جهان نو می‌شود، رستاخیز به پا می‌گردد و مردگان زنده می‌شوند و زندگان نیز عمری همیشگی 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شیعیان قائل به یک منجی بوده و آمدن این منجی را به معنای پایان دنیا و رستاخیز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یگانگی منشأ ادیان الهی و اقتضای اشتراک باورها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این باورها را در مفهوم و ماهیت نیز مشترک بدانیم و مدعی باشیم که در اصلِ منجی بودن باهم مشترکند و اختلاف آن‌ها را تنها در برخی جزئیات بدانیم، باز هم دلیلِ بر غیراصیل بودن باورهای متأخر نیست، زیرا آنچه در ریشه‌شناسی ادیان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که دین زرتشت را دینی الهی 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مدّ نظر داشت، آن است که نباید به یک دین صرفاً از منظر تاریخی نظر کرد و همچون جامعه‌شناسان سکولار که دین را محصولی از عوامل زمینی همچون فرهنگ، شرایط محیطی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پدیده‌ای زمینی تلقی کرد، بلکه باید برای دین هویتی آسمانی در نظر داشت و آن را پدیده‌ای فرامادّی و وحیانی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تحلیل، طبیعی به نظر می‌رسد که مطالب و باورهای همگون و متشابه فراوانی در خود داشته باشند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از همین حقیقت و نظر تاریخی و پدیدارشناسی صِرف به ادیان است که موجب شده بسیاری از خاورشناسان، نظریه تأثیرپذیری ادیان از همدیگر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مهمّ غفلت از مسئله وحیانی بودن بسیاری از این باورها، ظهور مدعیان دروغین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نمونه‌های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احمد سودانی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موجب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خاورشناس معروف در این راه به اشتباه افتاده و چنین نظریه‌ای را مطرح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دارمستتر،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فهم ادعای مهدویتِ محمد احمد سودانی، به تاریخ پیدایش مهدویت در صدر اسلام پرداخته و سپس به فرقه‌ها و افرادی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اشاره می‌کند و در این مسیر شیوۀ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پدیدارشناسی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شیوه، با توجه به ارادتی که به اسطوره‌های</w:t>
      </w:r>
      <w:bookmarkStart w:id="145" w:name="pg3245_36505"/>
    </w:p>
    <w:p>
      <w:pPr>
        <w:pStyle w:val="BookText"/>
        <w:rPr/>
      </w:pPr>
      <w:bookmarkEnd w:id="145"/>
      <w:r>
        <w:rPr>
          <w:rFonts w:ascii="IRNazanin" w:hAnsi="IRNazanin" w:eastAsia="IRNazanin"/>
          <w:color w:val="111111"/>
          <w:sz w:val="28"/>
          <w:sz w:val="28"/>
          <w:szCs w:val="28"/>
          <w:rtl w:val="true"/>
          <w:lang w:bidi="fa-IR"/>
        </w:rPr>
        <w:t>ایرانی دارد، می‌کوشد قرابتی میان اعتقادات موجود در ادیان ابراهیمی به وجود آورد تا تحلیلی زمینی از این ادیان همچون یهودیت، مسیحیت و اسلام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بخواهیم این‌گونه که مستشرقان، تنها از روزنۀ تاریخی به ادیان و باورهای آن‌ها نظر می‌کنند، نظر بیفکنیم، به انحراف کشیده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طبیعی بودن این همگونی و تشابه در میان آموزه‌های پیامبران و پیامبر اکرم صلی الله علیه و اله و سلم به صراحت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علیکَ الْکِتابَ بِالْحَقِّ مُصَدِّقاً لِما بَیْنَ یَدَیْهِ وَ أنزَلَ التَّوْراةَ وَ الْإِنْجیلَ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مشترکات ادیان را نشانۀ تأثیرپذیری ادیان متأخر از ادیان سابق بدانیم، این اشکال دربارۀ تمامی ادیان متأخر و باورهای همگون آن‌ها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خداباوری و توحید، نبوت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اوستا، هات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کشمیری،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عهد قدیم، تلمود؛ انجیل لوقا،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مکارم شیرازی،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 و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 وندیداد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فرگرد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عهد قدیم، تلمود؛ عهد جدید، انجیل متی،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ملایری،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اوستا، هات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بندهش</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بهشت و دوزخ و جزئیات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 یسنا،</w:t>
      </w:r>
      <w:r>
        <w:rPr>
          <w:rFonts w:eastAsia="IRNazanin" w:cs="IRNazanin"/>
          <w:color w:val="111111"/>
          <w:sz w:val="28"/>
          <w:szCs w:val="28"/>
          <w:lang w:bidi="fa-IR"/>
        </w:rPr>
        <w:t>30:10</w:t>
      </w:r>
      <w:r>
        <w:rPr>
          <w:rFonts w:ascii="IRNazanin" w:hAnsi="IRNazanin" w:eastAsia="IRNazanin"/>
          <w:color w:val="111111"/>
          <w:sz w:val="28"/>
          <w:sz w:val="28"/>
          <w:szCs w:val="28"/>
          <w:rtl w:val="true"/>
          <w:lang w:bidi="fa-IR"/>
        </w:rPr>
        <w:t xml:space="preserve">؛ عهد عتیق، مزامیر،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عهد جدید، انجیل متی،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اعتقاد به موجودات ماوراء طبیعی همچون ملائکه و امثال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کریستین سن، بی‌تا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آقاجانی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مسائل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قدیانی،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r>
        <w:rPr>
          <w:rFonts w:ascii="IRNazanin" w:hAnsi="IRNazanin" w:eastAsia="IRNazanin"/>
          <w:color w:val="111111"/>
          <w:sz w:val="28"/>
          <w:sz w:val="28"/>
          <w:szCs w:val="28"/>
          <w:rtl w:val="true"/>
          <w:lang w:bidi="fa-IR"/>
        </w:rPr>
        <w:t xml:space="preserve">؛ یارشاطر،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w:t>
      </w:r>
      <w:r>
        <w:rPr>
          <w:rFonts w:eastAsia="IRNazanin" w:cs="IRNazanin"/>
          <w:color w:val="111111"/>
          <w:sz w:val="28"/>
          <w:szCs w:val="28"/>
          <w:rtl w:val="true"/>
          <w:lang w:bidi="fa-IR"/>
        </w:rPr>
        <w:t>.</w:t>
      </w:r>
    </w:p>
    <w:p>
      <w:pPr>
        <w:pStyle w:val="Heading4"/>
        <w:numPr>
          <w:ilvl w:val="3"/>
          <w:numId w:val="1"/>
        </w:numPr>
        <w:rPr/>
      </w:pPr>
      <w:bookmarkStart w:id="146" w:name="__RefHeading___Toc1986440_2749589250"/>
      <w:bookmarkStart w:id="147" w:name="_Toc59"/>
      <w:bookmarkEnd w:id="146"/>
      <w:r>
        <w:rPr>
          <w:rtl w:val="true"/>
        </w:rPr>
        <w:t>ب</w:t>
      </w:r>
      <w:r>
        <w:rPr>
          <w:rtl w:val="true"/>
        </w:rPr>
        <w:t>)</w:t>
      </w:r>
      <w:r>
        <w:rPr>
          <w:rtl w:val="true"/>
        </w:rPr>
        <w:t>شواهد تاریخی اصالت باور مهدی موعود نزد شیعیان و مسلمانان</w:t>
      </w:r>
      <w:bookmarkEnd w:id="147"/>
    </w:p>
    <w:p>
      <w:pPr>
        <w:pStyle w:val="BookText"/>
        <w:rPr/>
      </w:pP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تأثیرپذیری باور مهدویت از باور ایرانی 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قابل اعتناست که این عقیده را در قرون پسین اسلامی و پس از ارتباط مسلمانان با ایرانیان بیابیم، در حالی که شواهد و قرائن بسیاری را مبنی بر این‌که باور مهدی موعود پیش از فتح و ارتباط ایشان با ایرانیان در بین مسلمانان رواج داشته می‌توان اقامه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باور منجی موعود در آیات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شواهد مهمی که می‌توان در اصالت باور مهدویت اقامه کرد، وجود این باور در آیات قرآن، به‌خصوص در آیات مکی است که با توجه به این آیات تمام احتمالات تأثیرپذیری باورهای شیعی، به‌خصوص تأثیرپذیری از سوی سلمان فارسی که در مدینه به پیامبر صلی الله علیه و اله و سلم پیوست، نیز 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می‌توان به مهم‌ترین و مشهورترین آیه مربوط به مهدی موعود علیه السلام ، یعنی آیات ابتدایی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آیات مکی به حساب می‌آیند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ارادۀ ما بر این قرار گرفته است که به</w:t>
      </w:r>
    </w:p>
    <w:p>
      <w:pPr>
        <w:pStyle w:val="BookText"/>
        <w:rPr/>
      </w:pPr>
      <w:r>
        <w:rPr>
          <w:rFonts w:ascii="IRNazanin" w:hAnsi="IRNazanin" w:eastAsia="IRNazanin"/>
          <w:color w:val="111111"/>
          <w:sz w:val="28"/>
          <w:sz w:val="28"/>
          <w:szCs w:val="28"/>
          <w:rtl w:val="true"/>
          <w:lang w:bidi="fa-IR"/>
        </w:rPr>
        <w:t>مستضعفان نعمت بخشیم و آن‌ها را پیشوایان و وارثان روی زمین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حکومتشان را پابرجا سازیم و به فرعون، هامان و لشکریان آن‌ها، آنچه را بیم داشتند از این گروه نشان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البرهان ذیل این آیه به حدیثی از امامین صادقین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مخصوص حضرت صاحب‌الأمر عج الله تعالی فرجه است که در آخرالزمان ظهور کرده و ریشۀ جباران و فرعونان عالم را کَنده و شرق و غرب عالم را مالک شده، آن‌گاه زمین را پر از عدل کرده همان‌گونه که زمین پر از ظلم و جور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احادیث فراوان و متواتر از رسول خدا صلی الله علیه واله و سلم دربارۀ منجی موعود</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قرائنی که به واسطۀ آن می‌توان به اصالت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 احادیث بسیاری است که شیعه و سنی از زبان رسول خدا صلی الله علیه و اله و سلم در این زمینه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آن‌چنان فراوان و متعدد بوده که نه تنها شیعیان، بلکه بسیاری از علمای اهل‌سنت ادعای تواتر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بی‌تا،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گنجی،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سجستانی،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 جندی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احادیث مربوط به مهدی موعود علیه السلام در کتاب‌های نگاشته‌شدۀ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کتاب‌های بسیار معتبر و کهن در میان شیعیان کتاب سلیم بن قیس 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که می‌توان آن را از اولین تألیفات حدیثی شیعه یاد کرد، احادیث متعددی دربارۀ مهدی موعود وجود دارد که برخی از آن‌ها را با کمی اختلاف می‌توان در میراث حدیثی اهل تسنن نیز یافت؛ برای نمونه می‌توان به حدیث اول این کتاب،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 وَ الَّذِی نَفْسِی بِیَدِهِ مَهْدِیُ هَذِهِ الْأُمَّةِ الَّذِی یَمْلَأُ اللَّهُ بِهِ الْأَرْضَ قِسْطاً وَ عَدْلًا کَمَا مُلِئَتْ ظُلْماً وَ 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هلالی،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برخی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شواهد و قرائنی که بر رسوخ این باور در میان مسلمانان صدر اسلام دلالت دارد، جریان توطئه‌ای است که معاویه برای از بین بردن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مسلمانان و خاموش ساختن امید در دل شیعیان و به جهت دور کردن اهل‌بیت علیهم السلام از خلافت، به گروهی از بنی‌هاشم چنین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گمان می‌کنید برای شما پادشاهی از هاشمیان بوده و مهدی‌ای قیام‌کننده است؟ در حالی که مهدی کسی جز عیسی بن مریم نبوده و امر خلافت نیز در دستان ما بوده تا این‌که آن را به وی تسلیم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صحابی گران‌قدر پیامبر اکرم صلی الله علیه و اله و سلم ، در جواب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دربارۀ پادشاه و مهدیِ قیام‌کننده از بنی‌هاشم گفتی، پس آگاه باش که همگی شهادت می‌دهند که اگر از عمر دنیا جز روزی باقی نمانده باشد، خداوند در آن روز وی را صاحب پادشاهی عالم خواهد کرد و بدان که مهدی از ماست و او زمانی ظهور خواهد کرد که زمین را ظلم و جور فرا گرفته باشد که</w:t>
      </w:r>
      <w:bookmarkStart w:id="148" w:name="pg3245_36507"/>
    </w:p>
    <w:p>
      <w:pPr>
        <w:pStyle w:val="BookText"/>
        <w:rPr/>
      </w:pPr>
      <w:bookmarkEnd w:id="148"/>
      <w:r>
        <w:rPr>
          <w:rFonts w:ascii="IRNazanin" w:hAnsi="IRNazanin" w:eastAsia="IRNazanin"/>
          <w:color w:val="111111"/>
          <w:sz w:val="28"/>
          <w:sz w:val="28"/>
          <w:szCs w:val="28"/>
          <w:rtl w:val="true"/>
          <w:lang w:bidi="fa-IR"/>
        </w:rPr>
        <w:t>آن‌گاه همۀ عالم را پر از عدل و مساوات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دربارۀ این گفتی که مهدی همان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مهدی علیه السلام شخصیتی از ما بنی‌هاشم بوده که عیسی پشت سر او به وی اقتدا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فتلاوی،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149" w:name="__RefHeading___Toc1986442_2749589250"/>
      <w:bookmarkStart w:id="150" w:name="_Toc60"/>
      <w:bookmarkEnd w:id="149"/>
      <w:r>
        <w:rPr>
          <w:rtl w:val="true"/>
        </w:rPr>
        <w:t>ج</w:t>
      </w:r>
      <w:r>
        <w:rPr>
          <w:rtl w:val="true"/>
        </w:rPr>
        <w:t xml:space="preserve">) </w:t>
      </w:r>
      <w:r>
        <w:rPr>
          <w:rtl w:val="true"/>
        </w:rPr>
        <w:t>احتمال تأثیرپذیری باورهای متأخر زرتشتی از باورهای اسلامی</w:t>
      </w:r>
      <w:bookmarkEnd w:id="150"/>
    </w:p>
    <w:p>
      <w:pPr>
        <w:pStyle w:val="Heading5"/>
        <w:numPr>
          <w:ilvl w:val="4"/>
          <w:numId w:val="1"/>
        </w:numPr>
        <w:rPr/>
      </w:pPr>
      <w:bookmarkStart w:id="151" w:name="__RefHeading___Toc1986444_2749589250"/>
      <w:bookmarkStart w:id="152" w:name="_Toc61"/>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بسیاری از کسانی که مدعی وام‌دار بودن باورهای امامیه از باورهای ایران باستان هستند، کلامشان را مبتنی بر شباهت‌هایی می‌کنند که بین این دو باور در کتب مقدس هر دو فرقه موجود است؛ در حالی که بر فرض که مدعی اتحاد مفهومی و ماهوی آن باورها باشیم و نیز صرفاً از منظر تاریخی به این مسئله نظر کنیم، باز هم هیچ شاهد قطعی تاریخی در دست نیست که باورهای شیعی، به‌خصوص باور به مهدی موعود، در این میان متأثر واقع شده باشد، زیرا چه بسا به جهت متأخر بودن برخی منابع زرتشتی بتوان عکس آن نظریه را ادعا کرد و مدعی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اشتراک باورها را در میان ادیان آسمانی می‌پذیریم و مدعی می‌شویم که اصل باور منجی ریشۀ آسمانی دارد، ولی می‌توان شواهد و قرائنی را اقامه کرد که بسیاری از اشتراکات موجود در جزئیات و خصوصیات این باور در این دو مکتب، ریشه در باورهای اسلامی دارد و بر این ادعای خود ادلۀ ذیل را اقامه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اعتبار منابع ایرانی زرتشتی و دست‌کاری شدن برخی از آن‌ها بعد از ورود اسلام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اعتبار متون و کتب ایرانی زرتشتی می‌توان ادعا کرد که اکثر قریب به اتفاق مستشرقان و خاورشناسان مدعی عدم اعتبار متون فعلی زرتشتی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خانم مری بویس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کیش بسیار فقیر از نظر سند و مدرک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بویس،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تبیین این مسئله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اوستاشناسان، اوستای موجود را به دو بخش اوستای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اوستای جدید تقسیم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بویس،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اوستای کهن که معتبرترین بخش اوستا نزد زرتشتیان است، به اعتراف بسیاری از زبان‌شناسان دارای خطی مرده و غیر قابل فهم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بویس،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ویدن 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سوئیسی دربارۀ عدم فهم گات‌ها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فهم گات‌ها به طور یقین از عهدۀ ما به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تأثیر بینش زرتشت بر فرهنگ بشری در نگاه اندیشمندان جهان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ارسی زنر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طلوع و غروب زرتشتی‌گری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اوستا خود حجم اندکی دارد و غالباً مجبوریم به حدس و گمانه‌زنی متوسل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و تردید همیشگی پیرامون مفهوم یک متن، پیش از همه در گات‌ها رخ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زنر،</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پورداوود نیز در این زمینه تأکید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گویش گات‌هایی و بلکه زبان اوستایی، دوهزار سال پیش از بین رفت؛ یعنی مردم زرتشتی در طول تاریخ متوجه معنا و عبارات گات‌هایی نمی‌شدند و عبارات گات‌ها نیز بسیار سنگین و برای ذهن مردم نامأنوس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می‌گیریم که ذهن مردمان و رهبران دینی توان حفظ و نگه‌داری درست گات‌ها را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پورداود، بی‌تا</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به اعتراف بسیاری از خاورشناسان و محققان ایران باستان، این بخش از اوستا غیر قابل فهم بوده و به اعتراف همین محققان در میان زرتشتیان، موبدان و روحانیان قسمت عمدۀ اوستا را از بر داشته‌اند و بدون آن‌که معمولاً معانی آن را به درستی بفهمند، الفاظ آن را تکرار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بی‌ناس، بی‌تا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سوی دیگر همین حافظان گات‌ها که میراث‌دار اوستای کهن بودند و این میراث را سینه به سینه به دیگران انتقال می‌دادند، با حملۀ اسکندر مقدونی تارومار گشته و این حلقۀ اتصال ادبیات شفاهی زرتشتی به نسل‌های بعدی قلع‌وقمع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بویس،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می‌توان با چنین وضعیتی آشفته از اوستای کهن، عقیده‌ای را نسبت به این متون مرده داد و سپس ادعای تأثیرگذاری این عقیده بر باورهای ادیان متأخر 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دربارۀ اوستای جدید نیز باید مدعی شد که این بخش نیز غیر قابل اعتماد است، چراکه بنا بر گفتۀ بسیاری از خاورشناسان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اوستای موجود مربوط به دورۀ ورود اسلام به مرزهای ایران و پس از آن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کرستین سن، بی‌تا</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موبدان و روحانیون زرتشتی به جهت استقامت در برابر دین جدید و دفاع از حیثیت خود و آسمانی جلوه دادن دینشان، در اوستا تغییراتی ایجاد کردند به گونه‌ای که این کتاب بعد از ورود اسلام به فلات ایران دچار دخل و تصرف بسیار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دارمستتر،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کرستین سن،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مؤیدی که می‌توان بر تأثیرپذیری باورهای اسلامی و قرآنی بر کتب زرتشتیان مطرح کرد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زرتشتی مربوط به سدۀ سوم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متعددی زرتشت در حال گفت‌وگو با اهورامزدا نشان داده شده و این تصویر مسلماً برگرفته از اعتقادات مسلمانان به وحی است، و هم‌چنین اگر قواعد مذهبی اوستای کنونی و کتب الهیات پهلوی را، که فعلاً در دست است، با قطعات پراکنده و اشارات مختصری، که راجع به دین ایرانیان عهد ساسانی در آثار مؤلفان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بیزانسی، سریانی و ارمنی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مقایسه و مطابقه کنیم، اختلافات عجیبی می‌بینیم و این اختلافات بیشتر مربوط به قصص، اساطیر و علم تکوین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کرستین سن،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bookmarkStart w:id="153" w:name="pg3245_36509"/>
    </w:p>
    <w:p>
      <w:pPr>
        <w:pStyle w:val="BookText"/>
        <w:rPr/>
      </w:pPr>
      <w:bookmarkEnd w:id="153"/>
      <w:r>
        <w:rPr>
          <w:rFonts w:ascii="IRNazanin" w:hAnsi="IRNazanin" w:eastAsia="IRNazanin"/>
          <w:color w:val="111111"/>
          <w:sz w:val="28"/>
          <w:sz w:val="28"/>
          <w:szCs w:val="28"/>
          <w:rtl w:val="true"/>
          <w:lang w:bidi="fa-IR"/>
        </w:rPr>
        <w:t xml:space="preserve">از سوی دیگر، قدیمی‌ترین نسخۀ اوستای فعلی که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در دانمارک نگه‌داری می‌شود، مربوط 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یعنی نوزده قرن بعد از کشته شدن زرتشت و هشت قرن بعد از ظهور اسلام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پورداود،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معناست که زرتشتیان بیش از نوزده قرن کتاب مدون و شناخته‌شده‌ای نداشته و اگر داشته‌اند، اثری از آن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زرتشتیان اتفاق نظر دارند که اوستا در اصل بسیار بزرگ‌تر از اوستای کنونی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اوستای کنونی دارای </w:t>
      </w:r>
      <w:r>
        <w:rPr>
          <w:rFonts w:eastAsia="IRNazanin" w:cs="IRNazanin"/>
          <w:color w:val="111111"/>
          <w:sz w:val="28"/>
          <w:szCs w:val="28"/>
          <w:lang w:bidi="fa-IR"/>
        </w:rPr>
        <w:t>83000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است و احتمالاً اصل آن دارای </w:t>
      </w:r>
      <w:r>
        <w:rPr>
          <w:rFonts w:eastAsia="IRNazanin" w:cs="IRNazanin"/>
          <w:color w:val="111111"/>
          <w:sz w:val="28"/>
          <w:szCs w:val="28"/>
          <w:lang w:bidi="fa-IR"/>
        </w:rPr>
        <w:t>345700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یعنی چهار برابر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پورداوود، بی‌تا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قرائن به خوبی می‌تواند به ادعای تأثیرپذیری این نوشته‌ها از متون اسلامی کمک کند؛ خصوصاً که بسیاری از خاورشناسان معروف نیز بر همین عقیده بوده و به این مطلب تصریح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رضی در این باره مدعی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مدارک اوستایی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زرتشت و تاریخ و وابستگان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 است و به منابع پهلوی نیز هیچ‌گونه اعتمادی نمی‌توان کرد، چون راویان نامه‌های پهلوی در این مورد برای تبلیغ و خودنمایی و فراهم آوردن نام و عظمت پیامبر، به روایت‌سازی و جعل خبر و برداشت از افسانه‌ها و روایات مذاهب دیگر و اسناد و معجزات فراوان، افراط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ارسی زنر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هیچ دینی نداریم که در مراحل اولیه‌اش به قدر و اندازۀ زرتشتی‌گری دستخوش تحریف و دگرگونی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کتاب ایران در زمان ساسانیان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تقریباً همۀ کتب زردشتی، که دینی محض است و به زبان پهلوی باقی مانده است، در قرون بعد از انقراض ساسانیان تألیف و تصنیف یافته است؛ مخصوصاً در قرن نهم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دین زردشتی فعالیت فوق‌العاده در تحریر کتب به خرج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کرستین سن،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خاورشناسان و برخی محققان مبنی بر تأثیرپذیری منابع ادیان ایرانی از باورهای ادیان 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مؤیداتی که می‌توان بر اصالت باور مهدویت در میان امامیه و تأثیرگذاری آن بر منابع ایرانی زرتشتی ارائه کرد، کلمات برخی محققان و خاورشناسان مبنی بر تأثیرپذیری آن منابع از جوّ حاکم پس از سلطۀ اسلام است</w:t>
      </w:r>
      <w:r>
        <w:rPr>
          <w:rFonts w:eastAsia="IRNazanin" w:cs="IRNazanin"/>
          <w:color w:val="111111"/>
          <w:sz w:val="28"/>
          <w:szCs w:val="28"/>
          <w:rtl w:val="true"/>
          <w:lang w:bidi="fa-IR"/>
        </w:rPr>
        <w:t>.</w:t>
      </w:r>
    </w:p>
    <w:p>
      <w:pPr>
        <w:pStyle w:val="Heading5"/>
        <w:numPr>
          <w:ilvl w:val="4"/>
          <w:numId w:val="1"/>
        </w:numPr>
        <w:rPr/>
      </w:pPr>
      <w:bookmarkStart w:id="154" w:name="__RefHeading___Toc1986446_2749589250"/>
      <w:bookmarkStart w:id="155" w:name="_Toc62"/>
      <w:bookmarkEnd w:id="154"/>
      <w:r>
        <w:rPr>
          <w:rtl w:val="true"/>
        </w:rPr>
        <w:t>ـ احسان یارشاطر</w:t>
      </w:r>
      <w:bookmarkEnd w:id="15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محقق و باستان‌شناس ایرانی که بنیان‌گذار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مطالعات ایران‌شناسی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بازنشستۀ مطالعات ایرانی در دانشگاه کلمبیا نیویورک، در کتاب حضور ایرانی در جهان اسلام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شباهت‌های میان قرآن و فرهنگ ایرانی می‌تواند از فرایند معکوس تأثیر اسلام بر کتاب‌های زرتشتی در قرن دهم میلادی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یارشاطر،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bookmarkStart w:id="156" w:name="pg3245_36510"/>
    </w:p>
    <w:p>
      <w:pPr>
        <w:pStyle w:val="Heading5"/>
        <w:numPr>
          <w:ilvl w:val="4"/>
          <w:numId w:val="1"/>
        </w:numPr>
        <w:rPr/>
      </w:pPr>
      <w:bookmarkStart w:id="157" w:name="__RefHeading___Toc1986448_2749589250"/>
      <w:bookmarkStart w:id="158" w:name="_Toc63"/>
      <w:bookmarkEnd w:id="156"/>
      <w:bookmarkEnd w:id="157"/>
      <w:r>
        <w:rPr>
          <w:rtl w:val="true"/>
        </w:rPr>
        <w:t>ـ چوکسی</w:t>
      </w:r>
      <w:bookmarkEnd w:id="158"/>
    </w:p>
    <w:p>
      <w:pPr>
        <w:pStyle w:val="BookText"/>
        <w:rPr/>
      </w:pPr>
      <w:r>
        <w:rPr>
          <w:rFonts w:ascii="IRNazanin" w:hAnsi="IRNazanin" w:eastAsia="IRNazanin"/>
          <w:color w:val="111111"/>
          <w:sz w:val="28"/>
          <w:sz w:val="28"/>
          <w:szCs w:val="28"/>
          <w:rtl w:val="true"/>
          <w:lang w:bidi="fa-IR"/>
        </w:rPr>
        <w:t xml:space="preserve">این زرتشتی ایران‌شناس در مقالۀ خود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آذر فرخزادان که احتمالاً تألیف دینکرد را در بغداد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گاه‌به‌گاه با دانشمندان مسلمان ارتباط داشت؛ همان‌طور که دیگر موبدان بزرگ همچون آذر باد امیدان چنین ارتباطی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ممکن است مطالبی جعلی به افسانه‌های موجود در دینکرد و کتاب‌های دیگر افزوده باشند تا میان زندگی زرتشت و محمد صلی الله علیه و اله و سلم ، وجه اشتراکی ایجاد کرده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مقاله‌ای پیرامون دینکرد</w:t>
      </w:r>
      <w:r>
        <w:rPr>
          <w:rFonts w:eastAsia="IRNazanin" w:cs="IRNazanin"/>
          <w:color w:val="111111"/>
          <w:sz w:val="28"/>
          <w:szCs w:val="28"/>
          <w:rtl w:val="true"/>
          <w:lang w:bidi="fa-IR"/>
        </w:rPr>
        <w:t>).</w:t>
      </w:r>
    </w:p>
    <w:p>
      <w:pPr>
        <w:pStyle w:val="Heading5"/>
        <w:numPr>
          <w:ilvl w:val="4"/>
          <w:numId w:val="1"/>
        </w:numPr>
        <w:rPr/>
      </w:pPr>
      <w:bookmarkStart w:id="159" w:name="__RefHeading___Toc1986450_2749589250"/>
      <w:bookmarkStart w:id="160" w:name="_Toc64"/>
      <w:bookmarkEnd w:id="159"/>
      <w:r>
        <w:rPr>
          <w:rtl w:val="true"/>
        </w:rPr>
        <w:t>ـ سیدحسن آصف آگاه</w:t>
      </w:r>
      <w:bookmarkEnd w:id="160"/>
    </w:p>
    <w:p>
      <w:pPr>
        <w:pStyle w:val="BookText"/>
        <w:rPr/>
      </w:pPr>
      <w:r>
        <w:rPr>
          <w:rFonts w:ascii="IRNazanin" w:hAnsi="IRNazanin" w:eastAsia="IRNazanin"/>
          <w:color w:val="111111"/>
          <w:sz w:val="28"/>
          <w:sz w:val="28"/>
          <w:szCs w:val="28"/>
          <w:rtl w:val="true"/>
          <w:lang w:bidi="fa-IR"/>
        </w:rPr>
        <w:t>وی دربارۀ نوشته‌های زرتشتی و جعل روایات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نوشته‌ها همگی سودمند نبودند، زیرا حامل اندیشۀ کسانی بودند که یا اجباراً و یا از سر آگاهی و سیاست و دخیل کردن سلایق شخصی سعی کرده بودند تا با انجام تغییرات در دین باستان، مشترکاتی خلق کنند که بیش از پیش نشان‌دهندۀ اصالت و الهی بودن آن باشد تا به پیروان و نومسلمانان بقبولانند در حقیقت دین اسلام پیام‌آور اصول و دستورات تازه‌ای نیست؛ و به عبارتی دیگر، هر آنچه در قرآن آمده قبلاً و به شکلی دیگر و گاهی بهتر و کامل‌تر در اوستا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موبدان به شدت احساس کمبود اوستای مکتوب را احساس می‌کردند و در این راستا فعالیت‌های خود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امروزه با اتکا به اوستای متأخر نمی‌توان حتی اساسی‌ترین اصول دین زرتشت را اثبات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آصف آگاه،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Heading5"/>
        <w:numPr>
          <w:ilvl w:val="4"/>
          <w:numId w:val="1"/>
        </w:numPr>
        <w:rPr/>
      </w:pPr>
      <w:bookmarkStart w:id="161" w:name="__RefHeading___Toc1986452_2749589250"/>
      <w:bookmarkStart w:id="162" w:name="_Toc65"/>
      <w:bookmarkEnd w:id="161"/>
      <w:r>
        <w:rPr>
          <w:rtl w:val="true"/>
        </w:rPr>
        <w:t>ـ دکتر فرهنگ مهر</w:t>
      </w:r>
      <w:bookmarkEnd w:id="162"/>
    </w:p>
    <w:p>
      <w:pPr>
        <w:pStyle w:val="BookText"/>
        <w:rPr/>
      </w:pPr>
      <w:r>
        <w:rPr>
          <w:rFonts w:ascii="IRNazanin" w:hAnsi="IRNazanin" w:eastAsia="IRNazanin"/>
          <w:color w:val="111111"/>
          <w:sz w:val="28"/>
          <w:sz w:val="28"/>
          <w:szCs w:val="28"/>
          <w:rtl w:val="true"/>
          <w:lang w:bidi="fa-IR"/>
        </w:rPr>
        <w:t>وی نیز معتقد است، بسیاری از آموزه‌ها و باورهای موجود در کتب زرتشتیان متأثر از باورهای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دربارۀ معجزاتی که در اوستای جدید به زرتشت و سوشیانت نسبت داده می‌شود،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معجزاتی که در نوشته‌های پهلوی به اشو زرتشت و یا نجات‌دهنده‌های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می‌شود، در گات‌ها نیست و با خرد هم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حاشیه دینکرد و زات سپرَم که در سدۀ دهم میلادی نوشته شده است و زراتشت نامه که در سدۀ سیزدهم و فرکرد نوشتۀ سدۀ نوزدهم چیزهایی دربارۀ معجزه‌های وابسته به زایش زرتشت و هفت بار دیدار و گفت‌وگو با اهورامزدا و امشاسپندان آمده، معتقد است که نباید جدی گرفته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دیدگاه من، این نوشته‌ها از سده‌ها پس از شکست ساسانیان نوشته شده، برای این بوده که در محیطی که دین‌های ابراهیمی برتری سیاسی داشته‌اند، دین زرتشتی بتواند با معجزه‌هایی که در ادیان به پیامبران نسبت داده شده، همسری و برابری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در حاشیۀ بند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بندهشن که دربارۀ معاد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اورمزد که مردمان را از هیچ به وجود آورد، می‌تواند چیزی را که قبلاً به وجود آورده دوباره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این‌جا تأثیر دین‌های ابراهیمی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نوشته شدن بندهشن برتری سیاسی داشته‌اند، 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نهایت باید به این نکتۀ مهم اشاره کنیم که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شائل شاکت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مدعی تأثیرپذیری باورهای شیعی‌اند، تذکر می‌دهند که این کلمات صرف، یک نظریه‌ای است که اثبات آن بسیار دشوار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یارشاطر،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شائل شاکت در انتهای کتاب خود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صحبت از این‌که کدام‌یک بر دیگری تأثیر داشته‌اند، چندان آسان نیست و به ندرت می‌توانیم با قاطعیت اثبات کنیم که کدام مفهوم ویژه، در یکی از فرهنگ‌ها ریشه داشته و به بقیه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چاره‌ای نداریم، جز آن‌که به نظریه‌پردازی روی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شاکد،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نکات یادشده و این‌که باور منجی موعود به هیچ عنوان در گات‌ها و کلمات اشو زرتشت به صورت مدون و دقیق مطرح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آنچه در میراث زرتشتیان از منجی یافت می‌شود مربوط به متون متأخر و اوستای جدید است، می‌توان با قاطعیت بر اصالت این باور اسلامی پافشاری کرد و مدعی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اصل وجود منجی را در میراث کهن ایران باستان بپذیریم، باز مدعی می‌شویم که بسیاری از جزئیات در مسئله سوشیانت ناشی از تأثیراتی است که از باورهای اسلامی به باورهای زرتشتی راه‌یافته‌اند</w:t>
      </w:r>
      <w:r>
        <w:rPr>
          <w:rFonts w:eastAsia="IRNazanin" w:cs="IRNazanin"/>
          <w:color w:val="111111"/>
          <w:sz w:val="28"/>
          <w:szCs w:val="28"/>
          <w:rtl w:val="true"/>
          <w:lang w:bidi="fa-IR"/>
        </w:rPr>
        <w:t>.</w:t>
      </w:r>
      <w:bookmarkStart w:id="163" w:name="pg3245_36511"/>
    </w:p>
    <w:p>
      <w:pPr>
        <w:pStyle w:val="Heading3"/>
        <w:numPr>
          <w:ilvl w:val="2"/>
          <w:numId w:val="1"/>
        </w:numPr>
        <w:rPr/>
      </w:pPr>
      <w:bookmarkStart w:id="164" w:name="__RefHeading___Toc1986454_2749589250"/>
      <w:bookmarkStart w:id="165" w:name="_Toc66"/>
      <w:bookmarkEnd w:id="163"/>
      <w:bookmarkEnd w:id="164"/>
      <w:r>
        <w:rPr>
          <w:rtl w:val="true"/>
        </w:rPr>
        <w:t>نتیجه‌گیری</w:t>
      </w:r>
      <w:bookmarkEnd w:id="165"/>
    </w:p>
    <w:p>
      <w:pPr>
        <w:pStyle w:val="Heading4"/>
        <w:numPr>
          <w:ilvl w:val="3"/>
          <w:numId w:val="1"/>
        </w:numPr>
        <w:rPr/>
      </w:pPr>
      <w:bookmarkStart w:id="166" w:name="__RefHeading___Toc1986456_2749589250"/>
      <w:bookmarkStart w:id="167" w:name="_Toc67"/>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 xml:space="preserve">آنچه از ادعای برخی مستشرقان مبنی بر تأثیرپذیری آموزۀ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و به‌خصوص در شیعۀ امامیه از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عقاید ایرانیان باستان به جهت سبقت و پیشینۀ تاریخی این باور در منابع ایرانی زرتشتی مطرح شده است، مردود است؛ چراکه</w:t>
      </w:r>
      <w:r>
        <w:rPr>
          <w:rFonts w:eastAsia="IRNazanin" w:cs="IRNazanin"/>
          <w:color w:val="111111"/>
          <w:sz w:val="28"/>
          <w:szCs w:val="28"/>
          <w:rtl w:val="true"/>
          <w:lang w:bidi="fa-IR"/>
        </w:rPr>
        <w:t>:</w:t>
      </w:r>
    </w:p>
    <w:p>
      <w:pPr>
        <w:pStyle w:val="Heading4"/>
        <w:numPr>
          <w:ilvl w:val="3"/>
          <w:numId w:val="1"/>
        </w:numPr>
        <w:rPr/>
      </w:pPr>
      <w:bookmarkStart w:id="168" w:name="__RefHeading___Toc1986458_2749589250"/>
      <w:bookmarkStart w:id="169" w:name="_Toc68"/>
      <w:bookmarkEnd w:id="168"/>
      <w:r>
        <w:rPr>
          <w:rtl w:val="true"/>
        </w:rPr>
        <w:t>اولاً</w:t>
      </w:r>
      <w:bookmarkEnd w:id="169"/>
    </w:p>
    <w:p>
      <w:pPr>
        <w:pStyle w:val="BookText"/>
        <w:rPr/>
      </w:pPr>
      <w:r>
        <w:rPr>
          <w:rFonts w:ascii="IRNazanin" w:hAnsi="IRNazanin" w:eastAsia="IRNazanin"/>
          <w:color w:val="111111"/>
          <w:sz w:val="28"/>
          <w:sz w:val="28"/>
          <w:szCs w:val="28"/>
          <w:rtl w:val="true"/>
          <w:lang w:bidi="fa-IR"/>
        </w:rPr>
        <w:t>در صورتی که آیین زرتشت را یک آیین الهی بدانیم، تشابه در آموزه‌های ادیان الهی به جهت اتحاد آبشخور آن‌ها، امری کاملاً طبیعی و شایع است که نمونه‌هایی از اعتقاد به موجودات فرامادی همچون فرشتگان، معراج پیامبران، برزخ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نمونه‌های این اشتراکات می‌توان نام برد</w:t>
      </w:r>
      <w:r>
        <w:rPr>
          <w:rFonts w:eastAsia="IRNazanin" w:cs="IRNazanin"/>
          <w:color w:val="111111"/>
          <w:sz w:val="28"/>
          <w:szCs w:val="28"/>
          <w:rtl w:val="true"/>
          <w:lang w:bidi="fa-IR"/>
        </w:rPr>
        <w:t>.</w:t>
      </w:r>
    </w:p>
    <w:p>
      <w:pPr>
        <w:pStyle w:val="Heading4"/>
        <w:numPr>
          <w:ilvl w:val="3"/>
          <w:numId w:val="1"/>
        </w:numPr>
        <w:rPr/>
      </w:pPr>
      <w:bookmarkStart w:id="170" w:name="__RefHeading___Toc1986460_2749589250"/>
      <w:bookmarkStart w:id="171" w:name="_Toc69"/>
      <w:bookmarkEnd w:id="170"/>
      <w:r>
        <w:rPr>
          <w:rtl w:val="true"/>
        </w:rPr>
        <w:t>ثانیاً</w:t>
      </w:r>
      <w:bookmarkEnd w:id="17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ایرانی زرتشتی به دو مفهوم به کار رفته است که بر یک وجه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وجه دیگر، معنایی عام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سودرسان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اوستای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 اشو زرتشت به هیچ عنوان به معنای خاص خود استعمال نشده است</w:t>
      </w:r>
      <w:r>
        <w:rPr>
          <w:rFonts w:eastAsia="IRNazanin" w:cs="IRNazanin"/>
          <w:color w:val="111111"/>
          <w:sz w:val="28"/>
          <w:szCs w:val="28"/>
          <w:rtl w:val="true"/>
          <w:lang w:bidi="fa-IR"/>
        </w:rPr>
        <w:t>.</w:t>
      </w:r>
      <w:bookmarkStart w:id="172" w:name="pg3245_36512"/>
    </w:p>
    <w:p>
      <w:pPr>
        <w:pStyle w:val="Heading4"/>
        <w:numPr>
          <w:ilvl w:val="3"/>
          <w:numId w:val="1"/>
        </w:numPr>
        <w:rPr/>
      </w:pPr>
      <w:bookmarkStart w:id="173" w:name="__RefHeading___Toc1986462_2749589250"/>
      <w:bookmarkStart w:id="174" w:name="_Toc70"/>
      <w:bookmarkEnd w:id="172"/>
      <w:bookmarkEnd w:id="173"/>
      <w:r>
        <w:rPr>
          <w:rtl w:val="true"/>
        </w:rPr>
        <w:t>ثالثاً</w:t>
      </w:r>
      <w:bookmarkEnd w:id="174"/>
    </w:p>
    <w:p>
      <w:pPr>
        <w:pStyle w:val="BookText"/>
        <w:rPr/>
      </w:pP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خاص نیز با آموزۀ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تفاوتی ماهوی در کار است، زیرا سوشیانت در باور زرتشتیان تنها کارکرد منجی‌گری در آخرالزمان دارد، برخلاف مهدی در باور مسلمانان ـ به‌ویژه شیعیان ـ که علاوه بر منجی‌گری، کارکردهای مهم دیگری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الهی بر خلق، واسطه‌گری میان زمین و آسمان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ایرانیان زرتشتی معتقد به سه منجی‌اند، در حالی که مسلمانان و شیعیان تنها منتظر یک منجی هستند</w:t>
      </w:r>
      <w:r>
        <w:rPr>
          <w:rFonts w:eastAsia="IRNazanin" w:cs="IRNazanin"/>
          <w:color w:val="111111"/>
          <w:sz w:val="28"/>
          <w:szCs w:val="28"/>
          <w:rtl w:val="true"/>
          <w:lang w:bidi="fa-IR"/>
        </w:rPr>
        <w:t>.</w:t>
      </w:r>
    </w:p>
    <w:p>
      <w:pPr>
        <w:pStyle w:val="Heading4"/>
        <w:numPr>
          <w:ilvl w:val="3"/>
          <w:numId w:val="1"/>
        </w:numPr>
        <w:rPr/>
      </w:pPr>
      <w:bookmarkStart w:id="175" w:name="__RefHeading___Toc1986464_2749589250"/>
      <w:bookmarkStart w:id="176" w:name="_Toc71"/>
      <w:bookmarkEnd w:id="175"/>
      <w:r>
        <w:rPr>
          <w:rtl w:val="true"/>
        </w:rPr>
        <w:t>رابعاً</w:t>
      </w:r>
      <w:bookmarkEnd w:id="176"/>
    </w:p>
    <w:p>
      <w:pPr>
        <w:pStyle w:val="BookText"/>
        <w:rPr/>
      </w:pPr>
      <w:r>
        <w:rPr>
          <w:rFonts w:ascii="IRNazanin" w:hAnsi="IRNazanin" w:eastAsia="IRNazanin"/>
          <w:color w:val="111111"/>
          <w:sz w:val="28"/>
          <w:sz w:val="28"/>
          <w:szCs w:val="28"/>
          <w:rtl w:val="true"/>
          <w:lang w:bidi="fa-IR"/>
        </w:rPr>
        <w:t>هیچ‌یک از متون ایرانی زرتشتی دارای چنان اعتباری نیستند که عقیده‌ای را توسط آن‌ها به صورت جازم به دین زرتشت استناد داده و سپس مدعی تأثیرگذاری آن آموزه بر باورهای مشابه متأخر کرد</w:t>
      </w:r>
      <w:r>
        <w:rPr>
          <w:rFonts w:eastAsia="IRNazanin" w:cs="IRNazanin"/>
          <w:color w:val="111111"/>
          <w:sz w:val="28"/>
          <w:szCs w:val="28"/>
          <w:rtl w:val="true"/>
          <w:lang w:bidi="fa-IR"/>
        </w:rPr>
        <w:t>.</w:t>
      </w:r>
    </w:p>
    <w:p>
      <w:pPr>
        <w:pStyle w:val="Heading4"/>
        <w:numPr>
          <w:ilvl w:val="3"/>
          <w:numId w:val="1"/>
        </w:numPr>
        <w:rPr/>
      </w:pPr>
      <w:bookmarkStart w:id="177" w:name="__RefHeading___Toc1986466_2749589250"/>
      <w:bookmarkStart w:id="178" w:name="_Toc72"/>
      <w:bookmarkEnd w:id="177"/>
      <w:r>
        <w:rPr>
          <w:rtl w:val="true"/>
        </w:rPr>
        <w:t>خامساً</w:t>
      </w:r>
      <w:bookmarkEnd w:id="178"/>
    </w:p>
    <w:p>
      <w:pPr>
        <w:pStyle w:val="BookText"/>
        <w:rPr/>
      </w:pPr>
      <w:r>
        <w:rPr>
          <w:rFonts w:ascii="IRNazanin" w:hAnsi="IRNazanin" w:eastAsia="IRNazanin"/>
          <w:color w:val="111111"/>
          <w:sz w:val="28"/>
          <w:sz w:val="28"/>
          <w:szCs w:val="28"/>
          <w:rtl w:val="true"/>
          <w:lang w:bidi="fa-IR"/>
        </w:rPr>
        <w:t>با توجه به شواهد و قرائن فراوانی که در دست است، بسیاری از منابع مکتوب ایرانی زرتشتی که این باور در آن‌ها موج می‌زند، در سال‌ها پس از فتح ایران و تسلط و سیطرۀ کامل اسلام بر مجامع ایرانی در قرن سوم به بعد به جهت اغراضی بازبینی و دوباره به تحریر درآمده‌اند؛ و لذا شاهد نفوذ بسیاری از باورها و آموزه‌های اسلامی همچون منجی‌باوری و جزئیات آن در این مکتوبات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مدعی می‌شویم در صورتی که اصل دیانت زرتشتی را دینی الهی بپنداریم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آموزه‌های وحیانی بدانیم، چاره‌ای جز آن نداریم که این باور را در بسیاری از جزئیات و ویژگی‌ها متأثر از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اسلامی بدانیم</w:t>
      </w:r>
      <w:r>
        <w:rPr>
          <w:rFonts w:eastAsia="IRNazanin" w:cs="IRNazanin"/>
          <w:color w:val="111111"/>
          <w:sz w:val="28"/>
          <w:szCs w:val="28"/>
          <w:rtl w:val="true"/>
          <w:lang w:bidi="fa-IR"/>
        </w:rPr>
        <w:t>.</w:t>
      </w:r>
    </w:p>
    <w:p>
      <w:pPr>
        <w:pStyle w:val="Heading3"/>
        <w:numPr>
          <w:ilvl w:val="2"/>
          <w:numId w:val="1"/>
        </w:numPr>
        <w:rPr/>
      </w:pPr>
      <w:bookmarkStart w:id="179" w:name="__RefHeading___Toc1986468_2749589250"/>
      <w:bookmarkStart w:id="180" w:name="_Toc73"/>
      <w:bookmarkEnd w:id="179"/>
      <w:r>
        <w:rPr>
          <w:rtl w:val="true"/>
        </w:rPr>
        <w:t>منابع</w:t>
      </w:r>
      <w:bookmarkEnd w:id="1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ابن‌أبی‌الحدید، عبدالحمید بن هبة‌الله،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نهج‌البلاغة، چاپ اول، انتشارات مکتبة آیة‌الله المرعشی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کمال‌الدین و تمام النعمة،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چاپ اول، انتشارات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الغمة فی معرفة الأئمة،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رسولی محلاتی، چاپ اول، انتشارات بنی‌هاشمی 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مصری، احمد،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پرتو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عباس خلیلی، چاپ اول، انتشارات 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آرتور، کریستین سن،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 در زمان ساسانیان،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یاسمی، چاپ نهم، انتشارات دنیای کتاب</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آصف آگاه، سیدحسن،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سوشیانت منجی ایرانویچ، چاپ اول، انتشارات آینده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اندلسی، ابن‌حزم،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الفصل فی الملل و النحل، چاپ اول، بیروت، انتشارات دار 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سیدهاشم بن سلیمان،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البرهان فی تفسیر القرآن، چاپ اول، انتشارات مؤسسه بعثۀ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بویس، مری،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کیش زرشت،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صنعتی‌زاده، تهران، گستره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بهزادی، رقیه،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بندهش هندی متنی به زبان پارسی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 ساسانی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مؤسسه مطالعات و تحقیقات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بی‌ناس، جان،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جامع ادیان،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حکمت، چاپ چهاردهم، انتشارات علمی ـ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پورداود، ابراهیم،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کهن‌ترین کتاب آسمانی در زمان ایران باستان، تهران، چاپ دهم، انتشارات دنیای کتاب،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یادداشت‌های گات‌ها، تهران، چاپ اول، انتشارات اساطیر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دارمستتر،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از صدر اسلام تا قرن سیزدهم،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جهان‌سوز، تهران، چاپ رنگین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راشد محصل، محمدتقی،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نجات‌بخشی در ادیان، چاپ اول، انتشارت منیر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راوندی، مرتضی،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اجتماعی ایران، چاپ دوم، انتشارات نگاه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باغ‌بیدی، حسن،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 در اوستا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مقالات و بررسی‌ها، شماره زمستان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شریف،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للصبحی صالح، قم،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هاشم،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سوشیانت موعود مزدیسنان زرتشتی، تهران،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اوستا؛ کهن‌ترین گنجینه مکتوب ایران باستان، تهران،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متون شرقی و سنتی زرتشتی، تهران، بهجت،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زنر، ارسی،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طلوع و غروب زرتشتی‌گری،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قادری، تهران، چاپ سوم، انتشارت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سجستانی، ابی‌داوود،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ابی‌داوود،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شاکد، شائول،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ایران زرتشتی تا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ثاقب‌فر، چاپ اول، انتشارت ققنوس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شاکری زواردهی، روح‌الله،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منجی در ادیان، قم، انتشارات فرهنگی حضرت مهدی موعود عج الله تعالی فرجه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الغیبۀ للحجۀ،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عبادالله تهرانی و علی احمد ناصح، چاپ اول، دار المعارف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محمد بن حسن،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إثبات الهداة بالنصوص و المعجزات، بیروت، 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عمیدی، سیدثامر هاشم،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انتظار ققنوس،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علیزاد، قم، چاپ اول، مؤسسه آموزشی ـ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فتلاوی، مهدی،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المهدی المنتظر فی دراسۀ مقارنۀ بین الفکر الشیعی و السنی، بیروت، دار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قدیانی، عباس،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جامع تاریخ ایران، تهران، 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علی بن ابراهیم،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قمی،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جزایری، قم، چاپ اول، انتشارات دار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کشمیری فانی، ملامحسن،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دبستان المذاهب،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مصطفوی، تهران، ندا،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کرستین سن، آرتور،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ایرانیان در زمان ساسانیان،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یاسمی، چاپ اول، انتشارات دنیای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بن اسحاق،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چاپ اول، انتشارات 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گلدزهیر، ایجانس، </w:t>
      </w:r>
      <w:r>
        <w:rPr>
          <w:rFonts w:eastAsia="IRNazanin" w:cs="IRNazanin"/>
          <w:color w:val="111111"/>
          <w:sz w:val="28"/>
          <w:szCs w:val="28"/>
          <w:rtl w:val="true"/>
          <w:lang w:bidi="fa-IR"/>
        </w:rPr>
        <w:t>(</w:t>
      </w:r>
      <w:r>
        <w:rPr>
          <w:rFonts w:eastAsia="IRNazanin" w:cs="IRNazanin"/>
          <w:color w:val="111111"/>
          <w:sz w:val="28"/>
          <w:szCs w:val="28"/>
          <w:lang w:bidi="fa-IR"/>
        </w:rPr>
        <w:t>2113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العقیدۀ و الشریعۀ فی الاسلام، مصر، میراث دار الترجمه</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 شافعی، حافظ محمد بن یوسف،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البیان فی اخبار صاحب الزمان، انتشارت دار احیاء تراث اهل البیت</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عبدالرحیم،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مذهبی ادیان در جوامع امروز، چاپ سوم،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متوسلیان، مهدی،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سوشیانت‌ها یا موعودان نجات‌بخش دین زرتشت، پایان‌نامه کارشناسی ارشد،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لدرر اخبار الائمه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دوانی علی، چاپ سی و دوم ، انتشارت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علی‌اصغر،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سوشیانت یا سیر اندیشه ایرانیان درباره موعود آخرالزمان، تهران، ندا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اسطوره سوشیانت، تهران، فرهنگ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ابن‌أبی‌الحدید، عبدالحمید بن هبة‌الله،</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مکتبة آیة‌الله المرعشی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معرفة حجج الله علی العباد،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آل‌البیت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قم، کنگره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ملایری، مهدی،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و فرهنگ ایران در دوران انتقال از عصر ساسانی به عصر اسلامی، چاپ اول، انتشارت توس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حسین،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ذهنیت مستشرقین و اصالت مهدویت، تهران، آفاق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گیلانی، سیدرضی،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مهدویت از دیدگاه دین‌پژوهان غربی، چاپ سوم، بنیاد فرهنگی حضرت مهدی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فرهنگ،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دیدی نو از دینی کهن، تهران، جامی،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میردهقان، سیدفضل‌الله، تطبیق دو موعود در اسلام و زرتشت، کمیته علمی همایش بین‌المللی دکترین مهدویت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 دارالکتب الاسلامیه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الغیبة للنعمانی،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تهران، انتشارت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نوشیروان، دار بار بهمن،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 در نثر و صد در بندهشن، بمبئی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شهیدی، اسدالله،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حضرت مهدی علیه السلام از دیدگاه اسلام، مذاهب و ملل جهان، قم، چاپ پنجم، انتشارت مسجد جمکران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صادق،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 و هومن یسن و کارنامه اردشیر بابکان، انتشارت گهبد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هلالی، 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سلیم بن قیس الهلالی، قم، چاپ اول، انتشارت الهادی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عتیق،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فاضل‌خان همدانی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هینلز، جان آر،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ادیان جهان، عسکری پاشایی، قم، مرکز مطالعات و تحقیقات ادیان و مذاهب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محمدجعفر،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اساطیر در ادبیات فارسی، تهران، فرهنگ 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یارشاطر، احسان،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حضور ایرانی در جهان اسلام، مترجم؛ مجلسی فریدون، انتشارت مروارید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مقاله‌ای پیرامون دینکرد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نگهبان، حمیدرضا،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واکاوی اسطوره 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ادبیات فارسی دانشگاه آزاد اسلامی،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حیدری، حسین و محمد آقاجانی،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و یاری‌گران خداوند در اوستا و عهد 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ادیان و عرفان، شماره نهم</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لاهوری،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بینش زرتشت بر فرهنگ بشری در نگاه اندیشمندان جهان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مردانی نوکده،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موعود در اقوام و ملل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موعود، شماره </w:t>
      </w:r>
      <w:r>
        <w:rPr>
          <w:rFonts w:ascii="IRNazanin" w:hAnsi="IRNazanin" w:eastAsia="IRNazanin"/>
          <w:color w:val="111111"/>
          <w:sz w:val="28"/>
          <w:sz w:val="28"/>
          <w:szCs w:val="28"/>
          <w:lang w:bidi="fa-IR"/>
        </w:rPr>
        <w:t>۷</w:t>
      </w:r>
      <w:r>
        <w:rPr>
          <w:rFonts w:eastAsia="IRNazanin" w:cs="IRNazanin"/>
          <w:color w:val="111111"/>
          <w:sz w:val="28"/>
          <w:szCs w:val="28"/>
          <w:lang w:bidi="fa-IR"/>
        </w:rPr>
        <w:t>9</w:t>
      </w:r>
      <w:r>
        <w:rPr>
          <w:rFonts w:eastAsia="IRNazanin" w:cs="IRNazanin"/>
          <w:color w:val="111111"/>
          <w:sz w:val="28"/>
          <w:szCs w:val="28"/>
          <w:rtl w:val="true"/>
          <w:lang w:bidi="fa-IR"/>
        </w:rPr>
        <w:t>.</w:t>
      </w:r>
      <w:bookmarkStart w:id="181" w:name="pg3245_36517"/>
    </w:p>
    <w:p>
      <w:pPr>
        <w:pStyle w:val="Heading2"/>
        <w:numPr>
          <w:ilvl w:val="1"/>
          <w:numId w:val="1"/>
        </w:numPr>
        <w:rPr/>
      </w:pPr>
      <w:bookmarkStart w:id="182" w:name="__RefHeading___Toc1986470_2749589250"/>
      <w:bookmarkStart w:id="183" w:name="_Toc74"/>
      <w:bookmarkEnd w:id="181"/>
      <w:bookmarkEnd w:id="182"/>
      <w:r>
        <w:rPr>
          <w:rtl w:val="true"/>
        </w:rPr>
        <w:t xml:space="preserve">بررسی و تقویت نقدهای </w:t>
      </w:r>
      <w:r>
        <w:rPr>
          <w:rtl w:val="true"/>
        </w:rPr>
        <w:t>«</w:t>
      </w:r>
      <w:r>
        <w:rPr>
          <w:rtl w:val="true"/>
        </w:rPr>
        <w:t>محمد بن علوی مالکی</w:t>
      </w:r>
      <w:r>
        <w:rPr>
          <w:rtl w:val="true"/>
        </w:rPr>
        <w:t xml:space="preserve">» </w:t>
      </w:r>
      <w:r>
        <w:rPr>
          <w:rtl w:val="true"/>
        </w:rPr>
        <w:t xml:space="preserve">بر </w:t>
      </w:r>
      <w:r>
        <w:rPr>
          <w:rtl w:val="true"/>
        </w:rPr>
        <w:t>«</w:t>
      </w:r>
      <w:r>
        <w:rPr>
          <w:rtl w:val="true"/>
        </w:rPr>
        <w:t>محمد بن صالح عثیمین</w:t>
      </w:r>
      <w:r>
        <w:rPr>
          <w:rtl w:val="true"/>
        </w:rPr>
        <w:t xml:space="preserve">» </w:t>
      </w:r>
      <w:r>
        <w:rPr>
          <w:rtl w:val="true"/>
        </w:rPr>
        <w:t xml:space="preserve">دربارۀ توسل </w:t>
      </w:r>
      <w:r>
        <w:rPr>
          <w:rtl w:val="true"/>
        </w:rPr>
        <w:t xml:space="preserve">/ </w:t>
      </w:r>
      <w:r>
        <w:rPr>
          <w:rtl w:val="true"/>
        </w:rPr>
        <w:t>میثم دوست محمدی ، محمد رضا کریمی والا</w:t>
      </w:r>
      <w:bookmarkEnd w:id="183"/>
    </w:p>
    <w:p>
      <w:pPr>
        <w:pStyle w:val="Heading3"/>
        <w:numPr>
          <w:ilvl w:val="2"/>
          <w:numId w:val="1"/>
        </w:numPr>
        <w:rPr/>
      </w:pPr>
      <w:bookmarkStart w:id="184" w:name="__RefHeading___Toc1986472_2749589250"/>
      <w:bookmarkStart w:id="185" w:name="_Toc75"/>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 xml:space="preserve">میثم دوست محمدی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محمدرضا کریمی والا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20/12/1394</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24/03/1395</w:t>
      </w:r>
    </w:p>
    <w:p>
      <w:pPr>
        <w:pStyle w:val="Heading3"/>
        <w:numPr>
          <w:ilvl w:val="2"/>
          <w:numId w:val="1"/>
        </w:numPr>
        <w:rPr/>
      </w:pPr>
      <w:bookmarkStart w:id="186" w:name="__RefHeading___Toc1986474_2749589250"/>
      <w:bookmarkStart w:id="187" w:name="_Toc76"/>
      <w:bookmarkEnd w:id="186"/>
      <w:r>
        <w:rPr>
          <w:rtl w:val="true"/>
        </w:rPr>
        <w:t>چکیده</w:t>
      </w:r>
      <w:bookmarkEnd w:id="187"/>
    </w:p>
    <w:p>
      <w:pPr>
        <w:pStyle w:val="BookText"/>
        <w:rPr/>
      </w:pPr>
      <w:r>
        <w:rPr>
          <w:rFonts w:ascii="IRNazanin" w:hAnsi="IRNazanin" w:eastAsia="IRNazanin"/>
          <w:color w:val="111111"/>
          <w:sz w:val="28"/>
          <w:sz w:val="28"/>
          <w:szCs w:val="28"/>
          <w:rtl w:val="true"/>
          <w:lang w:bidi="fa-IR"/>
        </w:rPr>
        <w:t xml:space="preserve">استدلال‌های وهابیت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میزان با مواضع متفکران اهل‌سنت تطابق دارد؟ نگارندۀ مقاله برای پاسخ به این پرسش، به بررسی دیدگاه‌های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علوی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صالح عثیمین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اهل‌سنت پرداخته و روشن می کند که استدلال وهابیت در این باره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استدلال‌های محمد بن علوی مالکی که با استناد به متون روایی، به وضوح ثابت می کند توسل به دعای پیامبر صلی الله علیه و اله و سلم و صالحان گذشته، عملی در راستای اعتقاد به توحید خداست، نقاط ضعفی وجود دارد که برطرف کردن و تقویت آن‌ها موجب ارائه نقدی مستحکم و همه‌جانبه بر انگاره‌های ابن‌عثیمین و دیگر علمای وهابیت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مالکی در مسئله توسل تا حد زیادی مطابق با نگرش امامیه بوده و به صحتِ توسل به دعای پیامبر صلی الله علیه و اله و سلم و صالحان گذشته معتقد است</w:t>
      </w:r>
      <w:r>
        <w:rPr>
          <w:rFonts w:eastAsia="IRNazanin" w:cs="IRNazanin"/>
          <w:color w:val="111111"/>
          <w:sz w:val="28"/>
          <w:szCs w:val="28"/>
          <w:rtl w:val="true"/>
          <w:lang w:bidi="fa-IR"/>
        </w:rPr>
        <w:t>.</w:t>
      </w:r>
    </w:p>
    <w:p>
      <w:pPr>
        <w:pStyle w:val="Heading3"/>
        <w:numPr>
          <w:ilvl w:val="2"/>
          <w:numId w:val="1"/>
        </w:numPr>
        <w:rPr/>
      </w:pPr>
      <w:bookmarkStart w:id="188" w:name="__RefHeading___Toc1986476_2749589250"/>
      <w:bookmarkStart w:id="189" w:name="_Toc77"/>
      <w:bookmarkEnd w:id="188"/>
      <w:r>
        <w:rPr>
          <w:rtl w:val="true"/>
        </w:rPr>
        <w:t>واژگان کلیدی</w:t>
      </w:r>
      <w:bookmarkEnd w:id="18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وهابیت، توحید، محمد بن علوی مالکی، محمد بن صالح عثیمین</w:t>
      </w:r>
      <w:r>
        <w:rPr>
          <w:rFonts w:eastAsia="IRNazanin" w:cs="IRNazanin"/>
          <w:color w:val="111111"/>
          <w:sz w:val="28"/>
          <w:szCs w:val="28"/>
          <w:rtl w:val="true"/>
          <w:lang w:bidi="fa-IR"/>
        </w:rPr>
        <w:t>.</w:t>
      </w:r>
      <w:bookmarkStart w:id="190" w:name="pg3245_36518"/>
    </w:p>
    <w:p>
      <w:pPr>
        <w:pStyle w:val="Heading3"/>
        <w:numPr>
          <w:ilvl w:val="2"/>
          <w:numId w:val="1"/>
        </w:numPr>
        <w:rPr/>
      </w:pPr>
      <w:bookmarkStart w:id="191" w:name="__RefHeading___Toc1986478_2749589250"/>
      <w:bookmarkStart w:id="192" w:name="_Toc78"/>
      <w:bookmarkEnd w:id="190"/>
      <w:bookmarkEnd w:id="191"/>
      <w:r>
        <w:rPr>
          <w:rtl w:val="true"/>
        </w:rPr>
        <w:t>مقدمه</w:t>
      </w:r>
      <w:bookmarkEnd w:id="192"/>
    </w:p>
    <w:p>
      <w:pPr>
        <w:pStyle w:val="BookText"/>
        <w:rPr/>
      </w:pPr>
      <w:r>
        <w:rPr>
          <w:rFonts w:ascii="IRNazanin" w:hAnsi="IRNazanin" w:eastAsia="IRNazanin"/>
          <w:color w:val="111111"/>
          <w:sz w:val="28"/>
          <w:sz w:val="28"/>
          <w:szCs w:val="28"/>
          <w:rtl w:val="true"/>
          <w:lang w:bidi="fa-IR"/>
        </w:rPr>
        <w:t>در تفکر وهابیت برخی اعمال مسلمانان که خاستگاه آن در متون دینی است، از مصادیق شرک به خدا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وهابیان به تبعیت از محمد بن عبدالوهاب و ابن‌تیمیه، به مخالفت با برخی از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آن‌ها را موجب شرک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افکار ابن‌تیمیه، اختلافاتی بین مسلمانان در مسئله توسل و زیارت قبور و سازگاری آن با اعتقاد به توحید افعالی و عبادی خداوند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حنابله مانند حسن بن علی بربهاری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زیارت قبور و توسل به مردگان را بدعت و شرک می دانستند و بر این اساس، تعداد بسیاری را به خاک و خون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بربهاری و یارانش فتنه‌های بسیاری کردند، اما اعتقادات انحرافی آن‌ها در قالب مکتبی منسجم تدوین نشد؛ لذا می‌توان گفت ابن‌تیمیه، نخستین نظریه‌پردازی است که این افکار و اعتقادات را به شکل علمی منظم و منسجم کرد و پایه‌گذار اعتقادی سلفی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نبی‌نژاد،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خطر تشکیل گروه های سلفی تکفیری در مناطق اسلامی و کشتار مسلمانان به بهانۀ مبارزه با مظاهر شرک،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آن‌ها، توسل به پیامبر صلی الله علیه و اله و سلم و اولیای الهی گذشته، از مصادیق بارز شرک به خداوند است و بر این اساس، افراد بی شماری از مسلمانان را کشتند و موجب تخریب چهرۀ رحمانی اسلام در افکار عمومی جهان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است دیدگاه وهابیت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مذاهب اسلامی مورد نقد قرار گیرد تا ضمن ردّ تفکر وهابیت از نگاه علمای جهان اسلام، جایگاه توسل در اندیشۀ اسلامی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یکسانی دیدگاه علمای اسلام در مسئله توسل می تواند به زمینه‌سازی وحدت مذاهب اسلامی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عقیدۀ وهابیت،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دسته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توسل‌های مشروع که یا در قرآن به آن اشاره شده و یا در سنت صحیح، دلیلی بر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توسل‌ها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اسما، صفات و افعال الهی، توسل به ایمان به خدا و اعمال صالح، توسل به دعای صالحانِ در قید حیات، توسل به حبّ پیامبر صلی الله علیه و اله و سلم و تبعیت از او، و توسل به حال اضطرار و شدت حاجت‌مندی خود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توسل‌های غیرمشروع و مشرکانه که برخی از آن‌ها فاقد دلیل معتبر از متون دینی هستند و برخی دیگر مورد نهی شارع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توسل‌ها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w:t>
      </w:r>
      <w:bookmarkStart w:id="193" w:name="pg3245_36519"/>
    </w:p>
    <w:p>
      <w:pPr>
        <w:pStyle w:val="BookText"/>
        <w:rPr/>
      </w:pPr>
      <w:bookmarkEnd w:id="193"/>
      <w:r>
        <w:rPr>
          <w:rFonts w:ascii="IRNazanin" w:hAnsi="IRNazanin" w:eastAsia="IRNazanin"/>
          <w:color w:val="111111"/>
          <w:sz w:val="28"/>
          <w:sz w:val="28"/>
          <w:szCs w:val="28"/>
          <w:rtl w:val="true"/>
          <w:lang w:bidi="fa-IR"/>
        </w:rPr>
        <w:t>بت‌ها، توسل به ذات و وجود مخلوق، توسل به جاه و حقّ مخلوق، توسل به دعای اموات، و درخواست از خدا همراه با قسم دادن به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وهابیت تنها دستۀ نخست را جایز دانسته و چنین توسل‌هایی را در مسیر اعتقاد به توحید خداوند می داند و دستۀ دوم را برخلاف معارف اسلامی دانسته، تا جایی که آن را موجب شرک به خداوند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ابن‌تیمیه،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ابن‌عثیمین،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جلسه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ابن‌عثیمین،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الدرویش، بی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ابن‌باز و دیگران،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صالح عثیمین</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از بزرگان وهابیت و عضو سابق هیئت کبار علمای عربستان سعودی و یکی از مدافعان اصلی وهابیت در مسئله توسل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علوی مالکی</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نیز یکی از علمای اهل‌سنت در عربستان سعودی با تمایلات صوفیانه است که موجب شده او یکی از منتقدان وهابیت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نقد دیدگاه علمای وهابیت، به تبیین توسل در اندیشۀ اسلامی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پرسش اصلی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نقدهای محمد بن علوی مالکی بر دیدگاه محمد بن صالح عثیمین در مسئله توسل به دعای مردگان، پاسخی کامل و همه‌جانبه است یا خیر؟ به نظر می‌رسد، نقدهای مالکی کامل نیست و نقاط ضعفی دارد که در نوشتار پیش رو ضمن تبیین آن‌ها، راه‌حل‌های مناسبی جهت رفع و تقویت آن‌ها ارائه می شود تا بتواند پاسخ کاملی به انگاره‌های ابن‌عثیمین باشد</w:t>
      </w:r>
      <w:r>
        <w:rPr>
          <w:rFonts w:eastAsia="IRNazanin" w:cs="IRNazanin"/>
          <w:color w:val="111111"/>
          <w:sz w:val="28"/>
          <w:szCs w:val="28"/>
          <w:rtl w:val="true"/>
          <w:lang w:bidi="fa-IR"/>
        </w:rPr>
        <w:t>.</w:t>
      </w:r>
    </w:p>
    <w:p>
      <w:pPr>
        <w:pStyle w:val="Heading3"/>
        <w:numPr>
          <w:ilvl w:val="2"/>
          <w:numId w:val="1"/>
        </w:numPr>
        <w:rPr/>
      </w:pPr>
      <w:bookmarkStart w:id="194" w:name="__RefHeading___Toc1986480_2749589250"/>
      <w:bookmarkStart w:id="195" w:name="_Toc79"/>
      <w:bookmarkEnd w:id="194"/>
      <w:r>
        <w:rPr/>
        <w:t>1</w:t>
      </w:r>
      <w:r>
        <w:rPr>
          <w:rtl w:val="true"/>
        </w:rPr>
        <w:t xml:space="preserve">. </w:t>
      </w:r>
      <w:r>
        <w:rPr>
          <w:rtl w:val="true"/>
        </w:rPr>
        <w:t>محمد بن صالح عثیمین و توسل به دعای پیامبر</w:t>
      </w:r>
      <w:r>
        <w:rPr/>
        <w:t></w:t>
      </w:r>
      <w:r>
        <w:rPr>
          <w:rtl w:val="true"/>
        </w:rPr>
        <w:t xml:space="preserve"> و صالحان</w:t>
      </w:r>
      <w:bookmarkEnd w:id="195"/>
    </w:p>
    <w:p>
      <w:pPr>
        <w:pStyle w:val="Heading4"/>
        <w:numPr>
          <w:ilvl w:val="3"/>
          <w:numId w:val="1"/>
        </w:numPr>
        <w:rPr/>
      </w:pPr>
      <w:bookmarkStart w:id="196" w:name="__RefHeading___Toc1986482_2749589250"/>
      <w:bookmarkStart w:id="197" w:name="_Toc80"/>
      <w:bookmarkEnd w:id="196"/>
      <w:r>
        <w:rPr>
          <w:rtl w:val="true"/>
        </w:rPr>
        <w:t>اشاره</w:t>
      </w:r>
      <w:bookmarkEnd w:id="19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صالح عثیمین معتقد است، هنگامی که شخص صالحی در قید حیات باشد می توان به دعای او توسل جست، همان‌گونه که صحابه نزد پیامبر صلی الله علیه و اله و سلم رفته و برای رفع گرفتاری</w:t>
      </w:r>
      <w:bookmarkStart w:id="198" w:name="pg3245_36520"/>
    </w:p>
    <w:p>
      <w:pPr>
        <w:pStyle w:val="BookText"/>
        <w:rPr/>
      </w:pPr>
      <w:bookmarkEnd w:id="198"/>
      <w:r>
        <w:rPr>
          <w:rFonts w:ascii="IRNazanin" w:hAnsi="IRNazanin" w:eastAsia="IRNazanin"/>
          <w:color w:val="111111"/>
          <w:sz w:val="28"/>
          <w:sz w:val="28"/>
          <w:szCs w:val="28"/>
          <w:rtl w:val="true"/>
          <w:lang w:bidi="fa-IR"/>
        </w:rPr>
        <w:t>و مشکلات خود طلب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عقیدۀ ابن‌عثیمین، توسل به دعای صالحان فقط در زمان حیاتشان جایز است و پس از رحلتشان نمی توان به آن‌ها متوسل شد، زیرا هیچ دلیل عقلی و نقلی برای صحت چنین توسلی وجود ندارد و صحابه پس از رحلت پیامبر صلی الله علیه و اله و سلم در هیچ موردی به آن حضرت توسل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ابن‌عثیمین،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وی، در منابع روایی هیچ روایت معتبری مبنی بر مشروعیت این‌گونه توسل و ترغیب به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ابن‌عثیمین معتقد است، توسل به دعای پیامبر صلی الله علیه و اله و سلم و صالحان پس از رحلتشان، بر خلاف اعتقاد به توحید و یگانگی خداوند و موجب شرک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ابن‌عثیمین،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Heading4"/>
        <w:numPr>
          <w:ilvl w:val="3"/>
          <w:numId w:val="1"/>
        </w:numPr>
        <w:rPr/>
      </w:pPr>
      <w:bookmarkStart w:id="199" w:name="__RefHeading___Toc1986484_2749589250"/>
      <w:bookmarkStart w:id="200" w:name="_Toc81"/>
      <w:bookmarkEnd w:id="199"/>
      <w:r>
        <w:rPr/>
        <w:t>1</w:t>
      </w:r>
      <w:r>
        <w:rPr>
          <w:rtl w:val="true"/>
        </w:rPr>
        <w:t>ـ</w:t>
      </w:r>
      <w:r>
        <w:rPr/>
        <w:t>1</w:t>
      </w:r>
      <w:r>
        <w:rPr>
          <w:rtl w:val="true"/>
        </w:rPr>
        <w:t xml:space="preserve">. </w:t>
      </w:r>
      <w:r>
        <w:rPr>
          <w:rtl w:val="true"/>
        </w:rPr>
        <w:t>مستندات روایی</w:t>
      </w:r>
      <w:bookmarkEnd w:id="200"/>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پس از رحلت پیامبر صلی الله علیه و اله و سلم به اشخاص صالح مراجعه می‌کردند و به دعای آن‌ها متوسل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ابن‌عثیمین در موارد متعددی برای اثبات ادعای خود به آن استناد نموده، روایت توسل خلیفۀ دوم به عباس، عموی پیامبر صلی الله علیه و اله و سلم ، برای بارش باران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خشک‌سالی می شد، عمر به عباس بن عبدالمطلب متوسل می شد و طلب باران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هنگامی که پیامبر صلی الله علیه و اله و سلم زنده بود، به او متوسل می شدیم و اکنون به عموی پیامبر صلی الله علیه و اله و سلم متوسل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باران نازل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صالح عثیمین مدعی است همۀ اشخاص، حتی پیامبر صلی الله علیه و اله و سلم هنگامی که از دنیا</w:t>
      </w:r>
    </w:p>
    <w:p>
      <w:pPr>
        <w:pStyle w:val="BookText"/>
        <w:rPr/>
      </w:pPr>
      <w:r>
        <w:rPr>
          <w:rFonts w:ascii="IRNazanin" w:hAnsi="IRNazanin" w:eastAsia="IRNazanin"/>
          <w:color w:val="111111"/>
          <w:sz w:val="28"/>
          <w:sz w:val="28"/>
          <w:szCs w:val="28"/>
          <w:rtl w:val="true"/>
          <w:lang w:bidi="fa-IR"/>
        </w:rPr>
        <w:t>می روند، ارتباطشان با اهل دنیا قطع می شود و صدای آن‌ها را نمی شنوند؛ هم‌چنین پروندۀ اعمالشان بسته می شود و نمی توانند نفعی به دیگران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روایت توسل عمر بن خطاب به عباس را نیز در همین راستا می داند و معتقد است، اگر توسل به دعای اموات صحیح بود، حتماً خلیفۀ دوم و دیگر صحابه، به دعای پیامبر صلی الله علیه و اله و سلم متوسل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صحابه نیز ارتباط با پیامبر صلی الله علیه و اله و سلم و توسل به او را مختص زمان حیات آن حضرت می دانستند، چراکه پیامبر صلی الله علیه و اله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الْإِنْسَانُ انْقَطَعَ عَنْهُ عَمَلُهُ إِلَّا 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صَدَقَةٍ جَارِیَةٍ أَوْ عِلْمٍ یُنْتَفَعُ بِهِ أَوْ وَلَدٍ صَالِحٍ یَدْعُو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نیشابوری، بی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روایت، هیچ انسانی پس از مرگش نمی تواند برای دیگران یا برای خودش دعا و استغفار کند و پیامبران نیز از این قاعده خارج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ابن‌عثیمین،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ابن‌عثیمین، در توسل باید وسیله ای که به آن توسل می شود، مورد تأیید اسلام باشد، و هیچ روایت معتبری وجود ندارد که ثابت کند صحابه پس از رحلت پیامبر صلی الله علیه و اله و سلم برای رفع</w:t>
      </w:r>
      <w:bookmarkStart w:id="201" w:name="pg3245_36521"/>
    </w:p>
    <w:p>
      <w:pPr>
        <w:pStyle w:val="BookText"/>
        <w:rPr/>
      </w:pPr>
      <w:bookmarkEnd w:id="201"/>
      <w:r>
        <w:rPr>
          <w:rFonts w:ascii="IRNazanin" w:hAnsi="IRNazanin" w:eastAsia="IRNazanin"/>
          <w:color w:val="111111"/>
          <w:sz w:val="28"/>
          <w:sz w:val="28"/>
          <w:szCs w:val="28"/>
          <w:rtl w:val="true"/>
          <w:lang w:bidi="fa-IR"/>
        </w:rPr>
        <w:t xml:space="preserve">حوایج خود به دعای آن حضرت متوسل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ابن‌عثیمین،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مردگان توسل می کنند و چنین توسلی را جایز می دانند به مقتضای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لَهُمْ شُرَکاءُ شَرَعُوا لَهُمْ مِنَ الدِّینِ ما لَمْ یَأْذَنْ بِهِ اللَّهُ وَ لَوْ لا کَلِمَةُ الْفَصْلِ لَقُضِیَ بَیْنَهُمْ وَ إِنَّ الظَّالِمینَ لَهُمْ عَذابٌ أَلیمٌ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چیزی را که جزء دین اسلام نیست و خدا به آن فرمان نداده، مشروع دانسته و به خدا شرک ورزیده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ابن‌عثیمین،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Heading4"/>
        <w:numPr>
          <w:ilvl w:val="3"/>
          <w:numId w:val="1"/>
        </w:numPr>
        <w:rPr/>
      </w:pPr>
      <w:bookmarkStart w:id="202" w:name="__RefHeading___Toc1986486_2749589250"/>
      <w:bookmarkStart w:id="203" w:name="_Toc82"/>
      <w:bookmarkEnd w:id="202"/>
      <w:r>
        <w:rPr/>
        <w:t>1</w:t>
      </w:r>
      <w:r>
        <w:rPr>
          <w:rtl w:val="true"/>
        </w:rPr>
        <w:t>ـ</w:t>
      </w:r>
      <w:r>
        <w:rPr/>
        <w:t>2</w:t>
      </w:r>
      <w:r>
        <w:rPr>
          <w:rtl w:val="true"/>
        </w:rPr>
        <w:t xml:space="preserve">. </w:t>
      </w:r>
      <w:r>
        <w:rPr>
          <w:rtl w:val="true"/>
        </w:rPr>
        <w:t xml:space="preserve">ابن‌عثیمین و تبیین آیۀ </w:t>
      </w:r>
      <w:r>
        <w:rPr/>
        <w:t>64</w:t>
      </w:r>
      <w:r>
        <w:rPr>
          <w:rtl w:val="true"/>
        </w:rPr>
        <w:t xml:space="preserve"> </w:t>
      </w:r>
      <w:r>
        <w:rPr>
          <w:rtl w:val="true"/>
        </w:rPr>
        <w:t>سورۀ نساء در جهت تقویت دیدگاه خود</w:t>
      </w:r>
      <w:bookmarkEnd w:id="203"/>
    </w:p>
    <w:p>
      <w:pPr>
        <w:pStyle w:val="BookText"/>
        <w:rPr/>
      </w:pPr>
      <w:r>
        <w:rPr>
          <w:rFonts w:ascii="IRNazanin" w:hAnsi="IRNazanin" w:eastAsia="IRNazanin"/>
          <w:color w:val="111111"/>
          <w:sz w:val="28"/>
          <w:sz w:val="28"/>
          <w:szCs w:val="28"/>
          <w:rtl w:val="true"/>
          <w:lang w:bidi="fa-IR"/>
        </w:rPr>
        <w:t>ابن‌عثیمین توسل به دعای پیامبر صلی الله علیه و اله و سلم را مختص زمان حیات آن حضرت می داند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إِذْ ظَلَمُوا أَنْفُسَهُمْ جاؤُکَ فَاسْتَغْفَرُوا اللَّهَ وَ اسْتَغْفَرَ لَهُمُ الرَّسُولُ لَوَجَدُوا اللَّهَ تَوَّاباً رَحیماً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ای تبیین می کند که هیچ تنافی و منعی با دیدگاه او در مسئله توسل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این آیه توسل به دعای پیامبر صلی الله علیه و اله و سلم را مختص زمان حیات آن حضرت می داند، زیرا در این آیه توسل همراه با ظرف زمان ماضی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ظلموا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bookmarkStart w:id="204" w:name="pg3245_36522"/>
    </w:p>
    <w:p>
      <w:pPr>
        <w:pStyle w:val="BookText"/>
        <w:rPr/>
      </w:pPr>
      <w:bookmarkEnd w:id="2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زمان ماضی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سیاق آیات، این آیه مربوط به عدۀ خاصی در زمان پیامبر صلی الله علیه و اله و سلم است که به غیر خدا و پیامبر صلی الله علیه و اله و سلم پناه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ابن‌عثیمین مدعی است که اگر خدا می خواست توسل به دعای پیامبر صلی الله علیه و اله و سلم در زمان آینده و پس از رحلت آن حضرت را بیان کند، باید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ظرف زمان مستقبل است،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صحابه نیز پس از رحلت پیامبر صلی الله علیه و اله و سلم به دعای آن حضرت متوسل نشدند، نیز فهم مسلمانان از این آیه مشخص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ابن‌عثیمین،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Heading3"/>
        <w:numPr>
          <w:ilvl w:val="2"/>
          <w:numId w:val="1"/>
        </w:numPr>
        <w:rPr/>
      </w:pPr>
      <w:bookmarkStart w:id="205" w:name="__RefHeading___Toc1986488_2749589250"/>
      <w:bookmarkStart w:id="206" w:name="_Toc83"/>
      <w:bookmarkEnd w:id="205"/>
      <w:r>
        <w:rPr/>
        <w:t>2</w:t>
      </w:r>
      <w:r>
        <w:rPr>
          <w:rtl w:val="true"/>
        </w:rPr>
        <w:t xml:space="preserve">. </w:t>
      </w:r>
      <w:r>
        <w:rPr>
          <w:rtl w:val="true"/>
        </w:rPr>
        <w:t>محمد بن علوی مالکی و نقد عثیمین</w:t>
      </w:r>
      <w:bookmarkEnd w:id="206"/>
    </w:p>
    <w:p>
      <w:pPr>
        <w:pStyle w:val="Heading4"/>
        <w:numPr>
          <w:ilvl w:val="3"/>
          <w:numId w:val="1"/>
        </w:numPr>
        <w:rPr/>
      </w:pPr>
      <w:bookmarkStart w:id="207" w:name="__RefHeading___Toc1986490_2749589250"/>
      <w:bookmarkStart w:id="208" w:name="_Toc84"/>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مالکی این ادعای ابن‌عثیمین و علمای وهابیت را مورد نقد قرار داد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معتبر، توسل به دعای پیامبر صلی الله علیه و اله و سلم علاوه بر زمان حیاتشان، پیش از خلقت آن حضرت و پس از رحلتشان نیز جایز و در میان صحابه و تابعان متداول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روایات مختلفی را برای اثبات دیدگاه خود مطرح کرده و معتقد است، این روایات از اعتبار لازم جهت استناد و استدلال برخوردار است</w:t>
      </w:r>
      <w:r>
        <w:rPr>
          <w:rFonts w:eastAsia="IRNazanin" w:cs="IRNazanin"/>
          <w:color w:val="111111"/>
          <w:sz w:val="28"/>
          <w:szCs w:val="28"/>
          <w:rtl w:val="true"/>
          <w:lang w:bidi="fa-IR"/>
        </w:rPr>
        <w:t>.</w:t>
      </w:r>
    </w:p>
    <w:p>
      <w:pPr>
        <w:pStyle w:val="Heading4"/>
        <w:numPr>
          <w:ilvl w:val="3"/>
          <w:numId w:val="1"/>
        </w:numPr>
        <w:rPr/>
      </w:pPr>
      <w:bookmarkStart w:id="209" w:name="__RefHeading___Toc1986492_2749589250"/>
      <w:bookmarkStart w:id="210" w:name="_Toc85"/>
      <w:bookmarkEnd w:id="209"/>
      <w:r>
        <w:rPr/>
        <w:t>2</w:t>
      </w:r>
      <w:r>
        <w:rPr>
          <w:rtl w:val="true"/>
        </w:rPr>
        <w:t>ـ</w:t>
      </w:r>
      <w:r>
        <w:rPr/>
        <w:t>1</w:t>
      </w:r>
      <w:r>
        <w:rPr>
          <w:rtl w:val="true"/>
        </w:rPr>
        <w:t xml:space="preserve">. </w:t>
      </w:r>
      <w:r>
        <w:rPr>
          <w:rtl w:val="true"/>
        </w:rPr>
        <w:t>مستندات روایی</w:t>
      </w:r>
      <w:bookmarkEnd w:id="210"/>
    </w:p>
    <w:p>
      <w:pPr>
        <w:pStyle w:val="Heading5"/>
        <w:numPr>
          <w:ilvl w:val="4"/>
          <w:numId w:val="1"/>
        </w:numPr>
        <w:rPr/>
      </w:pPr>
      <w:bookmarkStart w:id="211" w:name="__RefHeading___Toc1986494_2749589250"/>
      <w:bookmarkStart w:id="212" w:name="_Toc86"/>
      <w:bookmarkEnd w:id="211"/>
      <w:r>
        <w:rPr/>
        <w:t>1</w:t>
      </w:r>
      <w:r>
        <w:rPr>
          <w:rtl w:val="true"/>
        </w:rPr>
        <w:t xml:space="preserve">. </w:t>
      </w:r>
      <w:r>
        <w:rPr>
          <w:rtl w:val="true"/>
        </w:rPr>
        <w:t>روایت عبدالرحمن بن زید بن اَسلم</w:t>
      </w:r>
      <w:bookmarkEnd w:id="212"/>
    </w:p>
    <w:p>
      <w:pPr>
        <w:pStyle w:val="BookText"/>
        <w:rPr/>
      </w:pPr>
      <w:r>
        <w:rPr>
          <w:rFonts w:ascii="IRNazanin" w:hAnsi="IRNazanin" w:eastAsia="IRNazanin"/>
          <w:color w:val="111111"/>
          <w:sz w:val="28"/>
          <w:sz w:val="28"/>
          <w:szCs w:val="28"/>
          <w:rtl w:val="true"/>
          <w:lang w:bidi="fa-IR"/>
        </w:rPr>
        <w:t>عبدالرحمن بن زید بن اَسلم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اقْتَرَفَ آدَمُ الْخَطِیئَةَ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أَسْأَلُکَ بِحَقِّ مُحَمَّدٍ لَمَا غَفَرْتَ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رجال و حدیث اهل‌سنت، این روایت را معتبر دانسته اند؛ حاکم نیشابوری آن را صحیح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در چند کتاب خود آن را نقل کرده و با توجه به شواهد دیگری آن را صحیح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سیوطی،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این روایت را در کتاب دلائل النبوة نقل می کند و همان‌گونه که در مقدمۀ این کتاب تصریح کرده، احادیث موضوع و جعلی را در این کتاب نیاورده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قسطلانی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قسطلانی،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زرقانی،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روایت را صحیح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 در ادامۀ گفتار خود، در پاسخ به کسانی که این روایت را ضعیف و جعلی دانستند،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بسیاری بر صحت صدور مضمون این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حتی ابن‌تیمیه نیز مضمون روایت عبدالرحمن را با توجه به روایت معتبر دیگری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ابن‌تیمیه هرچند در ابتدا روایت عبدالرحمن بن زید را جعلی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ابن‌تیمیه،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bookmarkStart w:id="213" w:name="pg3245_36523"/>
    </w:p>
    <w:p>
      <w:pPr>
        <w:pStyle w:val="BookText"/>
        <w:rPr/>
      </w:pPr>
      <w:bookmarkEnd w:id="213"/>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ابن‌تیمیه،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پس از گذشت مدتی و یافتن روایات دیگری با این مضمون، معتقد به صحت صدور روایت عبدالرحمن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در کتاب مجموع الفتاوی در کنار نقل روایت عبدالرحمن بن زید، روایت دیگری را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مسیره می گوید پیامبر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شیطان، آدم و حوا را فریب داد، آن‌ها توبه کرده و به اسم من توسل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تأییدی برای روایت عبدالرحمن بن زید است و این دو روایت می توانند به منزلۀ تفسیری برای روایات صحیح چگونگی خلقت و آفرینش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 معتقد است، این سخن ابن‌تیمیه نشان‌دهندۀ پذیرش اعتبار روایت عبدالرحمن بن زید در نزد وی است، چراکه نزد محدثان، روایت جعلی نمی تواند مفسر روایات صحیح باشد و از هیچ ارزش و اعتباری برخوردار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 روایت دیگری را برای تأیید مضمون روایت عبدالرحمن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روایت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آدم علیه السلام مرتکب آن خطا شد، جبرئیل به او دعایی را آموزش داد که در آن به پیامبر صلی الله علیه و اله و سلم متوسل شد و خداوند او را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 معتقد است، با توجه به این دو شاهد بر روایت عبدالرحمن بن زید و هم‌چنین نقل آن توسط علمای رجال و حدیث، این روایت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5"/>
        <w:numPr>
          <w:ilvl w:val="4"/>
          <w:numId w:val="1"/>
        </w:numPr>
        <w:rPr/>
      </w:pPr>
      <w:bookmarkStart w:id="214" w:name="__RefHeading___Toc1986496_2749589250"/>
      <w:bookmarkStart w:id="215" w:name="_Toc87"/>
      <w:bookmarkEnd w:id="214"/>
      <w:r>
        <w:rPr/>
        <w:t>2</w:t>
      </w:r>
      <w:r>
        <w:rPr>
          <w:rtl w:val="true"/>
        </w:rPr>
        <w:t xml:space="preserve">. </w:t>
      </w:r>
      <w:r>
        <w:rPr>
          <w:rtl w:val="true"/>
        </w:rPr>
        <w:t>عثمان بن حنیف و راهنمایی فرد محتاج</w:t>
      </w:r>
      <w:bookmarkEnd w:id="215"/>
    </w:p>
    <w:p>
      <w:pPr>
        <w:pStyle w:val="BookText"/>
        <w:rPr/>
      </w:pPr>
      <w:r>
        <w:rPr>
          <w:rFonts w:ascii="IRNazanin" w:hAnsi="IRNazanin" w:eastAsia="IRNazanin"/>
          <w:color w:val="111111"/>
          <w:sz w:val="28"/>
          <w:sz w:val="28"/>
          <w:szCs w:val="28"/>
          <w:rtl w:val="true"/>
          <w:lang w:bidi="fa-IR"/>
        </w:rPr>
        <w:t xml:space="preserve">مالکی برای اثبات جواز توسل به دعای پیامبر صلی الله علیه و اله و سلم پس از رحلت آن حضرت، به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راهنمایی شخص گرفتار استناد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حنیف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از عثمان، خلیفۀ سوم، درخواستی داشت، اما وی اعتنایی به او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نزد من آمد و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 و به مسجد برو و دو رکعت نماز بخوان، و دعایی را برای توسل به پیامبر صلی الله علیه و اله و سلم به او یاد دادم تا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این اعمال را انجام داد و نزد خلیفه رفت و با درخواستش موافقت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ابونعیم،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مالکی این روایت را صحیح می داند و آن را از طبرانی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طبرانی، بی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منذری نقل می کند که طبرانی پس از نقل این روایت و همۀ سندهای آن، تصریح می کند این روایت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منذری،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مقدسی و طبرانی این روایت را صحیح دانسته اند و منذری و نورالدین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نظر آن‌ها را بدون هیچ نقدی نقل می کنند که نشان از اعتبار این روایت نزد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 معتقد است، ابن‌تیمیه نیز صحت آن را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ابن‌تیمیه پس از نقل این روایت و دیدگاه طبرانی و مقدسی ذیل آن، هیچ نقدی بر دیدگاه آن‌ها وارد نمی کند و به تبیین مضمون روایت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پردازد که نشان از پذیرش این روایت نزد وی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Heading5"/>
        <w:numPr>
          <w:ilvl w:val="4"/>
          <w:numId w:val="1"/>
        </w:numPr>
        <w:rPr/>
      </w:pPr>
      <w:bookmarkStart w:id="216" w:name="__RefHeading___Toc1986498_2749589250"/>
      <w:bookmarkStart w:id="217" w:name="_Toc88"/>
      <w:bookmarkEnd w:id="216"/>
      <w:r>
        <w:rPr/>
        <w:t>3</w:t>
      </w:r>
      <w:r>
        <w:rPr>
          <w:rtl w:val="true"/>
        </w:rPr>
        <w:t xml:space="preserve">. </w:t>
      </w:r>
      <w:r>
        <w:rPr>
          <w:rtl w:val="true"/>
        </w:rPr>
        <w:t>توسل به پیامبر</w:t>
      </w:r>
      <w:r>
        <w:rPr/>
        <w:t></w:t>
      </w:r>
      <w:r>
        <w:rPr>
          <w:rtl w:val="true"/>
        </w:rPr>
        <w:t xml:space="preserve"> با راهنمایی عایشه</w:t>
      </w:r>
      <w:bookmarkEnd w:id="217"/>
    </w:p>
    <w:p>
      <w:pPr>
        <w:pStyle w:val="BookText"/>
        <w:rPr/>
      </w:pPr>
      <w:r>
        <w:rPr>
          <w:rFonts w:ascii="IRNazanin" w:hAnsi="IRNazanin" w:eastAsia="IRNazanin"/>
          <w:color w:val="111111"/>
          <w:sz w:val="28"/>
          <w:sz w:val="28"/>
          <w:szCs w:val="28"/>
          <w:rtl w:val="true"/>
          <w:lang w:bidi="fa-IR"/>
        </w:rPr>
        <w:t>مالکی به توسلِ مردم مدینه به پیامبر صلی الله علیه و اله و سلم با راهنمایی عایشه استناد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دچار قحطی شدیدی شدند و به عایشه مراجعه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آن‌ها را به سمت قبر پیامبر صلی الله علیه و اله و سلم راهنمایی کرد تا به گونۀ خاصی به آن حضرت 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این قضیه را از سنن دارمی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bookmarkStart w:id="218" w:name="pg3245_36524"/>
    </w:p>
    <w:p>
      <w:pPr>
        <w:pStyle w:val="BookText"/>
        <w:rPr/>
      </w:pPr>
      <w:bookmarkEnd w:id="218"/>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معتبر و مورد پذیرش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دارمی این قضیه را با چهار واسطه نقل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النُّعْمَانِ حَدَّثَنَا سَعِیدُ بْنُ زَیْدٍ حَدَّثَنَا عَمْرُو بْنُ مَالِکٍ النُّکْرِیُّ حَدَّثَنَا أَبُو الْجَوْزَاءِ أَوْسُ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راویان این حدیث، ثقه و مورد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ابونعمان،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شیوخ بخاری است که ابن‌حجر عسقلانی او را ثقه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آخر عمرش تغییری در عقلش ایجاد شد و دچار مشکل ذهنی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عقلی وی، مانعی برای قبول این روایت نیست و بخاری بیش از صد روایت از او در صحیح خود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دارقطنی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ابونعمان مشکل ذهنی پیدا کرد، هیچ روایتی از وی نقل نشد و این روایات پیش از مریضی او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مسلمی،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ابونعمان از اشخاص ضعیفی، روایاتی با مضامین مخالف با آنچه راویان ثقه نقل کرده اند،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ابن‌حبان،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ذهبی این نظر را نمی پذیرد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ادعایی صحیح نیست و ابن‌حبان نتوانسته است چنین حدیثی از ابونعمان برای اثبات مدعای خود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مالک نکری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راوی دیگر این حدیث، نیز ثقه و مورد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عسقلانی دربارۀ این دو 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له أوهام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عبارت، همان‌گونه که سیوطی در کتاب خود می گوید، از عبارات توثیق و تعدیل راوی به حساب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ابوجوزاء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راوی دیگر این روایت،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 بن عبدالله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وی ثقه و از راویان صحیح بخاری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 معتقد است، سند این روایت معتبر است و بسیاری از علما، روایاتی با چنین سندی و حتی ضعیف تر از آن را پذیرفته و به آن‌ها استشهاد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5"/>
        <w:numPr>
          <w:ilvl w:val="4"/>
          <w:numId w:val="1"/>
        </w:numPr>
        <w:rPr/>
      </w:pPr>
      <w:bookmarkStart w:id="219" w:name="__RefHeading___Toc1986500_2749589250"/>
      <w:bookmarkStart w:id="220" w:name="_Toc89"/>
      <w:bookmarkEnd w:id="219"/>
      <w:r>
        <w:rPr/>
        <w:t>4</w:t>
      </w:r>
      <w:r>
        <w:rPr>
          <w:rtl w:val="true"/>
        </w:rPr>
        <w:t xml:space="preserve">. </w:t>
      </w:r>
      <w:r>
        <w:rPr>
          <w:rtl w:val="true"/>
        </w:rPr>
        <w:t>توسل اهل مدینه به پیامبر</w:t>
      </w:r>
      <w:r>
        <w:rPr/>
        <w:t></w:t>
      </w:r>
      <w:r>
        <w:rPr>
          <w:rtl w:val="true"/>
        </w:rPr>
        <w:t xml:space="preserve"> در دورۀ خلافت خلیفۀ دوم</w:t>
      </w:r>
      <w:bookmarkEnd w:id="220"/>
    </w:p>
    <w:p>
      <w:pPr>
        <w:pStyle w:val="BookText"/>
        <w:rPr/>
      </w:pPr>
      <w:r>
        <w:rPr>
          <w:rFonts w:ascii="IRNazanin" w:hAnsi="IRNazanin" w:eastAsia="IRNazanin"/>
          <w:color w:val="111111"/>
          <w:sz w:val="28"/>
          <w:sz w:val="28"/>
          <w:szCs w:val="28"/>
          <w:rtl w:val="true"/>
          <w:lang w:bidi="fa-IR"/>
        </w:rPr>
        <w:t>مالکی به توسل به پیامبر صلی الله علیه و اله و سلم در کنار قبر ایشان در زمان خلیفۀ دوم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دچار قحطی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کنار قبر پیامبر صلی الله علیه و اله و سلم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باران کن که مردم از این قحطی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در خواب، آن حضرت را دید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به زودی سیراب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این روایت را با دو سند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نخست از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 دوم از ابن‌أبی‌شیبه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ابن‌أبی‌شیبه،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w:t>
      </w:r>
      <w:bookmarkStart w:id="221" w:name="pg3245_36525"/>
    </w:p>
    <w:p>
      <w:pPr>
        <w:pStyle w:val="BookText"/>
        <w:rPr/>
      </w:pPr>
      <w:bookmarkEnd w:id="221"/>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هر دو سند را صحیح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ابن‌حجر عسقلانی نیز سند ابن‌أبی‌شیبه را صحیح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علمای رجال و حدیث که این روایت را نقل کردند، چنین توسلی را کفر و گمراهی ندانستند و هیچ اشکالی بر متن این روایت وارد نکردند و ابن‌حجر عسقلانی نیز سند این روایت را صحیح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ابن‌کثیر این روایت را با سند بیهقی نقل می کند و آن را صحیح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ابن‌أبی‌خیثمه این روایت را با سند خود نقل</w:t>
      </w:r>
    </w:p>
    <w:p>
      <w:pPr>
        <w:pStyle w:val="BookText"/>
        <w:rPr/>
      </w:pP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ابن‌أبی‌خیثمه،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ابویعلی خلیلی و ابن‌عبد‌البر نیز این روایت را نقل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ابن‌عبد‌البر،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eastAsia="IRNazanin" w:cs="IRNazanin"/>
          <w:color w:val="111111"/>
          <w:sz w:val="28"/>
          <w:szCs w:val="28"/>
          <w:rtl w:val="true"/>
          <w:lang w:bidi="fa-IR"/>
        </w:rPr>
        <w:t>).</w:t>
      </w:r>
    </w:p>
    <w:p>
      <w:pPr>
        <w:pStyle w:val="Heading5"/>
        <w:numPr>
          <w:ilvl w:val="4"/>
          <w:numId w:val="1"/>
        </w:numPr>
        <w:rPr/>
      </w:pPr>
      <w:bookmarkStart w:id="222" w:name="__RefHeading___Toc1986502_2749589250"/>
      <w:bookmarkStart w:id="223" w:name="_Toc90"/>
      <w:bookmarkEnd w:id="222"/>
      <w:r>
        <w:rPr/>
        <w:t>5</w:t>
      </w:r>
      <w:r>
        <w:rPr>
          <w:rtl w:val="true"/>
        </w:rPr>
        <w:t xml:space="preserve">. </w:t>
      </w:r>
      <w:r>
        <w:rPr>
          <w:rtl w:val="true"/>
        </w:rPr>
        <w:t>توسل مسلمانان در جنگ یمامه</w:t>
      </w:r>
      <w:bookmarkEnd w:id="223"/>
    </w:p>
    <w:p>
      <w:pPr>
        <w:pStyle w:val="BookText"/>
        <w:rPr/>
      </w:pPr>
      <w:r>
        <w:rPr>
          <w:rFonts w:ascii="IRNazanin" w:hAnsi="IRNazanin" w:eastAsia="IRNazanin"/>
          <w:color w:val="111111"/>
          <w:sz w:val="28"/>
          <w:sz w:val="28"/>
          <w:szCs w:val="28"/>
          <w:rtl w:val="true"/>
          <w:lang w:bidi="fa-IR"/>
        </w:rPr>
        <w:t>مالکی توسل مسلمانان به پیامبر صلی الله علیه و اله و سلم در جنگ یمامه با مسیلمه کذّاب را، دلیل دیگری برای اثبات سیرۀ صحابه و تابعین بر توسل به پیامبر صلی الله علیه و اله و سلم پس از رحلتش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ابن‌کثیر نقل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که در این جنگ، شعار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صحابه و تابعین نشان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دهد آن‌ها هیچ‌گاه توسل به پیامبر صلی الله علیه و اله و سلم را مختص به زمان حیات دنیوی آن حضرت نمی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 به دو مورد دیگر از توسل صحابه به پیامبر صلی الله علیه و اله و سلم پس از رحلت اشاره می کند که موجب تأیید و تقویت حکایت قضایای جنگ یمامه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به توسل عبدالله بن عمر به پیامبر صلی الله علیه و اله و سلم که ابن‌تیمیه نیز آن را نقل کرده،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بن حنس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عبدالله بن عمر بودیم که پایش بی‌حس شد و نمی توانست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شخص نزد خویش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ذکر، پایش خوب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به دومین واقعه اشاره می کند که مجاهد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ابن‌عباس بود که پایش بی‌حس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شخص نزد خود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پایش سالم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عقیدۀ مالکی، این قضایا نیز بیان گر سیرۀ صحابه بر توسل به پیامبر صلی الله علیه و اله و سلم پس از رحلتش است و چنین توسلی هیچ تنافی‌ای با اعتقاد به توحید خدا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5"/>
        <w:numPr>
          <w:ilvl w:val="4"/>
          <w:numId w:val="1"/>
        </w:numPr>
        <w:rPr/>
      </w:pPr>
      <w:bookmarkStart w:id="224" w:name="__RefHeading___Toc1986504_2749589250"/>
      <w:bookmarkStart w:id="225" w:name="_Toc91"/>
      <w:bookmarkEnd w:id="224"/>
      <w:r>
        <w:rPr/>
        <w:t>6</w:t>
      </w:r>
      <w:r>
        <w:rPr>
          <w:rtl w:val="true"/>
        </w:rPr>
        <w:t xml:space="preserve">. </w:t>
      </w:r>
      <w:r>
        <w:rPr>
          <w:rtl w:val="true"/>
        </w:rPr>
        <w:t>توسل اعرابی در کنار قبر پیامبر</w:t>
      </w:r>
      <w:r>
        <w:rPr/>
        <w:t></w:t>
      </w:r>
      <w:bookmarkEnd w:id="225"/>
    </w:p>
    <w:p>
      <w:pPr>
        <w:pStyle w:val="BookText"/>
        <w:rPr/>
      </w:pPr>
      <w:r>
        <w:rPr>
          <w:rFonts w:ascii="IRNazanin" w:hAnsi="IRNazanin" w:eastAsia="IRNazanin"/>
          <w:color w:val="111111"/>
          <w:sz w:val="28"/>
          <w:sz w:val="28"/>
          <w:szCs w:val="28"/>
          <w:rtl w:val="true"/>
          <w:lang w:bidi="fa-IR"/>
        </w:rPr>
        <w:t>مالکی توسل شخص اعرابی به پیامبر صلی الله علیه و اله و سلم در کنار قبر آن حضرت را نیز بر همین اساس</w:t>
      </w:r>
    </w:p>
    <w:p>
      <w:pPr>
        <w:pStyle w:val="BookText"/>
        <w:rPr/>
      </w:pP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حرب هلالی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قبر پیامبر صلی الله علیه و اله و سلم بودم که شخصی بادیه‌نشین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کنار قبر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خدا مغفرت می خواهم، از تو درخواست دارم برای بخششم دعا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خوابیدم و در خواب پیامبر صلی الله علیه و اله و سلم را دیدم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شخص بگو که بخشیده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بزرگان رجال و حدیث که مورد اعتماد همگان هستند، نقل کرده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ابوزکریا 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ابومحمد بن 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ابوالفرج بن 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ابوالفرج، بی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منصور بن یونس بهوتی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بهوتی، بی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قرطبی نیز در تفسیر خود روایتی مشابه این روایت نقل کرده است که پس از گذشت سه روز از رحلت پیامبر صلی الله علیه و اله و سلم ، شخصی اعرابی به کنار قبر آن حضرت آمد و به ایشان متوسل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صحت یا ضعف سند این قضیه، آیا علمایی که این روایت را نقل کردند کفر و ضلالت را نقل کردند؟ آیا چیزی را که موجب عبادت قبور و بت‌پرستی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ترویج کردند؟ اگر این‌گونه باشد، پس چرا این علما مورد اعتمادند و کتاب های آن‌ها مورد استناد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این سخن مالکی تام و کامل نیست، چراکه نقل یک روایت توسط محدثان، تلازمی با اعتقاد آن‌ها ندارد و ممکن است هر یک از آن‌ها، برداشت متفاوتی از روایات داشته و بر عقیدۀ خاصی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بتوان گفت، بهتر این بود که وی به اعتبارسنجی سند و مضمون این حکایت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نووی، ابن‌کثیر، ابومحمد و ابوالفرج بن قدامه، بهوتی و اغلب افرادی که این حکایت را نقل کردند، سندی برای آن ذکر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آن‌ها این حکایت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حرب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دادند و سند متصلی برای آن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بیهقی این حکایت را با سند خود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سند بیهقی تنها یک نفر شناخته شده است و باقی راویان آن، مجهول و ناشناسند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ابن‌جوزی نیز این حکایت را با سند خود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ابن‌جوزی،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بیشتر راویان آن مجهول و ناشناس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سندها مظلم و ناشناخته بوده و از درجۀ اعتبار ساقط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محققان معاصر، مانند عبدالقادر ارنؤوط و محمود سعید ممدوح نیز برای این روایت، سند و شواهد معتبری نیافتند و این روایت را نامعتبر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حکایت به دلیل فقدان اعتبار لازم نمی تواند مورد استناد قرار گیرد، ولی می‌توان از آن به عنوان شاهد روایات صحیحه بهره جست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w:t>
      </w:r>
      <w:bookmarkStart w:id="226" w:name="pg3245_36527"/>
    </w:p>
    <w:p>
      <w:pPr>
        <w:pStyle w:val="Heading4"/>
        <w:numPr>
          <w:ilvl w:val="3"/>
          <w:numId w:val="1"/>
        </w:numPr>
        <w:rPr/>
      </w:pPr>
      <w:bookmarkStart w:id="227" w:name="__RefHeading___Toc1986506_2749589250"/>
      <w:bookmarkStart w:id="228" w:name="_Toc92"/>
      <w:bookmarkEnd w:id="226"/>
      <w:bookmarkEnd w:id="227"/>
      <w:r>
        <w:rPr/>
        <w:t>2</w:t>
      </w:r>
      <w:r>
        <w:rPr>
          <w:rtl w:val="true"/>
        </w:rPr>
        <w:t>ـ</w:t>
      </w:r>
      <w:r>
        <w:rPr/>
        <w:t>2</w:t>
      </w:r>
      <w:r>
        <w:rPr>
          <w:rtl w:val="true"/>
        </w:rPr>
        <w:t xml:space="preserve">. </w:t>
      </w:r>
      <w:r>
        <w:rPr>
          <w:rtl w:val="true"/>
        </w:rPr>
        <w:t>بررسی و تقویت استدلال محمد بن علوی مالکی</w:t>
      </w:r>
      <w:bookmarkEnd w:id="228"/>
    </w:p>
    <w:p>
      <w:pPr>
        <w:pStyle w:val="Heading5"/>
        <w:numPr>
          <w:ilvl w:val="4"/>
          <w:numId w:val="1"/>
        </w:numPr>
        <w:rPr/>
      </w:pPr>
      <w:bookmarkStart w:id="229" w:name="__RefHeading___Toc1986508_2749589250"/>
      <w:bookmarkStart w:id="230" w:name="_Toc93"/>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برخی محدثان، روایت عبدالرحمن بن زید را صحیح دانستند، اما عدۀ دیگری از علمای اهل‌سنت این روایت را ضعیف و غیر قابل استناد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ذیل این روایت، تصحیح حاکم نیشابوری را نمی‌پذیرد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جعلی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ابن‌ملقن،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ابن‌تیمیه و ألبانی نیز این روایت را جعلی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ألبانی،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این روایت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زید بن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راویان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علمای رجال و حدیث، او را جزو روایان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ابن‌حجر عسقلانی، احمد بن حنبل، ابن‌سعد، ابوزرعه، ابن‌معین، بخاری، ابوجعفر عقیلی، نسائی، جوزجانی و ابن‌جوزی وی را ضعیف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عسقلانی،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نوری،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ابن‌سعد،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ابن‌ابی‌حاتم،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ابن‌معین،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بخاری،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عقیلی،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نسائی،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جوزجانی،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ابن‌جوزی،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نیز احادیث عبدالرحمن بن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زید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دارقطنی،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زید روایات بسیاری را تغییر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برای برخی احادیث مرسل، سندی متصل می ساخت و نقل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ابن‌حبان،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ابن‌عدی دیدگاه بسیاری از علمای رجال و حدیث را نقل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که بیشتر آن‌ها عبدالرحمن بن زید را ضعیف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ابن‌عدی،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نیشابوری در مستدرک خود این روایت را صحیح دانسته است، اما وی در کتاب دیگرش المدخل الی الصحیح به ذکر اسامی راویانی که از نظر وی عدم عدالتشان ثابت و روایاتشان بی‌اعتبار است،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جملۀ این افراد، عبدالرحمن بن زید بن اسلم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از پدرش احادیث جعلی متعددی نقل کرده و اهل فن می دانند متهم اصلی در جعل آن‌ها، خودِ عبدالرحمن بن زید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شود که تناقضی میان این دو کتاب حاکم نیشابوری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عسقلانی در توجیه این تناقض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گفتند وی مستدرک را در اواخر عمرش نوشت، در حالی که در اواخر عمر دچار غفلت شده بود؛ از این رو، روایت عبدالرحمن را صحیح دانست، در حالی که خود به عدم اعتبار روایات او تصریح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عسقلانی،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سخاوی نیز به چنین مطلبی در توجیه این‌گونه تناقض‌های حاکم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سخاوی،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نیز پس از نقل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تنها توسط عبدالرحمن بن زید نقل شده و او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برای این روایت، دو سند دیگر نیز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طبرانی،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همۀ این سندها به عبدالرحمن بن زید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از جهت سندی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بود که محمد بن علوی مالکی به بررسی ضعف سند این روایت می پرداخت و به نقل تصحیح حاکم نیشابوری و تأیید چند تن دیگر اکتفا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معتبری برای تأیید مضمون روایت عبدالرحمن بن زید وجود داشته باشد، می تواند موجب جبران ضعف سند این روایت شود تا از اعتبار لازم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امام باقر علیه السلام مرسل بوده و برخی حدیث‌شناسان، سند متصلی برای آن نیافتند و معتقدند در متن این روایت، غرابتی وجود دارد که شأن امام باقر علیه السلام برتر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روایتی که از قوّت و اعتبار سندی بسیار خوبی برخوردار است و مضمون آن تأییدکنندۀ مضمون روایت عبدالرحمن بن زید است و می تواند موجب وثوق به مضمون این روایت شود،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bookmarkStart w:id="231" w:name="pg3245_36529"/>
    </w:p>
    <w:p>
      <w:pPr>
        <w:pStyle w:val="BookText"/>
        <w:rPr/>
      </w:pPr>
      <w:bookmarkEnd w:id="231"/>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سند این روایت در کلام ابن‌تیمیه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ابن‌جوزی در کتاب خود نقل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موجود در سند آن از ثقات و یا صدوق هستند</w:t>
      </w:r>
      <w:r>
        <w:rPr>
          <w:rFonts w:eastAsia="IRNazanin" w:cs="IRNazanin"/>
          <w:color w:val="111111"/>
          <w:sz w:val="28"/>
          <w:szCs w:val="28"/>
          <w:rtl w:val="true"/>
          <w:lang w:bidi="fa-IR"/>
        </w:rPr>
        <w:t>:</w:t>
      </w:r>
    </w:p>
    <w:p>
      <w:pPr>
        <w:pStyle w:val="Heading5"/>
        <w:numPr>
          <w:ilvl w:val="4"/>
          <w:numId w:val="1"/>
        </w:numPr>
        <w:rPr/>
      </w:pPr>
      <w:bookmarkStart w:id="232" w:name="__RefHeading___Toc1986510_2749589250"/>
      <w:bookmarkStart w:id="233" w:name="_Toc94"/>
      <w:bookmarkEnd w:id="232"/>
      <w:r>
        <w:rPr/>
        <w:t>1</w:t>
      </w:r>
      <w:r>
        <w:rPr>
          <w:rtl w:val="true"/>
        </w:rPr>
        <w:t xml:space="preserve">. </w:t>
      </w:r>
      <w:r>
        <w:rPr>
          <w:rtl w:val="true"/>
        </w:rPr>
        <w:t xml:space="preserve">محمد بن عمرو بن البختری الرزاز </w:t>
      </w:r>
      <w:r>
        <w:rPr>
          <w:rtl w:val="true"/>
        </w:rPr>
        <w:t>(</w:t>
      </w:r>
      <w:r>
        <w:rPr>
          <w:rtl w:val="true"/>
        </w:rPr>
        <w:t>م</w:t>
      </w:r>
      <w:r>
        <w:rPr>
          <w:rtl w:val="true"/>
        </w:rPr>
        <w:t xml:space="preserve">. </w:t>
      </w:r>
      <w:r>
        <w:rPr/>
        <w:t>339</w:t>
      </w:r>
      <w:r>
        <w:rPr>
          <w:rtl w:val="true"/>
        </w:rPr>
        <w:t>ق</w:t>
      </w:r>
      <w:r>
        <w:rPr>
          <w:rtl w:val="true"/>
        </w:rPr>
        <w:t>):</w:t>
      </w:r>
      <w:bookmarkEnd w:id="233"/>
    </w:p>
    <w:p>
      <w:pPr>
        <w:pStyle w:val="BookText"/>
        <w:rPr/>
      </w:pPr>
      <w:r>
        <w:rPr>
          <w:rFonts w:ascii="IRNazanin" w:hAnsi="IRNazanin" w:eastAsia="IRNazanin"/>
          <w:color w:val="111111"/>
          <w:sz w:val="28"/>
          <w:sz w:val="28"/>
          <w:szCs w:val="28"/>
          <w:rtl w:val="true"/>
          <w:lang w:bidi="fa-IR"/>
        </w:rPr>
        <w:t xml:space="preserve">علمای رجال و حدیث مانند ذهبی، خطیب بغدادی، حاکم نیشابوری و سمعانی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خطیب بغدادی،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منصوری،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سمعانی، </w:t>
      </w:r>
      <w:r>
        <w:rPr>
          <w:rFonts w:eastAsia="IRNazanin" w:cs="IRNazanin"/>
          <w:color w:val="111111"/>
          <w:sz w:val="28"/>
          <w:szCs w:val="28"/>
          <w:lang w:bidi="fa-IR"/>
        </w:rPr>
        <w:t>1482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5"/>
        <w:numPr>
          <w:ilvl w:val="4"/>
          <w:numId w:val="1"/>
        </w:numPr>
        <w:rPr/>
      </w:pPr>
      <w:bookmarkStart w:id="234" w:name="__RefHeading___Toc1986512_2749589250"/>
      <w:bookmarkStart w:id="235" w:name="_Toc95"/>
      <w:bookmarkEnd w:id="234"/>
      <w:r>
        <w:rPr/>
        <w:t>2</w:t>
      </w:r>
      <w:r>
        <w:rPr>
          <w:rtl w:val="true"/>
        </w:rPr>
        <w:t xml:space="preserve">. </w:t>
      </w:r>
      <w:r>
        <w:rPr>
          <w:rtl w:val="true"/>
        </w:rPr>
        <w:t xml:space="preserve">احمد بن اسحاق بن صالح، ابوبکر الوزان </w:t>
      </w:r>
      <w:r>
        <w:rPr>
          <w:rtl w:val="true"/>
        </w:rPr>
        <w:t>(</w:t>
      </w:r>
      <w:r>
        <w:rPr>
          <w:rtl w:val="true"/>
        </w:rPr>
        <w:t>م</w:t>
      </w:r>
      <w:r>
        <w:rPr>
          <w:rtl w:val="true"/>
        </w:rPr>
        <w:t xml:space="preserve">. </w:t>
      </w:r>
      <w:r>
        <w:rPr/>
        <w:t>281</w:t>
      </w:r>
      <w:r>
        <w:rPr>
          <w:rtl w:val="true"/>
        </w:rPr>
        <w:t>ق</w:t>
      </w:r>
      <w:r>
        <w:rPr>
          <w:rtl w:val="true"/>
        </w:rPr>
        <w:t>):</w:t>
      </w:r>
      <w:bookmarkEnd w:id="235"/>
    </w:p>
    <w:p>
      <w:pPr>
        <w:pStyle w:val="BookText"/>
        <w:rPr/>
      </w:pPr>
      <w:r>
        <w:rPr>
          <w:rFonts w:ascii="IRNazanin" w:hAnsi="IRNazanin" w:eastAsia="IRNazanin"/>
          <w:color w:val="111111"/>
          <w:sz w:val="28"/>
          <w:sz w:val="28"/>
          <w:szCs w:val="28"/>
          <w:rtl w:val="true"/>
          <w:lang w:bidi="fa-IR"/>
        </w:rPr>
        <w:t xml:space="preserve">ابن‌أبی‌حاتم وی را صدوق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ابن‌أبی‌حاتم،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دارقطنی نیز او را معتبر دانسته و وی را در مرتبۀ پایین‌تر از ثقه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مسلمی و دیگران،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خطیب بغدادی به نقل نظر ابن‌أبی‌حاتم و دارقطنی اکتفا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خطیب بغدادی،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ابن‌عساکر نیز وی را صادق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ابن‌عساکر،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5"/>
        <w:numPr>
          <w:ilvl w:val="4"/>
          <w:numId w:val="1"/>
        </w:numPr>
        <w:rPr/>
      </w:pPr>
      <w:bookmarkStart w:id="236" w:name="__RefHeading___Toc1986514_2749589250"/>
      <w:bookmarkStart w:id="237" w:name="_Toc96"/>
      <w:bookmarkEnd w:id="236"/>
      <w:r>
        <w:rPr/>
        <w:t>3</w:t>
      </w:r>
      <w:r>
        <w:rPr>
          <w:rtl w:val="true"/>
        </w:rPr>
        <w:t xml:space="preserve">. </w:t>
      </w:r>
      <w:r>
        <w:rPr>
          <w:rtl w:val="true"/>
        </w:rPr>
        <w:t>محمد بن صالح</w:t>
      </w:r>
      <w:r>
        <w:rPr>
          <w:rtl w:val="true"/>
        </w:rPr>
        <w:t>:</w:t>
      </w:r>
      <w:bookmarkEnd w:id="237"/>
    </w:p>
    <w:p>
      <w:pPr>
        <w:pStyle w:val="BookText"/>
        <w:rPr/>
      </w:pPr>
      <w:r>
        <w:rPr>
          <w:rFonts w:ascii="IRNazanin" w:hAnsi="IRNazanin" w:eastAsia="IRNazanin"/>
          <w:color w:val="111111"/>
          <w:sz w:val="28"/>
          <w:sz w:val="28"/>
          <w:szCs w:val="28"/>
          <w:rtl w:val="true"/>
          <w:lang w:bidi="fa-IR"/>
        </w:rPr>
        <w:t xml:space="preserve">در مورد او دو احتمال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صالح ابوبکر الأنماطی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ابن‌حجر عسقلانی، ذهبی، خطیب بغدادی، دارقطنی و نسائی او را توثیق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ذهبی،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صالح واسطی کعب الذراع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خطیب بغدادی او را توثیق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نفر ثقه‌اند و تفاوتی در اعتبار سند روایت به وجود نمی آید</w:t>
      </w:r>
      <w:r>
        <w:rPr>
          <w:rFonts w:eastAsia="IRNazanin" w:cs="IRNazanin"/>
          <w:color w:val="111111"/>
          <w:sz w:val="28"/>
          <w:szCs w:val="28"/>
          <w:rtl w:val="true"/>
          <w:lang w:bidi="fa-IR"/>
        </w:rPr>
        <w:t>.</w:t>
      </w:r>
    </w:p>
    <w:p>
      <w:pPr>
        <w:pStyle w:val="Heading5"/>
        <w:numPr>
          <w:ilvl w:val="4"/>
          <w:numId w:val="1"/>
        </w:numPr>
        <w:rPr/>
      </w:pPr>
      <w:bookmarkStart w:id="238" w:name="__RefHeading___Toc1986516_2749589250"/>
      <w:bookmarkStart w:id="239" w:name="_Toc97"/>
      <w:bookmarkEnd w:id="238"/>
      <w:r>
        <w:rPr/>
        <w:t>4</w:t>
      </w:r>
      <w:r>
        <w:rPr>
          <w:rtl w:val="true"/>
        </w:rPr>
        <w:t xml:space="preserve">. </w:t>
      </w:r>
      <w:r>
        <w:rPr>
          <w:rtl w:val="true"/>
        </w:rPr>
        <w:t xml:space="preserve">محمد بن سنان العوقی </w:t>
      </w:r>
      <w:r>
        <w:rPr>
          <w:rtl w:val="true"/>
        </w:rPr>
        <w:t>(</w:t>
      </w:r>
      <w:r>
        <w:rPr>
          <w:rtl w:val="true"/>
        </w:rPr>
        <w:t>م</w:t>
      </w:r>
      <w:r>
        <w:rPr>
          <w:rtl w:val="true"/>
        </w:rPr>
        <w:t xml:space="preserve">. </w:t>
      </w:r>
      <w:r>
        <w:rPr/>
        <w:t>223</w:t>
      </w:r>
      <w:r>
        <w:rPr>
          <w:rtl w:val="true"/>
        </w:rPr>
        <w:t>ق</w:t>
      </w:r>
      <w:r>
        <w:rPr>
          <w:rtl w:val="true"/>
        </w:rPr>
        <w:t>):</w:t>
      </w:r>
      <w:bookmarkEnd w:id="239"/>
    </w:p>
    <w:p>
      <w:pPr>
        <w:pStyle w:val="BookText"/>
        <w:rPr/>
      </w:pPr>
      <w:r>
        <w:rPr>
          <w:rFonts w:ascii="IRNazanin" w:hAnsi="IRNazanin" w:eastAsia="IRNazanin"/>
          <w:color w:val="111111"/>
          <w:sz w:val="28"/>
          <w:sz w:val="28"/>
          <w:szCs w:val="28"/>
          <w:rtl w:val="true"/>
          <w:lang w:bidi="fa-IR"/>
        </w:rPr>
        <w:t xml:space="preserve">ابن‌حجر عسقلانی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از او روایت نقل کرده و ابن‌معین وی را ثقه دانسته و ابوحاتم او را صدوق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Heading5"/>
        <w:numPr>
          <w:ilvl w:val="4"/>
          <w:numId w:val="1"/>
        </w:numPr>
        <w:rPr/>
      </w:pPr>
      <w:bookmarkStart w:id="240" w:name="__RefHeading___Toc1986518_2749589250"/>
      <w:bookmarkStart w:id="241" w:name="_Toc98"/>
      <w:bookmarkEnd w:id="240"/>
      <w:r>
        <w:rPr/>
        <w:t>5</w:t>
      </w:r>
      <w:r>
        <w:rPr>
          <w:rtl w:val="true"/>
        </w:rPr>
        <w:t xml:space="preserve">. </w:t>
      </w:r>
      <w:r>
        <w:rPr>
          <w:rtl w:val="true"/>
        </w:rPr>
        <w:t xml:space="preserve">ابراهیم بن طهمان </w:t>
      </w:r>
      <w:r>
        <w:rPr>
          <w:rtl w:val="true"/>
        </w:rPr>
        <w:t>(</w:t>
      </w:r>
      <w:r>
        <w:rPr>
          <w:rtl w:val="true"/>
        </w:rPr>
        <w:t>م</w:t>
      </w:r>
      <w:r>
        <w:rPr>
          <w:rtl w:val="true"/>
        </w:rPr>
        <w:t xml:space="preserve">. </w:t>
      </w:r>
      <w:r>
        <w:rPr/>
        <w:t>168</w:t>
      </w:r>
      <w:r>
        <w:rPr>
          <w:rtl w:val="true"/>
        </w:rPr>
        <w:t>ق</w:t>
      </w:r>
      <w:r>
        <w:rPr>
          <w:rtl w:val="true"/>
        </w:rPr>
        <w:t>):</w:t>
      </w:r>
      <w:bookmarkEnd w:id="241"/>
    </w:p>
    <w:p>
      <w:pPr>
        <w:pStyle w:val="BookText"/>
        <w:rPr/>
      </w:pPr>
      <w:r>
        <w:rPr>
          <w:rFonts w:ascii="IRNazanin" w:hAnsi="IRNazanin" w:eastAsia="IRNazanin"/>
          <w:color w:val="111111"/>
          <w:sz w:val="28"/>
          <w:sz w:val="28"/>
          <w:szCs w:val="28"/>
          <w:rtl w:val="true"/>
          <w:lang w:bidi="fa-IR"/>
        </w:rPr>
        <w:t>بخاری، نسائی، مسلم، ترمذی و ابن‌ماجه از او روایت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او را ثقه دانسته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ابوحاتم، ابوداوود، احمد بن حنبل و علمای دیگری وی را ثقه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ذهبی،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نیز او را ثقه</w:t>
      </w:r>
    </w:p>
    <w:p>
      <w:pPr>
        <w:pStyle w:val="BookText"/>
        <w:rPr/>
      </w:pP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5"/>
        <w:numPr>
          <w:ilvl w:val="4"/>
          <w:numId w:val="1"/>
        </w:numPr>
        <w:rPr/>
      </w:pPr>
      <w:bookmarkStart w:id="242" w:name="__RefHeading___Toc1986520_2749589250"/>
      <w:bookmarkStart w:id="243" w:name="_Toc99"/>
      <w:bookmarkEnd w:id="242"/>
      <w:r>
        <w:rPr/>
        <w:t>6</w:t>
      </w:r>
      <w:r>
        <w:rPr>
          <w:rtl w:val="true"/>
        </w:rPr>
        <w:t xml:space="preserve">. </w:t>
      </w:r>
      <w:r>
        <w:rPr>
          <w:rtl w:val="true"/>
        </w:rPr>
        <w:t>بدیل بن میسره عقیلی</w:t>
      </w:r>
      <w:r>
        <w:rPr>
          <w:rtl w:val="true"/>
        </w:rPr>
        <w:t>:</w:t>
      </w:r>
      <w:bookmarkEnd w:id="243"/>
    </w:p>
    <w:p>
      <w:pPr>
        <w:pStyle w:val="BookText"/>
        <w:rPr/>
      </w:pPr>
      <w:r>
        <w:rPr>
          <w:rFonts w:ascii="IRNazanin" w:hAnsi="IRNazanin" w:eastAsia="IRNazanin"/>
          <w:color w:val="111111"/>
          <w:sz w:val="28"/>
          <w:sz w:val="28"/>
          <w:szCs w:val="28"/>
          <w:rtl w:val="true"/>
          <w:lang w:bidi="fa-IR"/>
        </w:rPr>
        <w:t>بخاری، مسلم، ابن‌ماجه، نسائی و ابوداوود از او روایت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ابن‌معین، ابن‌سعد، نسائی، ابن‌حبان، عجلی و برخی دیگر او را ثقه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عسقلانی،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bookmarkStart w:id="244" w:name="pg3245_36530"/>
    </w:p>
    <w:p>
      <w:pPr>
        <w:pStyle w:val="Heading5"/>
        <w:numPr>
          <w:ilvl w:val="4"/>
          <w:numId w:val="1"/>
        </w:numPr>
        <w:rPr/>
      </w:pPr>
      <w:bookmarkStart w:id="245" w:name="__RefHeading___Toc1986522_2749589250"/>
      <w:bookmarkStart w:id="246" w:name="_Toc100"/>
      <w:bookmarkEnd w:id="244"/>
      <w:bookmarkEnd w:id="245"/>
      <w:r>
        <w:rPr/>
        <w:t>7</w:t>
      </w:r>
      <w:r>
        <w:rPr>
          <w:rtl w:val="true"/>
        </w:rPr>
        <w:t xml:space="preserve">. </w:t>
      </w:r>
      <w:r>
        <w:rPr>
          <w:rtl w:val="true"/>
        </w:rPr>
        <w:t>عبدالله بن شقیق</w:t>
      </w:r>
      <w:r>
        <w:rPr>
          <w:rtl w:val="true"/>
        </w:rPr>
        <w:t>:</w:t>
      </w:r>
      <w:bookmarkEnd w:id="246"/>
    </w:p>
    <w:p>
      <w:pPr>
        <w:pStyle w:val="BookText"/>
        <w:rPr/>
      </w:pPr>
      <w:r>
        <w:rPr>
          <w:rFonts w:ascii="IRNazanin" w:hAnsi="IRNazanin" w:eastAsia="IRNazanin"/>
          <w:color w:val="111111"/>
          <w:sz w:val="28"/>
          <w:sz w:val="28"/>
          <w:szCs w:val="28"/>
          <w:rtl w:val="true"/>
          <w:lang w:bidi="fa-IR"/>
        </w:rPr>
        <w:t>بخاری، مسلم، ترمذی، نسائی، ابن‌ماجه و ابوداوود از او روایت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ابن‌حنبل، ابن‌معین، ابوحاتم، ابن‌خراش، ابی‌زرعه، عجلی و ذهبی او را ثقه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عسقلانی،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ذهبی،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راویان موجود در سند روایت میسرة همه از ثقات هستند و تنها یک نفر غیرثقه وجود دارد که او نیز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این روایت دست‌کم در رتبۀ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قوی‌ترین شاهد برای تأیید مضمون روایت عبدالرحمن بن زید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غماری،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ممدوح،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Heading4"/>
        <w:numPr>
          <w:ilvl w:val="3"/>
          <w:numId w:val="1"/>
        </w:numPr>
        <w:rPr/>
      </w:pPr>
      <w:bookmarkStart w:id="247" w:name="__RefHeading___Toc1986524_2749589250"/>
      <w:bookmarkStart w:id="248" w:name="_Toc101"/>
      <w:bookmarkEnd w:id="247"/>
      <w:r>
        <w:rPr/>
        <w:t>2</w:t>
      </w:r>
      <w:r>
        <w:rPr>
          <w:rtl w:val="true"/>
        </w:rPr>
        <w:t>ـ</w:t>
      </w:r>
      <w:r>
        <w:rPr/>
        <w:t>3</w:t>
      </w:r>
      <w:r>
        <w:rPr>
          <w:rtl w:val="true"/>
        </w:rPr>
        <w:t xml:space="preserve">. </w:t>
      </w:r>
      <w:r>
        <w:rPr>
          <w:rtl w:val="true"/>
        </w:rPr>
        <w:t>نقد برداشت ابن‌عثیمین از توسل خلیفۀ دوم به دعای عباس</w:t>
      </w:r>
      <w:bookmarkEnd w:id="248"/>
    </w:p>
    <w:p>
      <w:pPr>
        <w:pStyle w:val="BookText"/>
        <w:rPr/>
      </w:pPr>
      <w:r>
        <w:rPr>
          <w:rFonts w:ascii="IRNazanin" w:hAnsi="IRNazanin" w:eastAsia="IRNazanin"/>
          <w:color w:val="111111"/>
          <w:sz w:val="28"/>
          <w:sz w:val="28"/>
          <w:szCs w:val="28"/>
          <w:rtl w:val="true"/>
          <w:lang w:bidi="fa-IR"/>
        </w:rPr>
        <w:t>همان‌گونه که در توضیح نظر ابن‌عثیمین بیان شد، او روایت توسل خلیفۀ دوم به دعای عباس را نشان‌دهندۀ سیره صحابه در عدم توسل به دعای پیامبر صلی الله علیه و اله و سلم پس از رحلت آن حضرت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ابن‌عثیمین معتقد است، اگر توسل به دعای اموات صحیح بود، حتماً خلیفۀ دوم و دیگر صحابه، به دعای پیامبر صلی الله علیه و اله و سلم متوسل می شدند؛ از این رو معلوم می‌شود که صحابه نیز ارتباط با پیامبر صلی الله علیه و اله و سلم و توسل به او را مختص زمان حیات آن حضرت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بن علوی مالکی برداشت ابن‌عثیمین از این روایت را نمی پذیرد و معتقد است، این حکایت ارتباطی به محل نزاع ندارد و مربوط به مسئله توسل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قرائن موجود در این حکایت، معلوم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که این قضیه در مورد اقامۀ نماز استسقا و دعا برای نزول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شدیدی بود و لازم بود که مسلمانان برای نماز استسقا در بیرون شهر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استسقا لازم است شخصی امام جماعت شود و برای نزول باران نیز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استسقا مانند نماز جمعه و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آن و برخی شعائر اسلامی دیگر، نیازمند کسی است که در دار تکلیف باشد تا بتواند امامت آن را بر عهده گیرد و پیامبر صلی الله علیه و اله و سلم مانند دیگر اهل برزخ، از دار تکلیف خارج شدند و مکلّف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بر این باور است که هرچند سزاوار بود خلیفۀ دوم خود برای نماز استسقا امام جماعت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اما او برای احترام به پیامبر صلی الله علیه و اله و سلم و خاندانش، عموی پیامبر صلی الله علیه و اله و سلم را برای اقامۀ نماز امام جماعت کرد و از او خواست برای نزول باران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عمر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کُنَّا نَتَوَسَّلُ إِلَیْکَ بِنَبِیِّنَا فَتَسْقِینَا و إِنَّا نَتَوَسَّلُ إِلَیْکَ بِعَمِّ نَبِیِّنَا فَاسْقِنَا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خارج شدن پیامبر صلی الله علیه و اله و سلم از شهر و نماز استسقا خواندن بر مردم و دعای بر آن‌ها، به تو روی می آوردیم، اما پس از رحلت آن حضرت، یکی از خویشاندان پیامبر صلی الله علیه و اله و سلم ر را مقدم می‌داریم تا برای نزول باران نماز بخواند و دعا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Heading4"/>
        <w:numPr>
          <w:ilvl w:val="3"/>
          <w:numId w:val="1"/>
        </w:numPr>
        <w:rPr/>
      </w:pPr>
      <w:bookmarkStart w:id="249" w:name="__RefHeading___Toc1986526_2749589250"/>
      <w:bookmarkStart w:id="250" w:name="_Toc102"/>
      <w:bookmarkEnd w:id="249"/>
      <w:r>
        <w:rPr/>
        <w:t>2</w:t>
      </w:r>
      <w:r>
        <w:rPr>
          <w:rtl w:val="true"/>
        </w:rPr>
        <w:t>ـ</w:t>
      </w:r>
      <w:r>
        <w:rPr/>
        <w:t>4</w:t>
      </w:r>
      <w:r>
        <w:rPr>
          <w:rtl w:val="true"/>
        </w:rPr>
        <w:t xml:space="preserve">. </w:t>
      </w:r>
      <w:r>
        <w:rPr>
          <w:rtl w:val="true"/>
        </w:rPr>
        <w:t>مالکی و نقد برداشت ابن‌عثیمین از آیۀ شریفه</w:t>
      </w:r>
      <w:bookmarkEnd w:id="250"/>
    </w:p>
    <w:p>
      <w:pPr>
        <w:pStyle w:val="BookText"/>
        <w:rPr/>
      </w:pPr>
      <w:r>
        <w:rPr>
          <w:rFonts w:ascii="IRNazanin" w:hAnsi="IRNazanin" w:eastAsia="IRNazanin"/>
          <w:color w:val="111111"/>
          <w:sz w:val="28"/>
          <w:sz w:val="28"/>
          <w:szCs w:val="28"/>
          <w:rtl w:val="true"/>
          <w:lang w:bidi="fa-IR"/>
        </w:rPr>
        <w:t>مالکی برداشت ابن‌عثیمین از این آیه را بی اساس دانسته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است که برای ماضی استفاده می شود، اما علمای ادبیات عرب گفتند که یکی از کاربردهای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آن در زمان مستقبل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سخن ابن‌هشام اشاره می کند که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ظرف زمان مستقبل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ابن‌هشام،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به سخن ازهری استناد می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زمان مستقبل نیز به کار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ازهری،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فَزِعُوا فَلا فَوْتَ وَ أُخِذُوا مِنْ مَکانٍ 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مالکی چند آیۀ دیگر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زمان مستقبل به کار رفته است، شاهد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تَری إِذْ وُقِفُوا عَلَی النَّارِ فَقالُوا یا لَیْتَنا نُرَدُّ وَ لا نُکَذِّبَ بِآیاتِ رَبِّنا وَ نَکُونَ مِنَ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تَری إِذْ وُقِفُوا عَلی رَبِّهِمْ قالَ أَ لَیْسَ هذا بِالْحَقِّ قالُوا بَلی وَ 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تَری إِذِ الظَّالِمُونَ فی غَمَراتِ الْمَوْتِ وَ الْمَلائِکَةُ باسِطُوا أَیْدیهِمْ أَخْرِجُوا أَنْفُسَکُم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تَری إِذِ الْمُجْرِمُونَ ناکِسُوا رُؤُسِهِمْ عِنْدَ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این سخنان مالکی نمی تواند پاسخی برای ابن‌عثیمین باشد، زیرا ابن‌هشام پس از مطلب مذکور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علمای علم نحو،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زمان مستقبل را قبول ندارند و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عنوان ظرف ماضی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عقیدۀ آن‌ها در آیات مذکور، چیزی که وقوعش در آینده قطعی است، به منزلۀ چیزی که واقع شده قرار گرفته و در قالب ماضی بیان شده است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ابن‌هشام،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251" w:name="pg3245_36531"/>
    </w:p>
    <w:p>
      <w:pPr>
        <w:pStyle w:val="BookText"/>
        <w:rPr/>
      </w:pPr>
      <w:bookmarkEnd w:id="251"/>
      <w:r>
        <w:rPr>
          <w:rFonts w:ascii="IRNazanin" w:hAnsi="IRNazanin" w:eastAsia="IRNazanin"/>
          <w:color w:val="111111"/>
          <w:sz w:val="28"/>
          <w:sz w:val="28"/>
          <w:szCs w:val="28"/>
          <w:rtl w:val="true"/>
          <w:lang w:bidi="fa-IR"/>
        </w:rPr>
        <w:t xml:space="preserve">ادعای مالکی پذیرفته شود، تنها چیزی که ثابت می شود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مستقبل است، اما استعمال دلیلی بر حقیقی بودن این معنا نیست و برای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مستقبل، نیازمند قرینۀ معینه هستیم که چنین قرینه 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سیاق آیات و الفاظ این آیه، قدر متیقن مفهوم آیه این است که توسل به دعای پیامبر صلی الله علیه و اله و سلم در زمان حیات آن حضرت، مورد تأیید خداوند است، اما برای اثبات چیزی بیش از این مفهوم، نمی توان به الفاظ و قواعد ادبی استناد کرد، بلکه باید به روایات معتبر و قرائن دیگر، مانند ابدی بودن احکام قرآن و فهم عمومی مسلمانان از آیه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شایان ذکر است که در این آیه، نشانه ای بر انحصار توسل به دعای پیامبر صلی الله علیه و اله و سلم در زمان حیات آن حضرت وجود ندارد و هیچ تنافی‌ای با روایات گذشته ندارد، بلکه با توجه به روایات و قرائن دیگر، این آیه توسل را در همۀ دوره‌ها جایز دانسته است</w:t>
      </w:r>
      <w:r>
        <w:rPr>
          <w:rFonts w:eastAsia="IRNazanin" w:cs="IRNazanin"/>
          <w:color w:val="111111"/>
          <w:sz w:val="28"/>
          <w:szCs w:val="28"/>
          <w:rtl w:val="true"/>
          <w:lang w:bidi="fa-IR"/>
        </w:rPr>
        <w:t>.</w:t>
      </w:r>
    </w:p>
    <w:p>
      <w:pPr>
        <w:pStyle w:val="Heading3"/>
        <w:numPr>
          <w:ilvl w:val="2"/>
          <w:numId w:val="1"/>
        </w:numPr>
        <w:rPr/>
      </w:pPr>
      <w:bookmarkStart w:id="252" w:name="__RefHeading___Toc1986528_2749589250"/>
      <w:bookmarkStart w:id="253" w:name="_Toc103"/>
      <w:bookmarkEnd w:id="252"/>
      <w:r>
        <w:rPr>
          <w:rtl w:val="true"/>
        </w:rPr>
        <w:t>نتیجه‌گیری</w:t>
      </w:r>
      <w:bookmarkEnd w:id="253"/>
    </w:p>
    <w:p>
      <w:pPr>
        <w:pStyle w:val="BookText"/>
        <w:rPr/>
      </w:pPr>
      <w:r>
        <w:rPr>
          <w:rFonts w:ascii="IRNazanin" w:hAnsi="IRNazanin" w:eastAsia="IRNazanin"/>
          <w:color w:val="111111"/>
          <w:sz w:val="28"/>
          <w:sz w:val="28"/>
          <w:szCs w:val="28"/>
          <w:rtl w:val="true"/>
          <w:lang w:bidi="fa-IR"/>
        </w:rPr>
        <w:t>ابن‌عثیمین توسل به دعای پیامبر صلی الله علیه و اله و سلم و صالحان را مختص زمان حیات آن‌ها دانسته و هر گونه توسل به دعای آن‌ها پس از رحلتشان را موجب شرک به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 عقلی و نقلی معتبری برای اثبات مشروعیت چنین توسلی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هیچ‌یک از صحابه پس از رحلت پیامبر صلی الله علیه و اله و سلم به دعای آن حضرت متوسل نشدند و هیچ نقل معتبری دالّ بر انجام چنین توسلی توسط آن‌ها وجود ندارد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علوی مالکی با طرح روایات معتبر از منظر علمای حدیث و رجال، ثابت کرد که توسل به دعای صالحان، اختصاصی به زمان حیات آن‌ها ندارد، بلکه سیرۀ صحابه و تابعین بر توسل به دعای پیامبر صلی الله علیه و اله و سلم پس از رحلت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اصلی مالکی، سنجش اعتبار برخی روایات از طریق پذیرش آن‌ها توسط برخی علما و عدم بررسی دقیق اسناد و متون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 اسناد روایات مورد اشارۀ مالکی بر اساس مبانی رجالی اهل‌سنت مورد بررسی قرار گرفت و هم‌چنین روایات ضعیف توسط روایات معتبر تقویت و صحت مضمون آن‌ها ثابت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نقد مالکی بر برداشت ابن‌عثیمین از برخی آیات نیز به صورت کامل مورد بررسی قرار گرفت و با اصلاح برخی مطالب آن، به صورت قابل قبولی تقویت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پاسخ مدعیات ابن‌عثیمین با درجۀ اعتبار قابل پذیرشی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توسل به دعای صالحان گذشته را عملی در جهت اعتقاد به توحید خداوند می داند و ادعای شرک‌آلود بودن چنین</w:t>
      </w:r>
      <w:bookmarkStart w:id="254" w:name="pg3245_36532"/>
    </w:p>
    <w:p>
      <w:pPr>
        <w:pStyle w:val="BookText"/>
        <w:rPr/>
      </w:pPr>
      <w:bookmarkEnd w:id="254"/>
      <w:r>
        <w:rPr>
          <w:rFonts w:ascii="IRNazanin" w:hAnsi="IRNazanin" w:eastAsia="IRNazanin"/>
          <w:color w:val="111111"/>
          <w:sz w:val="28"/>
          <w:sz w:val="28"/>
          <w:szCs w:val="28"/>
          <w:rtl w:val="true"/>
          <w:lang w:bidi="fa-IR"/>
        </w:rPr>
        <w:t>توسلات را فاقد دلیل معتبر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مالکی در مسئله توسل، به تفکر امامیه نزدیک بوده و تفاوت چندانی ندارد</w:t>
      </w:r>
      <w:r>
        <w:rPr>
          <w:rFonts w:eastAsia="IRNazanin" w:cs="IRNazanin"/>
          <w:color w:val="111111"/>
          <w:sz w:val="28"/>
          <w:szCs w:val="28"/>
          <w:rtl w:val="true"/>
          <w:lang w:bidi="fa-IR"/>
        </w:rPr>
        <w:t>.</w:t>
      </w:r>
    </w:p>
    <w:p>
      <w:pPr>
        <w:pStyle w:val="Heading3"/>
        <w:numPr>
          <w:ilvl w:val="2"/>
          <w:numId w:val="1"/>
        </w:numPr>
        <w:rPr/>
      </w:pPr>
      <w:bookmarkStart w:id="255" w:name="__RefHeading___Toc1986530_2749589250"/>
      <w:bookmarkStart w:id="256" w:name="_Toc104"/>
      <w:bookmarkEnd w:id="255"/>
      <w:r>
        <w:rPr>
          <w:rtl w:val="true"/>
        </w:rPr>
        <w:t>منابع</w:t>
      </w:r>
      <w:bookmarkEnd w:id="2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آجری، أبوبکر،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الشریعة،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بن سلیمان الدمیجی، ریاض، دار الوطن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ابن‌أبی‌خیثمة، ابوبکر،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التاریخ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بن فتحی هلال، قاهره، الفاروق الحدیثة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ابن‌أبی‌شیبة، أبوبکر،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المصنف فی الأحادیث و الآثار،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یوسف الحوت، ریاض، مکتبة الرشد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ابن‌الجوزی، ابوالفرج،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الضعفاء و المتروکون،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القاضی،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مثیر الغرام،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محمد حسین الذهبی، قاهره،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ابن‌باز، عبدالعزیز و دیگران،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البدع و المحدثات و ما لا اصل له،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 بن عبدالله المطر، ریاض، دار ابن‌خزیمة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تقی‌الدین،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 الفتاوی،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محمد، مدینه، مجمع الملک فهد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قاعدة جلیلة فی التوسل و الوسیلة،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المدخلی، عجمان، مکتبة الفرقان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الکلم الطیب،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الجمیلی،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الاستغاثة فی الردّ علی البکری،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دجین السهلی، ریاض، دارالوطن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ابن‌حبان، أبوحاتم،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المجروحین،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إبراهیم زاید، حلب، دار الوعی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ابن‌سعد، أبوعبدالله،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عبدالقادر عطا،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ابن‌عبدالبر، یوسف،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الاستیعاب فی معرفة الأصحاب،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بیروت، دارالجیل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ابن‌عدی، أبواحمد،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ضعفاء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أحمد عبدالموجود و علی محمد معوض،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ابن‌عساکر، علی،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دمشق،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غرامة،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ابن‌معین، أبوزکریا،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ابن‌معین،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نور سیف، مکه، مرکز البحث العلمی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ابن‌هشام، عبدالله،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مغنی اللبیب عن کتب الأعاریب،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 المبارک و محمد علی حمدالله، دمشق، دارالفکر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ازهری، محمد،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اللغة،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مرعب،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اصبهانی، أبونعیم،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معرفة الصحابة،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بن یوسف العزازی، ریاض، دارالوطن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ألبانی،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سلسلة الأحادیث الضعیفة و الموضوعة و أثرها السیئ فی الأمة، ریاض، دار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محمد بن إسماعیل،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البخاری،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زهیر الناصر، بیروت، دار طوق النجاة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الضعفاء الصغیر،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إبراهیم بن أبی‌العینین، بی جا، مکتبة ابن‌عباس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احمد،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 من أنساب الأشراف،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 و ریاض الزرکلی،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بهوتی،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کشاف القناع،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بیهقی، أبوبکر،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 النبوة،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عبدالمعطی قلعجی،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شعب الإیمان،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حامد، ریاض، مکتبة الرشد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جوزجانی، أبواسحاق،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أحوال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عبدالعلیم البَستوی، فیصل‌آباد، حدیث اکادمی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الجهضمی، إسماعیل،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 الصلاة علی النبیصلی الله علیه و اله و سلم،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الألبانی، بیروت، المکتب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ولید بن احمد،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لحیاة العلامة محمد بن صالح العثیمین، بریتانیا، مجلة الحکمة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محسن الأمین،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الارتیاب، قم، دارالکتاب الاسلامی،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 بغدادی، احمد،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بغداد،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عواد معروف، بیروت، دارالغرب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خلیلی، ابویعلی،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معرفة علماء الحدیث،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إدریس، ریاض، مکتبة الرشد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دارقطنی، ابوالحسن،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الضعفاء و المتروکون،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محمد القشقری، مدینه، مجلة الجامعة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دارمی، أبومحمد،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الدارمی،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سلیم الدارانی، عربستان، دارالمغنی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الدرویش،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فتاوی اللجنة الدائمة للبحوث العلمیة و الإفتاء، ریاض، رئاسة إدارة البحوث العلمیة و الإفتاء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دمشقی، ابن‌کثیر،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القرآن العظیم،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شمس‌الدین،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البدایة و النهایة،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عبدالمحسن الترکی، قاهره، دار هجر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شمس‌الدین،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الاعتدال فی نقد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بیروت، دارالمعرفة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أعلام النبلاء،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شعیب الأرناؤوط، بیروت، مؤسسة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الکاشف،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عوامة أحمد، جدة، دارالقبلة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الإسلام،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عوّاد معروف، بیروت، دارالغرب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ابن‌أبی‌حاتم،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الجرح و التعدیل، حیدرآباد الدکن، مجلس دائرة المعارف العثمانیة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زرقانی، محمد،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الزرقانی علی المواهب اللدنیة،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سبکی، تقی‌الدین،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شفاء السقام،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سخاوی، شمس‌الدین،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المغیث،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 علی، مصر، مکتبة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سمعانی، أبوسعد،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الأنساب،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المعلمی و دیگران، حیدرآباد، مجلس دائرة المعارف العثمانیة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جلال‌الدین،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تدریب الراوی،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أبوقتیبة الفاریابی، بی جا، دارطیبة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 المنثور، قم، کتابخانه آیة‌الله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الخصائص الکبری،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شیبانی، احمد بن حنبل،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أحمد بن حنبل،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 و دیگران، دمشق، مؤسسة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طبرانی، سلیمان بن أحمد،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الصغیر،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شکور محمود، بیروت ـ عمان، المکتب الإسلامی ـ دارعمار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الدعاء،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عبدالقادر عطا،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بن عبدالمجید، قاهره، مکتبة ابن‌تیمیة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العثیمین، محمد بن صالح،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و فتاوی الحرم المدنی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گردآوری سایت </w:t>
      </w:r>
      <w:r>
        <w:rPr>
          <w:rFonts w:eastAsia="Times New Roman" w:cs="Times New Roman" w:ascii="Times New Roman" w:hAnsi="Times New Roman"/>
          <w:color w:val="111111"/>
          <w:sz w:val="28"/>
          <w:szCs w:val="28"/>
          <w:lang w:val="en-US" w:bidi="en-US"/>
        </w:rPr>
        <w:t>islamweb.net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 فتاوی و رسائل،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 بن ناصر السلیمان، ریاض، دارالوطن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الکنز الثمین فی تفسیر ابن‌عثیمین، بیروت، ناشرون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ابن‌حجر،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التهذیب، هند، دائرة المعارف النظامیة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الباری،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محب‌الدین الخطیب، بیروت، دارالمعرفة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النکت علی کتاب ابن‌الصلاح،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هادی، مدینه، عمادة البحث العلمی بالجامعة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تقریب التهذیب،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عوامة، سوریه، دارالرشید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المطالب العالیة،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ناصر، عربستان، دارالعاصمة ـ دارالغیث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المیزان،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عبدالفتاح أبوغدة، بیروت، دار البشائر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عقیلی، أبوجعفر،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الضعفاء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عبدالمعطی أمین قلعجی، بیروت، دارالمکتبة العلمیة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الغماری، عبدالله بن الصدیق،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الرد المحکم المتین علی کتاب القول المتین، بی جا، مطبعة العهد الجدید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شمس‌الدین،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لأحکام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البردونی و إبراهیم أطفیش، قاهره، دارالکتب المصریة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قسطلانی، احمد بن محمد،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المواهب اللدنیة،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أحمد الشامی، بیروت، المکتب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مالکی، محمد بن علوی،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الزیارة النبویة بین البدعیة و الشرعیة، ابوظبی، المجمع الثقافی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مفاهیم یجب أن تُصحّح،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مبهوتی، احمد،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کتاب مفاهیم یجب ان تصحح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میقات، شماره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المری، عصام بن عبدالمنعم،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 الثمین فی ترجمة فقیه الأمة العلامة ابن‌عثیمین، اسکندریه، دار البصیرة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مزی، یوسف،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الکمال فی أسماء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عواد معروف، بیروت، مؤسسة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مسلمی، محمدمهدی و دیگران،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أقوال أبی الحسن الدارقطنی فی رجال الحدیث، بیروت، عالم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ابومحمد،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المغنی فی فقه الإمام أحمد بن حنبل،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ابوالفرج،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الشرح الکبیر علی متن المقنع،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رشید رضا، بیروت، دارالکتاب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ممدوح، محمود سعید،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رفع المنارة، قاهره، المکتبة الازهریة للتراث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منذری، عبدالعظیم،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الترغیب و الترهیب،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شمس‌الدین،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منصوری، أبوالطیب،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الدلیل المغنی لشیوخ أبی الحسن الدارقطنی،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الحمید و حسن مقبولی الأهدل، عربستان، دارالکیان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نبی‌نژاد، محسن،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بربهاری از کهن‌ترین تئوریسین‌های 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سراج منیر،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نسائی، أبوعبدالرحمن،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الضعفاء و المتروکون،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إبراهیم، حلب، دارالوعی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النوری، أبوالمعاطی و دیگران،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أقوال أحمد بن حنبل فی رجال الحدیث،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عالم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نووی، ابوزکریا،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الإیضاح، بیروت ـ مکه، دار البشائر الإسلامیة ـ المکتبة الأمدادیة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 حاکم،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المدخل إلی الصحیح،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هادی المدخلی، بیروت، مؤسسة الرسالة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المستدرک علی الصحیحین،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عبدالقادر عطا،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مسلم،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 بیروت، دارإحیاء التراث العربی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هیثمی، نورالدین،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الزوائد،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حسام‌الدین القدسی، قاهره، مکتبة القدسی</w:t>
      </w:r>
      <w:r>
        <w:rPr>
          <w:rFonts w:eastAsia="IRNazanin" w:cs="IRNazanin"/>
          <w:color w:val="111111"/>
          <w:sz w:val="28"/>
          <w:szCs w:val="28"/>
          <w:rtl w:val="true"/>
          <w:lang w:bidi="fa-IR"/>
        </w:rPr>
        <w:t>.</w:t>
      </w:r>
      <w:bookmarkStart w:id="257" w:name="pg3245_36537"/>
    </w:p>
    <w:p>
      <w:pPr>
        <w:pStyle w:val="Heading2"/>
        <w:numPr>
          <w:ilvl w:val="1"/>
          <w:numId w:val="1"/>
        </w:numPr>
        <w:rPr/>
      </w:pPr>
      <w:bookmarkStart w:id="258" w:name="__RefHeading___Toc1986532_2749589250"/>
      <w:bookmarkStart w:id="259" w:name="_Toc105"/>
      <w:bookmarkEnd w:id="257"/>
      <w:bookmarkEnd w:id="258"/>
      <w:r>
        <w:rPr>
          <w:rtl w:val="true"/>
        </w:rPr>
        <w:t xml:space="preserve">رویکرد تفسیری فخر رازی در مواجهه با ادلۀ شیعه ذیل آیات ولایت و خلافت </w:t>
      </w:r>
      <w:r>
        <w:rPr>
          <w:rtl w:val="true"/>
        </w:rPr>
        <w:t xml:space="preserve">/ </w:t>
      </w:r>
      <w:r>
        <w:rPr>
          <w:rtl w:val="true"/>
        </w:rPr>
        <w:t>حامد دژآباد ، زهره بابا احمد میلانی</w:t>
      </w:r>
      <w:bookmarkEnd w:id="259"/>
    </w:p>
    <w:p>
      <w:pPr>
        <w:pStyle w:val="Heading3"/>
        <w:numPr>
          <w:ilvl w:val="2"/>
          <w:numId w:val="1"/>
        </w:numPr>
        <w:rPr/>
      </w:pPr>
      <w:bookmarkStart w:id="260" w:name="__RefHeading___Toc1986534_2749589250"/>
      <w:bookmarkStart w:id="261" w:name="_Toc106"/>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حامد دژآباد</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زهره بابااحمدی میلانی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20/02/1395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05/05/1395</w:t>
      </w:r>
    </w:p>
    <w:p>
      <w:pPr>
        <w:pStyle w:val="Heading3"/>
        <w:numPr>
          <w:ilvl w:val="2"/>
          <w:numId w:val="1"/>
        </w:numPr>
        <w:rPr/>
      </w:pPr>
      <w:bookmarkStart w:id="262" w:name="__RefHeading___Toc1986536_2749589250"/>
      <w:bookmarkStart w:id="263" w:name="_Toc107"/>
      <w:bookmarkEnd w:id="262"/>
      <w:r>
        <w:rPr>
          <w:rtl w:val="true"/>
        </w:rPr>
        <w:t>چکیده</w:t>
      </w:r>
      <w:bookmarkEnd w:id="263"/>
    </w:p>
    <w:p>
      <w:pPr>
        <w:pStyle w:val="BookText"/>
        <w:rPr/>
      </w:pPr>
      <w:r>
        <w:rPr>
          <w:rFonts w:ascii="IRNazanin" w:hAnsi="IRNazanin" w:eastAsia="IRNazanin"/>
          <w:color w:val="111111"/>
          <w:sz w:val="28"/>
          <w:sz w:val="28"/>
          <w:szCs w:val="28"/>
          <w:rtl w:val="true"/>
          <w:lang w:bidi="fa-IR"/>
        </w:rPr>
        <w:t>مفسران اهل‌سنت، به‌خصوص فخر رازی، در مواجهه با ادلۀ شیعه ذیل آیات ولایت و خلافت، سعی کردند با روش های گوناگونی در ادلۀ شیعه مناقشه کرده و ضمن تضعیف این ادله، دیدگاه مورد نظر خود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به روش‌شناسی فخر رازی ذیل این آیات پرداخته و روش‌های او را مورد تحلیل و 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فخر رازی در مواجهه با ادلۀ شیعه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روایات ضعیف و جعلی، استناد به سیاق، استناد به مباحث ادبی، توهین به مخالفان، عدم ذکر اقوال و روایات مخالف، غبارآلود کردن فضای بحث و آوردن اقوال مختلف بدون هیچ‌گونه ترجیح</w:t>
      </w:r>
      <w:r>
        <w:rPr>
          <w:rFonts w:eastAsia="IRNazanin" w:cs="IRNazanin"/>
          <w:color w:val="111111"/>
          <w:sz w:val="28"/>
          <w:szCs w:val="28"/>
          <w:rtl w:val="true"/>
          <w:lang w:bidi="fa-IR"/>
        </w:rPr>
        <w:t>.</w:t>
      </w:r>
    </w:p>
    <w:p>
      <w:pPr>
        <w:pStyle w:val="Heading3"/>
        <w:numPr>
          <w:ilvl w:val="2"/>
          <w:numId w:val="1"/>
        </w:numPr>
        <w:rPr/>
      </w:pPr>
      <w:bookmarkStart w:id="264" w:name="__RefHeading___Toc1986538_2749589250"/>
      <w:bookmarkStart w:id="265" w:name="_Toc108"/>
      <w:bookmarkEnd w:id="264"/>
      <w:r>
        <w:rPr>
          <w:rtl w:val="true"/>
        </w:rPr>
        <w:t>واژگان کلیدی</w:t>
      </w:r>
      <w:bookmarkEnd w:id="26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آیات ولایت، اولی به تصرف، ولایت</w:t>
      </w:r>
      <w:r>
        <w:rPr>
          <w:rFonts w:eastAsia="IRNazanin" w:cs="IRNazanin"/>
          <w:color w:val="111111"/>
          <w:sz w:val="28"/>
          <w:szCs w:val="28"/>
          <w:rtl w:val="true"/>
          <w:lang w:bidi="fa-IR"/>
        </w:rPr>
        <w:t>.</w:t>
      </w:r>
      <w:bookmarkStart w:id="266" w:name="pg3245_36538"/>
    </w:p>
    <w:p>
      <w:pPr>
        <w:pStyle w:val="Heading3"/>
        <w:numPr>
          <w:ilvl w:val="2"/>
          <w:numId w:val="1"/>
        </w:numPr>
        <w:rPr/>
      </w:pPr>
      <w:bookmarkStart w:id="267" w:name="__RefHeading___Toc1986540_2749589250"/>
      <w:bookmarkStart w:id="268" w:name="_Toc109"/>
      <w:bookmarkEnd w:id="266"/>
      <w:bookmarkEnd w:id="267"/>
      <w:r>
        <w:rPr>
          <w:rtl w:val="true"/>
        </w:rPr>
        <w:t>مقدمه</w:t>
      </w:r>
      <w:bookmarkEnd w:id="268"/>
    </w:p>
    <w:p>
      <w:pPr>
        <w:pStyle w:val="BookText"/>
        <w:rPr/>
      </w:pPr>
      <w:r>
        <w:rPr>
          <w:rFonts w:ascii="IRNazanin" w:hAnsi="IRNazanin" w:eastAsia="IRNazanin"/>
          <w:color w:val="111111"/>
          <w:sz w:val="28"/>
          <w:sz w:val="28"/>
          <w:szCs w:val="28"/>
          <w:rtl w:val="true"/>
          <w:lang w:bidi="fa-IR"/>
        </w:rPr>
        <w:t xml:space="preserve">قرآن کریم از زمان نزول برای مخاطبان تبیین می شد؛ پیامبر اکرم صلی الله علیه و اله و سلم همان گونه که رسالت ابلاغ آیات را داشت، مسئولیت تفسیر، توضیح و تبیین آیات الهی را نیز بر عهده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آغازین گام‌های تفسیر قرآنی را پیامبر صلی الله علیه و اله و سلم برداشتند، و پس از آن بزرگوار، در پاسخ پرسش یا در جهت تفسیر و تبیین نصوص آیات الهی، صحابه و تابعین دامنۀ تفسیر آیات الهی را گستراندند، و در درازنای چهارده قرن عالمان، تفاسیر مهمی بر پایۀ مذاهب گوناگون اسلامی و رویکردهای متفاوت، به جامعۀ دینی عرضه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تفاسیر برجسته، تفسیر کبیر فخر رازی در قرن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مهم‌ترین مسئله ای که از آغاز اسلام تاکنون مورد توجه و مناقشه میان مسلمانان بوده،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اکرم صلی الله علیه و اله و سلم است، به طوری که هیچ موضوعی به اندازۀ آن مورد نزاع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طور جدی مورد توجه مفسران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مفسران کوشیده اند برای آنچه پس از رحلت پیامبر اکرم صلی الله علیه و اله و سلم رخ داد، مستندات قرآنی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پدیده‌ای است که در کتب کلام و تفسیر اهل‌سنت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مفسران فخر رازی است که بارها در نصوص دالّ بر ولایت و امامت علوی تشکیک کرده و ذیل آیات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تبلیغ، ولایت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 کند تا با توجیهات نامناسب و گستراندن سخن و ایجاد شک ثابت کند که این آیات ارتباطی با علیعلیه السلام نداشته و نمی توان از آن، ولایت و امامت ایشان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 را از این فراتر می‌نهد و سعی کرده است با تقریری خاص، برای خلافت و افضلیت ابوبکر و دیگر خلفا، ادله و مؤیداتی از قرآن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اهمیت موضوع، بررسی رویکردهای تفسیری فخر رازی ذیل آیات ولایت و خلافت و نقد ادلۀ قرآنی آنان، اهمیت بسزایی 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ها و تشکیک ها یی که اهل سنت در مسئله امامت و ولایت حضرت علی علیه السلام وارد کردند، علمای شیعی همچون سید مرتضی با نگارش الشافی فی الامامة و ابطال حجج العامة، علامه هندی در عقبات الأنوار، علامه حلی در نهج الحق و کشف الصدق، علامه شوشتری در کتاب احقاق الحق و ازهاق الباطل، شیخ مفید در الإفصاح فی الإمامة، علامه امینی در الغدیر، آیت‌الله مکارم شیرازی در کتاب آیات ولایت در قرآن در دایرۀ نقد ریخته و بطلان عقایدشان را ثابت کردند، اما تحقیق مستقلی که ناظر بر روش‌شناسی فخر رازی در تفسیر آیات امامت و ولایت باشد دیده نشده است؛ لذا در این پژوهش سعی شده است مناقشات فخر رازی ذیل آیات</w:t>
      </w:r>
      <w:bookmarkStart w:id="269" w:name="pg3245_36539"/>
    </w:p>
    <w:p>
      <w:pPr>
        <w:pStyle w:val="BookText"/>
        <w:rPr/>
      </w:pPr>
      <w:bookmarkEnd w:id="269"/>
      <w:r>
        <w:rPr>
          <w:rFonts w:ascii="IRNazanin" w:hAnsi="IRNazanin" w:eastAsia="IRNazanin"/>
          <w:color w:val="111111"/>
          <w:sz w:val="28"/>
          <w:sz w:val="28"/>
          <w:szCs w:val="28"/>
          <w:rtl w:val="true"/>
          <w:lang w:bidi="fa-IR"/>
        </w:rPr>
        <w:t>ولایت را در ساختار روش‌شناسی فخر رازی بررسی کرده و ضمن تحلیل، به نقد و بطلان آن‌ها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که به روش توصیفی ـ تحلیلی بوده و ابزار گردآوری آن به صورت کتاب‌خانه ای و فیش‌برداری است، تفسیر فخر رازی را ذیل آیات ولایت و خلافت، مورد مداقه قرار داده و مهم‌ترین روش تفسیری او را ذیل این آیات استخراج کرده است</w:t>
      </w:r>
      <w:r>
        <w:rPr>
          <w:rFonts w:eastAsia="IRNazanin" w:cs="IRNazanin"/>
          <w:color w:val="111111"/>
          <w:sz w:val="28"/>
          <w:szCs w:val="28"/>
          <w:rtl w:val="true"/>
          <w:lang w:bidi="fa-IR"/>
        </w:rPr>
        <w:t>.</w:t>
      </w:r>
    </w:p>
    <w:p>
      <w:pPr>
        <w:pStyle w:val="Heading3"/>
        <w:numPr>
          <w:ilvl w:val="2"/>
          <w:numId w:val="1"/>
        </w:numPr>
        <w:rPr/>
      </w:pPr>
      <w:bookmarkStart w:id="270" w:name="__RefHeading___Toc1986542_2749589250"/>
      <w:bookmarkStart w:id="271" w:name="_Toc110"/>
      <w:bookmarkEnd w:id="270"/>
      <w:r>
        <w:rPr/>
        <w:t>1</w:t>
      </w:r>
      <w:r>
        <w:rPr>
          <w:rtl w:val="true"/>
        </w:rPr>
        <w:t xml:space="preserve">. </w:t>
      </w:r>
      <w:r>
        <w:rPr>
          <w:rtl w:val="true"/>
        </w:rPr>
        <w:t>استناد به روایات ضعیف و جعلی</w:t>
      </w:r>
      <w:bookmarkEnd w:id="271"/>
    </w:p>
    <w:p>
      <w:pPr>
        <w:pStyle w:val="BookText"/>
        <w:rPr/>
      </w:pPr>
      <w:r>
        <w:rPr>
          <w:rFonts w:ascii="IRNazanin" w:hAnsi="IRNazanin" w:eastAsia="IRNazanin"/>
          <w:color w:val="111111"/>
          <w:sz w:val="28"/>
          <w:sz w:val="28"/>
          <w:szCs w:val="28"/>
          <w:rtl w:val="true"/>
          <w:lang w:bidi="fa-IR"/>
        </w:rPr>
        <w:t>در تفسیر کبیر فخر رازی روایات ضعیف و جعلی متعددی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روایات در جهت نقد ادلۀ شیعه و اثبات دیدگاه خود مدد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باید در نظر داشت که مراد از استناد به احادیث ضعیف و جعلی، این نیست که حتماً همه روایاتی را که فخر رازی آورده ضعیف یا جعلی است، بلکه ذیل برخی آیات ولایت و خلافت، به روایات صحیح هم استناد کرده است؛ برای مثال، ذیل برخی آیات مانند آیه ولایت، فضایل اهل‌بیت علیهم السلام را آورده و هیچ‌گونه نقدی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ذیل آیۀ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اثبات اختصاص این آیه به ابوبکر و اثبات این موضوع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است، اوصاف موجود در این آیه را بر ابوبکر تطبیق داده و ادعا می کند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یُحِبُّهُمْ و 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ظالم بودن ابوبکر دلالت دارد و عدم ظالم بودن نیز دلالت می‌کند بر این‌که امامت و خلافت او، حق و صحیح است،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ندعی دلالة هذه الآیة علی صحة إمامة أبی‌بکر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تطبیق این وصف بر ابوبکر در جهت تأیید مدعای خود به دو حدیث استناد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یتجلی للناس عامة و یتجلی لأبی‌بکر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برای عموم مردم تجلی می کند و برای ابوبکر به طور خاص تجلی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صب اللَّه شیئا فی صدری إلا و صبه فی صدر أبی‌بکر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دل من چیزی نریخت و الهام نکرد، مگر این‌که در سینۀ ابوبکر هم قرار داده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نخست، موضوع و جعلی است و در کتبی که خود اهل‌سنت دربارۀ احادیث موضوعه نگاشته اند، به این موضوع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ابن‌جوزی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ذهبی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شوکانی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همۀ طرق این روایت</w:t>
      </w:r>
      <w:bookmarkStart w:id="272" w:name="pg3245_36540"/>
    </w:p>
    <w:p>
      <w:pPr>
        <w:pStyle w:val="BookText"/>
        <w:rPr/>
      </w:pPr>
      <w:bookmarkEnd w:id="272"/>
      <w:r>
        <w:rPr>
          <w:rFonts w:ascii="IRNazanin" w:hAnsi="IRNazanin" w:eastAsia="IRNazanin"/>
          <w:color w:val="111111"/>
          <w:sz w:val="28"/>
          <w:sz w:val="28"/>
          <w:szCs w:val="28"/>
          <w:rtl w:val="true"/>
          <w:lang w:bidi="fa-IR"/>
        </w:rPr>
        <w:t>را جعلی و ضعیف قلمداد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عسقلانی در لسان المیزان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الحدیث له طرق کلها واهیة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ابن‌حجر،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ابن‌جوزی بعد از ذکر و بررسی همۀ طرق این روایت، همین نظر را ابراز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ابن‌جوزی،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دومی هم که فخر رازی به آن استناد می‌کند، جعلی 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مجدالدین فیروزآبادی در کتاب سفر السعاده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أشهر المشهورات من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یتجلّی للناس عامّة و لأبی‌بکر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 اللَّه فی صدری شیئاً إلّا و صبّه فی صدر أبی‌بکر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هذا من المفتریات المعلوم بطلانها ببدیهة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شوکانی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ابن‌جوزی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نیز، این روایت را جعلی و ضعیف توصیف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این‌که این دو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مشهورند و در تألیفات پیش از فخر رازی نیز به همین عنوان شناخته می شدند، معلوم نیست که فخر رازی با چه انگیزه‌ای برای تأیید مدعای خود به این احادیث موضوع و یا ساختگی چنگ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مفسران شیعه، اوصاف والای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حضرت علی علیه السلام و امام مهدی عج الله تعالی قرجه تطبیق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مفید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دلایل متعددی این آیه را بر امام علی علیه السلام و اصحابش تطبیق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بارزترین اوصاف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یُحِبُّهُمْ وَ 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یُجاهِدُونَ فی سبیل اللَّهِ وَ لا یَخافُونَ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را رسول گرامی اسلام صلی الله علیه و اله و سلم در روز جنگ خیبر به امام علی داده است؛ همان جنگی که پیامبر صلی الله علیه و اله و سلم ابوبکر و عمر را برای فتح قلعه خیبر فرستاده بود، اما آن دو، میدان نبرد را ترک و فرار را بر قرار ترجیح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اله و سلم از این عمل غضبناک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لأعطین الرایة غدا رجلا یحب الله و رسوله و یحبه الله و رسوله کرارا غیر فرار لا یرجع حتی یفتح الله علی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که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در منابع معتبر شیعه و سنی با اندک تفاوت در الفاظ، ولی با محتوای یکسان آمده است که ناظر بر این دو وصف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ابن‌عبدالبر،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 ابن‌طاووس،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3"/>
        <w:numPr>
          <w:ilvl w:val="2"/>
          <w:numId w:val="1"/>
        </w:numPr>
        <w:rPr/>
      </w:pPr>
      <w:bookmarkStart w:id="273" w:name="__RefHeading___Toc1986544_2749589250"/>
      <w:bookmarkStart w:id="274" w:name="_Toc111"/>
      <w:bookmarkEnd w:id="273"/>
      <w:r>
        <w:rPr/>
        <w:t>2</w:t>
      </w:r>
      <w:r>
        <w:rPr>
          <w:rtl w:val="true"/>
        </w:rPr>
        <w:t xml:space="preserve">. </w:t>
      </w:r>
      <w:r>
        <w:rPr>
          <w:rtl w:val="true"/>
        </w:rPr>
        <w:t>استناد به سیاق</w:t>
      </w:r>
      <w:bookmarkEnd w:id="274"/>
    </w:p>
    <w:p>
      <w:pPr>
        <w:pStyle w:val="Heading4"/>
        <w:numPr>
          <w:ilvl w:val="3"/>
          <w:numId w:val="1"/>
        </w:numPr>
        <w:rPr/>
      </w:pPr>
      <w:bookmarkStart w:id="275" w:name="__RefHeading___Toc1986546_2749589250"/>
      <w:bookmarkStart w:id="276" w:name="_Toc112"/>
      <w:bookmarkEnd w:id="275"/>
      <w:r>
        <w:rPr>
          <w:rtl w:val="true"/>
        </w:rPr>
        <w:t>اشاره</w:t>
      </w:r>
      <w:bookmarkEnd w:id="27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در تعریف سیاق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گونه دال و نشانه ای که با لفظ همراه باشد؛ خواه آن دال و نشانه، لفظی باشد، به گونه ای که آن دالّ لفظی با لفظ مورد نظر کلامی یک‌پارچه و مرتبط را</w:t>
      </w:r>
    </w:p>
    <w:p>
      <w:pPr>
        <w:pStyle w:val="BookText"/>
        <w:rPr/>
      </w:pPr>
      <w:r>
        <w:rPr>
          <w:rFonts w:ascii="IRNazanin" w:hAnsi="IRNazanin" w:eastAsia="IRNazanin"/>
          <w:color w:val="111111"/>
          <w:sz w:val="28"/>
          <w:sz w:val="28"/>
          <w:szCs w:val="28"/>
          <w:rtl w:val="true"/>
          <w:lang w:bidi="fa-IR"/>
        </w:rPr>
        <w:t xml:space="preserve">تشکیل دهد، یا آن دالّ و نشانه،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 موقعیت ها و شرایطی که کلام را در بر گرفته و نسبت به موضوع مورد بحث نقش دلالت‌گری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قابل ذکر است که تحقق سیاق آیات، منوط به دو شرط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صدوری یا پیوستگی در نزول؛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موضوعی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صدوری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سیاقی که از تتابع و پیوستگی جمله ها با یکدیگر به نظر می‌آید، در صورتی واقعیت دارد که جمله‌ها با همان تتابع و پیوستگی از گوینده صادر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نوع ارتباط و پیوستگی میان سخنان گوینده باشد،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صدوری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دوم تحقق سیاق این است که جمله‌ها با هم ارتباط موضوعی و مفهومی داشته و همۀ آن‌ها پیرامون یک موضوع و برای افادۀ یک مطلب صادر شده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 تفسیر خود ذیل بعضی آیات امامت می کوشد با استناد به سیاق، دلالت آیه را از امامت حضرت علی علیه السلام سلب و خلفا یا سایرین را مصداق آیه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ذیل آیۀ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وَلیُّکُم اللهُ وَ رَسولُه وَ الَّذین َءامَنوا الَّذینَ یُقیمونَ الصَّلوةَ وَ یُؤتونَ الزَکوةَ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استفاده از تحلیل درون‌متنی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واژگان و تعابیر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پیوستگی و وحدت سیاق آیات تأکید می کند، برای اثبات این مطلب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دلیل خود را قرینۀ سیاق می داند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 از این آیه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این آیه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 الْیَهُودَ وَ النَّصاری أَوْلِیاءَ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مراد این نیست که یهود و نصاری را ائمۀ متصرف در جان ها و اموالتان بگیرید، چراکه بطلان این مطلب معلوم است، بلکه مراد این است که یهود و نصاری را محبّ و ناصر خود نگیرید؛ سپس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کند و ظاهر این است که ولایتی که این‌جا به آن امر شده، ولایتی است که آیۀ قبل از آن نهی شده و ولایت نهی‌شده نیز به معنای نصرت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آیۀ 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 الَّذِینَ اتَّخَذُوا دِینَکُمْ هُزُواً وَ لَعِباً مِنَ الَّذِینَ أُوتُوا الْکِتابَ مِنْ قَبْلِکُمْ وَ الْکُفَّارَ أَوْلِیاءَ وَ اتَّقُوا اللَّهَ إِنْ کُنْتُمْ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نهی‌شده در این آیه نیز به معنای نصرت است؛ لذا ولایت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نصرت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bookmarkStart w:id="277" w:name="pg3245_36542"/>
    </w:p>
    <w:p>
      <w:pPr>
        <w:pStyle w:val="BookText"/>
        <w:rPr/>
      </w:pPr>
      <w:bookmarkEnd w:id="277"/>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آیات اختلافی میان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مفسران شیعی این آیه بدون الغای خصوصیت </w:t>
      </w:r>
      <w:r>
        <w:rPr>
          <w:rStyle w:val="FootnoteAnchor"/>
          <w:rtl w:val="true"/>
        </w:rPr>
        <w:footnoteReference w:id="28"/>
      </w:r>
      <w:r>
        <w:rPr>
          <w:rFonts w:ascii="IRNazanin" w:hAnsi="IRNazanin" w:eastAsia="IRNazanin"/>
          <w:color w:val="111111"/>
          <w:sz w:val="28"/>
          <w:sz w:val="28"/>
          <w:szCs w:val="28"/>
          <w:rtl w:val="true"/>
          <w:lang w:bidi="fa-IR"/>
        </w:rPr>
        <w:t xml:space="preserve">از مورد نزول، بر امامت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تنقیح مناط بر دیگر ائمه</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بدین معنا که با پذیرش احادیث تصدق انگشتر از سوی امام علیه السلام، بدون الغای خصوصیت از آن‌ها، آیۀ ولایت را تنها بر همان معنای مورد نزول حمل می‌کنند و دلالت آیه را بر امامت امام علی علیه السلام قطعی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شریف مرتضی،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طوسی، بی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مهم‌ترین مسئله اختلافی بر سر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سرپرست و اولی به تصرف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دانند و در نتیجه به اثبات ولایت حضرت علی علیه السلام می پردازند</w:t>
      </w:r>
      <w:r>
        <w:rPr>
          <w:rFonts w:eastAsia="IRNazanin" w:cs="IRNazanin"/>
          <w:color w:val="111111"/>
          <w:sz w:val="28"/>
          <w:szCs w:val="28"/>
          <w:rtl w:val="true"/>
          <w:lang w:bidi="fa-IR"/>
        </w:rPr>
        <w:t xml:space="preserve">. </w:t>
      </w:r>
      <w:r>
        <w:rPr>
          <w:rStyle w:val="FootnoteAnchor"/>
          <w:rtl w:val="true"/>
        </w:rPr>
        <w:footnoteReference w:id="29"/>
      </w:r>
    </w:p>
    <w:p>
      <w:pPr>
        <w:pStyle w:val="Heading4"/>
        <w:numPr>
          <w:ilvl w:val="3"/>
          <w:numId w:val="1"/>
        </w:numPr>
        <w:rPr/>
      </w:pPr>
      <w:bookmarkStart w:id="278" w:name="__RefHeading___Toc1986548_2749589250"/>
      <w:bookmarkStart w:id="279" w:name="_Toc113"/>
      <w:bookmarkEnd w:id="278"/>
      <w:r>
        <w:rPr>
          <w:rtl w:val="true"/>
        </w:rPr>
        <w:t>نقد و بررسی</w:t>
      </w:r>
      <w:bookmarkEnd w:id="279"/>
    </w:p>
    <w:p>
      <w:pPr>
        <w:pStyle w:val="Heading5"/>
        <w:numPr>
          <w:ilvl w:val="4"/>
          <w:numId w:val="1"/>
        </w:numPr>
        <w:rPr/>
      </w:pPr>
      <w:bookmarkStart w:id="280" w:name="__RefHeading___Toc1986550_2749589250"/>
      <w:bookmarkStart w:id="281" w:name="_Toc114"/>
      <w:bookmarkEnd w:id="280"/>
      <w:r>
        <w:rPr/>
        <w:t>1</w:t>
      </w:r>
      <w:bookmarkEnd w:id="281"/>
    </w:p>
    <w:p>
      <w:pPr>
        <w:pStyle w:val="BookText"/>
        <w:rPr/>
      </w:pPr>
      <w:r>
        <w:rPr>
          <w:rFonts w:ascii="IRNazanin" w:hAnsi="IRNazanin" w:eastAsia="IRNazanin"/>
          <w:color w:val="111111"/>
          <w:sz w:val="28"/>
          <w:sz w:val="28"/>
          <w:szCs w:val="28"/>
          <w:rtl w:val="true"/>
          <w:lang w:bidi="fa-IR"/>
        </w:rPr>
        <w:t>آیات قبل و بعد آیۀ ولایت، از جهت مضمون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در این باره</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قبل از آیۀ ولایت، تنها مؤمنان را از ولایت کفار نهی می‌کند و منافقان را که در دل کافرند، به این رذیله که در کمک کفار و جانب‌داری آنان سبقت می‌جویند سرزنش می‌کند، بدون این‌که روی سخن متوجه کفار گردد؛ به خلاف آیات بعد که پس از نهی مسلمین از ولایت کفار، دستور می‌دهد رسول خدا صلی الله علیه و اله و سلم مطلب را به گوش کفار برساند و اعمال زشت آنان را گوشزد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نهایت بر این مطلب تأکید می کند که آیات قبل، غرضی را بیان می‌کنند و آیات بعد، غرض دیگری را ایفا می‌کنند؛ با این حال بین این دو دسته از آیات، وحدت سیاق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بی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282" w:name="__RefHeading___Toc1986552_2749589250"/>
      <w:bookmarkStart w:id="283" w:name="_Toc115"/>
      <w:bookmarkEnd w:id="282"/>
      <w:r>
        <w:rPr/>
        <w:t>2</w:t>
      </w:r>
      <w:bookmarkEnd w:id="283"/>
    </w:p>
    <w:p>
      <w:pPr>
        <w:pStyle w:val="BookText"/>
        <w:rPr/>
      </w:pPr>
      <w:r>
        <w:rPr>
          <w:rFonts w:ascii="IRNazanin" w:hAnsi="IRNazanin" w:eastAsia="IRNazanin"/>
          <w:color w:val="111111"/>
          <w:sz w:val="28"/>
          <w:sz w:val="28"/>
          <w:szCs w:val="28"/>
          <w:rtl w:val="true"/>
          <w:lang w:bidi="fa-IR"/>
        </w:rPr>
        <w:t xml:space="preserve">در آیات قبل و بعد آیۀ ولایت،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جمع است، ولی در آیات ولایت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مفرد است، و این نشان می دهد این آیات با هم نازل نشده اند و در یک سیاق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5"/>
        <w:numPr>
          <w:ilvl w:val="4"/>
          <w:numId w:val="1"/>
        </w:numPr>
        <w:rPr/>
      </w:pPr>
      <w:bookmarkStart w:id="284" w:name="__RefHeading___Toc1986554_2749589250"/>
      <w:bookmarkStart w:id="285" w:name="_Toc116"/>
      <w:bookmarkEnd w:id="284"/>
      <w:r>
        <w:rPr/>
        <w:t>3</w:t>
      </w:r>
      <w:bookmarkEnd w:id="285"/>
    </w:p>
    <w:p>
      <w:pPr>
        <w:pStyle w:val="BookText"/>
        <w:rPr/>
      </w:pPr>
      <w:r>
        <w:rPr>
          <w:rFonts w:ascii="IRNazanin" w:hAnsi="IRNazanin" w:eastAsia="IRNazanin"/>
          <w:color w:val="111111"/>
          <w:sz w:val="28"/>
          <w:sz w:val="28"/>
          <w:szCs w:val="28"/>
          <w:rtl w:val="true"/>
          <w:lang w:bidi="fa-IR"/>
        </w:rPr>
        <w:t>گرچه این سوره در اواخر عمر رسول خدا صلی الله علیه و اله و سلم در حجة‌الوداع نازل شده، ولی نه تمامی آن، بلکه به طور مسلّم پاره‌ای از آیات آن به شهادت مضامین آن‌ها و روایاتی که در شأن نزولشان وارد شده است، پیش از حجة‌الوداع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صرف این‌که فعلاً این آیات یکی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bookmarkStart w:id="286" w:name="pg3245_36543"/>
    </w:p>
    <w:p>
      <w:pPr>
        <w:pStyle w:val="BookText"/>
        <w:rPr/>
      </w:pPr>
      <w:bookmarkEnd w:id="286"/>
      <w:r>
        <w:rPr>
          <w:rFonts w:ascii="IRNazanin" w:hAnsi="IRNazanin" w:eastAsia="IRNazanin"/>
          <w:color w:val="111111"/>
          <w:sz w:val="28"/>
          <w:sz w:val="28"/>
          <w:szCs w:val="28"/>
          <w:rtl w:val="true"/>
          <w:lang w:bidi="fa-IR"/>
        </w:rPr>
        <w:t>پس از دیگری قرار گرفته‌اند، بر وحدت سیاق آن‌ها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اطمینانی بر این نیست که آیۀ ولایت در سیاق آیات قبل و بعد باشد، زیرا به اجماع امت، ترتیب جمع قرآن بر ترتیب نزول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مورد قبول اهل‌سنت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توقیفی بودن ترتیب آیات از نظر عقلی چنین اقتضایی ندارد که هر یک از آیات با دیگری ارتباط داشته باشد، زیرا آیات، اسباب نزول مختلفی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صبحی صالح،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سازمان یافتن ترتیب آیات توسط پیامبر صلی الله علیه و اله و سلم هم نمی‌تواند دلالت سیاق را توجیه کند، چون ممکن است پیامبر اکرم صلی الله علیه و اله و سلم به خاطر اهداف مشخصی ترتیب آیات را سازماندهی کرده باشند؛ پس توقیفی بودن ترتیب آیات، دلیل معتبری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اعتبار و صحت آن، نمی‌تواند سیاق معتبر را تحقق بخشد، زیرا چینش توقیفی در صورتی دلیل وجود سیاق می‌شود که تنها علت یا یکی از علل دستور به چینش توقیفی، ارتباط سیاقی باشد، ولی دلیل متقنی بر این مدعا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حتی در صورت توقیفی بودن ترتیب آیات نیز، شرط پیوستگی در نزول برای تحقق سیاق جمله‌ها و آیه‌ها لازم است و لزوم احراز این شرط برای کمک گرفتن از سیاق در تفسیر آیه‌ها و جمله‌ها به قوّت خود باقی است، ولی اگر اثبات شود که ترتیب فعلی قرآن با ترتیب آن در نزول دفعی و لوح محفوظ مطابق است و در مقام ابلاغ، به خاطر رعایت تناسب آیات با شرایط خارجی، برخلاف این ترتیب بر مردم تلاوت شده، می‌توان ترتیب کنونی را دلیل ارتباط صدوری همۀ آیات دانست، ولی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بودن ترتیب قرآن موجود با قرآن لوح محفوظ و نزول دفعی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خودی خود امکان دارد، ولی دلیل معتبری برای اثبات آن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5"/>
        <w:numPr>
          <w:ilvl w:val="4"/>
          <w:numId w:val="1"/>
        </w:numPr>
        <w:rPr/>
      </w:pPr>
      <w:bookmarkStart w:id="287" w:name="__RefHeading___Toc1986556_2749589250"/>
      <w:bookmarkStart w:id="288" w:name="_Toc117"/>
      <w:bookmarkEnd w:id="287"/>
      <w:r>
        <w:rPr/>
        <w:t>4</w:t>
      </w:r>
      <w:bookmarkEnd w:id="288"/>
    </w:p>
    <w:p>
      <w:pPr>
        <w:pStyle w:val="BookText"/>
        <w:rPr/>
      </w:pPr>
      <w:r>
        <w:rPr>
          <w:rFonts w:ascii="IRNazanin" w:hAnsi="IRNazanin" w:eastAsia="IRNazanin"/>
          <w:color w:val="111111"/>
          <w:sz w:val="28"/>
          <w:sz w:val="28"/>
          <w:szCs w:val="28"/>
          <w:rtl w:val="true"/>
          <w:lang w:bidi="fa-IR"/>
        </w:rPr>
        <w:t>بر یک‌پارچه نبودن این آیات، روایات فراوانی از طریق شیعه و اهل تسنن وارد شده است، که شأن نزول این آیه داستان انفاق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شأن نزول نشان می دهد، آیات قبل و بعد آیات ولایت با هم ارتباطی ندارند</w:t>
      </w:r>
      <w:r>
        <w:rPr>
          <w:rFonts w:eastAsia="IRNazanin" w:cs="IRNazanin"/>
          <w:color w:val="111111"/>
          <w:sz w:val="28"/>
          <w:szCs w:val="28"/>
          <w:rtl w:val="true"/>
          <w:lang w:bidi="fa-IR"/>
        </w:rPr>
        <w:t>.</w:t>
      </w:r>
    </w:p>
    <w:p>
      <w:pPr>
        <w:pStyle w:val="Heading5"/>
        <w:numPr>
          <w:ilvl w:val="4"/>
          <w:numId w:val="1"/>
        </w:numPr>
        <w:rPr/>
      </w:pPr>
      <w:bookmarkStart w:id="289" w:name="__RefHeading___Toc1986558_2749589250"/>
      <w:bookmarkStart w:id="290" w:name="_Toc118"/>
      <w:bookmarkEnd w:id="289"/>
      <w:r>
        <w:rPr/>
        <w:t>5</w:t>
      </w:r>
      <w:bookmarkEnd w:id="29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استناد خود فخر رازی به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خلافت ابوبکر، سخن پیشین او را مبنی بر این‌که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مائده در یک سیاق هستند، نقض می کند، و صرف این‌که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 یکی پس از دیگری قرار گرفته‌اند، بر وحدت سیاق آن‌ها دلالت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بلکه اساساً نمی توان بین این آیات وحدت سیاق قائل شد، زیرا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این سیاق و پیوستگی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هشدار مؤمنان به ارتداد از دین است، و دوستی و یاری طلبیدن از اهل کتاب و کافران که در آیات پیش از این آیه و آیات پس</w:t>
      </w:r>
      <w:bookmarkStart w:id="291" w:name="pg3245_36544"/>
    </w:p>
    <w:p>
      <w:pPr>
        <w:pStyle w:val="BookText"/>
        <w:rPr/>
      </w:pPr>
      <w:bookmarkEnd w:id="291"/>
      <w:r>
        <w:rPr>
          <w:rFonts w:ascii="IRNazanin" w:hAnsi="IRNazanin" w:eastAsia="IRNazanin"/>
          <w:color w:val="111111"/>
          <w:sz w:val="28"/>
          <w:sz w:val="28"/>
          <w:szCs w:val="28"/>
          <w:rtl w:val="true"/>
          <w:lang w:bidi="fa-IR"/>
        </w:rPr>
        <w:t>از آن مطرح شده است، با ارتداد تناسبی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فخر رازی نیز که از وحدت سیاق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گفت، دربارۀ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وحدت سیاق چشم می پوشد و آن را قوی‌ترین دلیل بر صحت خلافت ابوبکر می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Heading5"/>
        <w:numPr>
          <w:ilvl w:val="4"/>
          <w:numId w:val="1"/>
        </w:numPr>
        <w:rPr/>
      </w:pPr>
      <w:bookmarkStart w:id="292" w:name="__RefHeading___Toc1986560_2749589250"/>
      <w:bookmarkStart w:id="293" w:name="_Toc119"/>
      <w:bookmarkEnd w:id="292"/>
      <w:r>
        <w:rPr/>
        <w:t>6</w:t>
      </w:r>
      <w:bookmarkEnd w:id="293"/>
    </w:p>
    <w:p>
      <w:pPr>
        <w:pStyle w:val="BookText"/>
        <w:rPr/>
      </w:pPr>
      <w:r>
        <w:rPr>
          <w:rFonts w:ascii="IRNazanin" w:hAnsi="IRNazanin" w:eastAsia="IRNazanin"/>
          <w:color w:val="111111"/>
          <w:sz w:val="28"/>
          <w:sz w:val="28"/>
          <w:szCs w:val="28"/>
          <w:rtl w:val="true"/>
          <w:lang w:bidi="fa-IR"/>
        </w:rPr>
        <w:t>ابن‌عطیه از مفسران اهل‌سنت نیز در نقد فخر رازی می نویسد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فخر رازی درست نیست، زیرا آیات قرآن به تدریج و در پی حوادث و اتفاقات گوناگون نازل شده است و به این دلیل لزوماً همیشه همۀ آیاتی که در قرآن پشت سر هم قرار گرفته‌اند، هم‌سیاق نیستند؛ در عین حال، همواره یک ارتباط کلی بین آیات پشت سر هم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آیات قبل و بعد آیۀ ولایت، به معنای نصرت و یاری است، در حالی که ولایت در آیۀ مذکور با توجه به این‌که در شأن صدقۀ حضرت علی علیه السلام به فقیر هنگام رکوع است، به معنای زعامت و متصرف در امور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ولیّ و متصرف در امور مسلمین، گروه معینی هستند که در عین حال حامی، ناصر، دوست و محب مسلمانان هم هستند؛ یعنی مسئلۀ نصرت، یاری و حمایت از شئون و مستلزمات ولایت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قبل و بعد از نصرت، یاری و دوستی کفار، یهود و نصاری نهی می کند تا شأن ولایت مطلقه برای خودش، رسولش و مؤمنان وصف‌شده در آیه ثابت باشد و این شأن در حد کمال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آیات پشت سر هم، هم‌سیاق نباشند و تلازم بی ربط به وجود آید، موجب رکاکت در کلام قرآن نیست، زیرا بیگانگی بین این آیات، بیشتر از بیگانگی بین شرط و جزا در آیه ذیل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خِفْتُمْ أَلَّا تُقْسِطُوا فِی الْیَتامی فَانْکِحُوا ما طابَ لَکُمْ مِنَ النِّساءِ مَثْنی وَ ثُلاثَ وَ رُباعَ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ابن‌عطیه، بی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Heading5"/>
        <w:numPr>
          <w:ilvl w:val="4"/>
          <w:numId w:val="1"/>
        </w:numPr>
        <w:rPr/>
      </w:pPr>
      <w:bookmarkStart w:id="294" w:name="__RefHeading___Toc1986562_2749589250"/>
      <w:bookmarkStart w:id="295" w:name="_Toc120"/>
      <w:bookmarkEnd w:id="294"/>
      <w:r>
        <w:rPr/>
        <w:t>7</w:t>
      </w:r>
      <w:bookmarkEnd w:id="295"/>
    </w:p>
    <w:p>
      <w:pPr>
        <w:pStyle w:val="BookText"/>
        <w:rPr/>
      </w:pPr>
      <w:r>
        <w:rPr>
          <w:rFonts w:ascii="IRNazanin" w:hAnsi="IRNazanin" w:eastAsia="IRNazanin"/>
          <w:color w:val="111111"/>
          <w:sz w:val="28"/>
          <w:sz w:val="28"/>
          <w:szCs w:val="28"/>
          <w:rtl w:val="true"/>
          <w:lang w:bidi="fa-IR"/>
        </w:rPr>
        <w:t xml:space="preserve">از آن‌جا که قاعدۀ سیاق قرینۀ ظنی بوده و بر اساس ظهور کلام استوار است، اگر قرینۀ قوی تر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عقلی وجود داشته باشد، بدون تردید قرینۀ قوی تر مقدم بوده و ظهوری برای سیاق باقی نمی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بی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هرگاه بین سیاق ـ که دلیل لبّی است ـ و دلیل لفظی تعارض بود، دلیل لفظی بر سیاق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نجارزادگان،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موسوی،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نامه</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3"/>
        <w:numPr>
          <w:ilvl w:val="2"/>
          <w:numId w:val="1"/>
        </w:numPr>
        <w:rPr/>
      </w:pPr>
      <w:bookmarkStart w:id="296" w:name="__RefHeading___Toc1986564_2749589250"/>
      <w:bookmarkStart w:id="297" w:name="_Toc121"/>
      <w:bookmarkEnd w:id="296"/>
      <w:r>
        <w:rPr/>
        <w:t>3</w:t>
      </w:r>
      <w:r>
        <w:rPr>
          <w:rtl w:val="true"/>
        </w:rPr>
        <w:t xml:space="preserve">. </w:t>
      </w:r>
      <w:r>
        <w:rPr>
          <w:rtl w:val="true"/>
        </w:rPr>
        <w:t>استناد به مباحث ادبی</w:t>
      </w:r>
      <w:bookmarkEnd w:id="297"/>
    </w:p>
    <w:p>
      <w:pPr>
        <w:pStyle w:val="Heading4"/>
        <w:numPr>
          <w:ilvl w:val="3"/>
          <w:numId w:val="1"/>
        </w:numPr>
        <w:rPr/>
      </w:pPr>
      <w:bookmarkStart w:id="298" w:name="__RefHeading___Toc1986566_2749589250"/>
      <w:bookmarkStart w:id="299" w:name="_Toc122"/>
      <w:bookmarkEnd w:id="298"/>
      <w:r>
        <w:rPr>
          <w:rtl w:val="true"/>
        </w:rPr>
        <w:t>اشاره</w:t>
      </w:r>
      <w:bookmarkEnd w:id="29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روش‌های فخر رازی در نقد ادلۀ شیعه در اثبات امامت امام علی علیه السلام ، استناد به مباحث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صحت اطلاق جمع و ارادۀ مفرد، اشکال در معنای واژگان و عدم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حصر، از جمله مواردی است که ذیل آیات ولایت مطرح می کند</w:t>
      </w:r>
      <w:r>
        <w:rPr>
          <w:rFonts w:eastAsia="IRNazanin" w:cs="IRNazanin"/>
          <w:color w:val="111111"/>
          <w:sz w:val="28"/>
          <w:szCs w:val="28"/>
          <w:rtl w:val="true"/>
          <w:lang w:bidi="fa-IR"/>
        </w:rPr>
        <w:t>:</w:t>
      </w:r>
      <w:bookmarkStart w:id="300" w:name="pg3245_36545"/>
    </w:p>
    <w:p>
      <w:pPr>
        <w:pStyle w:val="Heading4"/>
        <w:numPr>
          <w:ilvl w:val="3"/>
          <w:numId w:val="1"/>
        </w:numPr>
        <w:rPr/>
      </w:pPr>
      <w:bookmarkStart w:id="301" w:name="__RefHeading___Toc1986568_2749589250"/>
      <w:bookmarkStart w:id="302" w:name="_Toc123"/>
      <w:bookmarkEnd w:id="300"/>
      <w:bookmarkEnd w:id="301"/>
      <w:r>
        <w:rPr/>
        <w:t>3</w:t>
      </w:r>
      <w:r>
        <w:rPr>
          <w:rtl w:val="true"/>
        </w:rPr>
        <w:t>ـ</w:t>
      </w:r>
      <w:r>
        <w:rPr/>
        <w:t>1</w:t>
      </w:r>
      <w:r>
        <w:rPr>
          <w:rtl w:val="true"/>
        </w:rPr>
        <w:t xml:space="preserve">. </w:t>
      </w:r>
      <w:r>
        <w:rPr>
          <w:rtl w:val="true"/>
        </w:rPr>
        <w:t>خلاف ظاهر بودن اطلاق جمع و ارادۀ واحد</w:t>
      </w:r>
      <w:bookmarkEnd w:id="302"/>
    </w:p>
    <w:p>
      <w:pPr>
        <w:pStyle w:val="Heading5"/>
        <w:numPr>
          <w:ilvl w:val="4"/>
          <w:numId w:val="1"/>
        </w:numPr>
        <w:rPr/>
      </w:pPr>
      <w:bookmarkStart w:id="303" w:name="__RefHeading___Toc1986570_2749589250"/>
      <w:bookmarkStart w:id="304" w:name="_Toc124"/>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 xml:space="preserve">اولین شبهۀ ادبی که فخر رازی ذیل آیات ولایت مطرح می 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لفظ جمع و اراده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خلاف ظاهر می داند؛ از جمله ذیل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واژگان آیه به صورت جمع بیان شده است، و تطبیق آن بر یک نفر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مؤمنانی را که در این آیات توصیف کرده، در هفت مورد با صیغۀ جمع آورده است، گرچه گاهی اوقات اطلاق لفظ جمع بر واحد، برای برای تعظیم و احترام جایز است، اما چون در معنای مجاز به کار می رود، نیاز به دلیل و قرینه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رضا نیز بر این عقیده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اوصاف بعد از آن جمع است و اگر مقصود از این جمع، علی علیه السلام باشد لازم می آید که لفظ جمع بر مفرد اطلاق شود و این بر خلاف فصاحت و قواعد عربی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رشید رضا،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فخر رازی نظیر این اشکال را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مطرح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رضا در تفسیر المنار نظر فخر رازی را مطرح و آن را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رشید رضا،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Heading5"/>
        <w:numPr>
          <w:ilvl w:val="4"/>
          <w:numId w:val="1"/>
        </w:numPr>
        <w:rPr/>
      </w:pPr>
      <w:bookmarkStart w:id="305" w:name="__RefHeading___Toc1986572_2749589250"/>
      <w:bookmarkStart w:id="306" w:name="_Toc125"/>
      <w:bookmarkEnd w:id="305"/>
      <w:r>
        <w:rPr>
          <w:rtl w:val="true"/>
        </w:rPr>
        <w:t>نقد و بررسی</w:t>
      </w:r>
      <w:bookmarkEnd w:id="306"/>
    </w:p>
    <w:p>
      <w:pPr>
        <w:pStyle w:val="Heading6"/>
        <w:numPr>
          <w:ilvl w:val="5"/>
          <w:numId w:val="1"/>
        </w:numPr>
        <w:rPr/>
      </w:pPr>
      <w:bookmarkStart w:id="307" w:name="__RefHeading___Toc1986574_2749589250"/>
      <w:bookmarkStart w:id="308" w:name="_Toc126"/>
      <w:bookmarkEnd w:id="307"/>
      <w:r>
        <w:rPr>
          <w:rtl w:val="true"/>
        </w:rPr>
        <w:t>الف</w:t>
      </w:r>
      <w:bookmarkEnd w:id="30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در پاسخ به این اشکال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جایی که لفظ جمع گفته شود و در معنای مفرد به کار رود، استعمال لفظ مجازی است، ولی در موردی که لفظ جمع در معنای خودش به کار می‌رود، اما فقط بر یک مصداق تطبیق می‌شود، این کاربرد مجازی نخواهد بود؛ به عبارت دیگر، میان مصداق خارجی مفهوم لفظ با معنای آن تفاوت وجود دارد و حقیقت و مجاز در محور استعمال لفظ، در مفهوم و معناست، نه در تطبیق با مصداق خارج؛ و مورد بحث، از نوع دوم است و قرآن در موارد متعددی آن را به کار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طباطبائی، بی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اطلاق لفظ جمع بر واحد، مجاز باشد و نیاز به قرینه داشته باشد، روایات بسیاری که ذیل آیه در منابع فریقین وجود دارد، قرینه خواهد بود، که لفظ جمع را بر مفرد حمل کرده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 علی علیه السلام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ابن‌طاووس،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ابن‌بطریق،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حسکانی،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جوینی،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ابونعیم اصفهانی،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bookmarkStart w:id="309" w:name="pg3245_36546"/>
    </w:p>
    <w:p>
      <w:pPr>
        <w:pStyle w:val="Heading6"/>
        <w:numPr>
          <w:ilvl w:val="5"/>
          <w:numId w:val="1"/>
        </w:numPr>
        <w:rPr/>
      </w:pPr>
      <w:bookmarkStart w:id="310" w:name="__RefHeading___Toc1986576_2749589250"/>
      <w:bookmarkStart w:id="311" w:name="_Toc127"/>
      <w:bookmarkEnd w:id="309"/>
      <w:bookmarkEnd w:id="310"/>
      <w:r>
        <w:rPr>
          <w:rtl w:val="true"/>
        </w:rPr>
        <w:t>ب</w:t>
      </w:r>
      <w:bookmarkEnd w:id="311"/>
    </w:p>
    <w:p>
      <w:pPr>
        <w:pStyle w:val="BookText"/>
        <w:rPr/>
      </w:pPr>
      <w:r>
        <w:rPr>
          <w:rFonts w:ascii="IRNazanin" w:hAnsi="IRNazanin" w:eastAsia="IRNazanin"/>
          <w:color w:val="111111"/>
          <w:sz w:val="28"/>
          <w:sz w:val="28"/>
          <w:szCs w:val="28"/>
          <w:rtl w:val="true"/>
          <w:lang w:bidi="fa-IR"/>
        </w:rPr>
        <w:t>اطلاق لفظ جمع و ارادۀ فرد از آن، از اموری است که در سخن بلیغ عربی در بالاترین مراتب بلاغی آن، به‌ویژه در قرآن کریم شیوع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این نمونه ها فراوان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زرکشی،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سیوطی، بی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6"/>
        <w:numPr>
          <w:ilvl w:val="5"/>
          <w:numId w:val="1"/>
        </w:numPr>
        <w:rPr/>
      </w:pPr>
      <w:bookmarkStart w:id="312" w:name="__RefHeading___Toc1986578_2749589250"/>
      <w:bookmarkStart w:id="313" w:name="_Toc128"/>
      <w:bookmarkEnd w:id="312"/>
      <w:r>
        <w:rPr>
          <w:rtl w:val="true"/>
        </w:rPr>
        <w:t>ج</w:t>
      </w:r>
      <w:bookmarkEnd w:id="313"/>
    </w:p>
    <w:p>
      <w:pPr>
        <w:pStyle w:val="Heading6"/>
        <w:numPr>
          <w:ilvl w:val="5"/>
          <w:numId w:val="1"/>
        </w:numPr>
        <w:rPr/>
      </w:pPr>
      <w:bookmarkStart w:id="314" w:name="__RefHeading___Toc1986580_2749589250"/>
      <w:bookmarkStart w:id="315" w:name="_Toc129"/>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زمخشری، از مفسران اهل‌سنت، جمع آمدن الفاظ آیۀ ولایت را به دو دلیل می‌داند</w:t>
      </w:r>
      <w:r>
        <w:rPr>
          <w:rFonts w:eastAsia="IRNazanin" w:cs="IRNazanin"/>
          <w:color w:val="111111"/>
          <w:sz w:val="28"/>
          <w:szCs w:val="28"/>
          <w:rtl w:val="true"/>
          <w:lang w:bidi="fa-IR"/>
        </w:rPr>
        <w:t>:</w:t>
      </w:r>
    </w:p>
    <w:p>
      <w:pPr>
        <w:pStyle w:val="Heading6"/>
        <w:numPr>
          <w:ilvl w:val="5"/>
          <w:numId w:val="1"/>
        </w:numPr>
        <w:rPr/>
      </w:pPr>
      <w:bookmarkStart w:id="316" w:name="__RefHeading___Toc1986582_2749589250"/>
      <w:bookmarkStart w:id="317" w:name="_Toc130"/>
      <w:bookmarkEnd w:id="316"/>
      <w:r>
        <w:rPr/>
        <w:t>1</w:t>
      </w:r>
      <w:bookmarkEnd w:id="317"/>
    </w:p>
    <w:p>
      <w:pPr>
        <w:pStyle w:val="BookText"/>
        <w:rPr/>
      </w:pPr>
      <w:r>
        <w:rPr>
          <w:rFonts w:ascii="IRNazanin" w:hAnsi="IRNazanin" w:eastAsia="IRNazanin"/>
          <w:color w:val="111111"/>
          <w:sz w:val="28"/>
          <w:sz w:val="28"/>
          <w:szCs w:val="28"/>
          <w:rtl w:val="true"/>
          <w:lang w:bidi="fa-IR"/>
        </w:rPr>
        <w:t>برای تشویق مردم است، تا با انجام آن کار از ثواب چنین عملی بهره مند شوند؛</w:t>
      </w:r>
    </w:p>
    <w:p>
      <w:pPr>
        <w:pStyle w:val="Heading6"/>
        <w:numPr>
          <w:ilvl w:val="5"/>
          <w:numId w:val="1"/>
        </w:numPr>
        <w:rPr/>
      </w:pPr>
      <w:bookmarkStart w:id="318" w:name="__RefHeading___Toc1986584_2749589250"/>
      <w:bookmarkStart w:id="319" w:name="_Toc131"/>
      <w:bookmarkEnd w:id="318"/>
      <w:r>
        <w:rPr/>
        <w:t>2</w:t>
      </w:r>
      <w:bookmarkEnd w:id="319"/>
    </w:p>
    <w:p>
      <w:pPr>
        <w:pStyle w:val="BookText"/>
        <w:rPr/>
      </w:pPr>
      <w:r>
        <w:rPr>
          <w:rFonts w:ascii="IRNazanin" w:hAnsi="IRNazanin" w:eastAsia="IRNazanin"/>
          <w:color w:val="111111"/>
          <w:sz w:val="28"/>
          <w:sz w:val="28"/>
          <w:szCs w:val="28"/>
          <w:rtl w:val="true"/>
          <w:lang w:bidi="fa-IR"/>
        </w:rPr>
        <w:t xml:space="preserve">برای توجه دادن و حریص شدن مؤمنان به کار خیر و رسیدگی به نیازمندان، اگرچه این‌که در حال نماز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بیضاوی،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نیشابوری،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شهاب‌الدین الخفاجی نیز برای تعبیر از واحد به جمع، دو کاربرد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تجلیل از فاعل که جایگاه بلندی دارد و گویا به منزلۀ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فاعل برای تشویق دیگران است تا مانند آن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تجلیل از کار است؛ گویا این کار آن‌قدر ارزش‌مند است که شایسته است عادت هر مؤمنی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خفاجی،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Heading6"/>
        <w:numPr>
          <w:ilvl w:val="5"/>
          <w:numId w:val="1"/>
        </w:numPr>
        <w:rPr/>
      </w:pPr>
      <w:bookmarkStart w:id="320" w:name="__RefHeading___Toc1986586_2749589250"/>
      <w:bookmarkStart w:id="321" w:name="_Toc132"/>
      <w:bookmarkEnd w:id="320"/>
      <w:r>
        <w:rPr>
          <w:rtl w:val="true"/>
        </w:rPr>
        <w:t>د</w:t>
      </w:r>
      <w:bookmarkEnd w:id="321"/>
    </w:p>
    <w:p>
      <w:pPr>
        <w:pStyle w:val="BookText"/>
        <w:rPr/>
      </w:pPr>
      <w:r>
        <w:rPr>
          <w:rFonts w:ascii="IRNazanin" w:hAnsi="IRNazanin" w:eastAsia="IRNazanin"/>
          <w:color w:val="111111"/>
          <w:sz w:val="28"/>
          <w:sz w:val="28"/>
          <w:szCs w:val="28"/>
          <w:rtl w:val="true"/>
          <w:lang w:bidi="fa-IR"/>
        </w:rPr>
        <w:t>جالب است که فخر رازی برای زیر سؤال بردن دلالت آیۀ ولایت بر امامت امیرالمؤمنین علیه السلام ، حمل تعبیر و ضمایر جمع بر خصوص امیرالمؤمنین علیه السلام را مجاز و خلاف حقیقت می داند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حمل الکلام علی الحقیقة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ذیل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برخلاف گفتۀ پیشین خود ـ از این اصل عدول کرده و بدون این‌که قرینۀ محکمی در دست داشته باشد، وارد دایرۀ مجاز گردیده و تعبیر جمع در آیه را تنها بر ابوبکر تطبیق داده است و آن را دلیلی بر عظمت و علو شأن او قلمداد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Heading4"/>
        <w:numPr>
          <w:ilvl w:val="3"/>
          <w:numId w:val="1"/>
        </w:numPr>
        <w:rPr/>
      </w:pPr>
      <w:bookmarkStart w:id="322" w:name="__RefHeading___Toc1986588_2749589250"/>
      <w:bookmarkStart w:id="323" w:name="_Toc133"/>
      <w:bookmarkEnd w:id="322"/>
      <w:r>
        <w:rPr/>
        <w:t>3</w:t>
      </w:r>
      <w:r>
        <w:rPr>
          <w:rtl w:val="true"/>
        </w:rPr>
        <w:t>ـ</w:t>
      </w:r>
      <w:r>
        <w:rPr/>
        <w:t>2</w:t>
      </w:r>
      <w:r>
        <w:rPr>
          <w:rtl w:val="true"/>
        </w:rPr>
        <w:t xml:space="preserve">. </w:t>
      </w:r>
      <w:r>
        <w:rPr>
          <w:rtl w:val="true"/>
        </w:rPr>
        <w:t>اشکال در معنای واژگان</w:t>
      </w:r>
      <w:bookmarkEnd w:id="323"/>
    </w:p>
    <w:p>
      <w:pPr>
        <w:pStyle w:val="Heading5"/>
        <w:numPr>
          <w:ilvl w:val="4"/>
          <w:numId w:val="1"/>
        </w:numPr>
        <w:rPr/>
      </w:pPr>
      <w:bookmarkStart w:id="324" w:name="__RefHeading___Toc1986590_2749589250"/>
      <w:bookmarkStart w:id="325" w:name="_Toc134"/>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 xml:space="preserve">یکی دیگر از روش‌های فخر رازی برای این‌که ثابت کند آیات ولایت ربطی به امام علی علیه السلام ندارد، اشکال در معنای واژگان است؛ از جمله تحلیل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تطبیق آن بر معنای مدبّر و أولی به تصرف در آیات ولایت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آیۀ ولایت، از مهم‌ترین ادلۀ امامت امیرمؤمنان علیه السلام است، اهل‌سنت تلاش بیشتری برای ردّ آن کرده و شبهات بسیاری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اشکال مطرح‌شده در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اهل‌سنت اصرار دارند به معنای دوستی، نصرت و یاری است، نه به معنای سرپرستی و ولایت</w:t>
      </w:r>
      <w:r>
        <w:rPr>
          <w:rFonts w:eastAsia="IRNazanin" w:cs="IRNazanin"/>
          <w:color w:val="111111"/>
          <w:sz w:val="28"/>
          <w:szCs w:val="28"/>
          <w:rtl w:val="true"/>
          <w:lang w:bidi="fa-IR"/>
        </w:rPr>
        <w:t>.</w:t>
      </w:r>
      <w:bookmarkStart w:id="326" w:name="pg3245_36547"/>
    </w:p>
    <w:p>
      <w:pPr>
        <w:pStyle w:val="BookText"/>
        <w:rPr/>
      </w:pPr>
      <w:bookmarkEnd w:id="326"/>
      <w:r>
        <w:rPr>
          <w:rFonts w:ascii="IRNazanin" w:hAnsi="IRNazanin" w:eastAsia="IRNazanin"/>
          <w:color w:val="111111"/>
          <w:sz w:val="28"/>
          <w:sz w:val="28"/>
          <w:szCs w:val="28"/>
          <w:rtl w:val="true"/>
          <w:lang w:bidi="fa-IR"/>
        </w:rPr>
        <w:t xml:space="preserve">فخر رازی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ولایت را به دلیل وحدت سیاق آیات قبل و بعد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نیز همانند فخر رازی وحدت سیاق را نیرومندترین دلیل برای معنای دوستی و یاری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آیات مورد بحث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رشید رضا،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Heading5"/>
        <w:numPr>
          <w:ilvl w:val="4"/>
          <w:numId w:val="1"/>
        </w:numPr>
        <w:rPr/>
      </w:pPr>
      <w:bookmarkStart w:id="327" w:name="__RefHeading___Toc1986592_2749589250"/>
      <w:bookmarkStart w:id="328" w:name="_Toc135"/>
      <w:bookmarkEnd w:id="327"/>
      <w:r>
        <w:rPr>
          <w:rtl w:val="true"/>
        </w:rPr>
        <w:t>نقد و بررسی</w:t>
      </w:r>
      <w:bookmarkEnd w:id="328"/>
    </w:p>
    <w:p>
      <w:pPr>
        <w:pStyle w:val="Heading6"/>
        <w:numPr>
          <w:ilvl w:val="5"/>
          <w:numId w:val="1"/>
        </w:numPr>
        <w:rPr/>
      </w:pPr>
      <w:bookmarkStart w:id="329" w:name="__RefHeading___Toc1986594_2749589250"/>
      <w:bookmarkStart w:id="330" w:name="_Toc136"/>
      <w:bookmarkEnd w:id="329"/>
      <w:r>
        <w:rPr/>
        <w:t>1</w:t>
      </w:r>
      <w:bookmarkEnd w:id="330"/>
    </w:p>
    <w:p>
      <w:pPr>
        <w:pStyle w:val="BookText"/>
        <w:rPr/>
      </w:pPr>
      <w:r>
        <w:rPr>
          <w:rFonts w:ascii="IRNazanin" w:hAnsi="IRNazanin" w:eastAsia="IRNazanin"/>
          <w:color w:val="111111"/>
          <w:sz w:val="28"/>
          <w:sz w:val="28"/>
          <w:szCs w:val="28"/>
          <w:rtl w:val="true"/>
          <w:lang w:bidi="fa-IR"/>
        </w:rPr>
        <w:t xml:space="preserve">در بحث استناد به سیاق، عدم وحدت سیاق آیۀ ولایت با قبل و بعد روشن شد و بر معنای ولایت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 بنابراین ولایت نمی تواند به معنای نصرت باشد</w:t>
      </w:r>
      <w:r>
        <w:rPr>
          <w:rFonts w:eastAsia="IRNazanin" w:cs="IRNazanin"/>
          <w:color w:val="111111"/>
          <w:sz w:val="28"/>
          <w:szCs w:val="28"/>
          <w:rtl w:val="true"/>
          <w:lang w:bidi="fa-IR"/>
        </w:rPr>
        <w:t>.</w:t>
      </w:r>
    </w:p>
    <w:p>
      <w:pPr>
        <w:pStyle w:val="Heading6"/>
        <w:numPr>
          <w:ilvl w:val="5"/>
          <w:numId w:val="1"/>
        </w:numPr>
        <w:rPr/>
      </w:pPr>
      <w:bookmarkStart w:id="331" w:name="__RefHeading___Toc1986596_2749589250"/>
      <w:bookmarkStart w:id="332" w:name="_Toc137"/>
      <w:bookmarkEnd w:id="331"/>
      <w:r>
        <w:rPr/>
        <w:t>2</w:t>
      </w:r>
      <w:bookmarkEnd w:id="332"/>
    </w:p>
    <w:p>
      <w:pPr>
        <w:pStyle w:val="Heading6"/>
        <w:numPr>
          <w:ilvl w:val="5"/>
          <w:numId w:val="1"/>
        </w:numPr>
        <w:rPr/>
      </w:pPr>
      <w:bookmarkStart w:id="333" w:name="__RefHeading___Toc1986598_2749589250"/>
      <w:bookmarkStart w:id="334" w:name="_Toc138"/>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 xml:space="preserve">علامه امینی در کتاب الغدیر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و ضمن نقد و تحلیل هر یک از آن‌ها، تنها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 گزیند و این معنا را جامع تمامی آن معانی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قرینه‌های متصله و گاهی منفصله وجود دارد که با وجود این قرائن، ارادۀ غیر این معنا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قرینۀ اولی مقدمۀ حدیث است که پیغمبر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متفرّع فرمود بر این سخن خود این جمله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این حدیث را از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علمای اهل‌سنت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میرحامد حسین نیز در عبقات الانوار بر این مطلب تصریح دارد که بسیاری از کبار اهل‌سنت، مشاهیر و بزرگان آنان در علوم و فنون مختلف،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بغوی، زمخشری، بیضاوی، خوئی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کنتوری،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متقدم است، و بین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اتحاد در معنا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استناد می کند به استدلال شافعی از طریق مولوی نظام‌الدین که تصریح دارد بر این‌که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روایات حدیث غدیر، دلیل صریحی بر فرع بودن این جمله بر جملۀ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تأیید این مطلب، دیگر سخنان اهل‌سنت را می آورد</w:t>
      </w:r>
    </w:p>
    <w:p>
      <w:pPr>
        <w:pStyle w:val="Heading6"/>
        <w:numPr>
          <w:ilvl w:val="5"/>
          <w:numId w:val="1"/>
        </w:numPr>
        <w:rPr/>
      </w:pPr>
      <w:bookmarkStart w:id="335" w:name="__RefHeading___Toc1986600_2749589250"/>
      <w:bookmarkStart w:id="336" w:name="_Toc139"/>
      <w:bookmarkEnd w:id="335"/>
      <w:r>
        <w:rPr/>
        <w:t>1</w:t>
      </w:r>
      <w:bookmarkEnd w:id="336"/>
    </w:p>
    <w:p>
      <w:pPr>
        <w:pStyle w:val="BookText"/>
        <w:rPr/>
      </w:pPr>
      <w:r>
        <w:rPr>
          <w:rFonts w:ascii="IRNazanin" w:hAnsi="IRNazanin" w:eastAsia="IRNazanin"/>
          <w:color w:val="111111"/>
          <w:sz w:val="28"/>
          <w:sz w:val="28"/>
          <w:szCs w:val="28"/>
          <w:rtl w:val="true"/>
          <w:lang w:bidi="fa-IR"/>
        </w:rPr>
        <w:t>در روایت احمد بن حنبل از طریق ابن‌نمیر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أیها الناس ألستم تعلمون أنی أولی بالمؤمنین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w:t>
      </w:r>
    </w:p>
    <w:p>
      <w:pPr>
        <w:pStyle w:val="Heading6"/>
        <w:numPr>
          <w:ilvl w:val="5"/>
          <w:numId w:val="1"/>
        </w:numPr>
        <w:rPr/>
      </w:pPr>
      <w:bookmarkStart w:id="337" w:name="__RefHeading___Toc1986602_2749589250"/>
      <w:bookmarkStart w:id="338" w:name="_Toc140"/>
      <w:bookmarkEnd w:id="337"/>
      <w:r>
        <w:rPr/>
        <w:t>2</w:t>
      </w:r>
      <w:bookmarkEnd w:id="33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روایته من طریق عفان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أو لستم تشهدون أنی أولی بکل مؤمن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کنتوری،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bookmarkStart w:id="339" w:name="pg3245_36548"/>
    </w:p>
    <w:p>
      <w:pPr>
        <w:pStyle w:val="BookText"/>
        <w:rPr/>
      </w:pPr>
      <w:bookmarkEnd w:id="339"/>
      <w:r>
        <w:rPr>
          <w:rFonts w:ascii="IRNazanin" w:hAnsi="IRNazanin" w:eastAsia="IRNazanin"/>
          <w:color w:val="111111"/>
          <w:sz w:val="28"/>
          <w:sz w:val="28"/>
          <w:szCs w:val="28"/>
          <w:rtl w:val="true"/>
          <w:lang w:bidi="fa-IR"/>
        </w:rPr>
        <w:t xml:space="preserve">حتی در فرهنگ جاهلیت نیز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عزة دروزه در کتاب عصر النبی به این معنا اشاره کرده است که از جمله عادت‌های عرب این بود که اگر شخص یا افرادی از قبیله‌ای دیگر به قبیله شان می پیوست، آن را به خود ملحق کرده و با او به سان افراد خود برخورد می‌کنند و شخص ملحق‌شده نیز تمام مسئولیت‌های درون قبیله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پذیرد و او را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خواندند؛ و این پیمان ولیّ بودن، در برخی شرایط به عنوان یک پیمان بین شخص ملحق‌شده و شخص پذیرنده بنا می شد که بر اساس آن شخص پذیرنده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تبعات و پیامدهای رفتاری او را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عزة دروزه،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در تقسیم آیات ولایت، آیاتی را می آورد که ولایت تشریعی را برای پیامبر صلی الله علیه و اله و سلم ثابت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از قبیل قیام به تشریع و دعوت به دین، تربیت امت و حکومت بین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آیۀ مورد بحث ما از همان آیات است که بعد از اثبات ولایت تشریعی برای خدا و رسول، با واو عاطفه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فقط بر شخص علی علیه السلام منطبق است، عطف کرده و به یک سیاق، این سنخ ولایت را برای پروردگار به طور اصالت و برای رسول خدا صلی الله علیه و اله و سلم و امیرالمؤمنین علیه السلام به طور تبعیت و به اذن خدا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آیه معنای ولایت دربارۀ خداوند، غیر از ولایت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باید کلمۀ ولایت تکرار می‌شد تا اشتباه و التباسی به وجود نیاید، در حالی که این‌گونه نشده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طباطبائی،</w:t>
      </w:r>
    </w:p>
    <w:p>
      <w:pPr>
        <w:pStyle w:val="BookText"/>
        <w:rPr/>
      </w:pP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آیۀ شریفه ولایت تکرار نشده است، پس معلوم است همان ولایتی که برای خداوند ثابت است، برای رسول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ثابت است؛ از این جهت، ولایت رسول خدا صلی الله علیه و اله وسلم و حضرت علی علیه السلام در طول ولایت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ساعدی،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نیز تعبیری شبیه علامه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گفته شود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أولیاؤکم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کار نرفته است،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ولایت خدا بر طریق اصالت است و ولایت رسول خدا صلی الله علیه و اله و سلم و مؤمنان به تبع آن است؛ پس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به کار رود، کلام اصل و تبعی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 علامه و زمخشری می توان نتیجه گرفت، ولایتی که برای خدا و رسول خدا هست،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ثابت است و ولیّ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340" w:name="__RefHeading___Toc1986604_2749589250"/>
      <w:bookmarkStart w:id="341" w:name="_Toc141"/>
      <w:bookmarkEnd w:id="340"/>
      <w:r>
        <w:rPr/>
        <w:t>3</w:t>
      </w:r>
      <w:bookmarkEnd w:id="34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ولایت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و احقیت در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در تبیین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در تصرف است، دو دلیل اقامه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دالّ بر حصر است، ولایت غیر خدا، رسول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کرده است، در حالی که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در دین بود، اختصاص به کسانِ یادشده در آیه نداشت،</w:t>
      </w:r>
      <w:bookmarkStart w:id="342" w:name="pg3245_36549"/>
    </w:p>
    <w:p>
      <w:pPr>
        <w:pStyle w:val="BookText"/>
        <w:rPr/>
      </w:pPr>
      <w:bookmarkEnd w:id="342"/>
      <w:r>
        <w:rPr>
          <w:rFonts w:ascii="IRNazanin" w:hAnsi="IRNazanin" w:eastAsia="IRNazanin"/>
          <w:color w:val="111111"/>
          <w:sz w:val="28"/>
          <w:sz w:val="28"/>
          <w:szCs w:val="28"/>
          <w:rtl w:val="true"/>
          <w:lang w:bidi="fa-IR"/>
        </w:rPr>
        <w:t xml:space="preserve">زیرا ولایت در دین در حقّ تمام مؤمنان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بی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وَ الْمُؤْمِناتُ بَعْضُهُمْ أَوْلِیاءُ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مؤمنان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پیامبر صلی الله علیه و اله و سلم را از مضاف‌الیه خارج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باید از مضاف‌الیه خارج باشد تا مخاطبان آیه غیر از صاحبان ولایت باشند؛ در غیر این صورت، لازم می‌آید که مضاف و مضاف‌الیه یکی باشند، چون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مضاف‌الیه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عدم اخراج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آن است که ولیّ و مولی علیه یکی باشند؛ یعنی کسانی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ولیّ باشند و هم مولی</w:t>
      </w:r>
    </w:p>
    <w:p>
      <w:pPr>
        <w:pStyle w:val="BookText"/>
        <w:rPr/>
      </w:pPr>
      <w:r>
        <w:rPr>
          <w:rFonts w:ascii="IRNazanin" w:hAnsi="IRNazanin" w:eastAsia="IRNazanin"/>
          <w:color w:val="111111"/>
          <w:sz w:val="28"/>
          <w:sz w:val="28"/>
          <w:szCs w:val="28"/>
          <w:rtl w:val="true"/>
          <w:lang w:bidi="fa-IR"/>
        </w:rPr>
        <w:t xml:space="preserve">علیهم و این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p>
    <w:p>
      <w:pPr>
        <w:pStyle w:val="BookText"/>
        <w:rPr/>
      </w:pP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Heading4"/>
        <w:numPr>
          <w:ilvl w:val="3"/>
          <w:numId w:val="1"/>
        </w:numPr>
        <w:rPr/>
      </w:pPr>
      <w:bookmarkStart w:id="343" w:name="__RefHeading___Toc1986606_2749589250"/>
      <w:bookmarkStart w:id="344" w:name="_Toc142"/>
      <w:bookmarkEnd w:id="343"/>
      <w:r>
        <w:rPr/>
        <w:t>3-3</w:t>
      </w:r>
      <w:r>
        <w:rPr>
          <w:rtl w:val="true"/>
        </w:rPr>
        <w:t xml:space="preserve">. </w:t>
      </w:r>
      <w:r>
        <w:rPr>
          <w:rtl w:val="true"/>
        </w:rPr>
        <w:t xml:space="preserve">عدم دلالت </w:t>
      </w:r>
      <w:r>
        <w:rPr>
          <w:rtl w:val="true"/>
        </w:rPr>
        <w:t>«</w:t>
      </w:r>
      <w:r>
        <w:rPr>
          <w:rtl w:val="true"/>
        </w:rPr>
        <w:t>إنما</w:t>
      </w:r>
      <w:r>
        <w:rPr>
          <w:rtl w:val="true"/>
        </w:rPr>
        <w:t xml:space="preserve">» </w:t>
      </w:r>
      <w:r>
        <w:rPr>
          <w:rtl w:val="true"/>
        </w:rPr>
        <w:t>بر حصر</w:t>
      </w:r>
      <w:bookmarkEnd w:id="344"/>
    </w:p>
    <w:p>
      <w:pPr>
        <w:pStyle w:val="Heading5"/>
        <w:numPr>
          <w:ilvl w:val="4"/>
          <w:numId w:val="1"/>
        </w:numPr>
        <w:rPr/>
      </w:pPr>
      <w:bookmarkStart w:id="345" w:name="__RefHeading___Toc1986608_2749589250"/>
      <w:bookmarkStart w:id="346" w:name="_Toc143"/>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 xml:space="preserve">در دیدگاه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آیۀ ولایت برای حصر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ابن‌عطیه،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طوسی، بی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ولایت خاص باشد نه عام، و این نوع ولایت که منحصر در خدا و رسول و برخی مؤمنان است، تنها با معنای رهبری و تصرف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مقام اشکال بر این مطلب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حصر نیست، و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را در مورد دنیا مثل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اضْرِبْ لَهُمْ مَثَلَ الْحَیاةِ الدُّنْیا کَماءٍ أَنْزَلْناهُ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نویسد تردیدی نیست که مَثَل های دیگری غیر از این برای حیات دنیا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الْحَیاةُ الدُّنْیا لَعِبٌ وَ لَهْوٌ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آوردن این دو مثال تصریح می کند که در غیر از زندگانی دنیا لهو و لعب نیز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Heading5"/>
        <w:numPr>
          <w:ilvl w:val="4"/>
          <w:numId w:val="1"/>
        </w:numPr>
        <w:rPr/>
      </w:pPr>
      <w:bookmarkStart w:id="347" w:name="__RefHeading___Toc1986610_2749589250"/>
      <w:bookmarkStart w:id="348" w:name="_Toc144"/>
      <w:bookmarkEnd w:id="347"/>
      <w:r>
        <w:rPr>
          <w:rtl w:val="true"/>
        </w:rPr>
        <w:t>نقد و بررسی</w:t>
      </w:r>
      <w:bookmarkEnd w:id="348"/>
    </w:p>
    <w:p>
      <w:pPr>
        <w:pStyle w:val="Heading6"/>
        <w:numPr>
          <w:ilvl w:val="5"/>
          <w:numId w:val="1"/>
        </w:numPr>
        <w:rPr/>
      </w:pPr>
      <w:bookmarkStart w:id="349" w:name="__RefHeading___Toc1986612_2749589250"/>
      <w:bookmarkStart w:id="350" w:name="_Toc145"/>
      <w:bookmarkEnd w:id="349"/>
      <w:r>
        <w:rPr/>
        <w:t>1</w:t>
      </w:r>
      <w:bookmarkEnd w:id="35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بین مَثَل حیات دنیا و خود حیات دنیا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خلاف تصور فخر رازی تنها یک مَثَل با دو بیان،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حیات دنیا زده و انحصار آن در این مَثَل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حیات دنیا نیز وجه انحصار در زندگانی دنیاست نه در لهو و لعب؛ بنابراین ظاهراً قرآن در صدد بیان این مطلب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الحیاة الدنیا الا لهو و 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آن‌که لهو و لعب در غیر حیات دنیا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انحصار در حیات دنیاست، نه بر لهو و لعب تا گفته شود این دو امر در غیر زندگی دنیا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فخر رازی در چند جای دیگر</w:t>
      </w:r>
      <w:bookmarkStart w:id="351" w:name="pg3245_36550"/>
    </w:p>
    <w:p>
      <w:pPr>
        <w:pStyle w:val="BookText"/>
        <w:rPr/>
      </w:pPr>
      <w:bookmarkEnd w:id="351"/>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دال بر حصر دانسته است؛ از جمله آیۀ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مِثْلُکُمْ یُوحی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انحصار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تأکید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رازی،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1986614_2749589250"/>
      <w:bookmarkStart w:id="353" w:name="_Toc146"/>
      <w:bookmarkEnd w:id="352"/>
      <w:r>
        <w:rPr/>
        <w:t>2</w:t>
      </w:r>
      <w:bookmarkEnd w:id="353"/>
    </w:p>
    <w:p>
      <w:pPr>
        <w:pStyle w:val="BookText"/>
        <w:rPr/>
      </w:pPr>
      <w:r>
        <w:rPr>
          <w:rFonts w:ascii="IRNazanin" w:hAnsi="IRNazanin" w:eastAsia="IRNazanin"/>
          <w:color w:val="111111"/>
          <w:sz w:val="28"/>
          <w:sz w:val="28"/>
          <w:szCs w:val="28"/>
          <w:rtl w:val="true"/>
          <w:lang w:bidi="fa-IR"/>
        </w:rPr>
        <w:t xml:space="preserve">اگر در جایی اثبات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حصر اضافی و قیاسی به کار رفته است، به طور قطع قرینه ای آن را همراهی می‌کند، اما در آیۀ ولایت قرینه ای بر حصر اضافی وجود ندارد، بلکه ذکر اوصاف در آیه این انحصار را تأکید کرده، نشان می‌دهد </w:t>
      </w:r>
      <w:r>
        <w:rPr>
          <w:rStyle w:val="FootnoteAnchor"/>
          <w:rtl w:val="true"/>
        </w:rPr>
        <w:footnoteReference w:id="31"/>
      </w:r>
      <w:r>
        <w:rPr>
          <w:rFonts w:ascii="IRNazanin" w:hAnsi="IRNazanin" w:eastAsia="IRNazanin"/>
          <w:color w:val="111111"/>
          <w:sz w:val="28"/>
          <w:sz w:val="28"/>
          <w:szCs w:val="28"/>
          <w:rtl w:val="true"/>
          <w:lang w:bidi="fa-IR"/>
        </w:rPr>
        <w:t>تنها ولایت برای افرادی است که در حال رکوع به شرف اعطای زکات نایل شده و خداوند عمل آنان را پذیرفته است</w:t>
      </w:r>
      <w:r>
        <w:rPr>
          <w:rFonts w:eastAsia="IRNazanin" w:cs="IRNazanin"/>
          <w:color w:val="111111"/>
          <w:sz w:val="28"/>
          <w:szCs w:val="28"/>
          <w:rtl w:val="true"/>
          <w:lang w:bidi="fa-IR"/>
        </w:rPr>
        <w:t>.</w:t>
      </w:r>
    </w:p>
    <w:p>
      <w:pPr>
        <w:pStyle w:val="Heading4"/>
        <w:numPr>
          <w:ilvl w:val="3"/>
          <w:numId w:val="1"/>
        </w:numPr>
        <w:rPr/>
      </w:pPr>
      <w:bookmarkStart w:id="354" w:name="__RefHeading___Toc1986616_2749589250"/>
      <w:bookmarkStart w:id="355" w:name="_Toc147"/>
      <w:bookmarkEnd w:id="354"/>
      <w:r>
        <w:rPr/>
        <w:t>4-3</w:t>
      </w:r>
      <w:r>
        <w:rPr>
          <w:rtl w:val="true"/>
        </w:rPr>
        <w:t xml:space="preserve">. </w:t>
      </w:r>
      <w:r>
        <w:rPr>
          <w:rtl w:val="true"/>
        </w:rPr>
        <w:t>اهانت به مخالفان</w:t>
      </w:r>
      <w:bookmarkEnd w:id="355"/>
    </w:p>
    <w:p>
      <w:pPr>
        <w:pStyle w:val="Heading5"/>
        <w:numPr>
          <w:ilvl w:val="4"/>
          <w:numId w:val="1"/>
        </w:numPr>
        <w:rPr/>
      </w:pPr>
      <w:bookmarkStart w:id="356" w:name="__RefHeading___Toc1986618_2749589250"/>
      <w:bookmarkStart w:id="357" w:name="_Toc148"/>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صاحب تفسیر کبیر در مواضع مکرّر، از وصف های ناپسندی همچون وصف سبّ، تحکّم، گفتار ناحق و غیرمنطقی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ایشان با اعتقادات شیعه و تهمت های ناروا به شیعیان، یکی از مسائل غیر قابل کتمان است که در آثار فخر رازی، از جمله تفسیر مفاتیج الغیب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در برخی مواقع به حدی است که صریحاً شیعه را مورد اهانت قرار می دهد و یکی از مهم‌ترین اصول علمی نگارش، یعنی بی‌طرفی و توهین نکردن را زیر پا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فخر رازی در نقد دیدگاه شیعه،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نمی کند و برای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در اهانت به شیعه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نکرده و نسبت ها و توهین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دیگری را به همراه آن می آورد؛ از جمله ذیل بعضی آیات ولایت و خلافت، مانند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تحلیلی درون‌متنی، تمام صفات مذکور در آیه را دربارۀ ابوبکر ثابت می کند و شیعه را لعنت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الروافض لعنهم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بعد از همین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قول شیعه، احتجاجاتی را بیان داشته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مجدداً تکرار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الروافض لعنهم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موضعی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آیه 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دلیل که شیعه، ابوبکر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شیعه نسبت می دهد و</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الحمقی من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پندارند که ابوبکر ثانی اثنین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bookmarkStart w:id="358" w:name="pg3245_36551"/>
    </w:p>
    <w:p>
      <w:pPr>
        <w:pStyle w:val="Heading5"/>
        <w:numPr>
          <w:ilvl w:val="4"/>
          <w:numId w:val="1"/>
        </w:numPr>
        <w:rPr/>
      </w:pPr>
      <w:bookmarkStart w:id="359" w:name="__RefHeading___Toc1986620_2749589250"/>
      <w:bookmarkStart w:id="360" w:name="_Toc149"/>
      <w:bookmarkEnd w:id="358"/>
      <w:bookmarkEnd w:id="359"/>
      <w:r>
        <w:rPr>
          <w:rtl w:val="true"/>
        </w:rPr>
        <w:t>نقد و بررسی</w:t>
      </w:r>
      <w:bookmarkEnd w:id="360"/>
    </w:p>
    <w:p>
      <w:pPr>
        <w:pStyle w:val="Heading6"/>
        <w:numPr>
          <w:ilvl w:val="5"/>
          <w:numId w:val="1"/>
        </w:numPr>
        <w:rPr/>
      </w:pPr>
      <w:bookmarkStart w:id="361" w:name="__RefHeading___Toc1986622_2749589250"/>
      <w:bookmarkStart w:id="362" w:name="_Toc150"/>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در نقد و بررسی شیوۀ فخر رازی در رابطه با توهین به شیعه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برخورد پیامبر اکرم صلی الله علیه و اله و سلم و اهل‌بیت علیهم اسلام در برابر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برخورد علمای برجستۀ شیعه با مخالفان را به طور مختصر بررسی کنیم</w:t>
      </w:r>
      <w:r>
        <w:rPr>
          <w:rFonts w:eastAsia="IRNazanin" w:cs="IRNazanin"/>
          <w:color w:val="111111"/>
          <w:sz w:val="28"/>
          <w:szCs w:val="28"/>
          <w:rtl w:val="true"/>
          <w:lang w:bidi="fa-IR"/>
        </w:rPr>
        <w:t>:</w:t>
      </w:r>
    </w:p>
    <w:p>
      <w:pPr>
        <w:pStyle w:val="Heading6"/>
        <w:numPr>
          <w:ilvl w:val="5"/>
          <w:numId w:val="1"/>
        </w:numPr>
        <w:rPr/>
      </w:pPr>
      <w:bookmarkStart w:id="363" w:name="__RefHeading___Toc1986624_2749589250"/>
      <w:bookmarkStart w:id="364" w:name="_Toc151"/>
      <w:bookmarkEnd w:id="363"/>
      <w:r>
        <w:rPr>
          <w:rtl w:val="true"/>
        </w:rPr>
        <w:t>الف</w:t>
      </w:r>
      <w:r>
        <w:rPr>
          <w:rtl w:val="true"/>
        </w:rPr>
        <w:t xml:space="preserve">. </w:t>
      </w:r>
      <w:r>
        <w:rPr>
          <w:rtl w:val="true"/>
        </w:rPr>
        <w:t>بررسی شیوۀ برخورد پیامبر اکرم و اهل‌بیت</w:t>
      </w:r>
      <w:r>
        <w:rPr/>
        <w:t></w:t>
      </w:r>
      <w:r>
        <w:rPr>
          <w:rtl w:val="true"/>
        </w:rPr>
        <w:t xml:space="preserve"> در برابر مخالفان</w:t>
      </w:r>
      <w:bookmarkEnd w:id="364"/>
    </w:p>
    <w:p>
      <w:pPr>
        <w:pStyle w:val="BookText"/>
        <w:rPr/>
      </w:pPr>
      <w:r>
        <w:rPr>
          <w:rFonts w:ascii="IRNazanin" w:hAnsi="IRNazanin" w:eastAsia="IRNazanin"/>
          <w:color w:val="111111"/>
          <w:sz w:val="28"/>
          <w:sz w:val="28"/>
          <w:szCs w:val="28"/>
          <w:rtl w:val="true"/>
          <w:lang w:bidi="fa-IR"/>
        </w:rPr>
        <w:t>با بررسی آیات قرآن کریم و سیرۀ نبوی و معصومان علیهم السلام می بینیم که همواره ایشان در برخورد با مخالفان، راه مدارا و نرمش را در پیش می‌گرفتند و از توهین و ناسزاگویی خودداری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مذمت توهین و ناروایی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تَسُبُّوا الَّذِینَ یَدْعُونَ مِنْ دُونِ اللَّهِ فَیَسُبُّوا اللَّهَ عَدْواً بِغَیْرِ عِلْمٍ کَذلِکَ زَیَّنَّا لِکُلِّ أُمَّةٍ عَمَلَهُمْ ثُمَّ إِلی رَبِّهِمْ مَرْجِعُهُمْ فَیُنَبِّئُهُمْ بِما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تبعیت از منطق قرآن کریم، پیامبر صلی الله علیه و اله و سلم در جایی که مدارا موجب آسیب به اساس اسلام یا مصالح جامعۀ اسلامی نمی‌شد، همواره در برخورد با مخالفانشان با مدارا رفتار می‌کردند، و به خاطر گذشت و مدارای، خداوند دربارۀ 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 علیهم السلام نیز به تبعیت از منطق قرآن و پیامبر صلی الله علیه و اله و سلم دربارۀ ترک دشنام به گمراهان، همیشه بر منطق و استدلال تکیه می کردند و در رفتار اجتماعی و روزمره و نیز در عرصه‌های علمی، مدارا و نرمش با مخالفان مذهب را به شکل کاملی متجلی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شدت اهتمام ائمه علیهم السلام به حفظ وحدت و انسجام امت اسلامی به اندازه ای است که حتی آن بزرگواران، شیعیان را در مقابل توهین به وجود مقدسشان نیز به صبر فرا می‌خواندند و از آن‌ها می‌خواستند که جز خیر و نیکی چیزی در میان آن‌ها و مخالفان وجود نداشته باشد؛ چنان‌که یکی از یاران امام صادق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برای رساندن نامه ای مرا مأمور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خارج شدم، 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بین تو و بین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خیر و نیکی نباشد، گرچه به ما دشنام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Heading6"/>
        <w:numPr>
          <w:ilvl w:val="5"/>
          <w:numId w:val="1"/>
        </w:numPr>
        <w:rPr/>
      </w:pPr>
      <w:bookmarkStart w:id="365" w:name="__RefHeading___Toc1986626_2749589250"/>
      <w:bookmarkStart w:id="366" w:name="_Toc152"/>
      <w:bookmarkEnd w:id="365"/>
      <w:r>
        <w:rPr>
          <w:rtl w:val="true"/>
        </w:rPr>
        <w:t>ب</w:t>
      </w:r>
      <w:r>
        <w:rPr>
          <w:rtl w:val="true"/>
        </w:rPr>
        <w:t xml:space="preserve">. </w:t>
      </w:r>
      <w:r>
        <w:rPr>
          <w:rtl w:val="true"/>
        </w:rPr>
        <w:t>شیوۀ برخورد علمای برجستۀ شیعه با مخالفان</w:t>
      </w:r>
      <w:bookmarkEnd w:id="36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علمای شیعه در اثبات حقانیت خود در طول تاریخ و نیز در عصر حاضر، بر استدلالات علمی و استناد به نقل مسائل عقلی است، نه اهانت و ردّ مخالف و عدم مباحثۀ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با توجه به قرآن کریم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إِلی سَبِیلِ رَبِّکَ بِالْحِکْمَةِ وَ</w:t>
      </w:r>
      <w:bookmarkStart w:id="367" w:name="pg3245_36552"/>
    </w:p>
    <w:p>
      <w:pPr>
        <w:pStyle w:val="BookText"/>
        <w:rPr/>
      </w:pPr>
      <w:bookmarkEnd w:id="367"/>
      <w:r>
        <w:rPr>
          <w:rFonts w:ascii="Amiri" w:hAnsi="Amiri" w:eastAsia="Amiri" w:cs="Amiri"/>
          <w:color w:val="111111"/>
          <w:sz w:val="28"/>
          <w:sz w:val="28"/>
          <w:szCs w:val="28"/>
          <w:rtl w:val="true"/>
          <w:lang w:bidi="ar-SA"/>
        </w:rPr>
        <w:t>الْمَوْعِظَةِ الْحَسَنَةِ وَ جادِلْهُمْ بِالَّتِی هِیَ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اثبات حقانیت خود، روش حکمت، موعظه و جدال احسن را انتخاب کردند که هر سه روش در مقابل تهمت و زور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این اساس، همۀ علمای شیعه در بحث ها و مناظرات علمی خودشان طبق فرمایش قرآن کریم، از همین روش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علمایی مانند سید مرتضی، شیخ مفید، شیخ طوسی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راستای اثبات حقانیت معارف مستدل شیعه و در جواب به مخالفان از راه قلم و مباحثة علمی و به دور از اهانت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الشافی سید مرتضی در جواب اشکالات قاضی عبدالجبار معتزلی در امامت، تجرید الإعتقاد خواجه نصیر، شب‌های پیشاور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استدلالی و منطقی شیعه در مباحثات و برخورد با مخالفان را ثابت می‌کند</w:t>
      </w:r>
      <w:r>
        <w:rPr>
          <w:rFonts w:eastAsia="IRNazanin" w:cs="IRNazanin"/>
          <w:color w:val="111111"/>
          <w:sz w:val="28"/>
          <w:szCs w:val="28"/>
          <w:rtl w:val="true"/>
          <w:lang w:bidi="fa-IR"/>
        </w:rPr>
        <w:t>.</w:t>
      </w:r>
    </w:p>
    <w:p>
      <w:pPr>
        <w:pStyle w:val="Heading4"/>
        <w:numPr>
          <w:ilvl w:val="3"/>
          <w:numId w:val="1"/>
        </w:numPr>
        <w:rPr/>
      </w:pPr>
      <w:bookmarkStart w:id="368" w:name="__RefHeading___Toc1986628_2749589250"/>
      <w:bookmarkStart w:id="369" w:name="_Toc153"/>
      <w:bookmarkEnd w:id="368"/>
      <w:r>
        <w:rPr/>
        <w:t>5-3</w:t>
      </w:r>
      <w:r>
        <w:rPr>
          <w:rtl w:val="true"/>
        </w:rPr>
        <w:t xml:space="preserve">. </w:t>
      </w:r>
      <w:r>
        <w:rPr>
          <w:rtl w:val="true"/>
        </w:rPr>
        <w:t>عدم ذکر شأن نزول</w:t>
      </w:r>
      <w:r>
        <w:rPr>
          <w:rtl w:val="true"/>
        </w:rPr>
        <w:t>¬</w:t>
      </w:r>
      <w:r>
        <w:rPr>
          <w:rtl w:val="true"/>
        </w:rPr>
        <w:t>ها و اقوال مشهور</w:t>
      </w:r>
      <w:bookmarkEnd w:id="369"/>
    </w:p>
    <w:p>
      <w:pPr>
        <w:pStyle w:val="BookText"/>
        <w:rPr/>
      </w:pPr>
      <w:r>
        <w:rPr>
          <w:rFonts w:ascii="IRNazanin" w:hAnsi="IRNazanin" w:eastAsia="IRNazanin"/>
          <w:color w:val="111111"/>
          <w:sz w:val="28"/>
          <w:sz w:val="28"/>
          <w:szCs w:val="28"/>
          <w:rtl w:val="true"/>
          <w:lang w:bidi="fa-IR"/>
        </w:rPr>
        <w:t>یکی دیگر از روش‌هایی که فخر رازی ذیل آیات ولایت و خلافت در پی گرفته است، عدم ذکر شأن نزول‌ها و اقوال مشهور است که بدون توجه به دیدگاه و نظر مخالفان و روایات آنان، نظر خود را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اقوالی که در تفسیر 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 الَّذِینَ کَفَرُوا لَسْتَ مُرْسَلاً قُلْ کَفی بِاللَّهِ شَهِیداً بَیْنِی وَ بَیْنَکُمْ وَ 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شده، قولی که بیان می کند حضرت علی علیه السلام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شاهد رسالت است، بیشتر از سایر اقوال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نمونه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زمخشری،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سیوطی،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ثعلبی،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قرطبی،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این‌که فخر رازی در موارد متعددی از تفسیر خود به مطالب تفسیر الکشاف استناد می کند، معمولاً باید این قول زمخشری را که ذیل آیۀ هفدهم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است، دیده باشد؛ لذا فخر رازی همۀ اقوال ضعیف موجود در آیه را نقل کرده، اما در نقل این قول مشهور کوتاهی کرده است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اقوالی را که فخر رازی در تفسیر آیه آورده است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شهادت یا گواهی دادن آن دسته از اهل کتاب است که به پیامبر ایمان آوردند؛ یعنی عبدالله بن سلام، سلمان فارسی و تمیم داری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کتاب در این آیه، قرآن است؛ یعنی هر کس به فصاحت و بلاغت و آنچه از مطالب غیبی و علوم فراوانی که در قرآن وجود دارد دست پیدا کند، به اعجاز قرآن پی می برد؛ بنابراین علم الکتاب یعنی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به تورات و انجیل که شامل بشارت های این دو کتاب به آمدن حضرت محمد صلی الله علیه و اله وسلم است، علم داشته باشد، شاهد است که محمد صلی الله علیه و اله و سلم از طرف خدا مبعوث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w:t>
      </w:r>
      <w:bookmarkStart w:id="370" w:name="pg3245_36553"/>
    </w:p>
    <w:p>
      <w:pPr>
        <w:pStyle w:val="BookText"/>
        <w:rPr/>
      </w:pPr>
      <w:bookmarkEnd w:id="370"/>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فخر رازی در تفسیر آیۀ هفدهم سورۀ هود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کانَ عَلی بَیِّنَةٍ مِنْ رَبِّهِ وَ یَتْلُوهُ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خداوند تعالی او را دارای بینه معرفی کرده است، محمد صلی الله علیه و اله و سلم است و منظور از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بنا بر این توضیحات، برای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گوناگونی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وجوه جبرئیل است؛ دومی آن زبان پیامبر صلی الله علیه و اله و سلم است؛ سومین قول این است که منظور علی بن ابی‌طالب است که این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می کند و این‌که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شاهد از محمد صلی الله علیه و اله و سلم و بعضی از اوست و منظور از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شرافت دادن به این شاهد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در تفسیر آیۀ مزبور، شاهد بودن حضرت علی علیه السلام را چنین شیوا بیان می کند، ولی در تفسیر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گفته‌های خود را فراموش می کند</w:t>
      </w:r>
      <w:r>
        <w:rPr>
          <w:rFonts w:eastAsia="IRNazanin" w:cs="IRNazanin"/>
          <w:color w:val="111111"/>
          <w:sz w:val="28"/>
          <w:szCs w:val="28"/>
          <w:rtl w:val="true"/>
          <w:lang w:bidi="fa-IR"/>
        </w:rPr>
        <w:t>.</w:t>
      </w:r>
    </w:p>
    <w:p>
      <w:pPr>
        <w:pStyle w:val="Heading4"/>
        <w:numPr>
          <w:ilvl w:val="3"/>
          <w:numId w:val="1"/>
        </w:numPr>
        <w:rPr/>
      </w:pPr>
      <w:bookmarkStart w:id="371" w:name="__RefHeading___Toc1986630_2749589250"/>
      <w:bookmarkStart w:id="372" w:name="_Toc154"/>
      <w:bookmarkEnd w:id="371"/>
      <w:r>
        <w:rPr/>
        <w:t>6-3</w:t>
      </w:r>
      <w:r>
        <w:rPr>
          <w:rtl w:val="true"/>
        </w:rPr>
        <w:t xml:space="preserve">. </w:t>
      </w:r>
      <w:r>
        <w:rPr>
          <w:rtl w:val="true"/>
        </w:rPr>
        <w:t>غبارآلود کردن فضا و ذکر اقوال پراکنده بدون ترجیح</w:t>
      </w:r>
      <w:bookmarkEnd w:id="372"/>
    </w:p>
    <w:p>
      <w:pPr>
        <w:pStyle w:val="BookText"/>
        <w:rPr/>
      </w:pPr>
      <w:r>
        <w:rPr>
          <w:rFonts w:ascii="IRNazanin" w:hAnsi="IRNazanin" w:eastAsia="IRNazanin"/>
          <w:color w:val="111111"/>
          <w:sz w:val="28"/>
          <w:sz w:val="28"/>
          <w:szCs w:val="28"/>
          <w:rtl w:val="true"/>
          <w:lang w:bidi="fa-IR"/>
        </w:rPr>
        <w:t xml:space="preserve">یکی دیگر از روش‌هایی که فخر رازی ذیل آیات ولایت و خلافت به کار می رود، غبارآلود کردن فضای بحث است، با ذکر اقوال پراکنده، بدون این‌که یکی را بر دیگری ترجیح دهد؛ از جمله ذیل آیۀ ولایت که در تعیین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گوناگونی را بدون ترجیح برمی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این آیه فخر رازی سعی کرده تا با بیان روایاتی که بیان‌گر و تأییدکنندۀ نزول آیه دربارۀ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روایاتی که از 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آلوسی،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عبادة بن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روایاتی که از 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ابن‌جوزی،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عبادة بن الولید بن عبادة بن الصامت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اشخاص مذکور فضیلت‌سازی کند و به نوعی با فضیلت امیرالمؤمنین علیه السلام در مقام مقابله برآید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در تفسیر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بیان نظر راجح، دو نظر را مطرح می‌کند؛ 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همۀ مؤمنین باشد، و ذیل آن روایتی را در شأن نزول آیه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یک شخص معین باشد، و ذیل آن دو روایت مطرح کرده است؛ روایتی ناظر به این‌که آیه در شأن ابوبکر نازل شده است، و روایت دیگر مبنی بر این‌که آیه در شأن علی بن ابی‌طالب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ادامۀ تفسیر، بدون توجه به احادیث متواتر که این آیه را شأن علی علیه السلام می دانند با ادله مبسوط، ایشان را از دایره مصادیق آیۀ مبارکه خارج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bookmarkStart w:id="373" w:name="pg3245_36554"/>
    </w:p>
    <w:p>
      <w:pPr>
        <w:pStyle w:val="BookText"/>
        <w:rPr/>
      </w:pPr>
      <w:bookmarkEnd w:id="373"/>
      <w:r>
        <w:rPr>
          <w:rFonts w:ascii="IRNazanin" w:hAnsi="IRNazanin" w:eastAsia="IRNazanin"/>
          <w:color w:val="111111"/>
          <w:sz w:val="28"/>
          <w:sz w:val="28"/>
          <w:szCs w:val="28"/>
          <w:rtl w:val="true"/>
          <w:lang w:bidi="fa-IR"/>
        </w:rPr>
        <w:t>هم‌چنین ذیل آیه چهارم سورۀ تحریم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تَتُوبا إِلَی اللَّهِ فَقَدْ صَغَتْ قُلُوبُکُما وَ إِنْ تَظاهَرا عَلَیْهِ فَإِنَّ اللَّهَ هُوَ مَوْلاهُ وَ جِبْرِیلُ وَ صالِحُ الْمُؤْمِنِینَ وَ الْمَلائِکَةُ بَعْدَ ذلِکَ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آوردن 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 برای این‌که آیه را بی‌ربط به حضرت علی علیه السلام نشان دهد، فضا را غبارآلود می کند و این آیه را به همه ربط می دهد جز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منابع فراوانی از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ثمالی،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قمی،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فرات کوفی،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علم‌الهدی،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حسینی استرآبادی،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منابع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حسکانی،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حقی بروسوی، بی‌تا،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تصریح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حضرت علی علیه السلام دانسته اند، و بعضی دیگر از منابع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ابن‌جوزی،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ابن‌جزی،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ابن‌کثیر،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احتمالات مطرح‌شده را حضرت علی علیه السلام می دانند، ولی فخر رازی هر احتمالی را آورده است جز ذکر نام حضرت علی علیه السلام </w:t>
      </w:r>
      <w:r>
        <w:rPr>
          <w:rFonts w:eastAsia="IRNazanin" w:cs="IRNazanin"/>
          <w:color w:val="111111"/>
          <w:sz w:val="28"/>
          <w:szCs w:val="28"/>
          <w:rtl w:val="true"/>
          <w:lang w:bidi="fa-IR"/>
        </w:rPr>
        <w:t>.</w:t>
      </w:r>
    </w:p>
    <w:p>
      <w:pPr>
        <w:pStyle w:val="Heading3"/>
        <w:numPr>
          <w:ilvl w:val="2"/>
          <w:numId w:val="1"/>
        </w:numPr>
        <w:rPr/>
      </w:pPr>
      <w:bookmarkStart w:id="374" w:name="__RefHeading___Toc1986632_2749589250"/>
      <w:bookmarkStart w:id="375" w:name="_Toc155"/>
      <w:bookmarkEnd w:id="374"/>
      <w:r>
        <w:rPr>
          <w:rtl w:val="true"/>
        </w:rPr>
        <w:t>نتیجه‌گیری</w:t>
      </w:r>
      <w:bookmarkEnd w:id="375"/>
    </w:p>
    <w:p>
      <w:pPr>
        <w:pStyle w:val="Heading4"/>
        <w:numPr>
          <w:ilvl w:val="3"/>
          <w:numId w:val="1"/>
        </w:numPr>
        <w:rPr/>
      </w:pPr>
      <w:bookmarkStart w:id="376" w:name="__RefHeading___Toc1986634_2749589250"/>
      <w:bookmarkStart w:id="377" w:name="_Toc156"/>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مهم‌ترین نتایج حاصل از پژوهش که پس از تحلیل و بررسی روش ها و ادلۀ فخر رازی در مواجهۀ با ادله شیعه ذیل آیات ولایت و خلافت و سپس نقد این دلایل به دست می آید عبارتند از</w:t>
      </w:r>
      <w:r>
        <w:rPr>
          <w:rFonts w:eastAsia="IRNazanin" w:cs="IRNazanin"/>
          <w:color w:val="111111"/>
          <w:sz w:val="28"/>
          <w:szCs w:val="28"/>
          <w:rtl w:val="true"/>
          <w:lang w:bidi="fa-IR"/>
        </w:rPr>
        <w:t>:</w:t>
      </w:r>
    </w:p>
    <w:p>
      <w:pPr>
        <w:pStyle w:val="Heading4"/>
        <w:numPr>
          <w:ilvl w:val="3"/>
          <w:numId w:val="1"/>
        </w:numPr>
        <w:rPr/>
      </w:pPr>
      <w:bookmarkStart w:id="378" w:name="__RefHeading___Toc1986636_2749589250"/>
      <w:bookmarkStart w:id="379" w:name="_Toc157"/>
      <w:bookmarkEnd w:id="378"/>
      <w:r>
        <w:rPr/>
        <w:t>1</w:t>
      </w:r>
      <w:bookmarkEnd w:id="379"/>
    </w:p>
    <w:p>
      <w:pPr>
        <w:pStyle w:val="BookText"/>
        <w:rPr/>
      </w:pPr>
      <w:r>
        <w:rPr>
          <w:rFonts w:ascii="IRNazanin" w:hAnsi="IRNazanin" w:eastAsia="IRNazanin"/>
          <w:color w:val="111111"/>
          <w:sz w:val="28"/>
          <w:sz w:val="28"/>
          <w:szCs w:val="28"/>
          <w:rtl w:val="true"/>
          <w:lang w:bidi="fa-IR"/>
        </w:rPr>
        <w:t>برای اثبات خلافت ابوبکر و سلب ولایت حضرت علی علیه السلام به احادیث ضعیف و جعلی استناد کرده است، که ضعیف و جعلی بودن این احادیث در منابع اهل‌سنت آمده است</w:t>
      </w:r>
      <w:r>
        <w:rPr>
          <w:rFonts w:eastAsia="IRNazanin" w:cs="IRNazanin"/>
          <w:color w:val="111111"/>
          <w:sz w:val="28"/>
          <w:szCs w:val="28"/>
          <w:rtl w:val="true"/>
          <w:lang w:bidi="fa-IR"/>
        </w:rPr>
        <w:t>.</w:t>
      </w:r>
    </w:p>
    <w:p>
      <w:pPr>
        <w:pStyle w:val="Heading4"/>
        <w:numPr>
          <w:ilvl w:val="3"/>
          <w:numId w:val="1"/>
        </w:numPr>
        <w:rPr/>
      </w:pPr>
      <w:bookmarkStart w:id="380" w:name="__RefHeading___Toc1986638_2749589250"/>
      <w:bookmarkStart w:id="381" w:name="_Toc158"/>
      <w:bookmarkEnd w:id="380"/>
      <w:r>
        <w:rPr/>
        <w:t>2</w:t>
      </w:r>
      <w:bookmarkEnd w:id="381"/>
    </w:p>
    <w:p>
      <w:pPr>
        <w:pStyle w:val="BookText"/>
        <w:rPr/>
      </w:pPr>
      <w:r>
        <w:rPr>
          <w:rFonts w:ascii="IRNazanin" w:hAnsi="IRNazanin" w:eastAsia="IRNazanin"/>
          <w:color w:val="111111"/>
          <w:sz w:val="28"/>
          <w:sz w:val="28"/>
          <w:szCs w:val="28"/>
          <w:rtl w:val="true"/>
          <w:lang w:bidi="fa-IR"/>
        </w:rPr>
        <w:t xml:space="preserve">به سیاق استناد می‌کند، تا در آیات ولایت ثابت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آیات ولایت هم‌سیاق نیستند، و بر یک‌پارچه نبودن این آیات، روایات فراوانی از شیعه و سنی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نظر دانشمندان در صورت تعارض دلیل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لفظی مقدم است</w:t>
      </w:r>
      <w:r>
        <w:rPr>
          <w:rFonts w:eastAsia="IRNazanin" w:cs="IRNazanin"/>
          <w:color w:val="111111"/>
          <w:sz w:val="28"/>
          <w:szCs w:val="28"/>
          <w:rtl w:val="true"/>
          <w:lang w:bidi="fa-IR"/>
        </w:rPr>
        <w:t>.</w:t>
      </w:r>
    </w:p>
    <w:p>
      <w:pPr>
        <w:pStyle w:val="Heading4"/>
        <w:numPr>
          <w:ilvl w:val="3"/>
          <w:numId w:val="1"/>
        </w:numPr>
        <w:rPr/>
      </w:pPr>
      <w:bookmarkStart w:id="382" w:name="__RefHeading___Toc1986640_2749589250"/>
      <w:bookmarkStart w:id="383" w:name="_Toc159"/>
      <w:bookmarkEnd w:id="382"/>
      <w:r>
        <w:rPr/>
        <w:t>3</w:t>
      </w:r>
      <w:bookmarkEnd w:id="383"/>
    </w:p>
    <w:p>
      <w:pPr>
        <w:pStyle w:val="BookText"/>
        <w:rPr/>
      </w:pPr>
      <w:r>
        <w:rPr>
          <w:rFonts w:ascii="IRNazanin" w:hAnsi="IRNazanin" w:eastAsia="IRNazanin"/>
          <w:color w:val="111111"/>
          <w:sz w:val="28"/>
          <w:sz w:val="28"/>
          <w:szCs w:val="28"/>
          <w:rtl w:val="true"/>
          <w:lang w:bidi="fa-IR"/>
        </w:rPr>
        <w:t>در استناد به مباحث ادبی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صحت اطلاق جمع و ارادۀ مفرد، اشکال در معنای واژگان و عدم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حصر،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محبت و نصرت اصرار می‌ورزد</w:t>
      </w:r>
      <w:r>
        <w:rPr>
          <w:rFonts w:eastAsia="IRNazanin" w:cs="IRNazanin"/>
          <w:color w:val="111111"/>
          <w:sz w:val="28"/>
          <w:szCs w:val="28"/>
          <w:rtl w:val="true"/>
          <w:lang w:bidi="fa-IR"/>
        </w:rPr>
        <w:t>.</w:t>
      </w:r>
    </w:p>
    <w:p>
      <w:pPr>
        <w:pStyle w:val="Heading4"/>
        <w:numPr>
          <w:ilvl w:val="3"/>
          <w:numId w:val="1"/>
        </w:numPr>
        <w:rPr/>
      </w:pPr>
      <w:bookmarkStart w:id="384" w:name="__RefHeading___Toc1986642_2749589250"/>
      <w:bookmarkStart w:id="385" w:name="_Toc160"/>
      <w:bookmarkEnd w:id="384"/>
      <w:r>
        <w:rPr/>
        <w:t>4</w:t>
      </w:r>
      <w:bookmarkEnd w:id="38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با نادیده گرفتن ادلۀ شیعی راه توهین را در پیش گرفته و از جملاتی شبیه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الحمقی من الروافض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لروافض 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 برد؛ در صورتی که پیامبر اکرم صلی الله علیه و اله و سلم ، اهل‌بیت علیهم السلام و علمای برجستۀ شیعه، همواره در برخورد با مخالفان، راه مدارا و نرمش را در پیش می‌گرفتند</w:t>
      </w:r>
      <w:r>
        <w:rPr>
          <w:rFonts w:eastAsia="IRNazanin" w:cs="IRNazanin"/>
          <w:color w:val="111111"/>
          <w:sz w:val="28"/>
          <w:szCs w:val="28"/>
          <w:rtl w:val="true"/>
          <w:lang w:bidi="fa-IR"/>
        </w:rPr>
        <w:t>.</w:t>
      </w:r>
      <w:bookmarkStart w:id="386" w:name="pg3245_36555"/>
    </w:p>
    <w:p>
      <w:pPr>
        <w:pStyle w:val="Heading4"/>
        <w:numPr>
          <w:ilvl w:val="3"/>
          <w:numId w:val="1"/>
        </w:numPr>
        <w:rPr/>
      </w:pPr>
      <w:bookmarkStart w:id="387" w:name="__RefHeading___Toc1986644_2749589250"/>
      <w:bookmarkStart w:id="388" w:name="_Toc161"/>
      <w:bookmarkEnd w:id="386"/>
      <w:bookmarkEnd w:id="387"/>
      <w:r>
        <w:rPr/>
        <w:t>5</w:t>
      </w:r>
      <w:bookmarkEnd w:id="388"/>
    </w:p>
    <w:p>
      <w:pPr>
        <w:pStyle w:val="BookText"/>
        <w:rPr/>
      </w:pPr>
      <w:r>
        <w:rPr>
          <w:rFonts w:ascii="IRNazanin" w:hAnsi="IRNazanin" w:eastAsia="IRNazanin"/>
          <w:color w:val="111111"/>
          <w:sz w:val="28"/>
          <w:sz w:val="28"/>
          <w:szCs w:val="28"/>
          <w:rtl w:val="true"/>
          <w:lang w:bidi="fa-IR"/>
        </w:rPr>
        <w:t>از دیگر رویکردهای ایشان، عدم ذکر اقول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ذیل برخی آیات ولایت، اقوال مشهوری را که دربارۀ حضرت علی علیه السلام هست نادیده گرفته و بدون استناد به آن‌ها، برای اثبات خلافت ابوبکر به اقوال دیگری روی می آورد که خلافت او را ثابت کند، و در مواردی هم برای کم‌اهمیت جلوه دادن مقام و شخصیت حضرت علی علیه السلام ، با آوردن اقوال گوناگون در کنار اقوال مشهور، فضای بحث را غبارآلود می کند</w:t>
      </w:r>
      <w:r>
        <w:rPr>
          <w:rFonts w:eastAsia="IRNazanin" w:cs="IRNazanin"/>
          <w:color w:val="111111"/>
          <w:sz w:val="28"/>
          <w:szCs w:val="28"/>
          <w:rtl w:val="true"/>
          <w:lang w:bidi="fa-IR"/>
        </w:rPr>
        <w:t>.</w:t>
      </w:r>
    </w:p>
    <w:p>
      <w:pPr>
        <w:pStyle w:val="Heading3"/>
        <w:numPr>
          <w:ilvl w:val="2"/>
          <w:numId w:val="1"/>
        </w:numPr>
        <w:rPr/>
      </w:pPr>
      <w:bookmarkStart w:id="389" w:name="__RefHeading___Toc1986646_2749589250"/>
      <w:bookmarkStart w:id="390" w:name="_Toc162"/>
      <w:bookmarkEnd w:id="389"/>
      <w:r>
        <w:rPr>
          <w:rtl w:val="true"/>
        </w:rPr>
        <w:t>منابع</w:t>
      </w:r>
      <w:bookmarkEnd w:id="3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ابن‌العربی، محمد بن عبدالله بن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 القرآن،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ابن‌بطریق، یحیی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عمدة عیون صحاح الأخبار،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مالک المحمودی، تهران، ممثلیة الامام القائد السید الخامنه‌ای فی الحج، الطبعة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ابن‌تیمیة الحرانی، أحمد بن عبدالحلیم،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منهاج السنة النبویة فی نقص الکلام الشیعة القدریة، بی‌جا، مؤسسة قرطبة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ابن‌جزی، محمد بن احمد،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التسهیل لعلوم التنزیل،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خالدی، بیروت، دار الارقم بن ابی‌الارقم،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ابن‌جوزی، ابوالفرج عبدالرحمن بن علی،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زاد المسیر فی علم التفسیر، بیروت، دار الکتاب العربی،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ابن‌جوزی، أبوالفرج،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الموضوعات، بیروت،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ابن‌حجر العسقلانی، أبوالفضل أحمد بن علی،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المیزان، بیروت، مؤسسة الأعلمی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ابن‌حزم الأندلسی، أبومحمد علی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المحلی، مدینه،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ابن‌عبدالبر،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الإستیعاب،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بیروت، دارالجبل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ابن‌عطیه اندلسی، عبدالحق بن غالب،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المحرر الوجیز فی تفسیر الکتاب العزیز،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عطیه، مقاتل،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أبهی المراد فی شرح مؤتمر علماء بغداد،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 محمد جمیل،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الاعلمی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ابن‌فارس، زکریا،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مقاییس اللغه، قم، مکتب الاعلام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ابن‌کثیر دمشقی، اسماعیل بن عمرو،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القرآن العظیم، بیروت،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ابن‌مردویه، أحمد بن موسی،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علی بن أبی‌طالب و ما نزل من القرآن فی علی، مع و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حرزالدین، قم، دارالحدیث</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ابی‌نعیم الإصفهانی، احمد بن عبدالله،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النور المشتعل،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المحمودی، وزارة الإرشاد الإسلامی،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علی،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الغمه فی معرفة الائمة،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الفاضلی، قم، المجمع العالمی لاهل البیت</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اسکافی،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المعیار و الموازنة فی فضائل الإمام امیرالمؤمنین علی بن أبی‌طالب،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المحمودی، بیروت،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محمدحسین،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الغدیر، بیروت، دارالکتب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سیدمحمود،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المعانی فی تفسیر القرآن العظیم، دارالکتب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سیدهاشم،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البرهان فی تفسیر القرآن، تهران، بنیاد بعثت،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غایة المرام و حجّة الخصام،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 الطبعة الثانیة، منشورات آیۀ‌الله المرعشی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بیاضی، علی بن یونس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الصراط المستقیم الی مستحق التقدیم،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بهبودی، بی جا، مکتبة 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البیضاوی، عبدالله بن عمر،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التنزیل و أسرار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 عرفان العشا حسّونه، بیروت، دارالفکر،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ثعلبی نیشابوری، ابواسحاق احمد بن ابراهیم،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الکشف و البیان عن تفسیر القرآن،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علوی، قم، اسراء،</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تسنیم،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عابدینی، بی جا، اسراء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الجوینی الحموینی، إبراهیم بن محمد،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فرائد السمطین فی فضائل المرتضی و البتول و الأئمة من ذرّیتهم، بیروت، مؤسسة المحمودی،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حسکانی، عبیدالله بن احمد،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شواهد التنزیل لقواعد التفضیل، تهران، سازمان چاپ و انتشارات وزارت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استرآبادی، سیدشرف‌الدین علی،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تأویل الآیات الظاهرة، قم، 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 بروسوی،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روح البیان،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حویزی، عبدعلی بن جمعه،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الثقلین، قم،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دژآباد، حامد،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ارزیابی مبانی و ادله قرآنی خلافت خلفا، قم، مشعر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شمس الدین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تلخیص کتاب الموضوعات، بی‌جا، مکتبه الرشد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فخرالدین محمد بن عمر،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الأربعین فی اصول الدین، قاهره، مکتبة الکلیات الازهریة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المفردات فی غریب القرآن، دمشق ـ بیروت، دار العلم ـ الدار الشامیة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 محمود،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تفسیر قرآن، قم، پژوهشکده حوزه و دانشگاه،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رشید رضا،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القرآن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سمیر مصطفی رباب، الطبعة الأولی،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الزرکشی، بدرالدین، محمد بن عبدالله،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البرهان فی علوم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المرعشی، الشیخ جمال حمدی الذهبی، الشیخ ابراهیم عبدالله الکردی، بیروت، دار المعرفه، 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الزمخشری، ارالله محمود بن عمر،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الکشّاف عن حقایق غوامض التنزیل،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عبدالسلام شاهین، بیروت، دار الکتب العلمیة،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ساعدی، محمد،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امامت و ولایت در تفسیر المنار، قم، مرکز بین‌المللی ترجمه و نشر المصطفی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سمرقندی، نصر بن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بحرالعلوم، بی‌جا،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سورآبادی، ابوبکر عتیق بن محمد،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سورآبادی، تهران، فرهنگ نشر 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سعد السعود،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تبریزیان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دلیل،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الطرائف فی معرفة مذاهب الطوائف، قم، الخیام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علم‌الهدی، علی بن حسین،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نفائس التأویل، بیروت، الأعلمی للمطبوعات،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الشافی فی الإمامة،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عبدالزهراء حسینی، تهران، مؤسسة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جلال‌الدین،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 المنثور فی تفسیر المأثور، قم، کتابخانه آیت‌الله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لباب النقول فی اسباب النزول،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السید اللحام، بیروت، دار الهجره،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الإتقان فی علوم القرآن،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اللآلئ المصنوعة فی الأحادیث الموضوعة، بیروت،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شاکر، محمدکاظم،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روش‌های تأویل قرآن، قم،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شرف‌الدین، عبدالحسین،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المراجعات،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الراضی، قم، المجمع العالمی لأهل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شیرازی، محمد،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تقریب القرآن إلی الأذهان، بیروت، مؤسسة الوفاء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محمد بن محمد بن نعمان،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الإفصاح فی الإمامة، المؤتمر العالمی لألفیة الشیخ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شوکانی، محمد بن علی،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الفوائد المجموعة فی الأحادیث الموضوعة، بیروت، المکتب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الصالح، الصبحی،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مباحث فی علوم القرآن، بیروت، دار العلم للملایین، الطبعة الخامسة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سیدمحمدباقر،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دروس فی علم الأصول،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سید‌علی‌اکبر حائری، قم، مجمع اندیشه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سیدمحمدحسین،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 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الطبرانی، سلیمان بن أحمد،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الأوسط،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التحقیق بدار الحرمین،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دار الحرمین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الیبان فی تفسیر القرآن، تهران، ناصرخسرو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علی بن حسن بن فضل،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مشکاة الانوار فی غرر الأخبار، نجف،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ابوجعفر محمد بن جریر،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البیان فی تفسیر القرآن، بیروت، دار المعرفه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القرآن، بیروت، دار الاحیاء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الأسلامیة، قم، دارالثقافة، چاپ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تلخیص الشافی، قم، منشورات العزیزی، الطبعة الثالثه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المواقف فی علم الکلام، بیروت، عالم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عزة دروزه، محمد،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عصر النبی و بیئته قبل البعثه، دمشق، دار الیقظة العربیه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محمد بن مسعود،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التفسیر، تهران، چاپخانه 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فرات کوفی، فرات بن ابراهیم،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فرات الکوفی،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محمودی، تهران، وزارت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الفیروزآبادی الشیرازی، مجدالدین محمد بن یعقوب، </w:t>
      </w: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 السعاده، مصر،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محمد بن احمد،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لأحکام القرآن، تهران، ناصرخسرو،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علی بن ابراهیم،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موسوی جزایری، قم، دار الکتاب،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الأصول من الکافی، تهران، دار الکتب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کنتوری، میرحامدحسین،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عبقات الأنوار، طهران، مؤسسة البعثة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المظفر،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الفقه، قم، مؤسسة النشر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بن سلیمان،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مقاتل بن سلیمان، دراسة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محمود شحّاته، بیروت، مؤسسة التاریخ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دارالکتب الاسلامی، تهران،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میبدی، رشیدالدین احمد بن ابی‌سعد،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الأسرار و عدة الأبرار، تهران،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نجارزادگان، فتح‌الله،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تطبیقی تفسیر آیات ولایت، قم، پژوهشگاه حوزه و دانشگاه، تهران، سمت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النسائی، عبد الرحمن أحمد بن شعیب،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السنن الکبری،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عبدالغفار سلیمان البنداری، کسروی حسن، بیروت، دارالکتب العلمیة</w:t>
      </w:r>
      <w:r>
        <w:rPr>
          <w:rFonts w:eastAsia="IRNazanin" w:cs="IRNazanin"/>
          <w:color w:val="111111"/>
          <w:sz w:val="28"/>
          <w:szCs w:val="28"/>
          <w:rtl w:val="true"/>
          <w:lang w:bidi="fa-IR"/>
        </w:rPr>
        <w:t>.</w:t>
      </w:r>
      <w:bookmarkStart w:id="391" w:name="pg3245_36559"/>
    </w:p>
    <w:p>
      <w:pPr>
        <w:pStyle w:val="Heading2"/>
        <w:numPr>
          <w:ilvl w:val="1"/>
          <w:numId w:val="1"/>
        </w:numPr>
        <w:rPr/>
      </w:pPr>
      <w:bookmarkStart w:id="392" w:name="__RefHeading___Toc1986648_2749589250"/>
      <w:bookmarkStart w:id="393" w:name="_Toc163"/>
      <w:bookmarkEnd w:id="391"/>
      <w:bookmarkEnd w:id="392"/>
      <w:r>
        <w:rPr>
          <w:rtl w:val="true"/>
        </w:rPr>
        <w:t xml:space="preserve">بررسی جایگاه </w:t>
      </w:r>
      <w:r>
        <w:rPr>
          <w:rtl w:val="true"/>
        </w:rPr>
        <w:t>«</w:t>
      </w:r>
      <w:r>
        <w:rPr>
          <w:rtl w:val="true"/>
        </w:rPr>
        <w:t>نظر و تفکر</w:t>
      </w:r>
      <w:r>
        <w:rPr>
          <w:rtl w:val="true"/>
        </w:rPr>
        <w:t xml:space="preserve">» </w:t>
      </w:r>
      <w:r>
        <w:rPr>
          <w:rtl w:val="true"/>
        </w:rPr>
        <w:t xml:space="preserve">نزد قاضی عبدالجبار </w:t>
      </w:r>
      <w:r>
        <w:rPr>
          <w:rtl w:val="true"/>
        </w:rPr>
        <w:t>/</w:t>
      </w:r>
      <w:r>
        <w:rPr>
          <w:rtl w:val="true"/>
        </w:rPr>
        <w:t>محمد بیدهندی ، حسین سلطانی</w:t>
      </w:r>
      <w:bookmarkEnd w:id="393"/>
    </w:p>
    <w:p>
      <w:pPr>
        <w:pStyle w:val="Heading3"/>
        <w:numPr>
          <w:ilvl w:val="2"/>
          <w:numId w:val="1"/>
        </w:numPr>
        <w:rPr/>
      </w:pPr>
      <w:bookmarkStart w:id="394" w:name="__RefHeading___Toc1986650_2749589250"/>
      <w:bookmarkStart w:id="395" w:name="_Toc164"/>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 xml:space="preserve">محمد بیدهندی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حسین سلطانی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01/06/1395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08/07/1395</w:t>
      </w:r>
    </w:p>
    <w:p>
      <w:pPr>
        <w:pStyle w:val="Heading3"/>
        <w:numPr>
          <w:ilvl w:val="2"/>
          <w:numId w:val="1"/>
        </w:numPr>
        <w:rPr/>
      </w:pPr>
      <w:bookmarkStart w:id="396" w:name="__RefHeading___Toc1986652_2749589250"/>
      <w:bookmarkStart w:id="397" w:name="_Toc165"/>
      <w:bookmarkEnd w:id="396"/>
      <w:r>
        <w:rPr>
          <w:rtl w:val="true"/>
        </w:rPr>
        <w:t>چکیده</w:t>
      </w:r>
      <w:bookmarkEnd w:id="397"/>
    </w:p>
    <w:p>
      <w:pPr>
        <w:pStyle w:val="BookText"/>
        <w:rPr/>
      </w:pPr>
      <w:r>
        <w:rPr>
          <w:rFonts w:ascii="IRNazanin" w:hAnsi="IRNazanin" w:eastAsia="IRNazanin"/>
          <w:color w:val="111111"/>
          <w:sz w:val="28"/>
          <w:sz w:val="28"/>
          <w:szCs w:val="28"/>
          <w:rtl w:val="true"/>
          <w:lang w:bidi="fa-IR"/>
        </w:rPr>
        <w:t xml:space="preserve">قاضی عبدالجبار از چهره‌های معروف کلام معتزلی است که دربارۀ معرفت‌شناسی، به‌ویژه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قابل ملاحظه‌ای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معرفتی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تفکر و استدلال است و همانند دیگر افعال انسان، از قدرت و ارادۀ او صادر می‌گردد و فعل خود اوست؛ و از نظر و تفکر، فعلی دیگر به نام علم و معرفت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معنای قوه ی تفکر در نزد قاضی به عنوان یک منبع مستقل و یک ابزار بسیار مهم برای شناخت مطرح است؛ بدین روی، قاضی تنها راه رسیدن به معرفت خداوند را نظر و تفکر، یعنی همان راه عقل می‌داند، و نزد او نخستین تکلیف آدمی، استدلال عقلی برای شناخت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در صدد است نقش و جایگاه نظر و رابطۀ آن با علم و معرفت و هم‌چنین با معرفت خداوند به طور خاص را، از دیدگاه عبدالجبار مورد بررسی قرار دهد</w:t>
      </w:r>
      <w:r>
        <w:rPr>
          <w:rFonts w:eastAsia="IRNazanin" w:cs="IRNazanin"/>
          <w:color w:val="111111"/>
          <w:sz w:val="28"/>
          <w:szCs w:val="28"/>
          <w:rtl w:val="true"/>
          <w:lang w:bidi="fa-IR"/>
        </w:rPr>
        <w:t>.</w:t>
      </w:r>
    </w:p>
    <w:p>
      <w:pPr>
        <w:pStyle w:val="Heading3"/>
        <w:numPr>
          <w:ilvl w:val="2"/>
          <w:numId w:val="1"/>
        </w:numPr>
        <w:rPr/>
      </w:pPr>
      <w:bookmarkStart w:id="398" w:name="__RefHeading___Toc1986654_2749589250"/>
      <w:bookmarkStart w:id="399" w:name="_Toc166"/>
      <w:bookmarkEnd w:id="398"/>
      <w:r>
        <w:rPr>
          <w:rtl w:val="true"/>
        </w:rPr>
        <w:t>واژگان کلیدی</w:t>
      </w:r>
      <w:bookmarkEnd w:id="39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علم، معرفت، معتزله، قاضی عبدالجبار</w:t>
      </w:r>
      <w:r>
        <w:rPr>
          <w:rFonts w:eastAsia="IRNazanin" w:cs="IRNazanin"/>
          <w:color w:val="111111"/>
          <w:sz w:val="28"/>
          <w:szCs w:val="28"/>
          <w:rtl w:val="true"/>
          <w:lang w:bidi="fa-IR"/>
        </w:rPr>
        <w:t>.</w:t>
      </w:r>
      <w:bookmarkStart w:id="400" w:name="pg3245_36560"/>
    </w:p>
    <w:p>
      <w:pPr>
        <w:pStyle w:val="Heading3"/>
        <w:numPr>
          <w:ilvl w:val="2"/>
          <w:numId w:val="1"/>
        </w:numPr>
        <w:rPr/>
      </w:pPr>
      <w:bookmarkStart w:id="401" w:name="__RefHeading___Toc1986656_2749589250"/>
      <w:bookmarkStart w:id="402" w:name="_Toc167"/>
      <w:bookmarkEnd w:id="400"/>
      <w:bookmarkEnd w:id="401"/>
      <w:r>
        <w:rPr>
          <w:rtl w:val="true"/>
        </w:rPr>
        <w:t>مقدمه</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قوۀ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مواهب الهی و استعداد مخصوصی است که خداوند متعال به انسان عنایت فرموده تا با بهره‌گیری از آن بتواند در سیر زندگانی خود، راه سعادت و رستگاری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پیروان و متصدیان آیین‌ها و ادیان پیش از اسلام از جمله مسیحیت، دین و آموزه‌های دینی را در تقابل با عقل و استعدادهای عقلانی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 بودند دین امری مقدس و ربّانی است و انسان را اجازۀ ورود به آن بارگاه قدس و عقل را یارای تفکر در محتوای دین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زاهد غیاثی،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دینی است که نه تنها با نیروی عقل و قدرت تفکر مخالفت و تضادی ندارد، بلکه تقریباً در تمام جهات از آن کمک و تأیید خواسته و بر آن 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حدود سی‌صد بار انسان به طور مستقیم یا غیرمستقیم به تفکر، تعقل، تدبر و تفقه دعوت شده است که از جملۀ آن، می‌توان به آیۀ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الدَّوَابِّ عِنْدَ اللَّهِ الصُّمُّ الْبُکْمُ الَّذینَ لا یَعْقِلُونَ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در آن خداوند متعال، بی‌فکری و اندیشه نکردن را مذمت و ملامت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ویژگی‌های بزرگ دین مقدس اسلام، اعتدال و میانه‌روی است و خداوند امت اسلام را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که حقیقتاً دست‌پروردۀ قرآن باشد، از افراط و تفریط برکنار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اُمَّۀً وَسَطَا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حال، بعضی جریانات فکری در عالم اسلام بعد از پیامبر اکرم صلی الله علیه و اله و سلم به وجود آمد که برخی راه افراط و برخی روش تفریط را در پیش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این موارد است طرز تفکر ابوحنیفه در حوزۀ فقه که عقلانی است، ولی در حد 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در فقه بر اساس استدلال فتوا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فقه احمد بن حنبل بسیار جامد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اساساً برای عقل، حقی قائل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بود، عقل حقّ اظهار نظر در مسائل دینی را ندارد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نقش عقل در فهم اصول اعتقادی دین نیز دو رویکرد وجود دارد؛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اعتقادند که عقل و احکام عقلی، نقشی اساسی و تعیین‌کننده در کشف و استنباط عقاید دینی و نیز اثبات و دفاع از این عقاید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نزد ایشان منبعی اصیل و مستقل به شمار می‌آید، بر خلاف نقل که تأیید و ارشاد به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باور معتزله، معرفت خداوند جز از طریق نظر و استدلال حاصل نمی‌شود، و همین باور بود که ایشان را به تأسیس علم کلام و تنظیم اصول و قواعدی برای شناخت خداوند و صفات و افعال او واداشت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گروهی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استدلال در تبیین،</w:t>
      </w:r>
      <w:bookmarkStart w:id="403" w:name="pg3245_36561"/>
    </w:p>
    <w:p>
      <w:pPr>
        <w:pStyle w:val="BookText"/>
        <w:rPr/>
      </w:pPr>
      <w:bookmarkEnd w:id="403"/>
      <w:r>
        <w:rPr>
          <w:rFonts w:ascii="IRNazanin" w:hAnsi="IRNazanin" w:eastAsia="IRNazanin"/>
          <w:color w:val="111111"/>
          <w:sz w:val="28"/>
          <w:sz w:val="28"/>
          <w:szCs w:val="28"/>
          <w:rtl w:val="true"/>
          <w:lang w:bidi="fa-IR"/>
        </w:rPr>
        <w:t xml:space="preserve">تثبیت و دفاع از عقاید دینی را ـ و نه در استنباط و کشف آن‌ها ـ جایز شمردند و اصالت را از آنِ نقل و نه عقل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عبدالجبار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مکتب عقل‌گرای معتزله تربیت یافته است، نظر و تفکر نزد او اهمیت فوق‌العاده‌ای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به مباحث معرفت‌شناسی عنایتی ویژه داشت، تا جایی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و معارف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جلد از مهم‌ترین اثر او یعنی المغنی فی ابواب التوحید و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باره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دستگاه معرفتی قاضی 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پایه و مایۀ دیگر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اعتقاد که نظر و تفکر، نقشی تعیین‌کننده در معرفت خداوند دارد، برای شناخت خداوند ـ که هدف اصیل است ـ به وجوب مقدمی نظر فتوا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سایر افعال انسان، از اراده و قدرت او صادر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که نظر فعل انسان است، می‌تواند از آن فعلی دیگر که آن هم فعل انسان است،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همان علم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بر آن است تا ضمن تعریف نظر، فکر، علم و معرفت از دیدگاه عبدالجبار، بیان کند که نزد وی نسبتِ نظر با علم و معرفت چگونه است؟ آیا امکان دسترسی به معرفت خداوند وجود دارد؟ با فرض امکان، نقش و جایگاه نظر در شناخت خداوند چیست؟</w:t>
      </w:r>
    </w:p>
    <w:p>
      <w:pPr>
        <w:pStyle w:val="BookText"/>
        <w:rPr/>
      </w:pPr>
      <w:r>
        <w:rPr>
          <w:rFonts w:ascii="IRNazanin" w:hAnsi="IRNazanin" w:eastAsia="IRNazanin"/>
          <w:color w:val="111111"/>
          <w:sz w:val="28"/>
          <w:sz w:val="28"/>
          <w:szCs w:val="28"/>
          <w:rtl w:val="true"/>
          <w:lang w:bidi="fa-IR"/>
        </w:rPr>
        <w:t>اندیشه‌های معرفتی قاضی عبدالجبار، متفکر قرن چهارم هجری، با این‌که در یک جلد مستقلاً به آن پرداخته شده، کمتر مورد تحقیق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اندیشه‌ها از این جهت حایز اهمیت است که نقشی پایه در باورهای کلامی او دارد؛ باورهایی که در شکل‌گیری مبانی فکری معتزله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دغدغۀ جدی عبدالجبار دربارۀ مسائل نظر و معرفت و نقش بسیار پررنگ نظر و تفکر در دست‌یابی به معرفت خداوند، از دیگر ابعاد مهم این پژوهش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اندیشه‌های کلامی و معرفتی عبدالجبار و مقایسۀ آرای او با آرای اندیشمندان مسلمان و غیرمسلمان، پژوهش‌هایی صورت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پهلوانی‌نژاد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هدایت‌پناه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دهقانی‌نژاد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جوادی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نظرنژاد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هیچ‌کدام از آن‌ها نظر و نسبت آن با علم و معرفت و خداشناسی بررسی نشده است</w:t>
      </w:r>
      <w:r>
        <w:rPr>
          <w:rFonts w:eastAsia="IRNazanin" w:cs="IRNazanin"/>
          <w:color w:val="111111"/>
          <w:sz w:val="28"/>
          <w:szCs w:val="28"/>
          <w:rtl w:val="true"/>
          <w:lang w:bidi="fa-IR"/>
        </w:rPr>
        <w:t>.</w:t>
      </w:r>
    </w:p>
    <w:p>
      <w:pPr>
        <w:pStyle w:val="Heading3"/>
        <w:numPr>
          <w:ilvl w:val="2"/>
          <w:numId w:val="1"/>
        </w:numPr>
        <w:rPr/>
      </w:pPr>
      <w:bookmarkStart w:id="404" w:name="__RefHeading___Toc1986658_2749589250"/>
      <w:bookmarkStart w:id="405" w:name="_Toc168"/>
      <w:bookmarkEnd w:id="404"/>
      <w:r>
        <w:rPr/>
        <w:t>1</w:t>
      </w:r>
      <w:r>
        <w:rPr>
          <w:rtl w:val="true"/>
        </w:rPr>
        <w:t xml:space="preserve">. </w:t>
      </w:r>
      <w:r>
        <w:rPr>
          <w:rtl w:val="true"/>
        </w:rPr>
        <w:t>فکر و نظر</w:t>
      </w:r>
      <w:bookmarkEnd w:id="40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گوناگونی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 و تقابل، باصره، انتظار، احسان، رحمت و نظر القلب را ذکر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تشخیص هر یک از این معانی، مرهون قرینه و شاهد است؛ بدین معنا که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و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منظور از آن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هرگاه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و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بخورد،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غیر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تأمل، تدبر و رؤیت را نیز با نظر القلب مترادف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قاضی از نظر در مباحث شناخت، معنای اخیر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حقیقت آن را هم فکر می‌داند؛ به این دلیل که ناظر با قلب همان مفکر، و مفکر نیز همان ناظر با قلب است و حقایق و معارف از طریق فکر و نظر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هم از دیدگاه وی، تأمل و اندیشیدن در حالات و صفات چیزی و تمثیل بین آن چیز و غیر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اصطلاح منطق، فکر اعم از تعریف و استدلال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نظر می‌رسد این تعریف قاضی از فکر، شامل استدلال نمی‌شود، چراکه تأمل در حالات و صفات چیزی، معرفتی تصوری از آن به دست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چیزی را به چیز دیگری تشبیه کردن، با استدلال که چینش معلومات تصدیقی برای رسیدن به مجهول تصدیقی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در جایی دیگر از آثار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معنایی می‌داند که شخص را به تفکر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این باور است که هر کسی این معنا و حالت را در خود می‌یابد و بین وقتی که تفکر می‌کند و موقعی که در حال تفکر نیست، تفاوت قائل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نیز صحیح نیست، زیرا قاضی خود معتقد است آنچه شخص را به نظر و تفکر وامی‌دارد، انگیزه، قصد و ارادۀ اوست نه خود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دیگر، فکر و تفکر در نظر قاضی به یک معناست؛ بنابراین تعریف مزبور، دوری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عبدالجبار، تفکر و استدلال از ویژگی‌های علم اکتسابی است و در علوم ضروری، جایگاهی ندارد و این علوم نه در اثر فکر و نظر و استدلال، بلکه خود‌به‌خود برای انسان حاصل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نظر عبدالجبار به یک معنا و هر دو راهی هستند برای حصول علم به معلومی که ضروری نیست؛ به عبارت دیگر، معلومات غیرضروری یا همان علوم نظری و اکتسابی از طریق دلیل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دلیل را روشی می‌داند که هرگاه ناظر و مفکر، آن روش را با فکر و نظر و استدلال به کار گیرد، به مجهولی که در صدد یافتن آن است، دست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bookmarkStart w:id="406" w:name="pg3245_36563"/>
    </w:p>
    <w:p>
      <w:pPr>
        <w:pStyle w:val="Heading3"/>
        <w:numPr>
          <w:ilvl w:val="2"/>
          <w:numId w:val="1"/>
        </w:numPr>
        <w:rPr/>
      </w:pPr>
      <w:bookmarkStart w:id="407" w:name="__RefHeading___Toc1986660_2749589250"/>
      <w:bookmarkStart w:id="408" w:name="_Toc169"/>
      <w:bookmarkEnd w:id="406"/>
      <w:bookmarkEnd w:id="407"/>
      <w:r>
        <w:rPr/>
        <w:t>2</w:t>
      </w:r>
      <w:r>
        <w:rPr>
          <w:rtl w:val="true"/>
        </w:rPr>
        <w:t xml:space="preserve">. </w:t>
      </w:r>
      <w:r>
        <w:rPr>
          <w:rtl w:val="true"/>
        </w:rPr>
        <w:t>علم و معرفت</w:t>
      </w:r>
      <w:bookmarkEnd w:id="408"/>
    </w:p>
    <w:p>
      <w:pPr>
        <w:pStyle w:val="BookText"/>
        <w:rPr/>
      </w:pP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معنایی می‌داند که اقتضای سکون نفس عالِم را نسبت به آنچه دریافته است، دارد و این سکون هم در صورتی حاصل می‌شود که آن معنا، اعتقادی مطابق با واقع و بر وجه مخصوص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نقطۀ انفصال علم از غیرعلم همین سکون نفس عالِم است که در غیر علم اعم از شک، ظن و جهل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در کتاب شرح الأصول الخمسه تعریف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می‌دهد و در آن علم را با معرفت، مترادف و هم‌معنا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نیز علم چیزی است که مایۀ آرامش روح، خنک شدن سینه و اطمینان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المعرفۀ و الدرایۀ و العلم نظائر و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یقتضی سکون النفس و ثلج الصدر و طمأنینه القلب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تعریف از آن‌جا که علم را مقتضی سکون نفس می‌دانند، به هم نزدیکی و مشابهت دارند؛ با این حال، بین آن‌ها تفاوت‌هایی آشکار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اول، قاضی علم را معنایی می‌داند که هرگاه آن معنا اعتقادی مطابق با واقع باشد، آرامش نفس را در پی خواهد داشت، در حالی که تعریف دوم از این قید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نسبت به تعریف دیگری که از یکی از آثار قاضی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شرح الأصول الخمسه نقل شده، اولی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الاعتقاد الذی تسکن به النفس إلی أن معتقده علی ما اعتقده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همان اعتقاد مطابق با واقع است که آرامش نفس معتقد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دلیل اولویت را نیز این می‌داند که غرض از تعریف، تمایز معرّف از غیر آن است و در این‌جا هم این غرض با همان تعریف دوم تأمین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به همان اکتفا کرد و قیود اضافی را حذف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هم‌چنین متذکر می‌گردد که علم غیر از اعتقاد و با آن متفاوت است؛ بنابراین تعاریفی که علم را اعتقاد می‌داند مخدوش و مردود است، 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اعتقاد اعم از اعتقاد عالمانه و غیرعالمانه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ثانیاً، در تعریفی که علم را اعتقاد می‌داند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در حالی که برخی علوم اصلاً معتقد و متعلق اعتقادی ندارند؛ مانند علم به این‌که خدا ثانی ندارد؛ ثالثاً، علم به تعریف باید علم به معرّف و مستفاد از یکی، همان مستفاد از دیگری باشد و حال آن‌که در برخی افراد چنین نبوده و با این‌که علم هست، ولی اعتقادی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تعریفی که در شرح الأصول الخمسه آورده شده، با تعریف المغنی ـ یعنی تعریف اول ـ در ظاهر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الاصول علم را غیر از اعتقاد و اخص از آن می‌داند، در حالی که در المغنی معتقد است علم از جنس اعتقاد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کمی دقت و ضمیمه کردن توجیهاتی که قاضی برای تعاریف برخی شیوخ معتزله از علم می‌آورد، می‌توان این ناسازگاری را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المغنی ـ چنان‌که گذشت ـ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منظور قاضی از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یقیضی سکون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دلیل که او در توضیح تعریف برخی اساتید خود از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من جنس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فمتی تعلق بالشیء علی ما هو به، و وقع علی وجه یقیضی سکون النفس، کان علما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هرگاه اعتقاد به چیزی آن‌چنان که هست تعلق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مطابق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آرامش نفس را در پی داشته باشد، علم است و هرگاه اعتقاد مطابق با واقع نباشد،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مراد قاضی از اعتقاد، اعتقاد عالمانه و از روی یقین است؛ از این رو می‌توان تعریف شرح الاصول را این‌گونه توجیه کرد که علم غیر از اعتقاد مقلدانه و غیرعالمانه است، ولی هرگاه اعتقاد به چیزی یقینی و مطابق با واقع باشد، به گونه‌ای که نفسِ معتقد بر اثر این اعتقاد آرامش یابد، این همان علم و معرفت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نظرگاه قاضی علم، اعتقاد عالمانه و یقینی مطابق با واقع است که سکونت نفس عالِم را اقتضا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تعریفی هم که از فخر رازی نقل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اعتقاد جازم مطابق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تعریف قاضی است، با این تفاوت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لحاظ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متکلمان اولیۀ معتزلی همچون ابوعلی جبائی و ابوهاشم جبائی، علم را اعتقاد مطابق با واقع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العلم هو اعتقاد الشیء علی ما هو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بر آن افزوده‌اند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نیز در واقع همان تعریف قدما را برگزیده و سعی بر اصلاح و تکمیل آن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قاضی از علم اگرچه نسبت به تعریف برخی متکلمان اشعری‌مذهب همچون ابوالحسن اشعری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هو ادراک المعلوم علی ما هو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معرفۀ المعلوم علی ما هو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باقلانی،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کامل‌تر بوده و مبتلا به اشکال دور نیست، با این حال مثل سایر تعاریف، خالی از اشکال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اشکال کلی که بر تمامی تعاریف وارد بود، بر این تعریف نیز وارد است و آن این‌که این تعریف را نمی‌توان تعریفی حقیقی دانست، چراکه علم از مفاهیم بدیهی و غیر قابل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دیگر این‌که، اعتقاد تنها شامل تصدیقات می‌گردد و متعلق اعتقاد، فقط گزاره‌ها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جرجانی،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409" w:name="pg3245_36565"/>
    </w:p>
    <w:p>
      <w:pPr>
        <w:pStyle w:val="BookText"/>
        <w:rPr/>
      </w:pPr>
      <w:bookmarkEnd w:id="409"/>
      <w:r>
        <w:rPr>
          <w:rFonts w:ascii="IRNazanin" w:hAnsi="IRNazanin" w:eastAsia="IRNazanin"/>
          <w:color w:val="111111"/>
          <w:sz w:val="28"/>
          <w:sz w:val="28"/>
          <w:szCs w:val="28"/>
          <w:rtl w:val="true"/>
          <w:lang w:bidi="fa-IR"/>
        </w:rPr>
        <w:t>مفاهیم تصوری را در بر نمی‌گیرد؛ از این رو تعریف جامعی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سوم این تعریف این است که سکونت نفس که قاضی آن را در تعریف خود اخذ کرده و در واقع فصل آن تعریف به شمار می‌آید، در غیر علم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شخص ممکن است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معنایی است که مقضی سکون نفس بوده و با علم هم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پیش از عبدالجبار و معاصر با او، یا تعریفی از معرفت ارائه نداده‌اند یا آن را با علم هم‌معنا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باقلانی اشعری، معاصر با قاضی، علم و معرفت را مترادف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باقلانی،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برخی متکلمان متأخر از قاضی، همچون سعدالدین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علم و معرفت فرق نهاده،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تعاریف بسیاری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می‌کند و سپس هر کدام را به دلایلی مردود می‌شمارد؛ اما آنچه جالب توجه و قابل تأمل است، تعریف و توصیف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وی از ابوعلی جبائی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وصف العلم بأنه وجود، فقد قال شیخنا 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توصیف علم به وجود، می‌توان خداوند متعال را به حسب عالم بودنش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عبدالجبار برخلاف تعاریف دیگرِ علم که آن‌ها را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باطل، بعید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می‌داند، متعرض صحت و سقم تعریف مزبور نمی‌گردد</w:t>
      </w:r>
      <w:r>
        <w:rPr>
          <w:rFonts w:eastAsia="IRNazanin" w:cs="IRNazanin"/>
          <w:color w:val="111111"/>
          <w:sz w:val="28"/>
          <w:szCs w:val="28"/>
          <w:rtl w:val="true"/>
          <w:lang w:bidi="fa-IR"/>
        </w:rPr>
        <w:t>.</w:t>
      </w:r>
    </w:p>
    <w:p>
      <w:pPr>
        <w:pStyle w:val="Heading3"/>
        <w:numPr>
          <w:ilvl w:val="2"/>
          <w:numId w:val="1"/>
        </w:numPr>
        <w:rPr/>
      </w:pPr>
      <w:bookmarkStart w:id="410" w:name="__RefHeading___Toc1986662_2749589250"/>
      <w:bookmarkStart w:id="411" w:name="_Toc170"/>
      <w:bookmarkEnd w:id="410"/>
      <w:r>
        <w:rPr/>
        <w:t>3</w:t>
      </w:r>
      <w:r>
        <w:rPr>
          <w:rtl w:val="true"/>
        </w:rPr>
        <w:t xml:space="preserve">. </w:t>
      </w:r>
      <w:r>
        <w:rPr>
          <w:rtl w:val="true"/>
        </w:rPr>
        <w:t>اقسام علم</w:t>
      </w:r>
      <w:bookmarkEnd w:id="41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پیش‌فرض‌های معرفتی عبدالجبار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وی، علم ضروری علمی است که حصول آن بالضروره و بدون این‌که از ناحیۀ خود ما باشد، برای ما حاصل شده، و نفی کردن این علم از نفس به هیچ وجه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اکتسبابی هم آن است که تحصیل آن ممکن و از ناحیۀ خود 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دیگر، علمی برآمده از فکر و نظر و اراده و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اصطلاحی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متکلمان نخستین، به‌ویژه متکلمان امامیه مطرح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اضطراری، معرفتی است که فرایند آن در قلمرو اراده و اختیار انسان نیست؛ در مقابلِ معرفت اکتسابی که محصول اراده و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تحقق این معرفت اضطراری خودبه‌خود و تخلف‌ناپذیر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امیرخانی،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 نزد</w:t>
      </w:r>
      <w:bookmarkStart w:id="412" w:name="pg3245_36566"/>
    </w:p>
    <w:p>
      <w:pPr>
        <w:pStyle w:val="BookText"/>
        <w:rPr/>
      </w:pPr>
      <w:bookmarkEnd w:id="412"/>
      <w:r>
        <w:rPr>
          <w:rFonts w:ascii="IRNazanin" w:hAnsi="IRNazanin" w:eastAsia="IRNazanin"/>
          <w:color w:val="111111"/>
          <w:sz w:val="28"/>
          <w:sz w:val="28"/>
          <w:szCs w:val="28"/>
          <w:rtl w:val="true"/>
          <w:lang w:bidi="fa-IR"/>
        </w:rPr>
        <w:t>عبدالجبار معرفت ضروری همان معرفت اضطراری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متکلمانِ متقدم،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امیرخانی،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413" w:name="__RefHeading___Toc1986664_2749589250"/>
      <w:bookmarkStart w:id="414" w:name="_Toc171"/>
      <w:bookmarkEnd w:id="413"/>
      <w:r>
        <w:rPr/>
        <w:t>4</w:t>
      </w:r>
      <w:r>
        <w:rPr>
          <w:rtl w:val="true"/>
        </w:rPr>
        <w:t xml:space="preserve">. </w:t>
      </w:r>
      <w:r>
        <w:rPr>
          <w:rtl w:val="true"/>
        </w:rPr>
        <w:t xml:space="preserve">نسبتِ </w:t>
      </w:r>
      <w:r>
        <w:rPr>
          <w:rtl w:val="true"/>
        </w:rPr>
        <w:t>«</w:t>
      </w:r>
      <w:r>
        <w:rPr>
          <w:rtl w:val="true"/>
        </w:rPr>
        <w:t>فکر و نظر</w:t>
      </w:r>
      <w:r>
        <w:rPr>
          <w:rtl w:val="true"/>
        </w:rPr>
        <w:t xml:space="preserve">» </w:t>
      </w:r>
      <w:r>
        <w:rPr>
          <w:rtl w:val="true"/>
        </w:rPr>
        <w:t xml:space="preserve">با </w:t>
      </w:r>
      <w:r>
        <w:rPr>
          <w:rtl w:val="true"/>
        </w:rPr>
        <w:t>«</w:t>
      </w:r>
      <w:r>
        <w:rPr>
          <w:rtl w:val="true"/>
        </w:rPr>
        <w:t>علم و معرفت</w:t>
      </w:r>
      <w:r>
        <w:rPr>
          <w:rtl w:val="true"/>
        </w:rPr>
        <w:t>»</w:t>
      </w:r>
      <w:bookmarkEnd w:id="414"/>
    </w:p>
    <w:p>
      <w:pPr>
        <w:pStyle w:val="BookText"/>
        <w:rPr/>
      </w:pPr>
      <w:r>
        <w:rPr>
          <w:rFonts w:ascii="IRNazanin" w:hAnsi="IRNazanin" w:eastAsia="IRNazanin"/>
          <w:color w:val="111111"/>
          <w:sz w:val="28"/>
          <w:sz w:val="28"/>
          <w:szCs w:val="28"/>
          <w:rtl w:val="true"/>
          <w:lang w:bidi="fa-IR"/>
        </w:rPr>
        <w:t xml:space="preserve">دربارۀ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دیدگاه کلی وجود دارد؛ برخی اساساً هیچ نسبتی بین این دو قائل نبوده، همۀ معارف را ضروری و غیراکتسابی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امامیۀ دوران حضور، از این دسته‌اند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همۀ معارف اکتسابی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هم بین معرفت خداوند و دیگر معارف تفاوت قائل شده، اولی را ضروری و دومی را اکتسابی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عبدالجبار از جملۀ کسانی است که به اکتسابی بودن تمامی علوم و معارف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صراحت بیان می‌دارد که نظر، به تولید علم می‌انجامد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هنگام تفکر و نظر صحیح در یک دلیل معلوم، شخص متفکر به مدلول آن دلیل معتقد می‌گردد، و این اعتقاد هم به حسب آن دلیل و بر طریق واحد است؛ به عبارت دیگر، با نظر کردن در یک دلیل خاص، مدلول همان دلیل به ادراک و اعتقاد درمی‌آید نه غیر آن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برای روشن شدن مطلب این‌گونه مثال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تفکر در دلیل حدوث اجسام، اعتقاد به نبوات به دست نخواهد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هرگاه نفس ناظر با نظر کردن در یک دلیل و رسیدن به یک اعتقاد درست، نسبت به مدلول آن دلیل، آرامش یابد و این حالت او را از جاهل، شاکّ و ظانّ متمایز گرداند، در این صورت نظرش صحیح بوده است،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ذاتی علم است و علم ذاتاً به عالِم آرامش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اعتقادی که هنگام نظر در دلیلی، سکونت نفس پدید آید، آن اعتقاد صحیح و مطابق واقع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قاضی لازم نیست برای بررسی درستی یک نظر، نظر دیگری صورت گیرد، چراکه در این صورت نظر دوم نیز در صحت و سقم خود، نیازمند نظر دیگری است؛ لذا تسلسل در نظر تحقق می‌یابد که محال و باطل است و باعث می‌شود هیچ‌گاه به صحت هیچ نظری دست نیابیم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اگرچه معتقد است صحت و سقم معلومات حسی به حکم و داوری عقل مشخص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قضاوت و داوری عقل بر دریافت‌های عقلانیِ برخاسته از نظر و تفکر را نمی‌پذیرد و تنها ملاک درستی و نادرستی این دریافت‌ها را آرامش خاطر ناظر می‌داند؛ این در حالی است که از</w:t>
      </w:r>
    </w:p>
    <w:p>
      <w:pPr>
        <w:pStyle w:val="BookText"/>
        <w:rPr/>
      </w:pPr>
      <w:r>
        <w:rPr>
          <w:rFonts w:ascii="IRNazanin" w:hAnsi="IRNazanin" w:eastAsia="IRNazanin"/>
          <w:color w:val="111111"/>
          <w:sz w:val="28"/>
          <w:sz w:val="28"/>
          <w:szCs w:val="28"/>
          <w:rtl w:val="true"/>
          <w:lang w:bidi="fa-IR"/>
        </w:rPr>
        <w:t>منظر اندیشمندان مسلمان، عقل یکی از عمده‌ترین راه‌های معرفت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عقل در معرفت بشری آن‌چنان مستحکم است که تنها از راه خود عقل می‌توان در اعتبار آن تردید یا آن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حواس بر عقل مبتنی است و معیار ارزیابی علوم حسی و هم‌چنین یکی از راه‌های ارزیابی تفاسیر، مکاشفات عرفانی عقل است، ملاک ارزیابی معلومات عقلی که از راه نظر و تفکر حاصل می‌شوند نیز خود عقل است؛ در واقع، عقل یک حقیقتِ مشکک و دارای مراتب است که مرتبۀ بالاتر بر داده‌های مراتب زیرین نظارت و قضاوت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علم چگونه به وجود می‌آید و محصول چیست، دیدگاه‌های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معتقد است، علم بر اثر عادت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 آن را محصول فیض و استعداد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ابوعثمان جاحظ که قائل به طبایع است و برای انسان فعلی غیر از اراده معتقد نیست و صدور دیگر افعال انسان را از روی طبع و ضرورت و نه اختیار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نیز فعل انسان نبوده و از طبع و ضرورت و نه با تولد از فعل دیگر، صادر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و از جملۀ ایشان قاضی عبدالجبار که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برمی‌گزینند، علم را مولود و زاییدۀ نظر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بر این باور است که نظر هرگاه از شخص عاقل در دلیل معلوم و بر وجه مطلوب صورت گیرد، تولید علم می‌کند و تمام ارزش نظر هم به همین علم‌آفرینی است و فی نفسه ارزش چندانی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مصطلح امروزی آن نیست، بلکه مراد این است که ناظر با نظر و تفکر در یک دلیل معلوم، اعتقادی درست و مطابق با واقع نسبت به مدلول آن پیدا می‌کند، به گونه‌ای که آرامش و اطمینانی قلبی برای او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که اقتضای سکونت نفس ناظر را دارد، از نظرگاه قاضی علم یا معرفت نام دارد که می‌توان از آن به قطع و یقین نسبت به مدلول دلیل تعبیر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عبدالجبار معتقد است، انسان همان‌گونه که بر اراده و فکر قدرت دارد و فاعل آن دو است، افعال جوارح و جوانح نیز مقدور و مفعول خود انسان است، چراکه اگر مراد، فعل انسان نباشد، اراده نیز فعل او نخواهد بود و این هم بدین جهت است که اراده تابع مراد است و تا چیزی یا فعلی نباشد که اراده به آن تعلق بگیرد، اراده معنا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قاضی، فعل متولد همچون فعل مباشر، فعل انسان است و فاعل آن نیز مانند فاعل فعل مباشر، مستحق مدح یا ذم است؛ البته این در صورتی است که فاعل، علم یا ظن داشته باشد که در اثر انجام فعل مباشر، فعلی دیگر خوب یا بد از آن تولد می‌یابد، اما اگر علم یا ظنّ</w:t>
      </w:r>
      <w:bookmarkStart w:id="415" w:name="pg3245_36568"/>
    </w:p>
    <w:p>
      <w:pPr>
        <w:pStyle w:val="BookText"/>
        <w:rPr/>
      </w:pPr>
      <w:bookmarkEnd w:id="415"/>
      <w:r>
        <w:rPr>
          <w:rFonts w:ascii="IRNazanin" w:hAnsi="IRNazanin" w:eastAsia="IRNazanin"/>
          <w:color w:val="111111"/>
          <w:sz w:val="28"/>
          <w:sz w:val="28"/>
          <w:szCs w:val="28"/>
          <w:rtl w:val="true"/>
          <w:lang w:bidi="fa-IR"/>
        </w:rPr>
        <w:t xml:space="preserve">به صدور فعل متولد در پی فعل مباشر نداشته باشد، تکلیفی بر وی نبوده و به منزلۀ ساهی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به بررسی رابطه و نسبت بین نظر با علم و معرفت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قاضی، رابطۀ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و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رابطۀ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نظر را فعل مباشر انسان ناظر می‌داند، زیرا با قصد و اراده و ابتدا به واسطۀ قدرت ناظر در محل قدرت حادث می‌گردد و هرگاه این فعل مباشر به طور صحیح در یک دلیل معلوم صورت گیرد، به سبب آن نظر و به حسب آن بدون قصد و ارادۀ شخص ناظر، فعلی جوانحی و قلبی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می‌یابد که فاعلِ این فعلِ متولد نیز همان شخص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القول فی افعال القلوب، ان العلم یقع بحسب النظر فیجب کونه متولدا دون ما عداه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شرایط منجر شدن نظر به تولید علم این است که نظر در یک دلیل معلوم صورت گیرد؛ البته باید توجه داشت که جنس نظر تولیدکنندۀ علم نیست، زیرا اگر چنین باشد همواره باید نظر به علم بینجامد، چه در دلیل باشد یا در غیر دلیل و نیز باید نظر در منافع و مضرات دنیوی ایجاد علم یا ظن کند، در حالی که این‌گونه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ناظر دچار لَبس یا شبهه‌ای گردد، به طوری که آن لَبس یا شبهه به آن دلیل خللی وارد سازد و ناظر را از عالم بودن نسبت به آن دلیل خارج کند، این تفکر باعث حصول علم و یقین به مدلول آن دلیل نخواهد شد؛ ولی هرگاه شبهه به دلیل، ضرر و خللی وارد نسازد، از منجر شدن نظر به علم نسبت به مدلول ممانعت نمی‌کند، زیرا چنین شبهه‌ای قدرت تأثیرگذاری در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حاصل 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دربارۀ شک و شبهه‌ای بود که بعد از نظر در دلیل منظور فیه ایجاد شود، ولی هرگاه شبهه پیش از نظر انداختن در دلیل برای ناظر به وجود آید، مثل این‌که پیش از تفکر در دلیل حدوث اجسام بر این گمان بود که اجسام قدیم هستند، در این صورت نیز فکر و نظر در دلیل، آن اعتقاد نادرست، یعنی قدم اجسام که شبهه اقتضای آن را داشت، را برطرف می‌سازد و اعتقادی صحیح و مطابق با واقع که آرامش نفس ناظر را دارد، یعنی علم به حدوث اجسام را به جای آن می‌نشاند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3"/>
        <w:numPr>
          <w:ilvl w:val="2"/>
          <w:numId w:val="1"/>
        </w:numPr>
        <w:rPr/>
      </w:pPr>
      <w:bookmarkStart w:id="416" w:name="__RefHeading___Toc1986666_2749589250"/>
      <w:bookmarkStart w:id="417" w:name="_Toc172"/>
      <w:bookmarkEnd w:id="416"/>
      <w:r>
        <w:rPr/>
        <w:t>5</w:t>
      </w:r>
      <w:r>
        <w:rPr>
          <w:rtl w:val="true"/>
        </w:rPr>
        <w:t xml:space="preserve">. </w:t>
      </w:r>
      <w:r>
        <w:rPr>
          <w:rtl w:val="true"/>
        </w:rPr>
        <w:t>دلایل تولید علم و معرفت از نظر</w:t>
      </w:r>
      <w:bookmarkEnd w:id="417"/>
    </w:p>
    <w:p>
      <w:pPr>
        <w:pStyle w:val="BookText"/>
        <w:rPr/>
      </w:pPr>
      <w:r>
        <w:rPr>
          <w:rFonts w:ascii="IRNazanin" w:hAnsi="IRNazanin" w:eastAsia="IRNazanin"/>
          <w:color w:val="111111"/>
          <w:sz w:val="28"/>
          <w:sz w:val="28"/>
          <w:szCs w:val="28"/>
          <w:rtl w:val="true"/>
          <w:lang w:bidi="fa-IR"/>
        </w:rPr>
        <w:t>از دیدگاه قاضی، دلیل بر این‌که نظر تولید علم می‌کند این است که نسبتِ علوم با فکر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نظر، نسبتی مستقیم است؛ بدین معنا که علوم با کثرت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قلّت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تقلیل</w:t>
      </w:r>
      <w:r>
        <w:rPr>
          <w:rFonts w:eastAsia="IRNazanin" w:cs="IRNazanin"/>
          <w:color w:val="111111"/>
          <w:sz w:val="28"/>
          <w:szCs w:val="28"/>
          <w:rtl w:val="true"/>
          <w:lang w:bidi="fa-IR"/>
        </w:rPr>
        <w:t>»</w:t>
      </w:r>
      <w:bookmarkStart w:id="418" w:name="pg3245_36569"/>
    </w:p>
    <w:p>
      <w:pPr>
        <w:pStyle w:val="BookText"/>
        <w:rPr/>
      </w:pPr>
      <w:bookmarkEnd w:id="418"/>
      <w:r>
        <w:rPr>
          <w:rFonts w:ascii="IRNazanin" w:hAnsi="IRNazanin" w:eastAsia="IRNazanin"/>
          <w:color w:val="111111"/>
          <w:sz w:val="28"/>
          <w:sz w:val="28"/>
          <w:szCs w:val="28"/>
          <w:rtl w:val="true"/>
          <w:lang w:bidi="fa-IR"/>
        </w:rPr>
        <w:t>می‌یابند، و این کثرت و قلت یافتن علوم به آگاهی ناظر نسبت به ادله مربوط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علوم مولود و محصول فکر و نظر نبود، این کثرت و قلت در آن‌ها هم وجود نداشت</w:t>
      </w:r>
    </w:p>
    <w:p>
      <w:pPr>
        <w:pStyle w:val="BookText"/>
        <w:rPr/>
      </w:pPr>
      <w:r>
        <w:rPr>
          <w:rFonts w:ascii="IRNazanin" w:hAnsi="IRNazanin" w:eastAsia="IRNazanin"/>
          <w:color w:val="111111"/>
          <w:sz w:val="28"/>
          <w:sz w:val="28"/>
          <w:szCs w:val="28"/>
          <w:rtl w:val="true"/>
          <w:lang w:bidi="fa-IR"/>
        </w:rPr>
        <w:t xml:space="preserve">و می‌بایست همواره به یک صورت باشند و حال آن‌که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دومی که قاضی بر مدعای خود اقامه می‌کند این است که نظر فی ذاته مقصود نیست، بلکه ترس از واقع شدن در ضرر، آدمی را به تفکر و نظر وامی‌دارد و وجه وجوب نظر هم در امور دنیا و هم در امور آخرت، همین است؛ بنابراین هرگاه وجوب نظر هنگام خوف و ترس ثابت شد، لاجرم باید این نظر به تولید علم و معرفت منجر شود، چراکه در غیر این صورت وجوب نظر، بی‌معنا و بدون وجه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دلیل که می‌توان از زبان عبدالجبار بیان کرد این‌که ارتباط نظر با علم و معرفت، از نوع ارتباط سبب و مسبب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ذاتی نظر بوده که هرگاه نظر در یک دلیل با شرایط خاصّ خود ـ که پیش از این ذکر شد ـ صورت گیرد، علم می‌آورد و این ویژگی نه از آن منظور فیه و یا دلیل معلوم است و نه شخص ناظر و متفکر را حالتی است که آن حالت در ایجاد علم و معرفت، نقشی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3"/>
        <w:numPr>
          <w:ilvl w:val="2"/>
          <w:numId w:val="1"/>
        </w:numPr>
        <w:rPr/>
      </w:pPr>
      <w:bookmarkStart w:id="419" w:name="__RefHeading___Toc1986668_2749589250"/>
      <w:bookmarkStart w:id="420" w:name="_Toc173"/>
      <w:bookmarkEnd w:id="419"/>
      <w:r>
        <w:rPr/>
        <w:t>6</w:t>
      </w:r>
      <w:r>
        <w:rPr>
          <w:rtl w:val="true"/>
        </w:rPr>
        <w:t xml:space="preserve">. </w:t>
      </w:r>
      <w:r>
        <w:rPr>
          <w:rtl w:val="true"/>
        </w:rPr>
        <w:t>نظر و نقش آن در معرفت خداوند</w:t>
      </w:r>
      <w:bookmarkEnd w:id="420"/>
    </w:p>
    <w:p>
      <w:pPr>
        <w:pStyle w:val="Heading4"/>
        <w:numPr>
          <w:ilvl w:val="3"/>
          <w:numId w:val="1"/>
        </w:numPr>
        <w:rPr/>
      </w:pPr>
      <w:bookmarkStart w:id="421" w:name="__RefHeading___Toc1986670_2749589250"/>
      <w:bookmarkStart w:id="422" w:name="_Toc174"/>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 xml:space="preserve">معرفت و شناختِ خداوند متعال، نزد عبدالجبار هدف اصیل و کمال معارف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منیعی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همچون دیگر اندیشمندان مسلمان معتقد است، سرآغاز دعوت انبیا به سوی معرفت خداوند بوده است تا در سایۀ این معرفت، به عبادت خدا پرداخته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به حکم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اعبُدُوا رَبَّکُم الَّذِی خَلَقَکُم وَ الَّذِینَ مِن قَبلِکُم لَعَلَّکُم تَتَّقُون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مأمور به عبادت خداوند شده‌اند، اما این امر به عبادت در صورتی صحیح است که مسبوق به امر به معرفت خداوند باشد و این معرفت هم از طریق نظر و تفکر حاصل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معتزلیان بصره و از جملۀ ایشان قاضی عبدالجبار معتقدند، نخستین تکلیف و اولین امر ضروری و واجب، استدلال، نظر و تفکر برای شناخت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bookmarkStart w:id="423" w:name="pg3245_36570"/>
    </w:p>
    <w:p>
      <w:pPr>
        <w:pStyle w:val="Heading4"/>
        <w:numPr>
          <w:ilvl w:val="3"/>
          <w:numId w:val="1"/>
        </w:numPr>
        <w:rPr/>
      </w:pPr>
      <w:bookmarkStart w:id="424" w:name="__RefHeading___Toc1986672_2749589250"/>
      <w:bookmarkStart w:id="425" w:name="_Toc175"/>
      <w:bookmarkEnd w:id="423"/>
      <w:bookmarkEnd w:id="424"/>
      <w:r>
        <w:rPr/>
        <w:t>1</w:t>
      </w:r>
      <w:r>
        <w:rPr>
          <w:rtl w:val="true"/>
        </w:rPr>
        <w:t>ـ</w:t>
      </w:r>
      <w:r>
        <w:rPr/>
        <w:t>6</w:t>
      </w:r>
      <w:r>
        <w:rPr>
          <w:rtl w:val="true"/>
        </w:rPr>
        <w:t xml:space="preserve">. </w:t>
      </w:r>
      <w:r>
        <w:rPr>
          <w:rtl w:val="true"/>
        </w:rPr>
        <w:t>وجوب نظر در معرفت خدا</w:t>
      </w:r>
      <w:bookmarkEnd w:id="425"/>
    </w:p>
    <w:p>
      <w:pPr>
        <w:pStyle w:val="BookText"/>
        <w:rPr/>
      </w:pPr>
      <w:r>
        <w:rPr>
          <w:rFonts w:ascii="IRNazanin" w:hAnsi="IRNazanin" w:eastAsia="IRNazanin"/>
          <w:color w:val="111111"/>
          <w:sz w:val="28"/>
          <w:sz w:val="28"/>
          <w:szCs w:val="28"/>
          <w:rtl w:val="true"/>
          <w:lang w:bidi="fa-IR"/>
        </w:rPr>
        <w:t xml:space="preserve">عبدالجبار معرفت خداوند را واجب و لازم می‌داند و معتقد است این وجوب و لزوم با عقل فهمیده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وی بر این باور است که برای دست یافتن به معرفت خداوند باید از عقل، استدلال و نظر کمک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اساساً از دیدگاه عبدالجبار عقل بدون مدد وحی، شایستگی آن را دارد که انسان را به یقین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مکدرموت،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رو، به وجوب و لزوم عقلیِ نظر و تفکر در شناختن خداوند قائل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شایستۀ ذکر است، قاضی بر اساس آیاتی چند از قرآن کریم، از جمله آیۀ هفدهم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وجوب شرعی نظر نیز فتوا می‌دهد که می‌توان گفت این حکم شرع، تأیید و ارشاد به همان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قاضی بر وجوب عقلی نظر در معرفت خداوند این است که قول و فعل و یا به عبارت دیگر، دستورات شارع بعد از معرفت خود شارع، یعنی خداوند متعال به دست می‌آید و از اعتبار و حجیت برخوردار می‌گردد، و شناخت خداوند هم تنها با نظر و تفکر حاصل می‌گردد؛ از این رو پی می‌بریم که نظر، نخستین واجب و امر ضروری بر مکلف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4"/>
        <w:numPr>
          <w:ilvl w:val="3"/>
          <w:numId w:val="1"/>
        </w:numPr>
        <w:rPr/>
      </w:pPr>
      <w:bookmarkStart w:id="426" w:name="__RefHeading___Toc1986674_2749589250"/>
      <w:bookmarkStart w:id="427" w:name="_Toc176"/>
      <w:bookmarkEnd w:id="426"/>
      <w:r>
        <w:rPr/>
        <w:t>2</w:t>
      </w:r>
      <w:r>
        <w:rPr>
          <w:rtl w:val="true"/>
        </w:rPr>
        <w:t>ـ</w:t>
      </w:r>
      <w:r>
        <w:rPr/>
        <w:t>6</w:t>
      </w:r>
      <w:r>
        <w:rPr>
          <w:rtl w:val="true"/>
        </w:rPr>
        <w:t xml:space="preserve">. </w:t>
      </w:r>
      <w:r>
        <w:rPr>
          <w:rtl w:val="true"/>
        </w:rPr>
        <w:t>جهت وجوب نظر در معرفت خداوند</w:t>
      </w:r>
      <w:bookmarkEnd w:id="427"/>
    </w:p>
    <w:p>
      <w:pPr>
        <w:pStyle w:val="BookText"/>
        <w:rPr/>
      </w:pPr>
      <w:r>
        <w:rPr>
          <w:rFonts w:ascii="IRNazanin" w:hAnsi="IRNazanin" w:eastAsia="IRNazanin"/>
          <w:color w:val="111111"/>
          <w:sz w:val="28"/>
          <w:sz w:val="28"/>
          <w:szCs w:val="28"/>
          <w:rtl w:val="true"/>
          <w:lang w:bidi="fa-IR"/>
        </w:rPr>
        <w:t>همان‌گونه که پیش‌تر گفته شد، در نگاه قاضی خوف وقوع در ضرر معلوم یا مظنون، اساس جهت وجوب نظر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خوف ابتدا به ساکن و بدون جهت برای انسان حاصل نمی‌گردد، بلکه مکلف وقتی به رشد و کمال عقلی رسید، ناگزیر ترسی وجود او را فرا می‌گیرد که مبادا بر اثر ترک نظر و تفکر در معرفت خداوند، ضرری متوجه 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قاضی، این ترس برای مکلف یا از آن جهت پیدا می‌شود که مردمی که در میان ایشان پرورش یافته و با آن‌ها اختلاط و مراوده داشته، این ترس را در او القا می‌کنند و همین امر مکلف عاقل را به تفکر و اندیشه وامی‌دارد، و یا از آن جهت که به اندیشیدن دربارۀ برخی آیات و نشانه‌ها پرداخته و همین آیات او را از نظر نکردن بیمناک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کسانی مکلف را به نظر و تفکر دعوت و تشویق کنند یا از عواقب شوم نظر نکردن بترسانند؛ هم‌چنین چه بسا در برخی موارد، خداوند متعال یا فرشتگان مقرب، چیزی را در انسان به وجود می‌آورند و با نجواهایی او را متذکر کنند که مبادا غافل شود و صانع، خالق و مدبر خود و نیز ثواب و عقاب او را فراموش کند؛ در نتیجه وی را به اندیشیدن برمی‌انگیزاند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دنبال همه یا برخی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bookmarkStart w:id="428" w:name="pg3245_36571"/>
    </w:p>
    <w:p>
      <w:pPr>
        <w:pStyle w:val="BookText"/>
        <w:rPr/>
      </w:pPr>
      <w:bookmarkEnd w:id="428"/>
      <w:r>
        <w:rPr>
          <w:rFonts w:ascii="IRNazanin" w:hAnsi="IRNazanin" w:eastAsia="IRNazanin"/>
          <w:color w:val="111111"/>
          <w:sz w:val="28"/>
          <w:sz w:val="28"/>
          <w:szCs w:val="28"/>
          <w:rtl w:val="true"/>
          <w:lang w:bidi="fa-IR"/>
        </w:rPr>
        <w:t>اسباب و اَمارات مذکور، خوفی در مکلف ایجاد می‌شود و او را از ضرر متوقف بر ترک نظر بیمناک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عقل بر وجوب دفع ضرر از نفس حکم می‌کند؛ ضرری که اعم است از این‌که معلوم باشد یا مظنون، متعارف باشد یا غیرمتعارف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لازمۀ این دفع ضرر هم نظر و تفکر در معرفت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3"/>
        <w:numPr>
          <w:ilvl w:val="2"/>
          <w:numId w:val="1"/>
        </w:numPr>
        <w:rPr/>
      </w:pPr>
      <w:bookmarkStart w:id="429" w:name="__RefHeading___Toc1986676_2749589250"/>
      <w:bookmarkStart w:id="430" w:name="_Toc177"/>
      <w:bookmarkEnd w:id="429"/>
      <w:r>
        <w:rPr/>
        <w:t>7</w:t>
      </w:r>
      <w:r>
        <w:rPr>
          <w:rtl w:val="true"/>
        </w:rPr>
        <w:t xml:space="preserve">. </w:t>
      </w:r>
      <w:r>
        <w:rPr>
          <w:rtl w:val="true"/>
        </w:rPr>
        <w:t>طریق شناخت خدا از دیدگاه عبدالجبار</w:t>
      </w:r>
      <w:bookmarkEnd w:id="430"/>
    </w:p>
    <w:p>
      <w:pPr>
        <w:pStyle w:val="BookText"/>
        <w:rPr/>
      </w:pPr>
      <w:r>
        <w:rPr>
          <w:rFonts w:ascii="IRNazanin" w:hAnsi="IRNazanin" w:eastAsia="IRNazanin"/>
          <w:color w:val="111111"/>
          <w:sz w:val="28"/>
          <w:sz w:val="28"/>
          <w:szCs w:val="28"/>
          <w:rtl w:val="true"/>
          <w:lang w:bidi="fa-IR"/>
        </w:rPr>
        <w:t xml:space="preserve">عبدالجبار و به طور کلی بسیاری از معتزلیان، در آثار خود تصریح کرده‌اند که توحید، عدل، صفات ذات و افعال خداوند را نمی‌توان ابتدا از قرآن مجید و سنت به دست آورد و این متون مقدس منشأ اصلی و نخستین این معرفت‌ها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 شبستری،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سرآغاز این معارف، عقل و استدلال است و دین در مسائل شرع تأکیدکنندۀ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معتزله، تعبیر‌های گوناگونی در این باره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که اندیشۀ اعتزالی در آثار او به اوج خود رسیده، دربارۀ این موضوع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خداوند به عقلیاتی چون توحید و عدل، دلالت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تعبیر محکم‌تری به کار برده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 ابتدایی قرآن بر عقلیات،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مجتهد شبستری،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ضمن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روشی که هر گاه ناظر در آن نظر اندازد و تفکر کند، او را به شناخت مجهولش واصل می‌گرداند، و مترادف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را به چهار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کتاب، سنت و اجماع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علت انحصار دلالت به این چهار مورد، منطبق بودن تعریف دلیل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قاضی، قیاس و خبر واحد زیرمجموعۀ کتاب و سنت است؛ از این رو ذکر آن‌ها به عنوان دلیلی مستقل در کنار ادلۀ اربعه،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بین ادلۀ چهارگانۀ فوق، تنها راه رسیدن به معرفت خداوند را تعقل و اندیشه می‌داند و در دیگر ادله و راه‌ها، در دست دادن و ایجاد معرفت خداوند دلالتی نمی‌بیند، زیرا سایر ادله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یعنی کتاب، سنت و اجماع ـ فروع معرفت خداوند هستند و استدلال به آن‌ها بر خداوند استدلال به فرع شیء بر اصل آن بوده که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قاضی، تا وقتی بر اساس فکر و نظر، شناختی نسبت به خداوند، یگانگی و اسما و صفات او، به‌ویژه صفت عدالت حاصل نشود، نوبت به تصدیق کتاب، سنت و اجماع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مطلب هم این است که حجیت کتاب الهی زمانی ثابت می‌شود که عدالت و حکمت خداوند و روا نبودن کذب بر او ثابت گردد و این امور همه فرع بر معرفت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سنت هم متفرع بر عادل و حکیم بودن پیامبر</w:t>
      </w:r>
      <w:bookmarkStart w:id="431" w:name="pg3245_36572"/>
    </w:p>
    <w:p>
      <w:pPr>
        <w:pStyle w:val="BookText"/>
        <w:rPr/>
      </w:pPr>
      <w:bookmarkEnd w:id="43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نیز هرگاه مستند به کتاب یا سنت باشد، از حجیت و اعتبار برخوردار می‌گردد؛ کتاب و سنتی که خود بر اصل معرفۀ الله استوار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عبدالجبار معتقد است، شناخت خداوند تنها از طریق عقل امکان‌پذیر است؛ البته نه به ضرورت و بداهت عقل، بلکه به اکتساب عقلی؛ به عبارت دیگر، این شناخت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مقام اثبات وجود خداوند، به شیوۀ متکلمان از طریق حدوث اجسام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بر اجسام بر وجود خدا استدلال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ابوالهذیل علاف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دیگران از جمله قاضی در این امر از او پیروی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معتقد است، استدلال به اجسام بر وجود خدا از استدلال به غیراجسام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اعراض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و دلایلی هم برای این برتری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این دلایل این است که علم و شناخت کامل توحید، تنها زمانی حاصل می‌شود که این جهان با حدوث اجسام تحقق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عبدالجبار،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گفت، قاضی برهان جهان‌شناختی را بهترین دلیل برای شناخت کامل توحید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گفت، این ادعای عبدالجبار که تنها دلیل و منبع شناخت خداوند را عقل می‌داند و این پندار او که شناخت کاملِ توحید از راه نظر و تفکر در براهین جهان‌شناختی به دست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اشکالاتی رو‌به‌روست، چراکه اولاً، علاوه بر عقل، نقل و قلب نیز به عنوان دو راه و دو منبع دیگر شناخت معارف دینی و خداوند مطرح است؛ ثانیاً، خود عقل در فهم و درک این معارف و شناخت نسبت به خداوند با محدودیت‌هایی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ادراک حقیقتِ وجود و هویت هستی جز از طریق مشاهده و حضور در محضر آن امکان‌پذیر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هم کمال خداشناسی را از طریق اخلاص و بندگی، یعنی همان راه قلب و شهود، دست‌یافتنی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اگرچه شناخت حضوریِ کنه ذات حق‌تعالی محال است، اما از آن جهت که مرتبۀ علت شریف‌تر از وجود معلول است، نمی‌توان به طور کلی منکر علم معلول به علت یا مخلوق به خالق شد، بلکه معلول می‌تواند بنا بر وسعش به علت خویش علم و معرفت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Heading3"/>
        <w:numPr>
          <w:ilvl w:val="2"/>
          <w:numId w:val="1"/>
        </w:numPr>
        <w:rPr/>
      </w:pPr>
      <w:bookmarkStart w:id="432" w:name="__RefHeading___Toc1986678_2749589250"/>
      <w:bookmarkStart w:id="433" w:name="_Toc178"/>
      <w:bookmarkEnd w:id="432"/>
      <w:r>
        <w:rPr/>
        <w:t>8</w:t>
      </w:r>
      <w:r>
        <w:rPr>
          <w:rtl w:val="true"/>
        </w:rPr>
        <w:t xml:space="preserve">. </w:t>
      </w:r>
      <w:r>
        <w:rPr>
          <w:rtl w:val="true"/>
        </w:rPr>
        <w:t>دلایل نظری بودن معرفت خدا</w:t>
      </w:r>
      <w:bookmarkEnd w:id="43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قاضی ادله‌ای چند بر مدعای خود، یعنی اکتسابی و نظری بودن معرفت خداوند و نه بدیهی و ضروری بودن آن اقامه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نخست این‌که، علم و معرفت به خداوند به حسب</w:t>
      </w:r>
      <w:bookmarkStart w:id="434" w:name="pg3245_36573"/>
    </w:p>
    <w:p>
      <w:pPr>
        <w:pStyle w:val="BookText"/>
        <w:rPr/>
      </w:pPr>
      <w:bookmarkEnd w:id="434"/>
      <w:r>
        <w:rPr>
          <w:rFonts w:ascii="IRNazanin" w:hAnsi="IRNazanin" w:eastAsia="IRNazanin"/>
          <w:color w:val="111111"/>
          <w:sz w:val="28"/>
          <w:sz w:val="28"/>
          <w:szCs w:val="28"/>
          <w:rtl w:val="true"/>
          <w:lang w:bidi="fa-IR"/>
        </w:rPr>
        <w:t>فکر و نظر حاصل می‌شود؛ از این رو باید از همین فکر و نظر هم به دست آید و تولد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فاعلِ سبب، فاعلِ مسبب نیز هست و نظر به منزلۀ سبب برای معرفت است و هم‌چنین نظر، فعلِ ناظر است، بنابراین مولود و محصول آن، یعنی علم و معرفت به خداوند نیز فعل ناظر است؛ و این بدین معناست که معرفت به خداوند اکتسابی است نه ضروری، چراکه ضروری علمی است که خود‌به‌خود در ما حاصل شده، از ناحیۀ خود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این‌که، ما به طور بداهت در خود می‌یابیم که معرفت خداوند به حسب قصد و انگیزۀ ما واقع می‌شود و به حسب کراهت و انصراف ما منتفی می‌گردد، و این خود حاکی از آن است که معرفت خداوند از ناحیۀ ما حاصل می‌شود؛ پس اکتسابی و نظری است نه ضروری و 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دلیل این‌که، اگر علم به خداوند ضروری باشد، لازم می‌آید کسانی مثل کفار که بر اثر شناخت نداشتن به خدا کافر شدند، معذور باشند، زیرا در نظر کسانی که علم به خدا را ضروری می‌دانند، این علم و معرفت از سوی خداوند افاضه می‌گردد و هر که را بخواهد، از آن بهره‌مند و هر کسی را بخواهد، محروم می‌گرداند؛ از این رو معرفت به خداوند نمی‌تواند ضروری باشد، بلکه اکتسابی بوده و از روی نظر و استدلال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هم این‌که، اگر معرفت به خداوند ضروری و بدیهی می‌بود، نفی کردن آن از نفس با شک و شبهه ممکن نبود، در حالی که بسیار بودند کسانی که به مسلمان بودن شهرت داشتند، با این حال کافر و مرتد گشتند و علم و معرفت به خداوند را از خود نفی و انکار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قاضی، خداوند هم‌چنین به مشاهده نیز شناخته نمی‌شود، وگرنه مردم او را به عیان مشاهده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شناخت نظری و استدلالی خداوند که عبدالجبار به آن معتقد گشت، مربوط به عالم دنیا و دار تکلیف است، ولی دربارۀ عالم آخرت وی قائل است که معرفت خداوند برای شخص محتضر و برای اهل آخرت، ضروری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3"/>
        <w:numPr>
          <w:ilvl w:val="2"/>
          <w:numId w:val="1"/>
        </w:numPr>
        <w:rPr/>
      </w:pPr>
      <w:bookmarkStart w:id="435" w:name="__RefHeading___Toc1986680_2749589250"/>
      <w:bookmarkStart w:id="436" w:name="_Toc179"/>
      <w:bookmarkEnd w:id="435"/>
      <w:r>
        <w:rPr>
          <w:rtl w:val="true"/>
        </w:rPr>
        <w:t>نتیجه‌گیری</w:t>
      </w:r>
      <w:bookmarkEnd w:id="43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عبدالجبار، یک متکلم عقل‌گرای قاعده‌نگرِ مبناگراست، و آرای کلامی او بر مبانی و پیش‌فرض‌های معرفتی‌اش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مبانی و منابع شناخت نزد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وی، شناخت ضرورتاً فعلی انسانی است و عقل همان وسیله‌ای است که این شناخت را برای انسان محقق می‌کند؛ بدین ترتیب، لازم است خداوند انسان را به نیروی عقل مجهز کند تا بتواند تکلیف خود را به نحو شایسته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همراه ادراکات حسی، مایه‌های اولیۀ نظر و استدلال را تشکیل می‌دهد و این نظر هم عامل کسب علم و معرفت</w:t>
      </w:r>
      <w:bookmarkStart w:id="437" w:name="pg3245_36574"/>
    </w:p>
    <w:p>
      <w:pPr>
        <w:pStyle w:val="BookText"/>
        <w:rPr/>
      </w:pPr>
      <w:bookmarkEnd w:id="437"/>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مراتب ادراکی انسان را سه مرحله می‌داند که متعلق هریک از این مراتب، جدای از دیگری است؛ و در عین حال، میان علوم رابطۀ تنگاتنگی وجود دارد، به گونه‌ای که در نظر او علم به مدرکات ـ که نتیجۀ ادراک حسی است ـ، پیش‌در‌آمد علم ضروری است، و علم ضروری</w:t>
      </w:r>
    </w:p>
    <w:p>
      <w:pPr>
        <w:pStyle w:val="BookText"/>
        <w:rPr/>
      </w:pPr>
      <w:r>
        <w:rPr>
          <w:rFonts w:ascii="IRNazanin" w:hAnsi="IRNazanin" w:eastAsia="IRNazanin"/>
          <w:color w:val="111111"/>
          <w:sz w:val="28"/>
          <w:sz w:val="28"/>
          <w:szCs w:val="28"/>
          <w:rtl w:val="true"/>
          <w:lang w:bidi="fa-IR"/>
        </w:rPr>
        <w:t>ـ به عنوان مقدمه ی استدلال عقلی ـ پیش‌درآمد علم اکتسابی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این علوم با یک‌دیگر، رابطۀ علت با نتیجه است و از آن‌جا که تفکر و تعقل، مرتبه‌ای فوق دو مرتبۀ دیگر است، بنابراین بر آن دو نیز حاکم و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اولین تکلیف آدمی را نظر و استدلال عقلی بر وجود خداوند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مقام متکلم معتزلی‌مذهب، شیوه‌ای عقل‌گرایانه در برخورد با مسائل را دنبال می‌کند و برای پاسخ به پرسش‌های اساسی، از جمله پرسش از تکلیف اول، به بحث عقلانی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تبادر پرسش‌های بنیادین به ذهن را نتیجۀ طبیعی حضور فرد در جامعه می‌داند و منشأ این سؤالات را خطر احتمالی برمی‌شمرد که انسان آن را به طور طبیعی در نتیجۀ تعامل با جامعه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راه رهایی از این ترس را به‌کارگیری نیروی فهم فرآیند استدلالی می‌داند که حاصل آن، ایجاد علم و معرفت در وجود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حل مسئله نخستین تکلیف، رجوع به متن قرآن یا سنت را پیشنهاد نمی‌کند، بلکه از نظر او پذیرش دین، امری فرادینی است و برای آگاهی از آن باید راهی مطمئن و قابل دسترس برای تمام افراد، اعم از شکاک و منکر معرفی کرد که همان راه عقل و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مقام اثبات و شناخت اموری چون توحید، عدل و دیگر صفات خداوند، تنها دلیل عقلی را پذیرفته و دلیل نقلی را تنبیه و تأکیدی بر دلیلی عقلی می‌داند</w:t>
      </w:r>
      <w:r>
        <w:rPr>
          <w:rFonts w:eastAsia="IRNazanin" w:cs="IRNazanin"/>
          <w:color w:val="111111"/>
          <w:sz w:val="28"/>
          <w:szCs w:val="28"/>
          <w:rtl w:val="true"/>
          <w:lang w:bidi="fa-IR"/>
        </w:rPr>
        <w:t>.</w:t>
      </w:r>
    </w:p>
    <w:p>
      <w:pPr>
        <w:pStyle w:val="Heading3"/>
        <w:numPr>
          <w:ilvl w:val="2"/>
          <w:numId w:val="1"/>
        </w:numPr>
        <w:rPr/>
      </w:pPr>
      <w:bookmarkStart w:id="438" w:name="__RefHeading___Toc1986682_2749589250"/>
      <w:bookmarkStart w:id="439" w:name="_Toc180"/>
      <w:bookmarkEnd w:id="438"/>
      <w:r>
        <w:rPr>
          <w:rtl w:val="true"/>
        </w:rPr>
        <w:t>منابع</w:t>
      </w:r>
      <w:bookmarkEnd w:id="4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ابوالحسن،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الاسلامیین و اختلاف المصلین، آلمان، فرانس شتاینر،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امیرخانی، علی،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 معرفت اضطراری در مدرسه کلامی امامیه در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انجمن کلام اسلامی حوزه،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باقلانی، قاضی ابوبکر،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الانصاف، بیروت، دارالکتب العلمیه،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بدوی، عبدالرحمان،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اندیشه‌های کلامی در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صابری، مشهد، آستان قدس رضوی،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رضا،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آشنایی با فرق و مذاهب اسلامی، قم، کتاب طه، چاپ هفدهم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عبدالقاهر،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الایمان، بیروت، مکتبۀ الهلال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پهلوانی‌نژاد، محبوبه،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عقل‌گرایی از دیدگاه ملاصدرا و عبدالجبار 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پایان‌نامه کارشناسی ارشد، دانشگاه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سعدالدین،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المقاصد، قم، شریف الرضی،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ابوعثمان عمرو بن بحر،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الجاحظ، بیروت، مکتبۀ الهلال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المواقف، قم، شریف رضی،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محسن،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اخلاقی قاضی عبدالجبار 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پژوهش‌های فلسفی ـ کلامی، شماره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معرفت‌شناسی در قرآن، قم، اسراء،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منزلت عقل در هندسه معرفت دینی، قم، اسراء،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دهقانی‌نژاد، عباس،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شهودگروی اخلاقی قاضی عبدالجبار 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دینی، شماره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راشدی‌نیا، اکبر،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شرح الأصول الخمسۀ تألیف قاضی عبدالجبار یا قوام‌الدین مانکدیم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معارف عقلی، شماره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زاهد غیاثی، محمد،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تفکر در اندیشه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گلستان قرآن، شماره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محمدتقی،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عقل‌گرایی و نص‌گرایی در کلام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و نظر،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نظریه المعرفۀ، قم، مؤسسه 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محمد بن عبدالکریم،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الملل و النحل، قم، الشریف الرضی،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صدرالدین شیرازی، محمد،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الحکمۀ المتعالیه فی الأسفار الاربعه، تهران، بنیان حکمت اسلامی صدرا،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الغیب، تهران، بنیاد حکمت اسلامی صدرا،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سیدمحمدحسین،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در اسلام، قم، بوستان کتاب،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رسائل، قم، بوستان کتاب،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ابوجعفر محمد بن الحسن،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تلخیص المحصل المعروف بنقد المحصل، بیروت، دار الاضواء،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اسدآبادی همدانی، قاضی عبدالجبار،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الأصول الخمسه، بیروت، دار احیاء التراث العربی،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المغنی فی أبواب التوحید و العدل، قاهره، الدار المصریه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تنزیه القرآن عن المطاعن، دار النهضۀ الحدیثه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المجموع المحیط بالتکلیف فی العقاید، قاهره، دار المصریه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فیاضی، غلامرضا،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درآمدی بر معرفت‌شناسی، قم، عترت،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 شبستری، محمد،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هرمنوتیک کتاب و سنت، تهران، طرح نو،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و مقتضیات زمان، تهران، صدرا، چاپ چهاردهم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مکدرموت، مارتین،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اندیشه‌های کلامی شیخ مفید،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تهران، دانشگاه تهران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نظرنژاد، نرگس،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معناشناسی اوصاف الهی از دیدگاه قاضی عبدالجبار معتزلی و ویلیام آلستون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دینی، شماره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هدایت‌پناه، محمدرضا،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روش‌شناسی تاریخی قاضی عبدالجبار 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حوزه،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bookmarkStart w:id="440" w:name="pg3245_36577"/>
    </w:p>
    <w:p>
      <w:pPr>
        <w:pStyle w:val="Heading2"/>
        <w:numPr>
          <w:ilvl w:val="1"/>
          <w:numId w:val="1"/>
        </w:numPr>
        <w:rPr/>
      </w:pPr>
      <w:bookmarkStart w:id="441" w:name="__RefHeading___Toc1986684_2749589250"/>
      <w:bookmarkStart w:id="442" w:name="_Toc181"/>
      <w:bookmarkEnd w:id="440"/>
      <w:bookmarkEnd w:id="441"/>
      <w:r>
        <w:rPr>
          <w:rtl w:val="true"/>
        </w:rPr>
        <w:t xml:space="preserve">مراحل فعل الهی در آیات و روایات </w:t>
      </w:r>
      <w:r>
        <w:rPr>
          <w:rtl w:val="true"/>
        </w:rPr>
        <w:t xml:space="preserve">/ </w:t>
      </w:r>
      <w:r>
        <w:rPr>
          <w:rtl w:val="true"/>
        </w:rPr>
        <w:t>رضا برنجکار ،مکارم ترجمان</w:t>
      </w:r>
      <w:bookmarkEnd w:id="442"/>
    </w:p>
    <w:p>
      <w:pPr>
        <w:pStyle w:val="Heading3"/>
        <w:numPr>
          <w:ilvl w:val="2"/>
          <w:numId w:val="1"/>
        </w:numPr>
        <w:rPr/>
      </w:pPr>
      <w:bookmarkStart w:id="443" w:name="__RefHeading___Toc1986686_2749589250"/>
      <w:bookmarkStart w:id="444" w:name="_Toc182"/>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 xml:space="preserve">رضا برنجکار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مکارم ترجمان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12/06/1395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03/07/1395</w:t>
      </w:r>
    </w:p>
    <w:p>
      <w:pPr>
        <w:pStyle w:val="Heading3"/>
        <w:numPr>
          <w:ilvl w:val="2"/>
          <w:numId w:val="1"/>
        </w:numPr>
        <w:rPr/>
      </w:pPr>
      <w:bookmarkStart w:id="445" w:name="__RefHeading___Toc1986688_2749589250"/>
      <w:bookmarkStart w:id="446" w:name="_Toc183"/>
      <w:bookmarkEnd w:id="445"/>
      <w:r>
        <w:rPr>
          <w:rtl w:val="true"/>
        </w:rPr>
        <w:t>چکیده</w:t>
      </w:r>
      <w:bookmarkEnd w:id="446"/>
    </w:p>
    <w:p>
      <w:pPr>
        <w:pStyle w:val="BookText"/>
        <w:rPr/>
      </w:pPr>
      <w:r>
        <w:rPr>
          <w:rFonts w:ascii="IRNazanin" w:hAnsi="IRNazanin" w:eastAsia="IRNazanin"/>
          <w:color w:val="111111"/>
          <w:sz w:val="28"/>
          <w:sz w:val="28"/>
          <w:szCs w:val="28"/>
          <w:rtl w:val="true"/>
          <w:lang w:bidi="fa-IR"/>
        </w:rPr>
        <w:t>متکلمان اسلامی برای تحلیل فعل الهی، از اراده استفاده می‌کردند و فاعلیت خداوند را فاعلیت بالاراده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آنان، علم الهی برای تحقق فعل، کافی نیست و پس از اراده، فعل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نوشتار آن است که بر اساس قرآن و روایات، چه مراحل و مقدماتی برای تحقق فعل الهی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مربوط به تحلیل فعل الهی، سه گونه است؛ گاه مشیت یا اراده به عنوان واسطۀ میان ذات و فعل خداوند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دسته‌ای دیگر از روایات، فعل الهی دارای هفت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اراده، قدر، قضا، اذن، کتاب و اجل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این‌ها علم فعلی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دستۀ سوم، فقط از چهار مرحلۀ اول به علاوۀ امضا که تأکید بر قضا و حتمی شدن آن است،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مراحل اصلی تحقق شیء مشیت، اراده، قدر و قضاست و بقیۀ موارد ذکرشده، از لوازم این چهار مرحله است</w:t>
      </w:r>
      <w:r>
        <w:rPr>
          <w:rFonts w:eastAsia="IRNazanin" w:cs="IRNazanin"/>
          <w:color w:val="111111"/>
          <w:sz w:val="28"/>
          <w:szCs w:val="28"/>
          <w:rtl w:val="true"/>
          <w:lang w:bidi="fa-IR"/>
        </w:rPr>
        <w:t>.</w:t>
      </w:r>
    </w:p>
    <w:p>
      <w:pPr>
        <w:pStyle w:val="Heading3"/>
        <w:numPr>
          <w:ilvl w:val="2"/>
          <w:numId w:val="1"/>
        </w:numPr>
        <w:rPr/>
      </w:pPr>
      <w:bookmarkStart w:id="447" w:name="__RefHeading___Toc1986690_2749589250"/>
      <w:bookmarkStart w:id="448" w:name="_Toc184"/>
      <w:bookmarkEnd w:id="447"/>
      <w:r>
        <w:rPr>
          <w:rtl w:val="true"/>
        </w:rPr>
        <w:t>واژگان کلیدی</w:t>
      </w:r>
      <w:bookmarkEnd w:id="44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الهی، مشیت، اراده، قدر، قضاء، إذن، کتاب، أجل</w:t>
      </w:r>
      <w:bookmarkStart w:id="449" w:name="pg3245_36578"/>
    </w:p>
    <w:p>
      <w:pPr>
        <w:pStyle w:val="Heading3"/>
        <w:numPr>
          <w:ilvl w:val="2"/>
          <w:numId w:val="1"/>
        </w:numPr>
        <w:rPr/>
      </w:pPr>
      <w:bookmarkStart w:id="450" w:name="__RefHeading___Toc1986692_2749589250"/>
      <w:bookmarkStart w:id="451" w:name="_Toc185"/>
      <w:bookmarkEnd w:id="449"/>
      <w:bookmarkEnd w:id="450"/>
      <w:r>
        <w:rPr>
          <w:rtl w:val="true"/>
        </w:rPr>
        <w:t>درآمد</w:t>
      </w:r>
      <w:bookmarkEnd w:id="451"/>
    </w:p>
    <w:p>
      <w:pPr>
        <w:pStyle w:val="BookText"/>
        <w:rPr/>
      </w:pPr>
      <w:r>
        <w:rPr>
          <w:rFonts w:ascii="IRNazanin" w:hAnsi="IRNazanin" w:eastAsia="IRNazanin"/>
          <w:color w:val="111111"/>
          <w:sz w:val="28"/>
          <w:sz w:val="28"/>
          <w:szCs w:val="28"/>
          <w:rtl w:val="true"/>
          <w:lang w:bidi="fa-IR"/>
        </w:rPr>
        <w:t>در جهان اسلام، بحث از فاعلیت خدا با بحث از اراده از سویی، و قضا و قدر الهی از سوی دیگر، توسط متکلمان اسلامی کلید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می‌دانیم، در قرآن و احادیث دربارۀ اراده و مشیت و نیز قضا و قدر مباحثی مطرح شده است و متکلمان با دست‌مایه قرار دادن این آیات و احادیث، به تبیین فاعلیت خدا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همۀ متکلمان بر آن اتفاق نظر داشتند این بود که فاعلیت خدا فاعلیت بالاراده و القصد است، اما در تحلیل اراده با یک‌دیگر اختلاف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به بحث باید تبیین درستی از معنای فعل و به‌خصوص فعل الهی انجام شود تا در ادامه بتوان معنای مراحل فعل الهی را مشخص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احداث شیء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عملی که از روی عمد یا غیرعمد انجام شود دلالت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مرحلۀ فعل، چیزی است که فعل پس از تحقق آن،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پیش از انجام یک کار، مراحلی مثل تصور فعل، تصدیق به فایده، شوق و اراده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نوشتۀ حاضر این است که از نگاه قرآن و روایات، پیش از پدید آمدن چیزی توسط خداوند چه مراحلی طی می‌شود؟ در روایات بیان شده که چیزی در آسمان و زمین نخواهد بود مگر با این هفت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اراده، قدر، قضا، اذن، کتاب و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و از آن‌جا که موجودات آسمان و زمین، فعل خداوند هستند بنابراین می‌توان گفت تحقق فعل خداوند هفت مرحله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برخی روایات فقط به چهار مرحلۀ نخست از هفت مرحله به علاوۀ امضا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در برخی دیگر نیز فقط از مشیت یا اراده به عنوان واسطۀ میان ذات و فعل الهی نام برده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حر عاملی،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در قرآن کریم هر کدام از این هفت مرحله به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 جداگانه ذکر</w:t>
      </w:r>
      <w:bookmarkStart w:id="452" w:name="pg3245_36579"/>
    </w:p>
    <w:p>
      <w:pPr>
        <w:pStyle w:val="BookText"/>
        <w:rPr/>
      </w:pPr>
      <w:bookmarkEnd w:id="452"/>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می‌خواهیم با تفسیر این هفت مرحله بر اساس آیات قرآن و روایات و نیز تبیین ارتباط بین این مراحل، چگونگی فاعلیت خدا را تحلیل کنیم و در ضمن نگاهی به برخی از مهم‌ترین دیدگاه‌های دانشمندان امامیه نیز خواهیم داشت</w:t>
      </w:r>
    </w:p>
    <w:p>
      <w:pPr>
        <w:pStyle w:val="Heading3"/>
        <w:numPr>
          <w:ilvl w:val="2"/>
          <w:numId w:val="1"/>
        </w:numPr>
        <w:rPr/>
      </w:pPr>
      <w:bookmarkStart w:id="453" w:name="__RefHeading___Toc1986694_2749589250"/>
      <w:bookmarkStart w:id="454" w:name="_Toc186"/>
      <w:bookmarkEnd w:id="453"/>
      <w:r>
        <w:rPr>
          <w:rtl w:val="true"/>
        </w:rPr>
        <w:t>مشیت</w:t>
      </w:r>
      <w:bookmarkEnd w:id="454"/>
    </w:p>
    <w:p>
      <w:pPr>
        <w:pStyle w:val="Heading4"/>
        <w:numPr>
          <w:ilvl w:val="3"/>
          <w:numId w:val="1"/>
        </w:numPr>
        <w:rPr/>
      </w:pPr>
      <w:bookmarkStart w:id="455" w:name="__RefHeading___Toc1986696_2749589250"/>
      <w:bookmarkStart w:id="456" w:name="_Toc187"/>
      <w:bookmarkEnd w:id="455"/>
      <w:r>
        <w:rPr>
          <w:rtl w:val="true"/>
        </w:rPr>
        <w:t>اشاره</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خواستن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جزری،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الافرقی المصری،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حسینی زبیدی،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متفکران اسلامی تفسیرهای مختلفی برای آن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مشیت را تعین اجمالی نظام عالم در علم فعلی معنا کرده‌اند که گاهی از آن تعبیر به کتابت در لوح به طور اجمال و انشای علمی شیء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و میرزامهدی اصفهانی بر این عقیده‌اند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اسلامی مشیت را همان اراده و علم به نظام احسن معنا کرده‌اند؛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صدرالمتألهین،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صدرالمتألهین،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سجادی،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فیض کاشانی،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ملامهدی نراقی نیز، مشیت را عین ذات و علم دانسته و آن را منشأ رجحان مطلق معنا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سبزواری مشیت را وجود مطلق یا فیض اقدس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سبزواری،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محقق سبزواری،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طباطبائی آن را به معنای تسبیب اسباب منجر به وجود شیء بالضروره معنا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از دیدگاه‌های مذکور به دست می‌آید، دو دیدگاه کلی دربارۀ مشیت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حادث و نوعی فعل، یعنی تعین علمی اشیا دانسته‌اند و برخی مشیت را به علم ذاتی و به ذات الهی برگردانده‌اند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آیات فراوانی مشیت را برای خدای متعال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مشیت الهی در قرآن مجید را با توجه به متعلق آن‌ها می‌توان به چندین موضوع دسته‌بندی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خداوند دربارۀ عالم تکوین و 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افعال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امت واحده کردن و هدایت همۀ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عنایات خاص به برخی افراد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رزق و روزی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نفع و ضرر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این‌که خداوند چه کسانی را ببخشد و چه کسانی را عذاب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افعال انبیای الهی و نفع و ضرر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احوال قیامت و سرنوشت انسان‌ها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افعال انسان‌ها نیز بر اساس مشیت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آیات مشیت به دست آمد که در هیچ آیه‌ای معنای مشیت بیان نشده و فقط متعلق مشیت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یافتن معنای مشیت، نیاز به بررسی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مطرح‌شده در روایات پیرامون مشیت به اختصار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مشیت آن‌قدر اهمیت دارد که خداوند هیچ پیامبری را مبعوث نفرمود، مگر این‌که به مشیت الهی اعتراف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ابن‌بابویه،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صفت فعل و حادث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حر عاملی،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عروسی حویزی،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مسبوق به مشیت دیگری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حر عاملی،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الهی کن فیکون است و نیاز به لفظ و نطق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ابن‌بابویه،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خداوند محیط بر مشیت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عروسی حویزی،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فیض کاشانی،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دو گونه است؛ حتمی و غیرحتمی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حتمی حتماً محقق می‌شود، اما مشیت غیرحتمی بداء‌پذیر و قابل تغییر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به امام رضا علیه السلام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دو گونه است؛ مشیت علم یا تکوینی و مشیت رضا یا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به امام رضاعلیه السلام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به معنای دوست داشتن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عده‌ای از علما،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علم ذاتی خداوند 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ابن‌بابویه،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فیض کاشانی،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حر عاملی،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اهل‌بیت علیهم السلام تبیین‌کننده و مترجمِ مشیت الهی و قلب آنان محل مشیت خداوند معرفی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عروسی حویزی،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دربارۀ معنای مشیت، در روایات آمده که در باب تشریع، معنای مشیت نسبت به فرایض، امر به آن‌ها و در معاصی، نهی از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ابن‌شهر‌آشوب،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حر عاملی،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تکوین دو معنا بیان شده است؛ گاهی ابداع و اراده و مشیت را یک معنا با سه نام خوانده‌اند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ابن‌بابویه،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 که در این‌جا اصل خلقت و ایجاد اشیا مورد نظر بوده است، زیرا ابداع به</w:t>
      </w:r>
      <w:bookmarkStart w:id="457" w:name="pg3245_36581"/>
    </w:p>
    <w:p>
      <w:pPr>
        <w:pStyle w:val="BookText"/>
        <w:rPr/>
      </w:pPr>
      <w:bookmarkEnd w:id="457"/>
      <w:r>
        <w:rPr>
          <w:rFonts w:ascii="IRNazanin" w:hAnsi="IRNazanin" w:eastAsia="IRNazanin"/>
          <w:color w:val="111111"/>
          <w:sz w:val="28"/>
          <w:sz w:val="28"/>
          <w:szCs w:val="28"/>
          <w:rtl w:val="true"/>
          <w:lang w:bidi="fa-IR"/>
        </w:rPr>
        <w:t>معنای خلقت و ایجاد است و وقتی مشیت و اراده را همان ابداع معنا می‌کنند، یعنی منظور از مشیت، همان ایجاد است و منظور از اراده نیز همان خلقت و ایجاد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برخی دیگر از روایات، بین مشیت و اراده در معنا تفاوت قائل شده‌اند که به نظر می‌رسد در این‌جا مراحل خلقت مد نظر بوده، زیرا بر اساس روایاتی که برای فعل خداوند هفت مرحله را بیان می‌کند، ابتدا مشیت مطرح می‌شود و پس از آن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نگاه، میان مشیت و اراده تفاوت خواهد بود، زیرا مشیت اولین مرحله و اراده دومین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دستۀ دیگر از روایات، مشیت را اهتمام خداوند نسبت به اشیا معنا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آن را ذکر اول خوانده‌اند و تصریح کرده‌اند که مشیت با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فیض کاشانی،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آن را ابتدای فعل نامیده‌اند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می‌رسد اهتمام به شیء و ذکر اول و ابتدای فعل یک معنا دارد</w:t>
      </w:r>
      <w:r>
        <w:rPr>
          <w:rFonts w:eastAsia="IRNazanin" w:cs="IRNazanin"/>
          <w:color w:val="111111"/>
          <w:sz w:val="28"/>
          <w:szCs w:val="28"/>
          <w:rtl w:val="true"/>
          <w:lang w:bidi="fa-IR"/>
        </w:rPr>
        <w:t>.</w:t>
      </w:r>
    </w:p>
    <w:p>
      <w:pPr>
        <w:pStyle w:val="Heading4"/>
        <w:numPr>
          <w:ilvl w:val="3"/>
          <w:numId w:val="1"/>
        </w:numPr>
        <w:rPr/>
      </w:pPr>
      <w:bookmarkStart w:id="458" w:name="__RefHeading___Toc1986698_2749589250"/>
      <w:bookmarkStart w:id="459" w:name="_Toc188"/>
      <w:bookmarkEnd w:id="458"/>
      <w:r>
        <w:rPr>
          <w:rtl w:val="true"/>
        </w:rPr>
        <w:t>جمع‌بندی بحث مشیت</w:t>
      </w:r>
      <w:bookmarkEnd w:id="459"/>
    </w:p>
    <w:p>
      <w:pPr>
        <w:pStyle w:val="BookText"/>
        <w:rPr/>
      </w:pPr>
      <w:r>
        <w:rPr>
          <w:rFonts w:ascii="IRNazanin" w:hAnsi="IRNazanin" w:eastAsia="IRNazanin"/>
          <w:color w:val="111111"/>
          <w:sz w:val="28"/>
          <w:sz w:val="28"/>
          <w:szCs w:val="28"/>
          <w:rtl w:val="true"/>
          <w:lang w:bidi="fa-IR"/>
        </w:rPr>
        <w:t xml:space="preserve">مشیت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تشریعی امر به فرایض و نهی از معاصی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تکوینی دو معنا دارد؛ معنای نخست، ابداع و ایجاد و خلقت اشیاست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اولین مرحله از مراحل خلقت یا علم فعلی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که مشیت را تعین اجمالی نظام عالم در علم فعلی و یا کتابت در لوح به طور اجمال و انشای علمی شیء معنا کرده است با معنای دوم مشیت تکوینی مطابقت دارد و دیدگاه‌هایی که مشیت را به علم ذاتی و ذات خداوند ارجاع می‌دادند نه با معنای لغوی مشیت که خواستن است و معنایی فعلی و حادث است مطابقت دارد و نه با هیچ یک از معانی سه‌گانۀ مشیت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در احادیث تصریح شده که مشیت، علم ذاتی و ذات خدا نیست و مشیت، فعل خدا و حادث است</w:t>
      </w:r>
      <w:r>
        <w:rPr>
          <w:rFonts w:eastAsia="IRNazanin" w:cs="IRNazanin"/>
          <w:color w:val="111111"/>
          <w:sz w:val="28"/>
          <w:szCs w:val="28"/>
          <w:rtl w:val="true"/>
          <w:lang w:bidi="fa-IR"/>
        </w:rPr>
        <w:t>.</w:t>
      </w:r>
    </w:p>
    <w:p>
      <w:pPr>
        <w:pStyle w:val="Heading3"/>
        <w:numPr>
          <w:ilvl w:val="2"/>
          <w:numId w:val="1"/>
        </w:numPr>
        <w:rPr/>
      </w:pPr>
      <w:bookmarkStart w:id="460" w:name="__RefHeading___Toc1986700_2749589250"/>
      <w:bookmarkStart w:id="461" w:name="_Toc189"/>
      <w:bookmarkEnd w:id="460"/>
      <w:r>
        <w:rPr>
          <w:rtl w:val="true"/>
        </w:rPr>
        <w:t>اراده</w:t>
      </w:r>
      <w:bookmarkEnd w:id="461"/>
    </w:p>
    <w:p>
      <w:pPr>
        <w:pStyle w:val="Heading4"/>
        <w:numPr>
          <w:ilvl w:val="3"/>
          <w:numId w:val="1"/>
        </w:numPr>
        <w:rPr/>
      </w:pPr>
      <w:bookmarkStart w:id="462" w:name="__RefHeading___Toc1986702_2749589250"/>
      <w:bookmarkStart w:id="463" w:name="_Toc190"/>
      <w:bookmarkEnd w:id="462"/>
      <w:r>
        <w:rPr>
          <w:rtl w:val="true"/>
        </w:rPr>
        <w:t>اشاره</w:t>
      </w:r>
      <w:bookmarkEnd w:id="46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طلب و اختیار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فیومی،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فیروزآبادی،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جزری،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امامیه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سید مرتضی،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را فعل و حادث لا فی محل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مازندرانی،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را خود فعل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خفری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خفری،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را همان داعی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مجلسی،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را داعی و علم به مصلحت فعل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فیلسوفان اسلامی مانند 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فارابی،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ابوعلی‌سینا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ابن‌سینا،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التعلیقات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النص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صدرالمتألهین،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صدرالمتألهین،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صدرالمتألهین،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صدرالمتألهین،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سجادی،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را علم به نظام اصلح و عین ذات الهی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چهار دیدگاه اصلی در باب ارادۀ الهی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حادث لا فی محل؛ فعل خارجی؛ داعی؛ و علم به نظام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دو دیدگاه نخست با یک‌دیگر این است که اولی اراده را فعلی می‌داند که علت فعل خارجی یا مراد است و دومی اراده را فعل خارجی می‌داند و چیزی غیر از ذات خدا و فعل خارجی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دو دیدگاه اخیر این است که چهارمی اراده را علم به جهان اصلح می‌داند و سومی اراده را تصدیق به مفید بودن که داعی انجام فعل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و داعی بعد از علم به جهان اصلح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ارادۀ الهی را از نظر موضوع می‌توان به دو دستۀ کلی اراده تکوینی و اراده تشریعی تقسیم کرد و دستۀ اراده تکوینی را با توجه به متعلق آن می‌توان به چند شاخه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خداوند برای خلقت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ارادۀ سوء یا رحمت برای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احقاق حق و پیروزی نهایی مستضعفان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عذاب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هدایت و گمراهی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تطهیر تکوینی اهل‌بیت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ارادۀ الهی به رساندن معنا از لفظ تعلق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اراده تشریعی، اراده الهی به قانون‌گذاری و اوامر و نواهی او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مربوط به ارادۀ الهی این مطالب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خداوند حادث و صفت 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مراحل فعل الهی، اراده دومین مرحله و پس از مشیت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اراده‌ها مسبوق به ارادۀ خداوند هستند و در طول آن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به امام صادق علیه السلام ،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نوری،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اراده کرده که انسان دارای اختیار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تقسیم‌بندی کلی اراده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و غیرحتمی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حتمی</w:t>
      </w:r>
      <w:bookmarkStart w:id="464" w:name="pg3245_36583"/>
    </w:p>
    <w:p>
      <w:pPr>
        <w:pStyle w:val="BookText"/>
        <w:rPr/>
      </w:pPr>
      <w:bookmarkEnd w:id="464"/>
      <w:r>
        <w:rPr>
          <w:rFonts w:ascii="IRNazanin" w:hAnsi="IRNazanin" w:eastAsia="IRNazanin"/>
          <w:color w:val="111111"/>
          <w:sz w:val="28"/>
          <w:sz w:val="28"/>
          <w:szCs w:val="28"/>
          <w:rtl w:val="true"/>
          <w:lang w:bidi="fa-IR"/>
        </w:rPr>
        <w:t xml:space="preserve">حتماً محقق می‌شود، ولی ارادۀ غیرحتمی یا اختیار و یا اختبار قابل تغییر و بداء‌پذیر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به امام رضا علیه السلام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کردن به معنای محبت و رضایت نسبت به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عده‌ای از علما،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دسته‌ای از روایات، اراده به معنای اتمام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عزم بر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فیض کاشانی،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حلی،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ثابت کردن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احداث بدون امور بشری مانند نظر و فکر و همت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ابن‌بابویه،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ابن‌بابویه،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حلی،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امیرالمؤمنین علیه السلام آشکارکنندۀ ارادۀ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تشریعی خداوند دربارۀ طاعات، امر به آن و رضای به آن و یاری رساندن در انجام آن است و دربارۀ معاصی، نهی از آن و ناخشنودی از آن و یاری نرساندن نسبت به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فتال نیشابوری،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465" w:name="__RefHeading___Toc1986704_2749589250"/>
      <w:bookmarkStart w:id="466" w:name="_Toc191"/>
      <w:bookmarkEnd w:id="465"/>
      <w:r>
        <w:rPr>
          <w:rtl w:val="true"/>
        </w:rPr>
        <w:t>جمع‌بندی بحث اراده</w:t>
      </w:r>
      <w:bookmarkEnd w:id="466"/>
    </w:p>
    <w:p>
      <w:pPr>
        <w:pStyle w:val="BookText"/>
        <w:rPr/>
      </w:pPr>
      <w:r>
        <w:rPr>
          <w:rFonts w:ascii="IRNazanin" w:hAnsi="IRNazanin" w:eastAsia="IRNazanin"/>
          <w:color w:val="111111"/>
          <w:sz w:val="28"/>
          <w:sz w:val="28"/>
          <w:szCs w:val="28"/>
          <w:rtl w:val="true"/>
          <w:lang w:bidi="fa-IR"/>
        </w:rPr>
        <w:t>اراده مانند مشیت به دو قسم تشریعی و تکوینی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تشریعی امر به طاعات و رضای نسبت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تکوینی دو معنا دارد؛ معنای نخست، ایجاد و احداث اشیاست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دومین مرحله از مراحل خلقت و به معنای اتمام مشیت و عزم بر مشیت و ثابت کردن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دیدگاه‌هایی که مشیت را به علم ذاتی و ذات خداوند ارجاع می‌دادند، نه با معنای لغوی مشیت که خواستن است و معنایی فعلی و حادث است مطابقت دارد و نه با هیچ یک از معانی سه‌گانۀ مشیت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در احادیث تصریح شده که مشیت، علم ذاتی و ذات خدا نیست و مشیت، فعل خدا و حادث است</w:t>
      </w:r>
      <w:r>
        <w:rPr>
          <w:rFonts w:eastAsia="IRNazanin" w:cs="IRNazanin"/>
          <w:color w:val="111111"/>
          <w:sz w:val="28"/>
          <w:szCs w:val="28"/>
          <w:rtl w:val="true"/>
          <w:lang w:bidi="fa-IR"/>
        </w:rPr>
        <w:t>.</w:t>
      </w:r>
    </w:p>
    <w:p>
      <w:pPr>
        <w:pStyle w:val="Heading3"/>
        <w:numPr>
          <w:ilvl w:val="2"/>
          <w:numId w:val="1"/>
        </w:numPr>
        <w:rPr/>
      </w:pPr>
      <w:bookmarkStart w:id="467" w:name="__RefHeading___Toc1986706_2749589250"/>
      <w:bookmarkStart w:id="468" w:name="_Toc192"/>
      <w:bookmarkEnd w:id="467"/>
      <w:r>
        <w:rPr>
          <w:rtl w:val="true"/>
        </w:rPr>
        <w:t>قدر و قضا</w:t>
      </w:r>
      <w:bookmarkEnd w:id="468"/>
    </w:p>
    <w:p>
      <w:pPr>
        <w:pStyle w:val="Heading4"/>
        <w:numPr>
          <w:ilvl w:val="3"/>
          <w:numId w:val="1"/>
        </w:numPr>
        <w:rPr/>
      </w:pPr>
      <w:bookmarkStart w:id="469" w:name="__RefHeading___Toc1986708_2749589250"/>
      <w:bookmarkStart w:id="470" w:name="_Toc193"/>
      <w:bookmarkEnd w:id="469"/>
      <w:r>
        <w:rPr>
          <w:rtl w:val="true"/>
        </w:rPr>
        <w:t>اشاره</w:t>
      </w:r>
      <w:bookmarkEnd w:id="47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اندازه‌گیری، علم و تدبیر، تنگ کردن و حکم کردن معنا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حسینی زبیدی،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طریحی،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دلالت بر اِحکام امر و اتقان آن و اجرا در جهت آن دارد و نیز به معنای 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ابن‌فارس،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الافریقی المصری،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فیومی،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طریحی،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تهانوی،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امامیه،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را کتابت جزئیات در لوح، و قضا را حکم به این کتابت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قضا را علم ذاتی خداوند و قدر را تحقق آن علم در خارج معنا کرده‌اند که این نگاهی فلسفی به قدر و قضاست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داماد،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النص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این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ملاصدرا، قضا یعنی وجود حقیقت کلی و صور عقلی جمیع موجودات در عالم عقل به طور اجمال و بر سبیل ابداع که مربوط به حق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 وجود تفصیلی آن است در کتاب محو و اثبات و در مواد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صدرالمتألهین،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صدرالمتألهین،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النص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صدرالمتألهین،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صدرالمتألهین،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صدرالمتألهین،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صدرالمتألهین،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آیات قرآن کریم، قدر الهی را با توجه به متعلق آن می‌توان در موارد زیر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تقدیر آسمان و زمین و خورشید 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فرستادن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تقدیر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مسافت بین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اندازۀ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 ماندن جنین 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عاقبت زن حضرت لوط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قضا در قرآن کریم با توجه به متعلق آن‌ها و روایت وارده از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نُه معنا را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فراغ از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ایجاب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و حتم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نازل کردن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روایات وارده در باب قدر و قضای الهی و دسته‌بندی آن‌ها به دست می‌آید این است که ایمان به قدر و راضی شدن به قضا، نشانۀ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تکذیب‌کنندۀ قدر، کافر و ملعون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فیض کاشانی،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حر عاملی،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از تکلف در مبحث قدر و قضا نهی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به امام رضا علیه السلام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حلی،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و قضا مراحل سوم و چهارم از مراحل هفت‌گانۀ فعل الهی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تقدیر کلی عالم، دوهزار سال پیش از خلقت حضرت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471" w:name="pg3245_36585"/>
    </w:p>
    <w:p>
      <w:pPr>
        <w:pStyle w:val="BookText"/>
        <w:rPr/>
      </w:pPr>
      <w:bookmarkEnd w:id="471"/>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ابن‌بابویه،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ابن‌بابویه،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پنجاه هزار سال پیش از خلقت آسمان‌ها و زمین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تقدیر هر سال افراد، در شب قدر همان سال معلوم می‌شود که البته بداء‌پذیر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علیهم السلام از تقدیرات شب قدر آگاه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صدقه تأثیر فراوانی در تغییر تقدیرات دارد، ولی اگر امری به قدر و قضای حتمی برسد، دیگر مانعی برای تحقق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قدر و عمل انسان جایگاهی بین جبر و تفویض است؛ یعنی انسان نه مجبور است و نه رها، بلکه در منزلتی بین المنزلتین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 و قضا دو صفت ذاتی مانند علم نیستند، بلکه فعلی از افعال خدایند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ابن‌بابویه،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شب تعیین تقدیرات هر سال است و اهل‌بیت علیهم السلام از آن مقدرات آگاهند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 و قضای الهی لزوماً با محبت خداوند همراه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تعیین حدود اشیا و قضا، پدید آوردن عین موجود دانسته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تکوینی گاهی به معنای ایجاد است که واسطۀ میان ذات و فعل است و گاهی به معنای علم فعلی و تثبیت اندازه‌ها در لوح است که یکی از مراحل فعل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تشریعی به معنای احکام خمسه و حکم در اختلافات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به امام رضا علیه السلام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4"/>
        <w:numPr>
          <w:ilvl w:val="3"/>
          <w:numId w:val="1"/>
        </w:numPr>
        <w:rPr/>
      </w:pPr>
      <w:bookmarkStart w:id="472" w:name="__RefHeading___Toc1986710_2749589250"/>
      <w:bookmarkStart w:id="473" w:name="_Toc194"/>
      <w:bookmarkEnd w:id="472"/>
      <w:r>
        <w:rPr>
          <w:rtl w:val="true"/>
        </w:rPr>
        <w:t>جمع‌بندی بحث قضا و قدر</w:t>
      </w:r>
      <w:bookmarkEnd w:id="47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تقسیم‌بندی کلی می‌توان قدر و قضا را با توجه به متعلق آن، به دو قسم تکوینی و تشریعی تقسیم نمود و همۀ معانی قدر و قضا را ذیل این دو قسم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دیگر و از حیث امکان تغییر قدر و قضا، می‌توان قدر و قضا را به دو دستۀ حتمی و غیرحتمی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تشریعی خدا دربارۀ افعال اختیاری انسان، یعنی این‌که خداوند، افعال انسان‌ها را از لحاظ شرعی اندازه‌گیری و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همۀ افعال اختیاری انسان به واجب، حرام، مستحب، مکروه و مباح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قدر تشریعی این است که خداوند مقدار و اندازۀ پاداش و کیفر اعمال انسان‌ها را معین و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تشریعی به معنای حکم و اعلام قدر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تکوینی یعنی خداوند اندازۀ تمام مخلوقات را از نظر طول و عرض و رنگ و مشخصات و میزان عمر و بقا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کرده است و قضای تکوینی، حکم به خلقت این مخلوقات با این</w:t>
      </w:r>
      <w:bookmarkStart w:id="474" w:name="pg3245_36586"/>
    </w:p>
    <w:p>
      <w:pPr>
        <w:pStyle w:val="BookText"/>
        <w:rPr/>
      </w:pPr>
      <w:bookmarkEnd w:id="474"/>
      <w:r>
        <w:rPr>
          <w:rFonts w:ascii="IRNazanin" w:hAnsi="IRNazanin" w:eastAsia="IRNazanin"/>
          <w:color w:val="111111"/>
          <w:sz w:val="28"/>
          <w:sz w:val="28"/>
          <w:szCs w:val="28"/>
          <w:rtl w:val="true"/>
          <w:lang w:bidi="fa-IR"/>
        </w:rPr>
        <w:t>ویژگی‌هاست که در دو مرحله انجام می‌پذیرد؛ مرحله اول، ایجاد تقدیرات در لوح علم فعلی است و مرحله دوم، ایجاد تقدیرات ثبت‌شده در لوح علمی، در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تکوینی و قضای تکوینی، مرحلۀ سوم و چهارم از مراحل فعل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از قضای تکوینی مرحلۀ اول آن است که ثبت در لوح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دوم قضا، شبیه یکی از معانی مشیت و اراده، به معنای ایجاد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دیدگاهی که قدر را کتابت جزئیات در لوح، و قضا را حکم به این کتابت معنا کرده‌اند، با روایات هماهنگ هستند، با این قید که قضا معنای دیگری هم دارد و آن ایجاد اشیا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دیدگاهی که قضا را علم ذاتی خداوند و قدر را تحقق آن علم در خارج معنا می‌کند یا دیدگاهی که قضا را صور کلی و عقلی موجودات و قدر را وجود تفصیلی آن در کتاب محو و اثبات و در مواد خارجی می‌دانند، با روایات سازگاری ندارند، زیرا اولاً، در این دیدگاه‌ها قضا بر قدر مقدم شده است، در حالی که در روایات به عکس است؛ ثانیاً، قضا را علم ذاتی و تغییرناپذیر می‌دانند، در حالی که در روایات، قضا یکی از افعال خداوند معنا شده است</w:t>
      </w:r>
      <w:r>
        <w:rPr>
          <w:rFonts w:eastAsia="IRNazanin" w:cs="IRNazanin"/>
          <w:color w:val="111111"/>
          <w:sz w:val="28"/>
          <w:szCs w:val="28"/>
          <w:rtl w:val="true"/>
          <w:lang w:bidi="fa-IR"/>
        </w:rPr>
        <w:t>.</w:t>
      </w:r>
    </w:p>
    <w:p>
      <w:pPr>
        <w:pStyle w:val="Heading3"/>
        <w:numPr>
          <w:ilvl w:val="2"/>
          <w:numId w:val="1"/>
        </w:numPr>
        <w:rPr/>
      </w:pPr>
      <w:bookmarkStart w:id="475" w:name="__RefHeading___Toc1986712_2749589250"/>
      <w:bookmarkStart w:id="476" w:name="_Toc195"/>
      <w:bookmarkEnd w:id="475"/>
      <w:r>
        <w:rPr>
          <w:rtl w:val="true"/>
        </w:rPr>
        <w:t>اذن، کتاب و أجل</w:t>
      </w:r>
      <w:bookmarkEnd w:id="476"/>
    </w:p>
    <w:p>
      <w:pPr>
        <w:pStyle w:val="Heading4"/>
        <w:numPr>
          <w:ilvl w:val="3"/>
          <w:numId w:val="1"/>
        </w:numPr>
        <w:rPr/>
      </w:pPr>
      <w:bookmarkStart w:id="477" w:name="__RefHeading___Toc1986714_2749589250"/>
      <w:bookmarkStart w:id="478" w:name="_Toc196"/>
      <w:bookmarkEnd w:id="477"/>
      <w:r>
        <w:rPr>
          <w:rtl w:val="true"/>
        </w:rPr>
        <w:t>اشاره</w:t>
      </w:r>
      <w:bookmarkEnd w:id="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علم و اعلام و آزاد گذاشتن در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ابن‌فارس،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حسینی زبیدی</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فیومی،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جمع کردن دو چیز و به معنای فرض است؛ یعنی واجب کردن و حکم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ابن‌فارس،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 xml:space="preserve">؛ فیومی،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غایت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هر چیزی به معنای مدت و زمانی است که در آن حلول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ابن‌فارس،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فیروزآبادی،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فیومی،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دیدگاه‌ها دربارۀ اذن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را رخصت در وجود، علم، امر و رفع موانع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بی‌تا،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مازندرانی،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لوح محو و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ثقفی تهرانی،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فیض کاشانی،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 یا حکم ایجابی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صدرالمتألهین،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صدرالمتألهین،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خود لوح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لاهیجی،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ثقفی تهرانی،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نوشتن در الواح آسمانی، فرض کردن و واجب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نوشتن در نفوس ملائکه مقربین معنا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صدرالمتألهین،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وجود و یا انتهای زمان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صدرالمتألهین،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صدرالمتألهین،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اذن الهی در قرآن کریم در موارد زیر مورد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کردن توسط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اعمال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دعوت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اطاعت از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 خدا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آسیب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نزول ملائکه و ابلاغ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نگه داشتن آسمان بر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روییدن گیاه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مرگ و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امور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اتفاقات قیامت از جمله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شفاعت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خلود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الهی هستند؛ هم‌چنین رفتار و کارهای جنیان نیز به اذن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بررسی آیاتی که در آن‌ها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و به خداوند نسبت داده شده است، به دست می‌آید که این واژه به سه معنا برای خداوند به کار رفته؛ یکی از آن‌ها کتاب آسمانی به معنای اصطلاحی آن است؛ یعنی تورات و انجیل و قرآن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به معنای حکم خداوند و یا قانون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سوم، علم فعلی الهی و یا لوح 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 این دو معنای اخیر را به عنوان مراحل فعل الهی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نیز در قرآن کریم یا به معنای تعیین زمان معین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تعیین زمان مرگ و پایان یافتن زمان عمر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اذن و کتاب و أجل، به عنوان مراحل پنجم، ششم و هفتم از مراحل فعل الهی ذکر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اتفاقی در عالم بدون اذن خداوند انجام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حمیری،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النص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پیامبر و أئمه علیهم السلام و هدایت‌گری ایشان به اذن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افعال اختیاری انسان نیز به اذن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به معنای امر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رضایت داشتن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به معنای علم خداوند و یا نوشتن در لوح محو و اثبات است و در زمین به معنای علم اهل‌بیت علیهم السلام و یا وجود مبارک امام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گونه است؛ مسمّا و غیرمسمّا که روایات آن را أجل حتمی و غیرحتمی معنا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حر عاملی،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روایتی أجل، وعدۀ خداوند معنا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bookmarkStart w:id="479" w:name="pg3245_36588"/>
    </w:p>
    <w:p>
      <w:pPr>
        <w:pStyle w:val="Heading4"/>
        <w:numPr>
          <w:ilvl w:val="3"/>
          <w:numId w:val="1"/>
        </w:numPr>
        <w:rPr/>
      </w:pPr>
      <w:bookmarkStart w:id="480" w:name="__RefHeading___Toc1986716_2749589250"/>
      <w:bookmarkStart w:id="481" w:name="_Toc197"/>
      <w:bookmarkEnd w:id="479"/>
      <w:bookmarkEnd w:id="480"/>
      <w:r>
        <w:rPr>
          <w:rtl w:val="true"/>
        </w:rPr>
        <w:t>جمع‌بندی بحث اذن، اجل و کتاب</w:t>
      </w:r>
      <w:bookmarkEnd w:id="481"/>
    </w:p>
    <w:p>
      <w:pPr>
        <w:pStyle w:val="BookText"/>
        <w:rPr/>
      </w:pPr>
      <w:r>
        <w:rPr>
          <w:rFonts w:ascii="IRNazanin" w:hAnsi="IRNazanin" w:eastAsia="IRNazanin"/>
          <w:color w:val="111111"/>
          <w:sz w:val="28"/>
          <w:sz w:val="28"/>
          <w:szCs w:val="28"/>
          <w:rtl w:val="true"/>
          <w:lang w:bidi="fa-IR"/>
        </w:rPr>
        <w:t>اذن خداوند، امر کردن، رخصت دادن و رضایت داشتن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معنای علم فعلی خداوند یا نوشتن در لوح محو و اثبات است و این علم در زمین، وجود مبارک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مدت زمان وجود یک شیء معنا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مرحله از لوازم چهار مرحلۀ پیشین است و می‌توان آن‌ها را ذیل چهار مرحلۀ قبل قرار داد، زیرا همین که فعل از مراحل مشیت، اراده، قدر و قضا می‌گذرد، به معنای اذن خدا نسبت به آن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مراحل چهارگانه بیان شد، همۀ این مراحل در لوح علمی ثبت و کتابت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که به معنای مشخص شدن اندازه‌هاست شامل اندازۀ عمر و اجل اشیا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سه مرحله قابل ارجاع به مراحل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دلیل در برخی روایات به جای هفت مرحله، چهار مرحلۀ مشیت، اراده، قدر و قضا ذکر می‌شود؛ البته به اضافۀ امضا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مراد از امضا، تأکید و حتمی شدن قضاست؛ در این صورت امضا به قضا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است که مراد از امضا، ایجاد شیء در خارج است که این معنا یکی از معانی مشیت، اراده و قضا بود</w:t>
      </w:r>
      <w:r>
        <w:rPr>
          <w:rFonts w:eastAsia="IRNazanin" w:cs="IRNazanin"/>
          <w:color w:val="111111"/>
          <w:sz w:val="28"/>
          <w:szCs w:val="28"/>
          <w:rtl w:val="true"/>
          <w:lang w:bidi="fa-IR"/>
        </w:rPr>
        <w:t>.</w:t>
      </w:r>
    </w:p>
    <w:p>
      <w:pPr>
        <w:pStyle w:val="Heading3"/>
        <w:numPr>
          <w:ilvl w:val="2"/>
          <w:numId w:val="1"/>
        </w:numPr>
        <w:rPr/>
      </w:pPr>
      <w:bookmarkStart w:id="482" w:name="__RefHeading___Toc1986718_2749589250"/>
      <w:bookmarkStart w:id="483" w:name="_Toc198"/>
      <w:bookmarkEnd w:id="482"/>
      <w:r>
        <w:rPr>
          <w:rtl w:val="true"/>
        </w:rPr>
        <w:t>نتیجه‌گیری</w:t>
      </w:r>
      <w:bookmarkEnd w:id="48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آیات و روایات، سه نگاه در خصوص مراحل فعل الهی قابل برداشت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 واسطۀ میان خدا و فعل خارجی یک چیز است که گاه مشیت، گاه اراده و گاه قضاست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دوم، برای تحقق شیء در خارج، هفت مرحلۀ متمایز باید 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سوم، مراحل اصلی چهارتاست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نگاه که در سه دسته آیات و به‌خصوص روایات ذکر شده است، قابل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 اول تأکید بر این است که ذات الهی و علم ذاتی او برای آفرینش کافی نیست و تا زمانی که خداوند فعلی را مشیت و اراده نکند، آن فعل تحقق نخواهد یافت، هرچند از ازل به آن علم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فاعلیت خداوند فاعلیت بالاراده است، نه فاعلیت بالعلم که در فلسفه به سه صورت فاعلیت بالعنایه، بالرضا و بالتجلی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دستۀ دوم، اراده و مشیت به معنایی که در دستۀ اول ذکر شد، به هفت مرحله تحلیل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روایات را می‌توان تفصیل دستۀ اول روایات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دستۀ سوم، مراحل اصلی چهار چیز معرفی می‌شود و سه مرحله، قابل ارجاع به چهار مرحلۀ دیگر است</w:t>
      </w:r>
      <w:r>
        <w:rPr>
          <w:rFonts w:eastAsia="IRNazanin" w:cs="IRNazanin"/>
          <w:color w:val="111111"/>
          <w:sz w:val="28"/>
          <w:szCs w:val="28"/>
          <w:rtl w:val="true"/>
          <w:lang w:bidi="fa-IR"/>
        </w:rPr>
        <w:t>.</w:t>
      </w:r>
      <w:bookmarkStart w:id="484" w:name="pg3245_36589"/>
    </w:p>
    <w:p>
      <w:pPr>
        <w:pStyle w:val="Heading3"/>
        <w:numPr>
          <w:ilvl w:val="2"/>
          <w:numId w:val="1"/>
        </w:numPr>
        <w:rPr/>
      </w:pPr>
      <w:bookmarkStart w:id="485" w:name="__RefHeading___Toc1986720_2749589250"/>
      <w:bookmarkStart w:id="486" w:name="_Toc199"/>
      <w:bookmarkEnd w:id="484"/>
      <w:bookmarkEnd w:id="485"/>
      <w:r>
        <w:rPr>
          <w:rtl w:val="true"/>
        </w:rPr>
        <w:t>منابع</w:t>
      </w:r>
      <w:bookmarkEnd w:id="4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حسینی،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أخبار الرضا علیه السلام ،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لاجوردی، تهران، جهان،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الأعمال و عقاب الأعمال، قم، دارالشریف الرضی،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ابن‌سینا، شیخ الرئیس،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رساله، مقدمه و حواشی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احسان یار شاطر، همدان، دانشگاه بوعلی‌سینا،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التعلیقات،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بدوی، بیروت، مکتبۀ الاعلام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زاید، قم، مکتبۀ آیۀ‌الله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ابن‌شهر‌آشوب مازندرانی، محمد بن علی،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متشابه القرآن و مختلفه،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شهرستانی، قم، بیدار،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فارس،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مقاییس اللغۀ،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هارون، قم، مکتب الأعلام الاسلامی،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میرزامهدی،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ابواب الهدی، مترجم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مفید، منیر،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جمال‌الدین میردامادی، بیروت، دارالفکر ـ دارصادر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ابومحمد حسن بن علی عسکری علیه السلام ،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المنسوب إلی الامام العسکری علیه السلام ، قم، مدرسۀ الامام المهدی،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سیدهاشم،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البرهان فی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الاسلامیۀ مؤسسۀ البعثۀ، قم، تهران، بنیاد بعثت،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احمد بن محمد بن خالد،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المحاسن،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محدث، قم، دارالکتب الاسلامیه،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تهانوی، محمد علی،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کشاف اصطلاحات الفنون و العلوم، بیروت، مکتبۀ لبنان ناشرون،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ثقفی تهرانی، محمد،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روان جاوید، تهران، برهان،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جزری، ابن‌اثیر،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النهایة فی غریب الحدیث و الأثر،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طناحی، قم، اسماعیلیان،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زبیدی، محمد مرتضی،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العروس من جواهر القاموس، بیروت، دارالفکر، الطبعۀ الاولی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سلیمان بن محمد،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مختصر البصائر،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مظفر، قم، مؤسسۀ النشر الاسلامی،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حمیری، عبدالله بن جعفر،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قرب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آل‌البیت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مؤسسۀ آل‌البیت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قم،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خفری، شمس‌الدین،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تعلیقه بر الهیات شرح تجرید،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فیروزه ساعتچیان، تهران، میراث مکتوب،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الداماد، میرمحمدباقر،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القبسات، تهران، دانشگاه تهران،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التعلیقة علی أصول الکافی،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رجائی، قم، الخیام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ألفاظ القرآن،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عدنان داوودی، بیروت ـ دمشق، دارالقلم ـ دارالشامیه،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سجادی، سیدجعفر،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اصطلاحات فلسفی ملاصدرا، تهران، وزارت فرهنگ و ارشاد 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لاهیجی، محمد بن علی،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شریف لاهیجی،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میرجلال‌الدین حسینی ارموی، تهران، دفتر نشر داد،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الملخص فی أصول الدین، تهران، مرکز نشر دانشگاهی،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 العلم و العمل، النجف الأشرف، مطبعۀ الآداب، الطبعۀ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حر عاملی، محمد بن حسن،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المهمة فی أصول الأئمة،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الحسین القائینی، قم، مؤسسه معارف اسلامی امام رضا علیه السلام ،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الاقتصاد فیما یتعلق بالاعتقاد، بیروت، دارالأضواء،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القرآن،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آغابزرگ تهرانی،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قصیرعاملی،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المتهجد و سلاح المتعبد، بیروت، مؤسسۀ الفقه الشیعه،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محمد بن محمد بن نعمان،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الإرادة، قم، المؤتمر العالمی للشیخ المفید،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القرآن المجید،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سیدمحمدعلی ایازی، قم، دفتر تبلیغات 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اعتقادات الإمامیة، قم، المؤتمر العالمی للشیخ المفید،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صدرالمتألهین، محمد بن ابراهیم،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المبدأ و المعاد، تهران، انجمن حکمت و فلسفه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الشواهد الربوبیة فی المناهج السلوکیة،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سیدجلال‌الدین آشتیانی، مشهد، المرکز الجامعی للنشر،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الغیب،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خواجوی، تهران، مؤسسه تحقیقات فرهنگی، چاپ اول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رسائل فلسفی، مقدمه،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سیدجلال‌الدین آشتیانی، قم، دفتر تبلیغات اسلامی،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القرآن الکریم،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خواجوی، قم، بیدار،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الحکمة المتعالیة فی الاسفار العقلیة الاربعة، بیروت، دار إحیاء التراث، الطبعۀ الثالثه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مجموعة الرسائل التسعة، تهران، 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أصول الکافی،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خواجوی، تهران، مؤسسه مطالعات و تحقیقات فرهنگی،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المظاهر الإلهیة فی أسرار العلوم الکمالیة، مقدمه،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خامنه‌ای، تهران، بنیاد حکمت صدرا،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أسرار الآیات، تهران، انجمن حکمت و فلسفه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محمد بن 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 الدرجات فی فضائل آل محمد صلی الله علیهم،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عباسعلی کوچه‌باغی، قم، مکتبۀ آیۀ‌الله المرعشی النجفی،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سیدمحمدحسین،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 جامعه مدرسین حوزه علمیه قم،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احمد بن علی،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الإحتجاج علی أهل اللجاج،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خرسان، مشهد، 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فخرالدین،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البحرین،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حسینی، تهران، کتاب‌فروشی مرتضوی،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عده‌ای از علما،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الأصول الستۀ عشر، قم، دار الشبستری للمطبوعات،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العروسی الحویزی، عبدعلی بن جمعة،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نور الثقلین،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رسولی محلاتی، قم، اسماعیلیان،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 بن یوسف بن مطهر،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المراد فی شرح تجرید الاعتقاد،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حسن‌زاده آملی، قم، مؤسسۀ النشر الإسلامی،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امام هشتم علیه السلام ،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صحیفۀ الامام الرضا علیه السلام ،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محمدمهدی نجف، مشهد، کنگره جهانی امام رضا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محمد بن مسعود،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العیاشی،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رسولی محلاتی، تهران، المطبعۀ العلمیۀ،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فارابی، ابونصر،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الاعمال الفلسفیة، مقدمه،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آل یاسین، بیروت، دارالمناهل، الطبعۀ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فتال نیشابوری، محمد بن احمد،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روضة الواعظین و بصیرة المتعظین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رضی، چاپ اول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الخلیل بن احمد،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العین،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المخزومی و ابراهیم السامری،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الطیب، المطبعۀ تیزهوش، قم، الطبعۀ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فیروزآبادی، مجدالدین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قـ</w:t>
      </w: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القاموس المحیط، بیروت، دار إحیاء التراث العربی، الطبعۀ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محمد محسن بن شاه مرتضی،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الشافی فی العقائد و الأخلاق و الأحکام، داراللوح المحفوظ،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الوافی، اصفهان، کتاب‌خانه امیرالمؤمنین علیه السلام ،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فیومی، احمد بن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المصباح المنیر فی غریب الشرح الکبیر للرافعی، قم، دارالهجره،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علی بن ابراهیم،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القمی،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سیدطیب موسوی جزایری، قم، دارالکتاب،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و محمد آخوندی، دارالکتب الاسلامیه، تهران،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مازندرانی، محمد صالح بن احمد،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الکافی الاصول و الروضۀ،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شعرانی، تهران، المکتبۀ الاسلامیه،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بن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الیقین، 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الجامعه لدرر أخبار الأئمۀ الأطهار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محققین، بیروت، دار احیاء التراث العربی،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مرآة العقول فی شرح أخبار آل الرسول،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رسولی محلاتی، تهران، دارالکتب الاسلامیه،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سبزواری، هادی،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المنظومة،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حسن‌زاده آملی، تحقیق و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طالبی، تهران، ناب،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الأسماء الحسنی،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نجفقلی حبیبی، تهران،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أسرار الحکم،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صدوقی،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فیضی، قم، مطبوعات دینی،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به امام علی بن موسی الرضا علیه السلام ،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الفقه المنسوب إلی الإمام الرضا علیه السلام ، مشهد، مؤسسه آل‌البیت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به جعفر بن محمد امام صادق علیه السلام ،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الشریعه، بیروت، 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ملامهدی،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الأفکار و ناقد الأنظار، تصحیح و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هادی‌زاده، تهران، حکمت،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حسین بن محمدتقی،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الوسائل و مستنبط المسائل،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آل‌البیت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قم، مؤسسه آل‌البیت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هلالی، سلیم بن قیس،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سلیم بن قیس الهلالی،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انصاری زنجانی، قم، الهادی، چاپ اول</w:t>
      </w:r>
      <w:r>
        <w:rPr>
          <w:rFonts w:eastAsia="IRNazanin" w:cs="IRNazanin"/>
          <w:color w:val="111111"/>
          <w:sz w:val="28"/>
          <w:szCs w:val="28"/>
          <w:rtl w:val="true"/>
          <w:lang w:bidi="fa-IR"/>
        </w:rPr>
        <w:t>.</w:t>
      </w:r>
      <w:bookmarkStart w:id="487" w:name="pg3245_36593"/>
    </w:p>
    <w:p>
      <w:pPr>
        <w:pStyle w:val="Heading2"/>
        <w:numPr>
          <w:ilvl w:val="1"/>
          <w:numId w:val="1"/>
        </w:numPr>
        <w:rPr/>
      </w:pPr>
      <w:bookmarkStart w:id="488" w:name="__RefHeading___Toc1986722_2749589250"/>
      <w:bookmarkStart w:id="489" w:name="_Toc200"/>
      <w:bookmarkEnd w:id="487"/>
      <w:bookmarkEnd w:id="488"/>
      <w:r>
        <w:rPr>
          <w:rtl w:val="true"/>
        </w:rPr>
        <w:t>خلاصة المقالات باللغة العربیة</w:t>
      </w:r>
      <w:bookmarkEnd w:id="489"/>
    </w:p>
    <w:p>
      <w:pPr>
        <w:pStyle w:val="Heading3"/>
        <w:numPr>
          <w:ilvl w:val="2"/>
          <w:numId w:val="1"/>
        </w:numPr>
        <w:rPr/>
      </w:pPr>
      <w:bookmarkStart w:id="490" w:name="__RefHeading___Toc1986724_2749589250"/>
      <w:bookmarkStart w:id="491" w:name="_Toc201"/>
      <w:bookmarkEnd w:id="490"/>
      <w:r>
        <w:rPr>
          <w:rtl w:val="true"/>
        </w:rPr>
        <w:t xml:space="preserve">دراسة و نقد إشکالات الفخر الرازی علی براهین ابن سینا فی إثبات علم الله </w:t>
      </w:r>
      <w:r>
        <w:rPr>
          <w:rtl w:val="true"/>
        </w:rPr>
        <w:t xml:space="preserve">/ </w:t>
      </w:r>
      <w:r>
        <w:rPr>
          <w:rtl w:val="true"/>
        </w:rPr>
        <w:t>محمود الصیدی ، هادی الهاشمی</w:t>
      </w:r>
      <w:bookmarkEnd w:id="491"/>
    </w:p>
    <w:p>
      <w:pPr>
        <w:pStyle w:val="Heading4"/>
        <w:numPr>
          <w:ilvl w:val="3"/>
          <w:numId w:val="1"/>
        </w:numPr>
        <w:rPr/>
      </w:pPr>
      <w:bookmarkStart w:id="492" w:name="__RefHeading___Toc1986726_2749589250"/>
      <w:bookmarkStart w:id="493" w:name="_Toc202"/>
      <w:bookmarkEnd w:id="492"/>
      <w:r>
        <w:rPr>
          <w:rtl w:val="true"/>
        </w:rPr>
        <w:t>اشارة</w:t>
      </w:r>
      <w:bookmarkEnd w:id="493"/>
    </w:p>
    <w:p>
      <w:pPr>
        <w:pStyle w:val="BookText"/>
        <w:rPr/>
      </w:pPr>
      <w:r>
        <w:rPr>
          <w:rFonts w:ascii="IRNazanin" w:hAnsi="IRNazanin" w:eastAsia="IRNazanin"/>
          <w:color w:val="111111"/>
          <w:sz w:val="28"/>
          <w:sz w:val="28"/>
          <w:szCs w:val="28"/>
          <w:rtl w:val="true"/>
          <w:lang w:bidi="fa-IR"/>
        </w:rPr>
        <w:t>لأجل إثبات العلم الذاتی لله سبحانه، و أنه متعلّق بجمیع الموجودات، قدّم ابن سینا برهانین؛ أولهما یقوم علی أن واجب الوجود لما لم یکن مادیاً، فإنه یدرک و یعقل ذاته المقدسة، و بالتالی فإنه یعلم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یقوم البرهان الثانی ـ لاثبات العلم بجمیع الموجودات ـ علی أن علم واجب الوجود ذاتی، و استلزام العلم بالعلة العلم بالمعلول، و عندها ستکون جمیع الموجودات معلومة 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أسهب الفخر الرازی فی نقد البرهانین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المقال الحاضر بصدد بیان نقود الفخر الرازی علی البرهانین السالفین، و بیان نقاط ضعف استدلالاته، و مغالطاته فی المقام و التی نشأت من خلط المفهوم بالمصداق، أو خلط المفهوم بالماهیة فیما یتعلق بإدراک الإنسان لله سبحانه، و العلیة التامة لله سبحانه بالنسبة للموجودات الممکنة، و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الخاطئة فیما یتعلق بالوجود الذهنی</w:t>
      </w:r>
      <w:r>
        <w:rPr>
          <w:rFonts w:eastAsia="IRNazanin" w:cs="IRNazanin"/>
          <w:color w:val="111111"/>
          <w:sz w:val="28"/>
          <w:szCs w:val="28"/>
          <w:rtl w:val="true"/>
          <w:lang w:bidi="fa-IR"/>
        </w:rPr>
        <w:t>.</w:t>
      </w:r>
    </w:p>
    <w:p>
      <w:pPr>
        <w:pStyle w:val="Heading4"/>
        <w:numPr>
          <w:ilvl w:val="3"/>
          <w:numId w:val="1"/>
        </w:numPr>
        <w:rPr/>
      </w:pPr>
      <w:bookmarkStart w:id="494" w:name="__RefHeading___Toc1986728_2749589250"/>
      <w:bookmarkStart w:id="495" w:name="_Toc203"/>
      <w:bookmarkEnd w:id="494"/>
      <w:r>
        <w:rPr>
          <w:rtl w:val="true"/>
        </w:rPr>
        <w:t>الألفاظ المحوریة</w:t>
      </w:r>
      <w:bookmarkEnd w:id="495"/>
    </w:p>
    <w:p>
      <w:pPr>
        <w:pStyle w:val="BookText"/>
        <w:rPr/>
      </w:pPr>
      <w:r>
        <w:rPr>
          <w:rFonts w:ascii="IRNazanin" w:hAnsi="IRNazanin" w:eastAsia="IRNazanin"/>
          <w:color w:val="111111"/>
          <w:sz w:val="28"/>
          <w:sz w:val="28"/>
          <w:szCs w:val="28"/>
          <w:rtl w:val="true"/>
          <w:lang w:bidi="fa-IR"/>
        </w:rPr>
        <w:t>الله سبحانه، ابن سینا، الفخر الرازی، العلم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
      </w:r>
      <w:bookmarkStart w:id="496" w:name="pg3245_36594"/>
    </w:p>
    <w:p>
      <w:pPr>
        <w:pStyle w:val="Heading3"/>
        <w:numPr>
          <w:ilvl w:val="2"/>
          <w:numId w:val="1"/>
        </w:numPr>
        <w:rPr/>
      </w:pPr>
      <w:bookmarkStart w:id="497" w:name="__RefHeading___Toc1986730_2749589250"/>
      <w:bookmarkStart w:id="498" w:name="_Toc204"/>
      <w:bookmarkEnd w:id="496"/>
      <w:bookmarkEnd w:id="497"/>
      <w:r>
        <w:rPr>
          <w:rtl w:val="true"/>
        </w:rPr>
        <w:t xml:space="preserve">نقد دعوی تأثر مفهوم المهدویة بعقائد </w:t>
      </w:r>
      <w:r>
        <w:rPr>
          <w:rtl w:val="true"/>
        </w:rPr>
        <w:t>«</w:t>
      </w:r>
      <w:r>
        <w:rPr>
          <w:rtl w:val="true"/>
        </w:rPr>
        <w:t>سوشیانت</w:t>
      </w:r>
      <w:r>
        <w:rPr>
          <w:rtl w:val="true"/>
        </w:rPr>
        <w:t>» /</w:t>
      </w:r>
      <w:r>
        <w:rPr>
          <w:rtl w:val="true"/>
        </w:rPr>
        <w:t>رسول الرضوی ،أحمد جمشیدیان</w:t>
      </w:r>
      <w:bookmarkEnd w:id="498"/>
    </w:p>
    <w:p>
      <w:pPr>
        <w:pStyle w:val="Heading4"/>
        <w:numPr>
          <w:ilvl w:val="3"/>
          <w:numId w:val="1"/>
        </w:numPr>
        <w:rPr/>
      </w:pPr>
      <w:bookmarkStart w:id="499" w:name="__RefHeading___Toc1986732_2749589250"/>
      <w:bookmarkStart w:id="500" w:name="_Toc205"/>
      <w:bookmarkEnd w:id="499"/>
      <w:r>
        <w:rPr>
          <w:rtl w:val="true"/>
        </w:rPr>
        <w:t>اشارة</w:t>
      </w:r>
      <w:bookmarkEnd w:id="500"/>
    </w:p>
    <w:p>
      <w:pPr>
        <w:pStyle w:val="BookText"/>
        <w:rPr/>
      </w:pPr>
      <w:r>
        <w:rPr>
          <w:rFonts w:ascii="IRNazanin" w:hAnsi="IRNazanin" w:eastAsia="IRNazanin"/>
          <w:color w:val="111111"/>
          <w:sz w:val="28"/>
          <w:sz w:val="28"/>
          <w:szCs w:val="28"/>
          <w:rtl w:val="true"/>
          <w:lang w:bidi="fa-IR"/>
        </w:rPr>
        <w:t xml:space="preserve">إن إحدی مزاعم المستشرقین فیما یتعلق بالمهدویة هو أنها متأثرة بعقائد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المنجی للزردشتیة الإیرانیین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رجوع جذور هذا الزعم إلی الاعتقاد بوجود منجٍ فی المصادر الزردشتیة الإیرانیة، و موافقته للمهدویة فی الکثیر من الجزئیات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البحث الحاضر تناول أولاً البحث فی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کیفیة استخدامها فی مصادر الزردشتیة، و رد علی هذا الادعاء، ثم من خلال التعرف علی مصادر کتب الزردشتیة و تقییمها علمیاً و بیان القرائن و الشواهد علی تأثر المصادر الزردشتیة بالمفاهیم الاسلامیة فی الحقبة التاریخیة التی أعقبت فتح إیران و سیطرة الاسلام علیها، و بالتالی تقویة الاحتمال المعاکس؛ أعنی تأثر الزردشتیة بالمفاهیم الاسلامیة</w:t>
      </w:r>
      <w:r>
        <w:rPr>
          <w:rFonts w:eastAsia="IRNazanin" w:cs="IRNazanin"/>
          <w:color w:val="111111"/>
          <w:sz w:val="28"/>
          <w:szCs w:val="28"/>
          <w:rtl w:val="true"/>
          <w:lang w:bidi="fa-IR"/>
        </w:rPr>
        <w:t>.</w:t>
      </w:r>
    </w:p>
    <w:p>
      <w:pPr>
        <w:pStyle w:val="Heading4"/>
        <w:numPr>
          <w:ilvl w:val="3"/>
          <w:numId w:val="1"/>
        </w:numPr>
        <w:rPr/>
      </w:pPr>
      <w:bookmarkStart w:id="501" w:name="__RefHeading___Toc1986734_2749589250"/>
      <w:bookmarkStart w:id="502" w:name="_Toc206"/>
      <w:bookmarkEnd w:id="501"/>
      <w:r>
        <w:rPr>
          <w:rtl w:val="true"/>
        </w:rPr>
        <w:t>الألفاظ المحوریة</w:t>
      </w:r>
      <w:bookmarkEnd w:id="502"/>
    </w:p>
    <w:p>
      <w:pPr>
        <w:pStyle w:val="BookText"/>
        <w:rPr/>
      </w:pPr>
      <w:r>
        <w:rPr>
          <w:rFonts w:ascii="IRNazanin" w:hAnsi="IRNazanin" w:eastAsia="IRNazanin"/>
          <w:color w:val="111111"/>
          <w:sz w:val="28"/>
          <w:sz w:val="28"/>
          <w:szCs w:val="28"/>
          <w:rtl w:val="true"/>
          <w:lang w:bidi="fa-IR"/>
        </w:rPr>
        <w:t>المهدویة، المنجی، سوشیانت، زردشت، المستشرقون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
      </w:r>
      <w:bookmarkStart w:id="503" w:name="pg3245_36595"/>
    </w:p>
    <w:p>
      <w:pPr>
        <w:pStyle w:val="Heading3"/>
        <w:numPr>
          <w:ilvl w:val="2"/>
          <w:numId w:val="1"/>
        </w:numPr>
        <w:rPr/>
      </w:pPr>
      <w:bookmarkStart w:id="504" w:name="__RefHeading___Toc1986736_2749589250"/>
      <w:bookmarkStart w:id="505" w:name="_Toc207"/>
      <w:bookmarkEnd w:id="503"/>
      <w:bookmarkEnd w:id="504"/>
      <w:r>
        <w:rPr>
          <w:rtl w:val="true"/>
        </w:rPr>
        <w:t xml:space="preserve">دراسة و دعم نقود </w:t>
      </w:r>
      <w:r>
        <w:rPr>
          <w:rtl w:val="true"/>
        </w:rPr>
        <w:t>«</w:t>
      </w:r>
      <w:r>
        <w:rPr>
          <w:rtl w:val="true"/>
        </w:rPr>
        <w:t>محمد بن علوی المالکی</w:t>
      </w:r>
      <w:r>
        <w:rPr>
          <w:rtl w:val="true"/>
        </w:rPr>
        <w:t xml:space="preserve">» </w:t>
      </w:r>
      <w:r>
        <w:rPr>
          <w:rtl w:val="true"/>
        </w:rPr>
        <w:t xml:space="preserve">علی </w:t>
      </w:r>
      <w:r>
        <w:rPr>
          <w:rtl w:val="true"/>
        </w:rPr>
        <w:t>«</w:t>
      </w:r>
      <w:r>
        <w:rPr>
          <w:rtl w:val="true"/>
        </w:rPr>
        <w:t>محمد بن صالح العثیمین</w:t>
      </w:r>
      <w:r>
        <w:rPr>
          <w:rtl w:val="true"/>
        </w:rPr>
        <w:t xml:space="preserve">» </w:t>
      </w:r>
      <w:r>
        <w:rPr>
          <w:rtl w:val="true"/>
        </w:rPr>
        <w:t xml:space="preserve">فیما یتعلق بالتوسل </w:t>
      </w:r>
      <w:r>
        <w:rPr>
          <w:rtl w:val="true"/>
        </w:rPr>
        <w:t xml:space="preserve">/ </w:t>
      </w:r>
      <w:r>
        <w:rPr>
          <w:rtl w:val="true"/>
        </w:rPr>
        <w:t>میثم دوست المحمدی ، محمد رضا کریمی والا</w:t>
      </w:r>
      <w:bookmarkEnd w:id="505"/>
    </w:p>
    <w:p>
      <w:pPr>
        <w:pStyle w:val="Heading4"/>
        <w:numPr>
          <w:ilvl w:val="3"/>
          <w:numId w:val="1"/>
        </w:numPr>
        <w:rPr/>
      </w:pPr>
      <w:bookmarkStart w:id="506" w:name="__RefHeading___Toc1986738_2749589250"/>
      <w:bookmarkStart w:id="507" w:name="_Toc208"/>
      <w:bookmarkEnd w:id="506"/>
      <w:r>
        <w:rPr>
          <w:rtl w:val="true"/>
        </w:rPr>
        <w:t>اشارة</w:t>
      </w:r>
      <w:bookmarkEnd w:id="507"/>
    </w:p>
    <w:p>
      <w:pPr>
        <w:pStyle w:val="BookText"/>
        <w:rPr/>
      </w:pPr>
      <w:r>
        <w:rPr>
          <w:rFonts w:ascii="IRNazanin" w:hAnsi="IRNazanin" w:eastAsia="IRNazanin"/>
          <w:color w:val="111111"/>
          <w:sz w:val="28"/>
          <w:sz w:val="28"/>
          <w:szCs w:val="28"/>
          <w:rtl w:val="true"/>
          <w:lang w:bidi="fa-IR"/>
        </w:rPr>
        <w:t xml:space="preserve">مت هو مقدار تطابق آراء الوهابیین مع آراء مفکری أهل السنة بشأن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للإجابة علی هذا السؤال قمنا فی هذا البحث بدراسة 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علوی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صالح العثیمین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أهل السنة، و أوضحنا أن استدلال الوهابیة غیر مقبول، و قد أوضح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علوی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استدلاله ـ و الذی یستند للروایات ـ أن التوسل بدعاء النبی صلی الله علیه و اله و سلم و الماضین من الصالحین هو عمل فی إطار الاعتقاد بالتوحید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استدلاله بعض نقاط الضعف، فمن خلال رفعها و تقویة الاستدلال یتم تقدیم نقد رصین و شامل لمزاعم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علماء السلفیة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نظرة المالکی فی مسألة التوسل توافق نظرة الإمامیة إلی حد کبیر، إذ یری صحة دعاء النبی صلی الله علیه و اله و سلم و الصالحین</w:t>
      </w:r>
      <w:r>
        <w:rPr>
          <w:rFonts w:eastAsia="IRNazanin" w:cs="IRNazanin"/>
          <w:color w:val="111111"/>
          <w:sz w:val="28"/>
          <w:szCs w:val="28"/>
          <w:rtl w:val="true"/>
          <w:lang w:bidi="fa-IR"/>
        </w:rPr>
        <w:t>.</w:t>
      </w:r>
    </w:p>
    <w:p>
      <w:pPr>
        <w:pStyle w:val="Heading4"/>
        <w:numPr>
          <w:ilvl w:val="3"/>
          <w:numId w:val="1"/>
        </w:numPr>
        <w:rPr/>
      </w:pPr>
      <w:bookmarkStart w:id="508" w:name="__RefHeading___Toc1986740_2749589250"/>
      <w:bookmarkStart w:id="509" w:name="_Toc209"/>
      <w:bookmarkEnd w:id="508"/>
      <w:r>
        <w:rPr>
          <w:rtl w:val="true"/>
        </w:rPr>
        <w:t>الألفاظ المحوریة</w:t>
      </w:r>
      <w:bookmarkEnd w:id="509"/>
    </w:p>
    <w:p>
      <w:pPr>
        <w:pStyle w:val="BookText"/>
        <w:rPr/>
      </w:pPr>
      <w:r>
        <w:rPr>
          <w:rFonts w:ascii="IRNazanin" w:hAnsi="IRNazanin" w:eastAsia="IRNazanin"/>
          <w:color w:val="111111"/>
          <w:sz w:val="28"/>
          <w:sz w:val="28"/>
          <w:szCs w:val="28"/>
          <w:rtl w:val="true"/>
          <w:lang w:bidi="fa-IR"/>
        </w:rPr>
        <w:t>التوسل، الوهابیة، محمد بن علوی المالکی، محمد بن صالح العثیمین</w:t>
      </w:r>
      <w:r>
        <w:rPr>
          <w:rFonts w:eastAsia="IRNazanin" w:cs="IRNazanin"/>
          <w:color w:val="111111"/>
          <w:sz w:val="28"/>
          <w:szCs w:val="28"/>
          <w:rtl w:val="true"/>
          <w:lang w:bidi="fa-IR"/>
        </w:rPr>
        <w:t>.</w:t>
      </w:r>
    </w:p>
    <w:p>
      <w:pPr>
        <w:pStyle w:val="BookText"/>
        <w:rPr/>
      </w:pPr>
      <w:r>
        <w:rPr>
          <w:rStyle w:val="FootnoteAnchor"/>
          <w:rtl w:val="true"/>
        </w:rPr>
        <w:footnoteReference w:id="4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دکتور فی قسم المعارف ـ جامعة قم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r.karimivala@qom.ac.ir</w:t>
      </w:r>
      <w:r>
        <w:rPr>
          <w:rFonts w:eastAsia="Times New Roman" w:cs="Times New Roman" w:ascii="Times New Roman" w:hAnsi="Times New Roman"/>
          <w:color w:val="111111"/>
          <w:sz w:val="28"/>
          <w:szCs w:val="28"/>
          <w:rtl w:val="true"/>
          <w:lang w:val="en-US" w:bidi="en-US"/>
        </w:rPr>
        <w:t>).</w:t>
      </w:r>
      <w:bookmarkStart w:id="510" w:name="pg3245_36596"/>
    </w:p>
    <w:p>
      <w:pPr>
        <w:pStyle w:val="Heading3"/>
        <w:numPr>
          <w:ilvl w:val="2"/>
          <w:numId w:val="1"/>
        </w:numPr>
        <w:rPr/>
      </w:pPr>
      <w:bookmarkStart w:id="511" w:name="__RefHeading___Toc1986742_2749589250"/>
      <w:bookmarkStart w:id="512" w:name="_Toc210"/>
      <w:bookmarkEnd w:id="510"/>
      <w:bookmarkEnd w:id="511"/>
      <w:r>
        <w:rPr>
          <w:rtl w:val="true"/>
        </w:rPr>
        <w:t xml:space="preserve">الاتجاه التفسیری للفخر الرازی فی مواجهة أدلة الشیعة ذیل آیات الولایة و الخلافة </w:t>
      </w:r>
      <w:r>
        <w:rPr>
          <w:rtl w:val="true"/>
        </w:rPr>
        <w:t xml:space="preserve">/ </w:t>
      </w:r>
      <w:r>
        <w:rPr>
          <w:rtl w:val="true"/>
        </w:rPr>
        <w:t>حامد دج</w:t>
      </w:r>
      <w:r>
        <w:rPr>
          <w:rtl w:val="true"/>
        </w:rPr>
        <w:t>¬</w:t>
      </w:r>
      <w:r>
        <w:rPr>
          <w:rtl w:val="true"/>
        </w:rPr>
        <w:t>آباد ، زهره بابا أحمد المیلانی</w:t>
      </w:r>
      <w:bookmarkEnd w:id="512"/>
    </w:p>
    <w:p>
      <w:pPr>
        <w:pStyle w:val="Heading4"/>
        <w:numPr>
          <w:ilvl w:val="3"/>
          <w:numId w:val="1"/>
        </w:numPr>
        <w:rPr/>
      </w:pPr>
      <w:bookmarkStart w:id="513" w:name="__RefHeading___Toc1986744_2749589250"/>
      <w:bookmarkStart w:id="514" w:name="_Toc211"/>
      <w:bookmarkEnd w:id="513"/>
      <w:r>
        <w:rPr>
          <w:rtl w:val="true"/>
        </w:rPr>
        <w:t>اشارة</w:t>
      </w:r>
      <w:bookmarkEnd w:id="514"/>
    </w:p>
    <w:p>
      <w:pPr>
        <w:pStyle w:val="BookText"/>
        <w:rPr/>
      </w:pPr>
      <w:r>
        <w:rPr>
          <w:rFonts w:ascii="IRNazanin" w:hAnsi="IRNazanin" w:eastAsia="IRNazanin"/>
          <w:color w:val="111111"/>
          <w:sz w:val="28"/>
          <w:sz w:val="28"/>
          <w:szCs w:val="28"/>
          <w:rtl w:val="true"/>
          <w:lang w:bidi="fa-IR"/>
        </w:rPr>
        <w:t>إن مفسری أهل السنة ـ و بالأخص الفخر الرازی ـ عند مواجهتهم لأدلة الشیعة ذیل آیات الولایة و الخلافة حاولوا ـ و بأسالیب عدیدة ـ النقاش فیها و تضعیفها، و أن یدعموا ما تبنّوه من آراء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الحاضر یحاول التعرف علی منهج الفخر الرازی ذیل الآیات المشار إلیها، و أن یحلل و یدرس هذه المنهجیة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بیان مهجه ضمن الأمور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 علی الروایات الضعیفة و الموضوعة، الاعتماد علی السیاق، الاستناد للأبحاث الأدبیة، إهانة المعارضین له، عدم ذکر أقوال و روایات المخالفین، تعکیر أجواء البحث، و ذکر العدید من الأقوال دون ترجیح شیء منها</w:t>
      </w:r>
      <w:r>
        <w:rPr>
          <w:rFonts w:eastAsia="IRNazanin" w:cs="IRNazanin"/>
          <w:color w:val="111111"/>
          <w:sz w:val="28"/>
          <w:szCs w:val="28"/>
          <w:rtl w:val="true"/>
          <w:lang w:bidi="fa-IR"/>
        </w:rPr>
        <w:t>.</w:t>
      </w:r>
    </w:p>
    <w:p>
      <w:pPr>
        <w:pStyle w:val="Heading4"/>
        <w:numPr>
          <w:ilvl w:val="3"/>
          <w:numId w:val="1"/>
        </w:numPr>
        <w:rPr/>
      </w:pPr>
      <w:bookmarkStart w:id="515" w:name="__RefHeading___Toc1986746_2749589250"/>
      <w:bookmarkStart w:id="516" w:name="_Toc212"/>
      <w:bookmarkEnd w:id="515"/>
      <w:r>
        <w:rPr>
          <w:rtl w:val="true"/>
        </w:rPr>
        <w:t>الألفاظ المحوریة</w:t>
      </w:r>
      <w:bookmarkEnd w:id="516"/>
    </w:p>
    <w:p>
      <w:pPr>
        <w:pStyle w:val="BookText"/>
        <w:rPr/>
      </w:pPr>
      <w:r>
        <w:rPr>
          <w:rFonts w:ascii="IRNazanin" w:hAnsi="IRNazanin" w:eastAsia="IRNazanin"/>
          <w:color w:val="111111"/>
          <w:sz w:val="28"/>
          <w:sz w:val="28"/>
          <w:szCs w:val="28"/>
          <w:rtl w:val="true"/>
          <w:lang w:bidi="fa-IR"/>
        </w:rPr>
        <w:t>الفخر الرازی، آیات الولایة، أولویة التصرف، الولایة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
      </w:r>
      <w:bookmarkStart w:id="517" w:name="pg3245_36597"/>
    </w:p>
    <w:p>
      <w:pPr>
        <w:pStyle w:val="Heading3"/>
        <w:numPr>
          <w:ilvl w:val="2"/>
          <w:numId w:val="1"/>
        </w:numPr>
        <w:rPr/>
      </w:pPr>
      <w:bookmarkStart w:id="518" w:name="__RefHeading___Toc1986748_2749589250"/>
      <w:bookmarkStart w:id="519" w:name="_Toc213"/>
      <w:bookmarkEnd w:id="517"/>
      <w:bookmarkEnd w:id="518"/>
      <w:r>
        <w:rPr>
          <w:rtl w:val="true"/>
        </w:rPr>
        <w:t xml:space="preserve">دراسة منزلة </w:t>
      </w:r>
      <w:r>
        <w:rPr>
          <w:rtl w:val="true"/>
        </w:rPr>
        <w:t>«</w:t>
      </w:r>
      <w:r>
        <w:rPr>
          <w:rtl w:val="true"/>
        </w:rPr>
        <w:t>النظر و التفکر</w:t>
      </w:r>
      <w:r>
        <w:rPr>
          <w:rtl w:val="true"/>
        </w:rPr>
        <w:t xml:space="preserve">» </w:t>
      </w:r>
      <w:r>
        <w:rPr>
          <w:rtl w:val="true"/>
        </w:rPr>
        <w:t xml:space="preserve">عند االقاضی عبدالجبار </w:t>
      </w:r>
      <w:r>
        <w:rPr>
          <w:rtl w:val="true"/>
        </w:rPr>
        <w:t xml:space="preserve">/ </w:t>
      </w:r>
      <w:r>
        <w:rPr>
          <w:rtl w:val="true"/>
        </w:rPr>
        <w:t>محمد البیدهندی ، حسین السلطانی</w:t>
      </w:r>
      <w:bookmarkEnd w:id="519"/>
    </w:p>
    <w:p>
      <w:pPr>
        <w:pStyle w:val="Heading4"/>
        <w:numPr>
          <w:ilvl w:val="3"/>
          <w:numId w:val="1"/>
        </w:numPr>
        <w:rPr/>
      </w:pPr>
      <w:bookmarkStart w:id="520" w:name="__RefHeading___Toc1986750_2749589250"/>
      <w:bookmarkStart w:id="521" w:name="_Toc214"/>
      <w:bookmarkEnd w:id="520"/>
      <w:r>
        <w:rPr>
          <w:rtl w:val="true"/>
        </w:rPr>
        <w:t>اشارة</w:t>
      </w:r>
      <w:bookmarkEnd w:id="521"/>
    </w:p>
    <w:p>
      <w:pPr>
        <w:pStyle w:val="BookText"/>
        <w:rPr/>
      </w:pPr>
      <w:r>
        <w:rPr>
          <w:rFonts w:ascii="IRNazanin" w:hAnsi="IRNazanin" w:eastAsia="IRNazanin"/>
          <w:color w:val="111111"/>
          <w:sz w:val="28"/>
          <w:sz w:val="28"/>
          <w:szCs w:val="28"/>
          <w:rtl w:val="true"/>
          <w:lang w:bidi="fa-IR"/>
        </w:rPr>
        <w:t xml:space="preserve">إن القاضی عبدالجبار من الوجوه الکلامیة المعروفة عند المعتزلة، و له آراء جدیرة بالالتفات فی خصوص المعرفة، و خاصة فی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المنظومة الفکریة للقاضی عبدالجبار یعد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الاستدلال، و هو ـ کغیره من أفعال الإنسان ـ صادر عن قدرة الإنسان و إرادته، و هو من أفعاله، و یترشح من الفکر و النظر فعل آخر اسمه العلم و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یری القاضی أن الطریق الوحید لمعرفة الله هو الفکر و النظر، یعنی طریق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أن أول واجبات الإنسان هی الاستدلال العقلی علی معرفة الباری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الحاضر بصدد بیان دور و منزلة النظر، و علقته بالعلم و المعرفة، و دراسة معرفة الله سبحانه من منظار عبدالجبار</w:t>
      </w:r>
      <w:r>
        <w:rPr>
          <w:rFonts w:eastAsia="IRNazanin" w:cs="IRNazanin"/>
          <w:color w:val="111111"/>
          <w:sz w:val="28"/>
          <w:szCs w:val="28"/>
          <w:rtl w:val="true"/>
          <w:lang w:bidi="fa-IR"/>
        </w:rPr>
        <w:t>.</w:t>
      </w:r>
    </w:p>
    <w:p>
      <w:pPr>
        <w:pStyle w:val="Heading4"/>
        <w:numPr>
          <w:ilvl w:val="3"/>
          <w:numId w:val="1"/>
        </w:numPr>
        <w:rPr/>
      </w:pPr>
      <w:bookmarkStart w:id="522" w:name="__RefHeading___Toc1986752_2749589250"/>
      <w:bookmarkStart w:id="523" w:name="_Toc215"/>
      <w:bookmarkEnd w:id="522"/>
      <w:r>
        <w:rPr>
          <w:rtl w:val="true"/>
        </w:rPr>
        <w:t>الألفاظ المحوریة</w:t>
      </w:r>
      <w:bookmarkEnd w:id="523"/>
    </w:p>
    <w:p>
      <w:pPr>
        <w:pStyle w:val="BookText"/>
        <w:rPr/>
      </w:pPr>
      <w:r>
        <w:rPr>
          <w:rFonts w:ascii="IRNazanin" w:hAnsi="IRNazanin" w:eastAsia="IRNazanin"/>
          <w:color w:val="111111"/>
          <w:sz w:val="28"/>
          <w:sz w:val="28"/>
          <w:szCs w:val="28"/>
          <w:rtl w:val="true"/>
          <w:lang w:bidi="fa-IR"/>
        </w:rPr>
        <w:t>النظر، العلم، المعرفة، المعتزلة، القاضی عبدالجبار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
      </w:r>
      <w:bookmarkStart w:id="524" w:name="pg3245_36598"/>
    </w:p>
    <w:p>
      <w:pPr>
        <w:pStyle w:val="Heading3"/>
        <w:numPr>
          <w:ilvl w:val="2"/>
          <w:numId w:val="1"/>
        </w:numPr>
        <w:rPr/>
      </w:pPr>
      <w:bookmarkStart w:id="525" w:name="__RefHeading___Toc1986754_2749589250"/>
      <w:bookmarkStart w:id="526" w:name="_Toc216"/>
      <w:bookmarkEnd w:id="524"/>
      <w:bookmarkEnd w:id="525"/>
      <w:r>
        <w:rPr>
          <w:rtl w:val="true"/>
        </w:rPr>
        <w:t xml:space="preserve">مراحل الفعل الإلهی فی الآیات و الروایات </w:t>
      </w:r>
      <w:r>
        <w:rPr>
          <w:rtl w:val="true"/>
        </w:rPr>
        <w:t xml:space="preserve">/ </w:t>
      </w:r>
      <w:r>
        <w:rPr>
          <w:rtl w:val="true"/>
        </w:rPr>
        <w:t>رضا برنجکار ، مکارم ترجمان</w:t>
      </w:r>
      <w:bookmarkEnd w:id="526"/>
    </w:p>
    <w:p>
      <w:pPr>
        <w:pStyle w:val="Heading4"/>
        <w:numPr>
          <w:ilvl w:val="3"/>
          <w:numId w:val="1"/>
        </w:numPr>
        <w:rPr/>
      </w:pPr>
      <w:bookmarkStart w:id="527" w:name="__RefHeading___Toc1986756_2749589250"/>
      <w:bookmarkStart w:id="528" w:name="_Toc217"/>
      <w:bookmarkEnd w:id="527"/>
      <w:r>
        <w:rPr>
          <w:rtl w:val="true"/>
        </w:rPr>
        <w:t>اشارة</w:t>
      </w:r>
      <w:bookmarkEnd w:id="528"/>
    </w:p>
    <w:p>
      <w:pPr>
        <w:pStyle w:val="BookText"/>
        <w:rPr/>
      </w:pPr>
      <w:r>
        <w:rPr>
          <w:rFonts w:ascii="IRNazanin" w:hAnsi="IRNazanin" w:eastAsia="IRNazanin"/>
          <w:color w:val="111111"/>
          <w:sz w:val="28"/>
          <w:sz w:val="28"/>
          <w:szCs w:val="28"/>
          <w:rtl w:val="true"/>
          <w:lang w:bidi="fa-IR"/>
        </w:rPr>
        <w:t>لتحلیل الفعل الإلهی استعان المتکلمون الاسلامیون بمفهوم الإرادة، فجعلوا فاعلیة الله سبحانه بالإرادة، و بحسب اعتقادهم فإن العلم الإلهی لا یکفی لتحقق الفعل، و إنما تتحقق الأفعال الإلهیة بعد تحقق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المطروح فی هذا البحث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المراحل و المقدمات اللازمة للفعل الإلهی من منظار القرآن الکریم و الروایات؟ یمکننا أن نجمع بین الوارد فیها بأن الآیات و الروایات المتعرضة لتحلیل الفعل الإلهی علی ثلاث أقسام؛ فتارة تجعل المشیئة و الإرادة باعتبارها المتوسط بین الذات الإلهیة و 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بالمشیئة والإرادة هنا هو إیجاد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طائفة أخری من الروایات أن الفعل الإلهی له سبع مراحل، أحدها المشیئة، والمراد بالمشیئة هنا هو الإرادة، بمعنی التعین الإجمالی فی نظام العالم و فی العلم الفعلی أو بکتابته فی اللوح المحفوظ علی نحو الإجمال، و الانشاء العلمی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والإرادة تعنی إتمام و تثبیت المشیئة، کما أن القدر یعنی تعیین حدود و مقادیر ما تعلقت به الإرادة، و القضاء هو الحکم بتحقق الشیء المقدر، و الإذن وهو الرضا بهذا التحقق، و الکتاب و هو تثبیت الشیء بتمام خصوصیاته فی الألواح السماویة، و الأجل وهو المقدار الزمانی لعمر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ذلک هو علم فعلی لله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الطائف الثالثة جاءت الإشارة الی المراحل الأربع الأولی مضافاً للتأکید علی القضاء و حتمیته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یبدو فی النظر أن المراحل الأصلیة لتحقق الشیء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المشیئة و الإرادة و القدرة والقضاء، و أما باقی المذکورات فهی من لوازم المذکورات</w:t>
      </w:r>
      <w:r>
        <w:rPr>
          <w:rFonts w:eastAsia="IRNazanin" w:cs="IRNazanin"/>
          <w:color w:val="111111"/>
          <w:sz w:val="28"/>
          <w:szCs w:val="28"/>
          <w:rtl w:val="true"/>
          <w:lang w:bidi="fa-IR"/>
        </w:rPr>
        <w:t>.</w:t>
      </w:r>
    </w:p>
    <w:p>
      <w:pPr>
        <w:pStyle w:val="Heading4"/>
        <w:numPr>
          <w:ilvl w:val="3"/>
          <w:numId w:val="1"/>
        </w:numPr>
        <w:rPr/>
      </w:pPr>
      <w:bookmarkStart w:id="529" w:name="__RefHeading___Toc1986758_2749589250"/>
      <w:bookmarkStart w:id="530" w:name="_Toc218"/>
      <w:bookmarkEnd w:id="529"/>
      <w:r>
        <w:rPr>
          <w:rtl w:val="true"/>
        </w:rPr>
        <w:t>الألفاظ المحوریة</w:t>
      </w:r>
      <w:bookmarkEnd w:id="530"/>
    </w:p>
    <w:p>
      <w:pPr>
        <w:pStyle w:val="BookText"/>
        <w:rPr/>
      </w:pPr>
      <w:r>
        <w:rPr>
          <w:rFonts w:ascii="IRNazanin" w:hAnsi="IRNazanin" w:eastAsia="IRNazanin"/>
          <w:color w:val="111111"/>
          <w:sz w:val="28"/>
          <w:sz w:val="28"/>
          <w:szCs w:val="28"/>
          <w:rtl w:val="true"/>
          <w:lang w:bidi="fa-IR"/>
        </w:rPr>
        <w:t>الفعل الإلهی، المشیئة، الإرادة، القدر، القضاء، الإذن، الکتاب، الأجل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
      </w:r>
      <w:bookmarkStart w:id="531" w:name="pg3245_36599"/>
    </w:p>
    <w:p>
      <w:pPr>
        <w:pStyle w:val="Heading2"/>
        <w:numPr>
          <w:ilvl w:val="1"/>
          <w:numId w:val="1"/>
        </w:numPr>
        <w:rPr/>
      </w:pPr>
      <w:bookmarkStart w:id="532" w:name="__RefHeading___Toc1986760_2749589250"/>
      <w:bookmarkStart w:id="533" w:name="_Toc219"/>
      <w:bookmarkEnd w:id="531"/>
      <w:bookmarkEnd w:id="532"/>
      <w:r>
        <w:rPr/>
        <w:t>Abstracts</w:t>
      </w:r>
      <w:bookmarkEnd w:id="533"/>
    </w:p>
    <w:p>
      <w:pPr>
        <w:pStyle w:val="Heading3"/>
        <w:numPr>
          <w:ilvl w:val="2"/>
          <w:numId w:val="1"/>
        </w:numPr>
        <w:rPr/>
      </w:pPr>
      <w:bookmarkStart w:id="534" w:name="__RefHeading___Toc1986762_2749589250"/>
      <w:bookmarkStart w:id="535" w:name="_Toc220"/>
      <w:bookmarkEnd w:id="534"/>
      <w:r>
        <w:rPr/>
        <w:t>Examination and Criticism of Fakhr al-Razi's Objections against Avicenna's Arguments in Proving the Divine Knowledge/ Mahmood Saydi- Hadi Hashemi</w:t>
      </w:r>
      <w:bookmarkEnd w:id="535"/>
    </w:p>
    <w:p>
      <w:pPr>
        <w:pStyle w:val="Heading4"/>
        <w:numPr>
          <w:ilvl w:val="3"/>
          <w:numId w:val="1"/>
        </w:numPr>
        <w:rPr/>
      </w:pPr>
      <w:bookmarkStart w:id="536" w:name="__RefHeading___Toc1986764_2749589250"/>
      <w:bookmarkStart w:id="537" w:name="_Toc221"/>
      <w:bookmarkEnd w:id="536"/>
      <w:r>
        <w:rPr/>
        <w:t>Point</w:t>
      </w:r>
      <w:bookmarkEnd w:id="537"/>
    </w:p>
    <w:p>
      <w:pPr>
        <w:pStyle w:val="BookText"/>
        <w:rPr/>
      </w:pPr>
      <w:r>
        <w:rPr>
          <w:rFonts w:eastAsia="Times New Roman" w:cs="Times New Roman" w:ascii="Times New Roman" w:hAnsi="Times New Roman"/>
          <w:color w:val="111111"/>
          <w:sz w:val="28"/>
          <w:szCs w:val="28"/>
          <w:lang w:val="en-US" w:bidi="en-US"/>
        </w:rPr>
        <w:t>Avicenna provides two arguments to prove the essential knowledge for God and its inclusion to all beings. The first argument shows that because the necessary-existent God is immaterial, He can realize himself and consequently is aware of himself. In order to prove the awareness of all beings, the second argument is based on the essential knowledge of the necessary-existent and the implement of knowledge of cause to the knowledge of caused so that all beings are known by God. Fakhr al-Razi criticizes these two arguments in detail. In addition to representing the objections of Fakhr al-Razi on these arguments, in this writing we want to show the weak points of his arguments and explain his paralogisms that mainly originated from confusion of case with concept and concept with nature in human perception on God, consiodering God as the perfect cause for contingents, and his incorrect view of "relation" (izafah) in the discussion of mental existence</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8" w:name="__RefHeading___Toc1986766_2749589250"/>
      <w:bookmarkStart w:id="539" w:name="_Toc222"/>
      <w:bookmarkEnd w:id="538"/>
      <w:r>
        <w:rPr/>
        <w:t>Keywords</w:t>
      </w:r>
      <w:bookmarkEnd w:id="539"/>
    </w:p>
    <w:p>
      <w:pPr>
        <w:pStyle w:val="BookText"/>
        <w:rPr/>
      </w:pPr>
      <w:r>
        <w:rPr>
          <w:rFonts w:eastAsia="Times New Roman" w:cs="Times New Roman" w:ascii="Times New Roman" w:hAnsi="Times New Roman"/>
          <w:color w:val="111111"/>
          <w:sz w:val="28"/>
          <w:szCs w:val="28"/>
          <w:lang w:val="en-US" w:bidi="en-US"/>
        </w:rPr>
        <w:t>God, Avicenna, Fakhr al-Razi, knowledge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123456789101112</w:t>
      </w:r>
    </w:p>
    <w:p>
      <w:pPr>
        <w:pStyle w:val="BookText"/>
        <w:rPr/>
      </w:pPr>
      <w:r>
        <w:rPr>
          <w:rStyle w:val="FootnoteAnchor"/>
          <w:rtl w:val="true"/>
        </w:rPr>
        <w:footnoteReference w:id="4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w:t>
      </w:r>
      <w:bookmarkStart w:id="540" w:name="pg3245_36600"/>
    </w:p>
    <w:p>
      <w:pPr>
        <w:pStyle w:val="Heading3"/>
        <w:numPr>
          <w:ilvl w:val="2"/>
          <w:numId w:val="1"/>
        </w:numPr>
        <w:rPr/>
      </w:pPr>
      <w:bookmarkStart w:id="541" w:name="__RefHeading___Toc1986768_2749589250"/>
      <w:bookmarkStart w:id="542" w:name="_Toc223"/>
      <w:bookmarkEnd w:id="540"/>
      <w:bookmarkEnd w:id="541"/>
      <w:r>
        <w:rPr/>
        <w:t>Criticizing the Claim that the Teaching of Mahdawiyyah is influenced by Belief in Soshyant / Rasul Razawi- Ahmad Jamshidian</w:t>
      </w:r>
      <w:bookmarkEnd w:id="542"/>
    </w:p>
    <w:p>
      <w:pPr>
        <w:pStyle w:val="Heading4"/>
        <w:numPr>
          <w:ilvl w:val="3"/>
          <w:numId w:val="1"/>
        </w:numPr>
        <w:rPr/>
      </w:pPr>
      <w:bookmarkStart w:id="543" w:name="__RefHeading___Toc1986770_2749589250"/>
      <w:bookmarkStart w:id="544" w:name="_Toc224"/>
      <w:bookmarkEnd w:id="543"/>
      <w:r>
        <w:rPr/>
        <w:t>Point</w:t>
      </w:r>
      <w:bookmarkEnd w:id="544"/>
    </w:p>
    <w:p>
      <w:pPr>
        <w:pStyle w:val="BookText"/>
        <w:rPr/>
      </w:pPr>
      <w:r>
        <w:rPr>
          <w:rFonts w:eastAsia="Times New Roman" w:cs="Times New Roman" w:ascii="Times New Roman" w:hAnsi="Times New Roman"/>
          <w:color w:val="111111"/>
          <w:sz w:val="28"/>
          <w:szCs w:val="28"/>
          <w:lang w:val="en-US" w:bidi="en-US"/>
        </w:rPr>
        <w:t>Ahmad Jamshidian</w:t>
      </w:r>
    </w:p>
    <w:p>
      <w:pPr>
        <w:pStyle w:val="BookText"/>
        <w:rPr/>
      </w:pPr>
      <w:r>
        <w:rPr>
          <w:rFonts w:eastAsia="Times New Roman" w:cs="Times New Roman" w:ascii="Times New Roman" w:hAnsi="Times New Roman"/>
          <w:color w:val="111111"/>
          <w:sz w:val="28"/>
          <w:szCs w:val="28"/>
          <w:lang w:val="en-US" w:bidi="en-US"/>
        </w:rPr>
        <w:t>One of the Orientalist claims against the teaching of Mahdawiyyah is that it is influenced by the belief in Soshyant, the Iranian Zoroastrian Redeemer. The origin of this claim can be found in the existence of belief in redeemer in the Iranian Zoroastrian sources and their alignment in many details. By the terminology of the word Soshyant and examination of its usage in Zoroastrian sources, the present article firstly rejects this claim and then, based on the study of the sources of the Zoroastrian writings, the examination of their authenticity and offering some evidences that show the impressionability of Zoroastrian sources by the Islamic teachings in the years after the Islamic conquest of Iran and the complete control of Islam on this country, it emphasizes the possibility of the claim contrary</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5" w:name="__RefHeading___Toc1986772_2749589250"/>
      <w:bookmarkStart w:id="546" w:name="_Toc225"/>
      <w:bookmarkEnd w:id="545"/>
      <w:r>
        <w:rPr/>
        <w:t>Keywords</w:t>
      </w:r>
      <w:bookmarkEnd w:id="546"/>
    </w:p>
    <w:p>
      <w:pPr>
        <w:pStyle w:val="BookText"/>
        <w:rPr/>
      </w:pPr>
      <w:r>
        <w:rPr>
          <w:rFonts w:eastAsia="Times New Roman" w:cs="Times New Roman" w:ascii="Times New Roman" w:hAnsi="Times New Roman"/>
          <w:color w:val="111111"/>
          <w:sz w:val="28"/>
          <w:szCs w:val="28"/>
          <w:lang w:val="en-US" w:bidi="en-US"/>
        </w:rPr>
        <w:t>Mahdawiyyah, redeemer, Soshyant, Zoroastrianism, Orientailists</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4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w:t>
      </w:r>
      <w:bookmarkStart w:id="547" w:name="pg3245_36601"/>
    </w:p>
    <w:p>
      <w:pPr>
        <w:pStyle w:val="Heading3"/>
        <w:numPr>
          <w:ilvl w:val="2"/>
          <w:numId w:val="1"/>
        </w:numPr>
        <w:rPr/>
      </w:pPr>
      <w:bookmarkStart w:id="548" w:name="__RefHeading___Toc1986774_2749589250"/>
      <w:bookmarkStart w:id="549" w:name="_Toc226"/>
      <w:bookmarkEnd w:id="547"/>
      <w:bookmarkEnd w:id="548"/>
      <w:r>
        <w:rPr/>
        <w:t>Examining and Reinforcing the Mohammad ibn Alavi Maleki's Criticisms against Mohammad ibn Saleh 'Othayminon Tawssul (recourse)/Meitham Doustmohammadi- Mohammadreaza Karimivala</w:t>
      </w:r>
      <w:bookmarkEnd w:id="549"/>
    </w:p>
    <w:p>
      <w:pPr>
        <w:pStyle w:val="Heading4"/>
        <w:numPr>
          <w:ilvl w:val="3"/>
          <w:numId w:val="1"/>
        </w:numPr>
        <w:rPr/>
      </w:pPr>
      <w:bookmarkStart w:id="550" w:name="__RefHeading___Toc1986776_2749589250"/>
      <w:bookmarkStart w:id="551" w:name="_Toc227"/>
      <w:bookmarkEnd w:id="550"/>
      <w:r>
        <w:rPr/>
        <w:t>Point</w:t>
      </w:r>
      <w:bookmarkEnd w:id="551"/>
    </w:p>
    <w:p>
      <w:pPr>
        <w:pStyle w:val="BookText"/>
        <w:rPr/>
      </w:pPr>
      <w:r>
        <w:rPr>
          <w:rFonts w:eastAsia="Times New Roman" w:cs="Times New Roman" w:ascii="Times New Roman" w:hAnsi="Times New Roman"/>
          <w:color w:val="111111"/>
          <w:sz w:val="28"/>
          <w:szCs w:val="28"/>
          <w:lang w:val="en-US" w:bidi="en-US"/>
        </w:rPr>
        <w:t>The Wahhabi arguments on tawassul (having recourse to the Saints) how much correspond to the Sunni thinkers' positions? In order to answer the question, the article's authors examine the views of Mohammad ibn Alavi Maleki and Mohammad ibn Saleh 'Othaymin from the Sunni scholars and show that the arguments of Wahhabiyyah are not accepted in this field. By referring to traditional texts, Mohammad ibn Alavi Maleki's arguments clearly prove that recourse to the Prophet and the late righteous prayer is an act in correspondence to belief in unity of God. But there are some weak points in these arguments that by resolving and reinforcing them one can bring about strong and comprehensive criticism on Ibn 'Othaymin and other Wahhabi masters' ideas. The Maleki's view on the issue of recourse in much level is in agreement with Imamiyyah approach and believe in the correctness of having recourse to the Prophet and the late righteous prayer</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2" w:name="__RefHeading___Toc1986778_2749589250"/>
      <w:bookmarkStart w:id="553" w:name="_Toc228"/>
      <w:bookmarkEnd w:id="552"/>
      <w:r>
        <w:rPr/>
        <w:t>Keywords</w:t>
      </w:r>
      <w:bookmarkEnd w:id="553"/>
    </w:p>
    <w:p>
      <w:pPr>
        <w:pStyle w:val="BookText"/>
        <w:rPr/>
      </w:pPr>
      <w:r>
        <w:rPr>
          <w:rFonts w:eastAsia="Times New Roman" w:cs="Times New Roman" w:ascii="Times New Roman" w:hAnsi="Times New Roman"/>
          <w:color w:val="111111"/>
          <w:sz w:val="28"/>
          <w:szCs w:val="28"/>
          <w:lang w:val="en-US" w:bidi="en-US"/>
        </w:rPr>
        <w:t>tawssul (recourse), Wahhabiyyah, Unity of God, Mohammad ibn Alavi Maleki and Mohammad ibn Saleh 'Othaymin</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4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w:t>
      </w:r>
      <w:bookmarkStart w:id="554" w:name="pg3245_36602"/>
    </w:p>
    <w:p>
      <w:pPr>
        <w:pStyle w:val="Heading3"/>
        <w:numPr>
          <w:ilvl w:val="2"/>
          <w:numId w:val="1"/>
        </w:numPr>
        <w:rPr/>
      </w:pPr>
      <w:bookmarkStart w:id="555" w:name="__RefHeading___Toc1986780_2749589250"/>
      <w:bookmarkStart w:id="556" w:name="_Toc229"/>
      <w:bookmarkEnd w:id="554"/>
      <w:bookmarkEnd w:id="555"/>
      <w:r>
        <w:rPr/>
        <w:t>The Exegetical Approach of Fakhr al-Razi in Encounter to the Shi'a Arguments about the Verses of Guardianship and Succession/ Hamed Dejabad - Zora Babaahmad Milani</w:t>
      </w:r>
      <w:bookmarkEnd w:id="556"/>
    </w:p>
    <w:p>
      <w:pPr>
        <w:pStyle w:val="Heading4"/>
        <w:numPr>
          <w:ilvl w:val="3"/>
          <w:numId w:val="1"/>
        </w:numPr>
        <w:rPr/>
      </w:pPr>
      <w:bookmarkStart w:id="557" w:name="__RefHeading___Toc1986782_2749589250"/>
      <w:bookmarkStart w:id="558" w:name="_Toc230"/>
      <w:bookmarkEnd w:id="557"/>
      <w:r>
        <w:rPr/>
        <w:t>Point</w:t>
      </w:r>
      <w:bookmarkEnd w:id="558"/>
    </w:p>
    <w:p>
      <w:pPr>
        <w:pStyle w:val="BookText"/>
        <w:rPr/>
      </w:pPr>
      <w:r>
        <w:rPr>
          <w:rFonts w:eastAsia="Times New Roman" w:cs="Times New Roman" w:ascii="Times New Roman" w:hAnsi="Times New Roman"/>
          <w:color w:val="111111"/>
          <w:sz w:val="28"/>
          <w:szCs w:val="28"/>
          <w:lang w:val="en-US" w:bidi="en-US"/>
        </w:rPr>
        <w:t>In encounter to the Shi'a arguments about the verses of guardianship (welayah) and succession (khelafah), the Sunni exegeses, especially Fakhr al-Razi, tried to criticize the Shi'a arguments in various ways and to devitalize these arguments and reinforce their own views. The present research examines the methodology of Fakhr al-Razi about these verses and analyzes his methods. Fakhr al-Razi's methods in encounter with Shi'a consist in: appealing to weak and false narrations, appealing to the context, appealing to literal discussion, vituperation to the opponents, not mentioning the opposite views and narrations, darkening the atmosphere of discussion and mentioning the different views without preferring any of them</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9" w:name="__RefHeading___Toc1986784_2749589250"/>
      <w:bookmarkStart w:id="560" w:name="_Toc231"/>
      <w:bookmarkEnd w:id="559"/>
      <w:r>
        <w:rPr/>
        <w:t>Keywords</w:t>
      </w:r>
      <w:bookmarkEnd w:id="560"/>
    </w:p>
    <w:p>
      <w:pPr>
        <w:pStyle w:val="BookText"/>
        <w:rPr/>
      </w:pPr>
      <w:r>
        <w:rPr>
          <w:rFonts w:eastAsia="Times New Roman" w:cs="Times New Roman" w:ascii="Times New Roman" w:hAnsi="Times New Roman"/>
          <w:color w:val="111111"/>
          <w:sz w:val="28"/>
          <w:szCs w:val="28"/>
          <w:lang w:val="en-US" w:bidi="en-US"/>
        </w:rPr>
        <w:t>Fakhr al-Razi, the verses of guardianship, one who is prior to tenure, guardianship</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4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w:t>
      </w:r>
      <w:bookmarkStart w:id="561" w:name="pg3245_36603"/>
    </w:p>
    <w:p>
      <w:pPr>
        <w:pStyle w:val="Heading3"/>
        <w:numPr>
          <w:ilvl w:val="2"/>
          <w:numId w:val="1"/>
        </w:numPr>
        <w:rPr/>
      </w:pPr>
      <w:bookmarkStart w:id="562" w:name="__RefHeading___Toc1986786_2749589250"/>
      <w:bookmarkStart w:id="563" w:name="_Toc232"/>
      <w:bookmarkEnd w:id="561"/>
      <w:bookmarkEnd w:id="562"/>
      <w:r>
        <w:rPr/>
        <w:t>Examining the Place of "Nazar and Thinking" from the Viewpoint of Qazi 'Abd al-Jabbar/ Mohammad Bidhendi - Hosein Sultani</w:t>
      </w:r>
      <w:bookmarkEnd w:id="563"/>
    </w:p>
    <w:p>
      <w:pPr>
        <w:pStyle w:val="Heading4"/>
        <w:numPr>
          <w:ilvl w:val="3"/>
          <w:numId w:val="1"/>
        </w:numPr>
        <w:rPr/>
      </w:pPr>
      <w:bookmarkStart w:id="564" w:name="__RefHeading___Toc1986788_2749589250"/>
      <w:bookmarkStart w:id="565" w:name="_Toc233"/>
      <w:bookmarkEnd w:id="564"/>
      <w:r>
        <w:rPr/>
        <w:t>Point</w:t>
      </w:r>
      <w:bookmarkEnd w:id="565"/>
    </w:p>
    <w:p>
      <w:pPr>
        <w:pStyle w:val="BookText"/>
        <w:rPr/>
      </w:pPr>
      <w:r>
        <w:rPr>
          <w:rFonts w:eastAsia="Times New Roman" w:cs="Times New Roman" w:ascii="Times New Roman" w:hAnsi="Times New Roman"/>
          <w:color w:val="111111"/>
          <w:sz w:val="28"/>
          <w:szCs w:val="28"/>
          <w:lang w:val="en-US" w:bidi="en-US"/>
        </w:rPr>
        <w:t>Qazi 'Abd al-Jabbar is one of the famous figures of Mu'tazilite Kalam which is of considerable views in epistemology especially in the discussion of "nazar" (contemplation). In Qazi's theoretical system, nazar means thinking and arguing, and like other human acts, stems from his power and will and is his own act. From nazar and thinking gained another act named knowledge. Thus Qazi considers nazar and thinking that is the way of reason as the only way to gain the knowledge of God. From his point of view, the first duty of mankind is rational reasoning to know God. The present research wants to examine the role and place of nazar and its relationship with knowledge and awareness as well as especially its relationship with knowing God in 'Abd al-Jabbar perspective</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6" w:name="__RefHeading___Toc1986790_2749589250"/>
      <w:bookmarkStart w:id="567" w:name="_Toc234"/>
      <w:bookmarkEnd w:id="566"/>
      <w:r>
        <w:rPr/>
        <w:t>Keywords</w:t>
      </w:r>
      <w:bookmarkEnd w:id="567"/>
    </w:p>
    <w:p>
      <w:pPr>
        <w:pStyle w:val="BookText"/>
        <w:rPr/>
      </w:pPr>
      <w:r>
        <w:rPr>
          <w:rFonts w:eastAsia="Times New Roman" w:cs="Times New Roman" w:ascii="Times New Roman" w:hAnsi="Times New Roman"/>
          <w:color w:val="111111"/>
          <w:sz w:val="28"/>
          <w:szCs w:val="28"/>
          <w:lang w:val="en-US" w:bidi="en-US"/>
        </w:rPr>
        <w:t>nazar, awareness, knowledge, Mu'tazilah, Qazi 'Abd al-Jabbar</w:t>
      </w:r>
    </w:p>
    <w:p>
      <w:pPr>
        <w:pStyle w:val="BookText"/>
        <w:rPr/>
      </w:pPr>
      <w:r>
        <w:rPr>
          <w:rStyle w:val="FootnoteAnchor"/>
          <w:rtl w:val="true"/>
        </w:rPr>
        <w:footnoteReference w:id="4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bookmarkStart w:id="568" w:name="pg3245_36604"/>
    </w:p>
    <w:p>
      <w:pPr>
        <w:pStyle w:val="Heading3"/>
        <w:numPr>
          <w:ilvl w:val="2"/>
          <w:numId w:val="1"/>
        </w:numPr>
        <w:rPr/>
      </w:pPr>
      <w:bookmarkStart w:id="569" w:name="__RefHeading___Toc1986792_2749589250"/>
      <w:bookmarkStart w:id="570" w:name="_Toc235"/>
      <w:bookmarkEnd w:id="568"/>
      <w:bookmarkEnd w:id="569"/>
      <w:r>
        <w:rPr/>
        <w:t>The Degrees of the Divine Act in the Quranic Verses / Reza Brenjkar - Makarem Tarjoman</w:t>
      </w:r>
      <w:bookmarkEnd w:id="570"/>
    </w:p>
    <w:p>
      <w:pPr>
        <w:pStyle w:val="Heading4"/>
        <w:numPr>
          <w:ilvl w:val="3"/>
          <w:numId w:val="1"/>
        </w:numPr>
        <w:rPr/>
      </w:pPr>
      <w:bookmarkStart w:id="571" w:name="__RefHeading___Toc1986794_2749589250"/>
      <w:bookmarkStart w:id="572" w:name="_Toc236"/>
      <w:bookmarkEnd w:id="571"/>
      <w:r>
        <w:rPr/>
        <w:t>Point</w:t>
      </w:r>
      <w:bookmarkEnd w:id="572"/>
    </w:p>
    <w:p>
      <w:pPr>
        <w:pStyle w:val="BookText"/>
        <w:rPr/>
      </w:pPr>
      <w:r>
        <w:rPr>
          <w:rFonts w:eastAsia="Times New Roman" w:cs="Times New Roman" w:ascii="Times New Roman" w:hAnsi="Times New Roman"/>
          <w:color w:val="111111"/>
          <w:sz w:val="28"/>
          <w:szCs w:val="28"/>
          <w:lang w:val="en-US" w:bidi="en-US"/>
        </w:rPr>
        <w:t>To analyze the divine act, the Muslim theologians used will and considered God acting as acting by will. According to them, the divine knowledge is not enough in realization of act but after will the act will be realized. The question of this writing is that according to Quran and hadiths which degrees and foreparts are needed in order to the divine act could take place. To summarize the research one can say that the verses and narrations in relation to the divine act are of three kinds: sometimes providence or will considered as mediate between the divine essence and act, that here the meaning of providence or will is creation of things. In another group of narrations the divine act is of seven degrees. In these narrations, providence (mashiyyah) means to will that is the undetailed determination of the world system in act knowledge and/or in brief writing the things in the table (lawh) and its knowledge creation; will (eradah) means completion and establishment of providence; measurement (qadar) means to measure what willed; statement (qaza) is to adjudicate the realization of the measured thing; satisfaction (reza) to this realization is named permission (ezn); book (ketab) is recording the thing with all characteristics in the heaven tables; and term (ajal) is the amount of the thing's life. All of these are divine act knowledge. In the third group of narrations, there is mention only the first four stages in addition to signature (emza) which is the emphasis on its statement and certainty. It seems that the essential stages of thing occurrence are providence, will, measurement and statement, and the other case are implications of these four degrees</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3" w:name="__RefHeading___Toc1986796_2749589250"/>
      <w:bookmarkStart w:id="574" w:name="_Toc237"/>
      <w:bookmarkEnd w:id="573"/>
      <w:r>
        <w:rPr/>
        <w:t>Keywords</w:t>
      </w:r>
      <w:bookmarkEnd w:id="574"/>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divine act, providence, will, measurement and statement, permission, book, term</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5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w:t>
      </w:r>
      <w:bookmarkStart w:id="575" w:name="pg3245_36605"/>
    </w:p>
    <w:p>
      <w:pPr>
        <w:pStyle w:val="Heading3"/>
        <w:numPr>
          <w:ilvl w:val="2"/>
          <w:numId w:val="1"/>
        </w:numPr>
        <w:rPr/>
      </w:pPr>
      <w:bookmarkStart w:id="576" w:name="__RefHeading___Toc1986798_2749589250"/>
      <w:bookmarkStart w:id="577" w:name="_Toc238"/>
      <w:bookmarkEnd w:id="575"/>
      <w:bookmarkEnd w:id="576"/>
      <w:r>
        <w:rPr/>
        <w:t>Tahqīqāt-e Kalām</w:t>
      </w:r>
      <w:bookmarkEnd w:id="577"/>
    </w:p>
    <w:p>
      <w:pPr>
        <w:pStyle w:val="BookText"/>
        <w:rPr/>
      </w:pPr>
      <w:r>
        <w:rPr>
          <w:rFonts w:eastAsia="Times New Roman" w:cs="Times New Roman" w:ascii="Times New Roman" w:hAnsi="Times New Roman"/>
          <w:color w:val="111111"/>
          <w:sz w:val="28"/>
          <w:szCs w:val="28"/>
          <w:lang w:val="en-US" w:bidi="en-US"/>
        </w:rPr>
        <w:t>Tahqīqāt-e Kalāmi</w:t>
      </w:r>
    </w:p>
    <w:p>
      <w:pPr>
        <w:pStyle w:val="BookText"/>
        <w:rPr/>
      </w:pPr>
      <w:r>
        <w:rPr>
          <w:rFonts w:eastAsia="Times New Roman" w:cs="Times New Roman" w:ascii="Times New Roman" w:hAnsi="Times New Roman"/>
          <w:color w:val="111111"/>
          <w:sz w:val="28"/>
          <w:szCs w:val="28"/>
          <w:lang w:val="en-US" w:bidi="en-US"/>
        </w:rPr>
        <w:t>Islamic Theology Studies</w:t>
      </w:r>
    </w:p>
    <w:p>
      <w:pPr>
        <w:pStyle w:val="BookText"/>
        <w:rPr/>
      </w:pPr>
      <w:r>
        <w:rPr>
          <w:rFonts w:eastAsia="Times New Roman" w:cs="Times New Roman" w:ascii="Times New Roman" w:hAnsi="Times New Roman"/>
          <w:color w:val="111111"/>
          <w:sz w:val="28"/>
          <w:szCs w:val="28"/>
          <w:lang w:val="en-US" w:bidi="en-US"/>
        </w:rPr>
        <w:t>An Academic Quarterly</w:t>
      </w:r>
    </w:p>
    <w:p>
      <w:pPr>
        <w:pStyle w:val="BookText"/>
        <w:rPr/>
      </w:pPr>
      <w:r>
        <w:rPr>
          <w:rFonts w:eastAsia="Times New Roman" w:cs="Times New Roman" w:ascii="Times New Roman" w:hAnsi="Times New Roman"/>
          <w:color w:val="111111"/>
          <w:sz w:val="28"/>
          <w:szCs w:val="28"/>
          <w:lang w:val="en-US" w:bidi="en-US"/>
        </w:rPr>
        <w:t>Islamic Theology Association</w:t>
      </w:r>
    </w:p>
    <w:p>
      <w:pPr>
        <w:pStyle w:val="BookText"/>
        <w:rPr/>
      </w:pPr>
      <w:r>
        <w:rPr>
          <w:rFonts w:eastAsia="Times New Roman" w:cs="Times New Roman" w:ascii="Times New Roman" w:hAnsi="Times New Roman"/>
          <w:color w:val="111111"/>
          <w:sz w:val="28"/>
          <w:szCs w:val="28"/>
          <w:lang w:val="en-US" w:bidi="en-US"/>
        </w:rPr>
        <w:t>Islamic Seminary (Hawza) of Qum</w:t>
      </w:r>
    </w:p>
    <w:p>
      <w:pPr>
        <w:pStyle w:val="BookText"/>
        <w:rPr/>
      </w:pPr>
      <w:r>
        <w:rPr>
          <w:rFonts w:eastAsia="Times New Roman" w:cs="Times New Roman" w:ascii="Times New Roman" w:hAnsi="Times New Roman"/>
          <w:color w:val="111111"/>
          <w:sz w:val="28"/>
          <w:szCs w:val="28"/>
          <w:lang w:val="en-US" w:bidi="en-US"/>
        </w:rPr>
        <w:t>Vol.4, No.13, July-September 2016</w:t>
      </w:r>
    </w:p>
    <w:p>
      <w:pPr>
        <w:pStyle w:val="BookText"/>
        <w:rPr/>
      </w:pPr>
      <w:r>
        <w:rPr>
          <w:rFonts w:eastAsia="Times New Roman" w:cs="Times New Roman" w:ascii="Times New Roman" w:hAnsi="Times New Roman"/>
          <w:color w:val="111111"/>
          <w:sz w:val="28"/>
          <w:szCs w:val="28"/>
          <w:lang w:val="en-US" w:bidi="en-US"/>
        </w:rPr>
        <w:t>Proprietor: Islamic Theology Association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Qum Seminary (Hawza)</w:t>
      </w:r>
    </w:p>
    <w:p>
      <w:pPr>
        <w:pStyle w:val="BookText"/>
        <w:rPr/>
      </w:pPr>
      <w:r>
        <w:rPr>
          <w:rFonts w:eastAsia="Times New Roman" w:cs="Times New Roman" w:ascii="Times New Roman" w:hAnsi="Times New Roman"/>
          <w:color w:val="111111"/>
          <w:sz w:val="28"/>
          <w:szCs w:val="28"/>
          <w:lang w:val="en-US" w:bidi="en-US"/>
        </w:rPr>
        <w:t>Manager: Hadi Sadeqi</w:t>
      </w:r>
    </w:p>
    <w:p>
      <w:pPr>
        <w:pStyle w:val="BookText"/>
        <w:rPr/>
      </w:pPr>
      <w:r>
        <w:rPr>
          <w:rFonts w:eastAsia="Times New Roman" w:cs="Times New Roman" w:ascii="Times New Roman" w:hAnsi="Times New Roman"/>
          <w:color w:val="111111"/>
          <w:sz w:val="28"/>
          <w:szCs w:val="28"/>
          <w:lang w:val="en-US" w:bidi="en-US"/>
        </w:rPr>
        <w:t>Editor-in-Cheif: Reza Berenjkar</w:t>
      </w:r>
    </w:p>
    <w:p>
      <w:pPr>
        <w:pStyle w:val="BookText"/>
        <w:rPr/>
      </w:pPr>
      <w:r>
        <w:rPr>
          <w:rFonts w:eastAsia="Times New Roman" w:cs="Times New Roman" w:ascii="Times New Roman" w:hAnsi="Times New Roman"/>
          <w:color w:val="111111"/>
          <w:sz w:val="28"/>
          <w:szCs w:val="28"/>
          <w:lang w:val="en-US" w:bidi="en-US"/>
        </w:rPr>
        <w:t>Editorial Manager: Mousa Eshkevari</w:t>
      </w:r>
    </w:p>
    <w:p>
      <w:pPr>
        <w:pStyle w:val="BookText"/>
        <w:rPr/>
      </w:pPr>
      <w:r>
        <w:rPr>
          <w:rFonts w:eastAsia="Times New Roman" w:cs="Times New Roman" w:ascii="Times New Roman" w:hAnsi="Times New Roman"/>
          <w:color w:val="111111"/>
          <w:sz w:val="28"/>
          <w:szCs w:val="28"/>
          <w:lang w:val="en-US" w:bidi="en-US"/>
        </w:rPr>
        <w:t>Editor: Ramin Babagolzadeh</w:t>
      </w:r>
    </w:p>
    <w:p>
      <w:pPr>
        <w:pStyle w:val="BookText"/>
        <w:rPr/>
      </w:pPr>
      <w:r>
        <w:rPr>
          <w:rFonts w:eastAsia="Times New Roman" w:cs="Times New Roman" w:ascii="Times New Roman" w:hAnsi="Times New Roman"/>
          <w:color w:val="111111"/>
          <w:sz w:val="28"/>
          <w:szCs w:val="28"/>
          <w:lang w:val="en-US" w:bidi="en-US"/>
        </w:rPr>
        <w:t>Translated to Arabic by: Heidar Masjedi</w:t>
      </w:r>
    </w:p>
    <w:p>
      <w:pPr>
        <w:pStyle w:val="BookText"/>
        <w:rPr/>
      </w:pPr>
      <w:r>
        <w:rPr>
          <w:rFonts w:eastAsia="Times New Roman" w:cs="Times New Roman" w:ascii="Times New Roman" w:hAnsi="Times New Roman"/>
          <w:color w:val="111111"/>
          <w:sz w:val="28"/>
          <w:szCs w:val="28"/>
          <w:lang w:val="en-US" w:bidi="en-US"/>
        </w:rPr>
        <w:t>Translated to English by: Seyed Lutfullah Jalali</w:t>
      </w:r>
    </w:p>
    <w:p>
      <w:pPr>
        <w:pStyle w:val="BookText"/>
        <w:rPr/>
      </w:pPr>
      <w:r>
        <w:rPr>
          <w:rFonts w:eastAsia="Times New Roman" w:cs="Times New Roman" w:ascii="Times New Roman" w:hAnsi="Times New Roman"/>
          <w:color w:val="111111"/>
          <w:sz w:val="28"/>
          <w:szCs w:val="28"/>
          <w:lang w:val="en-US" w:bidi="en-US"/>
        </w:rPr>
        <w:t>Layout: Masoumeh Norouzi</w:t>
      </w:r>
    </w:p>
    <w:p>
      <w:pPr>
        <w:pStyle w:val="BookText"/>
        <w:rPr/>
      </w:pPr>
      <w:r>
        <w:rPr>
          <w:rFonts w:eastAsia="Times New Roman" w:cs="Times New Roman" w:ascii="Times New Roman" w:hAnsi="Times New Roman"/>
          <w:color w:val="111111"/>
          <w:sz w:val="28"/>
          <w:szCs w:val="28"/>
          <w:lang w:val="en-US" w:bidi="en-US"/>
        </w:rPr>
        <w:t>ISSN:2345-3788</w:t>
      </w:r>
    </w:p>
    <w:p>
      <w:pPr>
        <w:pStyle w:val="BookText"/>
        <w:rPr/>
      </w:pPr>
      <w:r>
        <w:rPr>
          <w:rFonts w:eastAsia="Times New Roman" w:cs="Times New Roman" w:ascii="Times New Roman" w:hAnsi="Times New Roman"/>
          <w:color w:val="111111"/>
          <w:sz w:val="28"/>
          <w:szCs w:val="28"/>
          <w:lang w:val="en-US" w:bidi="en-US"/>
        </w:rPr>
        <w:t>Address: Islamic Theology Association, Islamic</w:t>
      </w:r>
    </w:p>
    <w:p>
      <w:pPr>
        <w:pStyle w:val="BookText"/>
        <w:rPr/>
      </w:pPr>
      <w:r>
        <w:rPr>
          <w:rFonts w:eastAsia="Times New Roman" w:cs="Times New Roman" w:ascii="Times New Roman" w:hAnsi="Times New Roman"/>
          <w:color w:val="111111"/>
          <w:sz w:val="28"/>
          <w:szCs w:val="28"/>
          <w:lang w:val="en-US" w:bidi="en-US"/>
        </w:rPr>
        <w:t>Seminary (Hawza), First Left Alley, Alley No.2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Jomhoori Eslami Boulevard, Qum, Iran</w:t>
      </w:r>
    </w:p>
    <w:p>
      <w:pPr>
        <w:pStyle w:val="BookText"/>
        <w:rPr/>
      </w:pPr>
      <w:r>
        <w:rPr>
          <w:rFonts w:eastAsia="Times New Roman" w:cs="Times New Roman" w:ascii="Times New Roman" w:hAnsi="Times New Roman"/>
          <w:color w:val="111111"/>
          <w:sz w:val="28"/>
          <w:szCs w:val="28"/>
          <w:lang w:val="en-US" w:bidi="en-US"/>
        </w:rPr>
        <w:t>PO Box:3765-133</w:t>
      </w:r>
    </w:p>
    <w:p>
      <w:pPr>
        <w:pStyle w:val="BookText"/>
        <w:rPr/>
      </w:pPr>
      <w:r>
        <w:rPr>
          <w:rFonts w:eastAsia="Times New Roman" w:cs="Times New Roman" w:ascii="Times New Roman" w:hAnsi="Times New Roman"/>
          <w:color w:val="111111"/>
          <w:sz w:val="28"/>
          <w:szCs w:val="28"/>
          <w:lang w:val="en-US" w:bidi="en-US"/>
        </w:rPr>
        <w:t>Telephon:0098-25-32928546</w:t>
      </w:r>
    </w:p>
    <w:p>
      <w:pPr>
        <w:pStyle w:val="BookText"/>
        <w:rPr/>
      </w:pPr>
      <w:r>
        <w:rPr>
          <w:rFonts w:eastAsia="Times New Roman" w:cs="Times New Roman" w:ascii="Times New Roman" w:hAnsi="Times New Roman"/>
          <w:color w:val="111111"/>
          <w:sz w:val="28"/>
          <w:szCs w:val="28"/>
          <w:lang w:val="en-US" w:bidi="en-US"/>
        </w:rPr>
        <w:t>Tsms:30007227007705</w:t>
      </w:r>
    </w:p>
    <w:p>
      <w:pPr>
        <w:pStyle w:val="BookText"/>
        <w:rPr/>
      </w:pPr>
      <w:r>
        <w:rPr>
          <w:rFonts w:eastAsia="Times New Roman" w:cs="Times New Roman" w:ascii="Times New Roman" w:hAnsi="Times New Roman"/>
          <w:color w:val="111111"/>
          <w:sz w:val="28"/>
          <w:szCs w:val="28"/>
          <w:lang w:val="en-US" w:bidi="en-US"/>
        </w:rPr>
        <w:t>Site:www.tkalam.ir / www.ikq.ir</w:t>
      </w:r>
    </w:p>
    <w:p>
      <w:pPr>
        <w:pStyle w:val="BookText"/>
        <w:rPr/>
      </w:pPr>
      <w:r>
        <w:rPr>
          <w:rFonts w:eastAsia="Times New Roman" w:cs="Times New Roman" w:ascii="Times New Roman" w:hAnsi="Times New Roman"/>
          <w:color w:val="111111"/>
          <w:sz w:val="28"/>
          <w:szCs w:val="28"/>
          <w:lang w:val="en-US" w:bidi="en-US"/>
        </w:rPr>
        <w:t>Email:Info@Tkalam.ir / Info@Ikq.ir</w:t>
      </w:r>
    </w:p>
    <w:p>
      <w:pPr>
        <w:pStyle w:val="BookText"/>
        <w:rPr/>
      </w:pPr>
      <w:r>
        <w:rPr>
          <w:rFonts w:eastAsia="Times New Roman" w:cs="Times New Roman" w:ascii="Times New Roman" w:hAnsi="Times New Roman"/>
          <w:color w:val="111111"/>
          <w:sz w:val="28"/>
          <w:szCs w:val="28"/>
          <w:lang w:val="en-US" w:bidi="en-US"/>
        </w:rPr>
        <w:t>Price: 80000 Rials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شاهد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m.saidiy@yahoo.com</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دین‌شناسی دانشگاه سمنان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hadihashemi85@yahoo.com</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 این نکته ضروری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برهان ابن‌سینا و توضیحات فخر رازی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امکان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معنای سلب ضرورت از طرف مخالف قضیه است و به دلیل منتفی بودن تزاحمات مادی در موجود مجرد، مساوی وجوب و ضرورت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فکل ما یمکن فی حق الباری تعالی فهو واجب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رازی،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 xml:space="preserve">ق،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مطلب است که فخر رازی ممکن بودن را به معنای ممتنع نبودن و مساوی وجوب تفسیر می‌کند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براهینی که ابن‌سینا در اثبات تجرد نفس ناطقه اقامه می‌کند، از جهت عدم توانایی قوای بدنی در ادراک امور ضعیف بعد از شدید است، در حالی که قوه عاقله چنین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نتیجه نفس ناطقه، مادی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ابن‌سینا،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با استفاده از این نکته، ممکن نبودن تعقل موجودات ممکن همراه با تعقل ذات خداوند را اثبات می‌کند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و عضو هیئت علمی دانشگاه قرآن و حدیث و عضو انجمن کلام اسلامی حوزه علمیه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فارغ‌التحصیل مقطع کارشناسی ارشد دانشگاه قرآن و حدیث</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Saul Shakd</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Darmesteter</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اندکی از یسنا، یکی از پنج بخش اوستای کنونی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بخش از کهن‌ترین بخش‌های اوستا بوده که درباره آن چنین مشهور شده است که از سروده‌های اشو زرتشت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بلندترین بخش اوستای کنونی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می‌نامند که دارای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 در ستایش ایزدان کهن ایرانی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که در اواخر قرن سوم هجری تألیف شده است بزرگ‌ترین و مهم‌ترین کتاب زرتشتی است که در اصل مشتمل بر نه دفتر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دو بخش نخستین آن در دست نیست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می‌توان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آفرینش آغازین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 کرد و خود عنوان کتابی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فرن بغ دادگی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قرن سوم هجری آن را گردآوری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علاوه بر مباحثی در چگونگی خلقت، اشارات مفصلی به نجوم دارد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دیوی است از نیروهای اهریمنی که با ظلم بر ایران، به حکومت می‌رسد و بسیاری از نیروهای یزدان را تارومار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شدن او، یکی از علائم ظهور سوشیانت در منابع زرتشتی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نسک‌های پنج‌گانه اوستای امروزی را تشکیل می‌دهد و بیشتر به احکام فقهی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شامل مسائل بهداشتی و آیینی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می‌پردازد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کتب زرتشتیان است که نسخه اصلی آن به گفته محققانی همچون صادق هدایت و دکتر وست به پیش از دوره اشکانیان می‌رسد، ولی نسخه مشهور فعلی آن بنا بر تحقیق، آن نسخه اصلی نیست و در آن نمونه‌های دست‌کاری فراوانی دیده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هدایت،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شخصیت‌های ایران باستان است که درباره آخرالزمان پیش‌گویی‌هایی دارد و کتاب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جاماسب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نامیده‌اند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دیوی است از نیروهای اهریمنی که با ظلم بر ایران، به حکومت می‌رسد و بسیاری از نیروهای یزدان را تارومار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شدن او، یکی از علائم ظهور سوشیانت در منابع زرتشتی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نسک‌های پنج‌گانه اوستای امروزی را تشکیل می‌دهد و بیشتر به احکام فقهی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شامل مسائل بهداشتی و آیینی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می‌پردازد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بحرانی در کتاب المحجۀ فیما نزل فی القائم الحجه، بیش از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از آیات قرآن را در ارتباط با مهدی موعود می‌داند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المهدی، الأربعون فی المهدی، نعت المهدی، مناقب المهدی، البیان فی اخبار صاحب‌الزمان و</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ایران باستان، نام پانزده مرد و پانزده زن به عنوان یاران سوشیانت معرفی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آموخته حوزه علمیه قم، و دانشجوی دکتری مدرسی معارف اسلامی، دانشگاه تهران پردیس فارابی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mdoostmdoost@gmail.com</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گروه معارف، دانشگاه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r.karimivala@qom.ac.ir</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صالح عثیمین نزد اساتیدی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ناصر سعدی، عبدالعزیز بن باز و محمد الامین شنقیطی به تحصیل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تألیفات بسیاری در شرح آرا و کتاب‌های ابن‌تیمیه و محمد بن عبد الوهاب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رئیس گروه عقاید دانشگاه اسلامی محمد بن سعود قصیم بود و به دلیل خدمات بسیارش در جهت نشر افکار سلفیه وهابی، جایزه جهانی ملک فیصل در سال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به وی تعلق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مورد تأیید علمای وهابیت و دارای جایگاه علمی در تبیین آرای وهابیت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ولید بن احمد،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المری،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علوی مالکی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خود را در دانشکده اصول الدین دانشگاه الازهر مصر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برای یادگیری علوم اسلامی به کشورهای متعددی سفر کرد و نزد بسیاری به کسب علم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مالکی بر علم حدیث تسلط فراوان داشت تا جایی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الحرمین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یافت و در دانشگاه 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القری مکه، صاحب کرسی تدریس بود و سال‌های متعددی در مسجد الحرام به تدریس معارف اسلامی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مالکی کتاب‌های بسیاری در علوم اسلامی و مباحث حدیثی و عقیدتی تألیف کرد و بر خطر تفکر سلفی وهابیت گوشزد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مبهوتی،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تهران، پردیس فارابی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h.dejabad@ut.ac.ir</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دانشگاه شهرکرد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z.milani21@yahoo.com</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الغای خصوصیت یا تجرید معنا و یا توسعه مفهومی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موارد تطبیق صحیح روایات تفسیری، الغای خصوصیت از آیات قرآن و تطبیق آن‌ها بر موارد دیگری است که با موارد نزولشان مناسبت داشته باشد؛ همان‌طور که الفاظ با حفظ ارتباط با معنای موضوع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معنای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مجازی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کار می‌رود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شاکر،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دلایل آن، ذیل بخش نقد استناد به مباحث ادبی فخر رازی خواهد آمد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دیگر مفسران اهل‌سنت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ابن عطیه اندلسی،</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بر همین عقیده‌اند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ولایت سایر ائمه در امتداد و طول ولایت امام علی علیه السلام است و جملگی یک حقیقتند و ولایت سائر ائمه به ولایت امام علی علیه السلام بازمی گردد؛ بنابراین با اثبات ولایت امام علی علیه السلام ، ولایت سائر ائمه علیهم السلام نیز اثبات شده و با آن تنافی نخواهد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شیرازی،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فلسفه و کلام دانشگاه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m.bid@ltr.ui.ac.ir</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دانش‌آموخته حوزه علمیه اصفهان و کارشناس ارشد رشته فلسفه و کلام دانشگاه اصفهان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دانشگاه تهران و عضو انجمن کلام اسلامی حوزه</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کلام امامیه دانشگاه تهران، پردیس فارابی</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أَبِی‌عَبْدِاللَّهِ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شَیْ‌ءٌ فِی الْأَرْضِ وَ لَا فِی السَّمَاءِ إِلَّا بِهَذِهِ الْخِصَالِ السَّبْعِ بِمَشِیئَةٍ وَ إِرَادَةٍ وَ قَدَرٍ وَ قَضَاءٍ وَ إِذْنٍ وَ کِتَابٍ وَ أَجَلٍ فَمَنْ زَعَمَ أَنَّهُ یَقْدِرُ عَلَی نَقْضِ وَاحِدَةٍ فَقَدْ کَفَرَ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الْحَسَنِ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 یَکُونُ إِلَّا مَا شَاءَ اللَّهُ وَ أَرَادَ وَ قَضَی فَقَالَ لَا یَکُونُ إِلَّا مَا شَاءَ اللَّهُ وَ أَرَادَ وَ قَدَّرَ وَ قَضَی قَالَ قُلْتُ فَمَا مَعْنَی شَاءَ قَالَ ابْتِدَاءُ الْفِعْلِ قُلْتُ فَمَا مَعْنَی أَرَادَ قَالَ الثُّبُوتُ عَلَیْهِ قُلْتُ فَمَا مَعْنَی قَدَّرَ قَالَ تَقْدِیرُ الشَّیْ‌ءِ مِنْ طُولِهِ وَ عَرْضِهِ قُلْتُ فَمَا مَعْنَی قَضَی قَالَ إِذَا قَضَاهُ أَمْضَاهُ فَذَلِکَ الَّذِی لَا مَرَدَّ 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الْمَشِیَّةَ بِنَفْسِهَا ثُمَّ خَلَقَ الْأَشْیَاءَ بِالْمَشِیَّةِ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استاذ مساعد فی جامعة شاهد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m.saidiy@yahoo.com</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ماجستیر فی معرفة الأدیان ـ جامعة سمنان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hadihashemi85@yahoo.com</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استاذ مساعد و عضو الهیئة العلمیة فی جامعة القرآن و الحدیث و عضو مجمع الکلام الاسلامی للحوزة العلمیة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خریج ماجستیر من جامعة القرآن و الحدیث</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 حوزوی و طالب دکتوراه لتدریس المعارف الاسلامیةـجامعة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فردیس فارابی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doostmdoost@gmail.com</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استاذ مساعد فی جامعة طهران، فردیس فارابی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h.dejabad@ut.ac.ir</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استاذ فی جامعة شهرکرد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z.milani21@yahoo.com</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استاذ مساعد و دکتوراه فی الفلسفة و الکلام ـ جامعة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m.bid@ltr.ui.ac.ir</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 حوزوی و ماجستیر فی الفلسفة و الکلام ـ جامعة اصفهان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بروفیسور فی جامعة طهران و عضو مجمع الکلام الاسلامی للحوزة العلمیة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دکتوراه فی کلام الامامیة ـ جامعة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فردیس فارابی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Assistant professor at Shahed University; email: m.saidiy@yahoo.com 2 . MA graduate of Religious Studies of Semnan University; email: hadihashemi85@yahoo.com</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Assistant professor at Tehran University Pardis Farabi; email: h.dejabad@ut.ac.ir 2 . Lecturer at Shahrekord University; email: z.milani21@yahoo.com</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Graduate of Qom Seminari and doctoral student in Islamic knowledge teacher-training, Tehran University Pardis Farabi; email: mdoostmdoost@gmail.com . 2 . Assistant professor for Knowledge department of Qom University; email: r.karimivala@qom.ac.ir</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Assistant professor at Tehran University Pardis Farabi; email: h.dejabad@ut.ac.ir 2. Lecturer at Shahrekord University; email: z.milani21@yahoo.com</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Associate professor in Philosophy and Kalam at Isfahan University; email: m.bida@ltu.ui.ac.ir 2. Graduate of Isfahan seminary and MA graduate in Philosophy and Kalam at Isfahan University</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Professor at Tehran University and Member of the Kalam Islamic Association in Qom Islamic Seminary. 2. Doctoral student of Imamiyyah Kalam at Tehran University Pardis Farabi</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image" Target="media/image2.jpeg"/><Relationship Id="rId137" Type="http://schemas.openxmlformats.org/officeDocument/2006/relationships/image" Target="media/image2.jpeg"/><Relationship Id="rId138" Type="http://schemas.openxmlformats.org/officeDocument/2006/relationships/footer" Target="footer131.xml"/><Relationship Id="rId139" Type="http://schemas.openxmlformats.org/officeDocument/2006/relationships/footnotes" Target="footnotes.xml"/><Relationship Id="rId140" Type="http://schemas.openxmlformats.org/officeDocument/2006/relationships/numbering" Target="numbering.xml"/><Relationship Id="rId141" Type="http://schemas.openxmlformats.org/officeDocument/2006/relationships/fontTable" Target="fontTable.xml"/><Relationship Id="rId142" Type="http://schemas.openxmlformats.org/officeDocument/2006/relationships/settings" Target="settings.xml"/><Relationship Id="rId1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43939</Words>
  <Characters>187208</Characters>
  <CharactersWithSpaces>230006</CharactersWithSpaces>
  <Paragraphs>1106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2026-08-17T21:40:04Z</dcterms:created>
  <dc:creator>ghaemiyeh.com</dc:creator>
  <dc:description/>
  <dc:language>en-US</dc:language>
  <cp:lastModifiedBy/>
  <dcterms:modified xsi:type="dcterms:W3CDTF">2026-08-18T01:10:09Z</dcterms:modified>
  <cp:revision>1</cp:revision>
  <dc:subject/>
  <dc:title>فصلنامه تحقیقات کلامی شماره 13</dc:title>
</cp:coreProperties>
</file>

<file path=docProps/custom.xml><?xml version="1.0" encoding="utf-8"?>
<Properties xmlns="http://schemas.openxmlformats.org/officeDocument/2006/custom-properties" xmlns:vt="http://schemas.openxmlformats.org/officeDocument/2006/docPropsVTypes"/>
</file>