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فراغ و تجاوز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644_27495892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0646_27495892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0648_2749589250">
            <w:r>
              <w:rPr>
                <w:webHidden/>
                <w:rStyle w:val="IndexLink"/>
                <w:rtl w:val="true"/>
              </w:rPr>
              <w:t>المدخل</w:t>
            </w:r>
            <w:r>
              <w:rPr>
                <w:rStyle w:val="IndexLink"/>
                <w:rtl w:val="true"/>
              </w:rPr>
              <w:tab/>
            </w:r>
            <w:r>
              <w:rPr>
                <w:rStyle w:val="IndexLink"/>
              </w:rPr>
              <w:t>8</w:t>
            </w:r>
          </w:hyperlink>
        </w:p>
        <w:p>
          <w:pPr>
            <w:pStyle w:val="Contents2"/>
            <w:tabs>
              <w:tab w:val="clear" w:pos="8743"/>
              <w:tab w:val="right" w:pos="9026" w:leader="dot"/>
            </w:tabs>
            <w:rPr/>
          </w:pPr>
          <w:hyperlink w:anchor="__RefHeading___Toc80650_2749589250">
            <w:r>
              <w:rPr>
                <w:webHidden/>
                <w:rStyle w:val="IndexLink"/>
                <w:rtl w:val="true"/>
              </w:rPr>
              <w:t>تاریخ کتابة القواعد الفقهیة</w:t>
            </w:r>
            <w:r>
              <w:rPr>
                <w:rStyle w:val="IndexLink"/>
                <w:rtl w:val="true"/>
              </w:rPr>
              <w:tab/>
            </w:r>
            <w:r>
              <w:rPr>
                <w:rStyle w:val="IndexLink"/>
              </w:rPr>
              <w:t>9</w:t>
            </w:r>
          </w:hyperlink>
        </w:p>
        <w:p>
          <w:pPr>
            <w:pStyle w:val="Contents2"/>
            <w:tabs>
              <w:tab w:val="clear" w:pos="8743"/>
              <w:tab w:val="right" w:pos="9026" w:leader="dot"/>
            </w:tabs>
            <w:rPr/>
          </w:pPr>
          <w:hyperlink w:anchor="__RefHeading___Toc80652_2749589250">
            <w:r>
              <w:rPr>
                <w:webHidden/>
                <w:rStyle w:val="IndexLink"/>
                <w:rtl w:val="true"/>
              </w:rPr>
              <w:t>نبذة عن کتابة القواعد الفقهیة عند أهل السنة</w:t>
            </w:r>
            <w:r>
              <w:rPr>
                <w:rStyle w:val="IndexLink"/>
                <w:rtl w:val="true"/>
              </w:rPr>
              <w:tab/>
            </w:r>
            <w:r>
              <w:rPr>
                <w:rStyle w:val="IndexLink"/>
              </w:rPr>
              <w:t>13</w:t>
            </w:r>
          </w:hyperlink>
        </w:p>
        <w:p>
          <w:pPr>
            <w:pStyle w:val="Contents2"/>
            <w:tabs>
              <w:tab w:val="clear" w:pos="8743"/>
              <w:tab w:val="right" w:pos="9026" w:leader="dot"/>
            </w:tabs>
            <w:rPr/>
          </w:pPr>
          <w:hyperlink w:anchor="__RefHeading___Toc80654_2749589250">
            <w:r>
              <w:rPr>
                <w:webHidden/>
                <w:rStyle w:val="IndexLink"/>
                <w:rtl w:val="true"/>
              </w:rPr>
              <w:t>الکتب المؤلّفة فی القواعد الفقهیة</w:t>
            </w:r>
            <w:r>
              <w:rPr>
                <w:rStyle w:val="IndexLink"/>
                <w:rtl w:val="true"/>
              </w:rPr>
              <w:tab/>
            </w:r>
            <w:r>
              <w:rPr>
                <w:rStyle w:val="IndexLink"/>
              </w:rPr>
              <w:t>14</w:t>
            </w:r>
          </w:hyperlink>
        </w:p>
        <w:p>
          <w:pPr>
            <w:pStyle w:val="Contents2"/>
            <w:tabs>
              <w:tab w:val="clear" w:pos="8743"/>
              <w:tab w:val="right" w:pos="9026" w:leader="dot"/>
            </w:tabs>
            <w:rPr/>
          </w:pPr>
          <w:hyperlink w:anchor="__RefHeading___Toc80656_2749589250">
            <w:r>
              <w:rPr>
                <w:webHidden/>
                <w:rStyle w:val="IndexLink"/>
                <w:rtl w:val="true"/>
              </w:rPr>
              <w:t>مؤلفو القواعد الفقهیة فی الفقه المالکی</w:t>
            </w:r>
            <w:r>
              <w:rPr>
                <w:rStyle w:val="IndexLink"/>
                <w:rtl w:val="true"/>
              </w:rPr>
              <w:tab/>
            </w:r>
            <w:r>
              <w:rPr>
                <w:rStyle w:val="IndexLink"/>
              </w:rPr>
              <w:t>16</w:t>
            </w:r>
          </w:hyperlink>
        </w:p>
        <w:p>
          <w:pPr>
            <w:pStyle w:val="Contents2"/>
            <w:tabs>
              <w:tab w:val="clear" w:pos="8743"/>
              <w:tab w:val="right" w:pos="9026" w:leader="dot"/>
            </w:tabs>
            <w:rPr/>
          </w:pPr>
          <w:hyperlink w:anchor="__RefHeading___Toc80658_2749589250">
            <w:r>
              <w:rPr>
                <w:webHidden/>
                <w:rStyle w:val="IndexLink"/>
                <w:rtl w:val="true"/>
              </w:rPr>
              <w:t>مؤلفو القواعد الفقهیة فی الفقه الشافعی</w:t>
            </w:r>
            <w:r>
              <w:rPr>
                <w:rStyle w:val="IndexLink"/>
                <w:rtl w:val="true"/>
              </w:rPr>
              <w:tab/>
            </w:r>
            <w:r>
              <w:rPr>
                <w:rStyle w:val="IndexLink"/>
              </w:rPr>
              <w:t>17</w:t>
            </w:r>
          </w:hyperlink>
        </w:p>
        <w:p>
          <w:pPr>
            <w:pStyle w:val="Contents2"/>
            <w:tabs>
              <w:tab w:val="clear" w:pos="8743"/>
              <w:tab w:val="right" w:pos="9026" w:leader="dot"/>
            </w:tabs>
            <w:rPr/>
          </w:pPr>
          <w:hyperlink w:anchor="__RefHeading___Toc80660_2749589250">
            <w:r>
              <w:rPr>
                <w:webHidden/>
                <w:rStyle w:val="IndexLink"/>
                <w:rtl w:val="true"/>
              </w:rPr>
              <w:t>مؤلفو القواعد الفقهیة فی الفقه الحنبلی</w:t>
            </w:r>
            <w:r>
              <w:rPr>
                <w:rStyle w:val="IndexLink"/>
                <w:rtl w:val="true"/>
              </w:rPr>
              <w:tab/>
            </w:r>
            <w:r>
              <w:rPr>
                <w:rStyle w:val="IndexLink"/>
              </w:rPr>
              <w:t>18</w:t>
            </w:r>
          </w:hyperlink>
        </w:p>
        <w:p>
          <w:pPr>
            <w:pStyle w:val="Contents2"/>
            <w:tabs>
              <w:tab w:val="clear" w:pos="8743"/>
              <w:tab w:val="right" w:pos="9026" w:leader="dot"/>
            </w:tabs>
            <w:rPr/>
          </w:pPr>
          <w:hyperlink w:anchor="__RefHeading___Toc80662_2749589250">
            <w:r>
              <w:rPr>
                <w:webHidden/>
                <w:rStyle w:val="IndexLink"/>
                <w:rtl w:val="true"/>
              </w:rPr>
              <w:t>مقدمة المترجم</w:t>
            </w:r>
            <w:r>
              <w:rPr>
                <w:rStyle w:val="IndexLink"/>
                <w:rtl w:val="true"/>
              </w:rPr>
              <w:tab/>
            </w:r>
            <w:r>
              <w:rPr>
                <w:rStyle w:val="IndexLink"/>
              </w:rPr>
              <w:t>20</w:t>
            </w:r>
          </w:hyperlink>
        </w:p>
        <w:p>
          <w:pPr>
            <w:pStyle w:val="Contents2"/>
            <w:tabs>
              <w:tab w:val="clear" w:pos="8743"/>
              <w:tab w:val="right" w:pos="9026" w:leader="dot"/>
            </w:tabs>
            <w:rPr/>
          </w:pPr>
          <w:hyperlink w:anchor="__RefHeading___Toc80664_2749589250">
            <w:r>
              <w:rPr>
                <w:webHidden/>
                <w:rStyle w:val="IndexLink"/>
                <w:rtl w:val="true"/>
              </w:rPr>
              <w:t>التعریف الإجمالی للقاعدتین</w:t>
            </w:r>
            <w:r>
              <w:rPr>
                <w:rStyle w:val="IndexLink"/>
                <w:rtl w:val="true"/>
              </w:rPr>
              <w:tab/>
            </w:r>
            <w:r>
              <w:rPr>
                <w:rStyle w:val="IndexLink"/>
              </w:rPr>
              <w:t>24</w:t>
            </w:r>
          </w:hyperlink>
        </w:p>
        <w:p>
          <w:pPr>
            <w:pStyle w:val="Contents2"/>
            <w:tabs>
              <w:tab w:val="clear" w:pos="8743"/>
              <w:tab w:val="right" w:pos="9026" w:leader="dot"/>
            </w:tabs>
            <w:rPr/>
          </w:pPr>
          <w:hyperlink w:anchor="__RefHeading___Toc80666_2749589250">
            <w:r>
              <w:rPr>
                <w:webHidden/>
                <w:rStyle w:val="IndexLink"/>
                <w:rtl w:val="true"/>
              </w:rPr>
              <w:t>قاعدة التجاوز</w:t>
            </w:r>
            <w:r>
              <w:rPr>
                <w:rStyle w:val="IndexLink"/>
                <w:rtl w:val="true"/>
              </w:rPr>
              <w:tab/>
            </w:r>
            <w:r>
              <w:rPr>
                <w:rStyle w:val="IndexLink"/>
              </w:rPr>
              <w:t>24</w:t>
            </w:r>
          </w:hyperlink>
        </w:p>
        <w:p>
          <w:pPr>
            <w:pStyle w:val="Contents2"/>
            <w:tabs>
              <w:tab w:val="clear" w:pos="8743"/>
              <w:tab w:val="right" w:pos="9026" w:leader="dot"/>
            </w:tabs>
            <w:rPr/>
          </w:pPr>
          <w:hyperlink w:anchor="__RefHeading___Toc80668_2749589250">
            <w:r>
              <w:rPr>
                <w:webHidden/>
                <w:rStyle w:val="IndexLink"/>
                <w:rtl w:val="true"/>
              </w:rPr>
              <w:t>أدلّة قاعدة الفراغ والتجاوز</w:t>
            </w:r>
            <w:r>
              <w:rPr>
                <w:rStyle w:val="IndexLink"/>
                <w:rtl w:val="true"/>
              </w:rPr>
              <w:tab/>
            </w:r>
            <w:r>
              <w:rPr>
                <w:rStyle w:val="IndexLink"/>
              </w:rPr>
              <w:t>25</w:t>
            </w:r>
          </w:hyperlink>
        </w:p>
        <w:p>
          <w:pPr>
            <w:pStyle w:val="Contents3"/>
            <w:tabs>
              <w:tab w:val="clear" w:pos="8459"/>
              <w:tab w:val="right" w:pos="9026" w:leader="dot"/>
            </w:tabs>
            <w:rPr/>
          </w:pPr>
          <w:hyperlink w:anchor="__RefHeading___Toc80670_274958925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80672_2749589250">
            <w:r>
              <w:rPr>
                <w:webHidden/>
                <w:rStyle w:val="IndexLink"/>
              </w:rPr>
              <w:t>1</w:t>
            </w:r>
            <w:r>
              <w:rPr>
                <w:rStyle w:val="IndexLink"/>
                <w:rtl w:val="true"/>
              </w:rPr>
              <w:t xml:space="preserve">- </w:t>
            </w:r>
            <w:r>
              <w:rPr>
                <w:rStyle w:val="IndexLink"/>
                <w:rtl w:val="true"/>
              </w:rPr>
              <w:t>الإجماع العملی</w:t>
            </w:r>
            <w:r>
              <w:rPr>
                <w:rStyle w:val="IndexLink"/>
                <w:rtl w:val="true"/>
              </w:rPr>
              <w:t>:</w:t>
              <w:tab/>
            </w:r>
            <w:r>
              <w:rPr>
                <w:rStyle w:val="IndexLink"/>
              </w:rPr>
              <w:t>25</w:t>
            </w:r>
          </w:hyperlink>
        </w:p>
        <w:p>
          <w:pPr>
            <w:pStyle w:val="Contents4"/>
            <w:tabs>
              <w:tab w:val="clear" w:pos="8176"/>
              <w:tab w:val="right" w:pos="9026" w:leader="dot"/>
            </w:tabs>
            <w:rPr/>
          </w:pPr>
          <w:hyperlink w:anchor="__RefHeading___Toc80674_274958925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80676_2749589250">
            <w:r>
              <w:rPr>
                <w:webHidden/>
                <w:rStyle w:val="IndexLink"/>
                <w:rtl w:val="true"/>
              </w:rPr>
              <w:t>المناقشة فی دلیلیت الإجماع العملی</w:t>
            </w:r>
            <w:r>
              <w:rPr>
                <w:rStyle w:val="IndexLink"/>
                <w:rtl w:val="true"/>
              </w:rPr>
              <w:t>:</w:t>
              <w:tab/>
            </w:r>
            <w:r>
              <w:rPr>
                <w:rStyle w:val="IndexLink"/>
              </w:rPr>
              <w:t>25</w:t>
            </w:r>
          </w:hyperlink>
        </w:p>
        <w:p>
          <w:pPr>
            <w:pStyle w:val="Contents3"/>
            <w:tabs>
              <w:tab w:val="clear" w:pos="8459"/>
              <w:tab w:val="right" w:pos="9026" w:leader="dot"/>
            </w:tabs>
            <w:rPr/>
          </w:pPr>
          <w:hyperlink w:anchor="__RefHeading___Toc80678_2749589250">
            <w:r>
              <w:rPr>
                <w:webHidden/>
                <w:rStyle w:val="IndexLink"/>
              </w:rPr>
              <w:t>2</w:t>
            </w:r>
            <w:r>
              <w:rPr>
                <w:rStyle w:val="IndexLink"/>
                <w:rtl w:val="true"/>
              </w:rPr>
              <w:t xml:space="preserve">- </w:t>
            </w:r>
            <w:r>
              <w:rPr>
                <w:rStyle w:val="IndexLink"/>
                <w:rtl w:val="true"/>
              </w:rPr>
              <w:t>السیرة المتشرّعة</w:t>
            </w:r>
            <w:r>
              <w:rPr>
                <w:rStyle w:val="IndexLink"/>
                <w:rtl w:val="true"/>
              </w:rPr>
              <w:t>:</w:t>
              <w:tab/>
            </w:r>
            <w:r>
              <w:rPr>
                <w:rStyle w:val="IndexLink"/>
              </w:rPr>
              <w:t>26</w:t>
            </w:r>
          </w:hyperlink>
        </w:p>
        <w:p>
          <w:pPr>
            <w:pStyle w:val="Contents4"/>
            <w:tabs>
              <w:tab w:val="clear" w:pos="8176"/>
              <w:tab w:val="right" w:pos="9026" w:leader="dot"/>
            </w:tabs>
            <w:rPr/>
          </w:pPr>
          <w:hyperlink w:anchor="__RefHeading___Toc80680_274958925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80682_2749589250">
            <w:r>
              <w:rPr>
                <w:webHidden/>
                <w:rStyle w:val="IndexLink"/>
                <w:rtl w:val="true"/>
              </w:rPr>
              <w:t>مناقشة هذا الدلیل</w:t>
            </w:r>
            <w:r>
              <w:rPr>
                <w:rStyle w:val="IndexLink"/>
                <w:rtl w:val="true"/>
              </w:rPr>
              <w:t>:</w:t>
              <w:tab/>
            </w:r>
            <w:r>
              <w:rPr>
                <w:rStyle w:val="IndexLink"/>
              </w:rPr>
              <w:t>26</w:t>
            </w:r>
          </w:hyperlink>
        </w:p>
        <w:p>
          <w:pPr>
            <w:pStyle w:val="Contents3"/>
            <w:tabs>
              <w:tab w:val="clear" w:pos="8459"/>
              <w:tab w:val="right" w:pos="9026" w:leader="dot"/>
            </w:tabs>
            <w:rPr/>
          </w:pPr>
          <w:hyperlink w:anchor="__RefHeading___Toc80684_2749589250">
            <w:r>
              <w:rPr>
                <w:webHidden/>
                <w:rStyle w:val="IndexLink"/>
              </w:rPr>
              <w:t>3</w:t>
            </w:r>
            <w:r>
              <w:rPr>
                <w:rStyle w:val="IndexLink"/>
                <w:rtl w:val="true"/>
              </w:rPr>
              <w:t xml:space="preserve">- </w:t>
            </w:r>
            <w:r>
              <w:rPr>
                <w:rStyle w:val="IndexLink"/>
                <w:rtl w:val="true"/>
              </w:rPr>
              <w:t>سیرة العقلاء</w:t>
            </w:r>
            <w:r>
              <w:rPr>
                <w:rStyle w:val="IndexLink"/>
                <w:rtl w:val="true"/>
              </w:rPr>
              <w:t>:</w:t>
              <w:tab/>
            </w:r>
            <w:r>
              <w:rPr>
                <w:rStyle w:val="IndexLink"/>
              </w:rPr>
              <w:t>26</w:t>
            </w:r>
          </w:hyperlink>
        </w:p>
        <w:p>
          <w:pPr>
            <w:pStyle w:val="Contents4"/>
            <w:tabs>
              <w:tab w:val="clear" w:pos="8176"/>
              <w:tab w:val="right" w:pos="9026" w:leader="dot"/>
            </w:tabs>
            <w:rPr/>
          </w:pPr>
          <w:hyperlink w:anchor="__RefHeading___Toc80686_274958925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80688_2749589250">
            <w:r>
              <w:rPr>
                <w:webHidden/>
                <w:rStyle w:val="IndexLink"/>
                <w:rtl w:val="true"/>
              </w:rPr>
              <w:t>مناقشة الاستدلال بالسیرة العقلائیة</w:t>
            </w:r>
            <w:r>
              <w:rPr>
                <w:rStyle w:val="IndexLink"/>
                <w:rtl w:val="true"/>
              </w:rPr>
              <w:t>:</w:t>
              <w:tab/>
            </w:r>
            <w:r>
              <w:rPr>
                <w:rStyle w:val="IndexLink"/>
              </w:rPr>
              <w:t>27</w:t>
            </w:r>
          </w:hyperlink>
        </w:p>
        <w:p>
          <w:pPr>
            <w:pStyle w:val="Contents3"/>
            <w:tabs>
              <w:tab w:val="clear" w:pos="8459"/>
              <w:tab w:val="right" w:pos="9026" w:leader="dot"/>
            </w:tabs>
            <w:rPr/>
          </w:pPr>
          <w:hyperlink w:anchor="__RefHeading___Toc80690_2749589250">
            <w:r>
              <w:rPr>
                <w:webHidden/>
                <w:rStyle w:val="IndexLink"/>
              </w:rPr>
              <w:t>4</w:t>
            </w:r>
            <w:r>
              <w:rPr>
                <w:rStyle w:val="IndexLink"/>
                <w:rtl w:val="true"/>
              </w:rPr>
              <w:t xml:space="preserve">- </w:t>
            </w:r>
            <w:r>
              <w:rPr>
                <w:rStyle w:val="IndexLink"/>
                <w:rtl w:val="true"/>
              </w:rPr>
              <w:t>إثبات حجیة القاعدة بأصالة الصحة</w:t>
            </w:r>
            <w:r>
              <w:rPr>
                <w:rStyle w:val="IndexLink"/>
                <w:rtl w:val="true"/>
              </w:rPr>
              <w:t>:</w:t>
              <w:tab/>
            </w:r>
            <w:r>
              <w:rPr>
                <w:rStyle w:val="IndexLink"/>
              </w:rPr>
              <w:t>29</w:t>
            </w:r>
          </w:hyperlink>
        </w:p>
        <w:p>
          <w:pPr>
            <w:pStyle w:val="Contents4"/>
            <w:tabs>
              <w:tab w:val="clear" w:pos="8176"/>
              <w:tab w:val="right" w:pos="9026" w:leader="dot"/>
            </w:tabs>
            <w:rPr/>
          </w:pPr>
          <w:hyperlink w:anchor="__RefHeading___Toc80692_274958925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80694_2749589250">
            <w:r>
              <w:rPr>
                <w:webHidden/>
                <w:rStyle w:val="IndexLink"/>
                <w:rtl w:val="true"/>
              </w:rPr>
              <w:t>تحقیق الکلام فی الفرق بین قاعدة الفراغ وأصالة الصحة</w:t>
            </w:r>
            <w:r>
              <w:rPr>
                <w:rStyle w:val="IndexLink"/>
                <w:rtl w:val="true"/>
              </w:rPr>
              <w:t>:</w:t>
              <w:tab/>
            </w:r>
            <w:r>
              <w:rPr>
                <w:rStyle w:val="IndexLink"/>
              </w:rPr>
              <w:t>33</w:t>
            </w:r>
          </w:hyperlink>
        </w:p>
        <w:p>
          <w:pPr>
            <w:pStyle w:val="Contents3"/>
            <w:tabs>
              <w:tab w:val="clear" w:pos="8459"/>
              <w:tab w:val="right" w:pos="9026" w:leader="dot"/>
            </w:tabs>
            <w:rPr/>
          </w:pPr>
          <w:hyperlink w:anchor="__RefHeading___Toc80696_2749589250">
            <w:r>
              <w:rPr>
                <w:webHidden/>
                <w:rStyle w:val="IndexLink"/>
              </w:rPr>
              <w:t>5</w:t>
            </w:r>
            <w:r>
              <w:rPr>
                <w:rStyle w:val="IndexLink"/>
                <w:rtl w:val="true"/>
              </w:rPr>
              <w:t xml:space="preserve">- </w:t>
            </w:r>
            <w:r>
              <w:rPr>
                <w:rStyle w:val="IndexLink"/>
                <w:rtl w:val="true"/>
              </w:rPr>
              <w:t>أدلة المحقق الهمدانی</w:t>
            </w:r>
            <w:r>
              <w:rPr>
                <w:rStyle w:val="IndexLink"/>
                <w:rtl w:val="true"/>
              </w:rPr>
              <w:t>:</w:t>
              <w:tab/>
            </w:r>
            <w:r>
              <w:rPr>
                <w:rStyle w:val="IndexLink"/>
              </w:rPr>
              <w:t>33</w:t>
            </w:r>
          </w:hyperlink>
        </w:p>
        <w:p>
          <w:pPr>
            <w:pStyle w:val="Contents4"/>
            <w:tabs>
              <w:tab w:val="clear" w:pos="8176"/>
              <w:tab w:val="right" w:pos="9026" w:leader="dot"/>
            </w:tabs>
            <w:rPr/>
          </w:pPr>
          <w:hyperlink w:anchor="__RefHeading___Toc80698_274958925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80700_2749589250">
            <w:r>
              <w:rPr>
                <w:webHidden/>
                <w:rStyle w:val="IndexLink"/>
                <w:rtl w:val="true"/>
              </w:rPr>
              <w:t>الدلیل الأوّل قاعدة لا حرج</w:t>
            </w:r>
            <w:r>
              <w:rPr>
                <w:rStyle w:val="IndexLink"/>
                <w:rtl w:val="true"/>
              </w:rPr>
              <w:t>:</w:t>
              <w:tab/>
            </w:r>
            <w:r>
              <w:rPr>
                <w:rStyle w:val="IndexLink"/>
              </w:rPr>
              <w:t>34</w:t>
            </w:r>
          </w:hyperlink>
        </w:p>
        <w:p>
          <w:pPr>
            <w:pStyle w:val="Contents4"/>
            <w:tabs>
              <w:tab w:val="clear" w:pos="8176"/>
              <w:tab w:val="right" w:pos="9026" w:leader="dot"/>
            </w:tabs>
            <w:rPr/>
          </w:pPr>
          <w:hyperlink w:anchor="__RefHeading___Toc80702_2749589250">
            <w:r>
              <w:rPr>
                <w:webHidden/>
                <w:rStyle w:val="IndexLink"/>
                <w:rtl w:val="true"/>
              </w:rPr>
              <w:t>الدلیل الثانی</w:t>
            </w:r>
            <w:r>
              <w:rPr>
                <w:rStyle w:val="IndexLink"/>
                <w:rtl w:val="true"/>
              </w:rPr>
              <w:t>:</w:t>
              <w:tab/>
            </w:r>
            <w:r>
              <w:rPr>
                <w:rStyle w:val="IndexLink"/>
              </w:rPr>
              <w:t>35</w:t>
            </w:r>
          </w:hyperlink>
        </w:p>
        <w:p>
          <w:pPr>
            <w:pStyle w:val="Contents4"/>
            <w:tabs>
              <w:tab w:val="clear" w:pos="8176"/>
              <w:tab w:val="right" w:pos="9026" w:leader="dot"/>
            </w:tabs>
            <w:rPr/>
          </w:pPr>
          <w:hyperlink w:anchor="__RefHeading___Toc80704_2749589250">
            <w:r>
              <w:rPr>
                <w:webHidden/>
                <w:rStyle w:val="IndexLink"/>
                <w:rtl w:val="true"/>
              </w:rPr>
              <w:t>الدلیل الثالث اختلال النظام</w:t>
            </w:r>
            <w:r>
              <w:rPr>
                <w:rStyle w:val="IndexLink"/>
                <w:rtl w:val="true"/>
              </w:rPr>
              <w:t>:</w:t>
              <w:tab/>
            </w:r>
            <w:r>
              <w:rPr>
                <w:rStyle w:val="IndexLink"/>
              </w:rPr>
              <w:t>35</w:t>
            </w:r>
          </w:hyperlink>
        </w:p>
        <w:p>
          <w:pPr>
            <w:pStyle w:val="Contents4"/>
            <w:tabs>
              <w:tab w:val="clear" w:pos="8176"/>
              <w:tab w:val="right" w:pos="9026" w:leader="dot"/>
            </w:tabs>
            <w:rPr/>
          </w:pPr>
          <w:hyperlink w:anchor="__RefHeading___Toc80706_2749589250">
            <w:r>
              <w:rPr>
                <w:webHidden/>
                <w:rStyle w:val="IndexLink"/>
                <w:rtl w:val="true"/>
              </w:rPr>
              <w:t>الرد علی أدلّة المرحوم الهمدانی</w:t>
            </w:r>
            <w:r>
              <w:rPr>
                <w:rStyle w:val="IndexLink"/>
                <w:rtl w:val="true"/>
              </w:rPr>
              <w:t>:</w:t>
              <w:tab/>
            </w:r>
            <w:r>
              <w:rPr>
                <w:rStyle w:val="IndexLink"/>
              </w:rPr>
              <w:t>35</w:t>
            </w:r>
          </w:hyperlink>
        </w:p>
        <w:p>
          <w:pPr>
            <w:pStyle w:val="Contents5"/>
            <w:tabs>
              <w:tab w:val="clear" w:pos="7892"/>
              <w:tab w:val="right" w:pos="9026" w:leader="dot"/>
            </w:tabs>
            <w:rPr/>
          </w:pPr>
          <w:hyperlink w:anchor="__RefHeading___Toc80708_274958925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80710_2749589250">
            <w:r>
              <w:rPr>
                <w:webHidden/>
                <w:rStyle w:val="IndexLink"/>
                <w:rtl w:val="true"/>
              </w:rPr>
              <w:t>أ</w:t>
            </w:r>
            <w:r>
              <w:rPr>
                <w:rStyle w:val="IndexLink"/>
                <w:rtl w:val="true"/>
              </w:rPr>
              <w:t xml:space="preserve">- </w:t>
            </w:r>
            <w:r>
              <w:rPr>
                <w:rStyle w:val="IndexLink"/>
                <w:rtl w:val="true"/>
              </w:rPr>
              <w:t>الرد الکلّی المتعلّق بجمیع الأدلّة الثلاثة</w:t>
            </w:r>
            <w:r>
              <w:rPr>
                <w:rStyle w:val="IndexLink"/>
                <w:rtl w:val="true"/>
              </w:rPr>
              <w:t>:</w:t>
              <w:tab/>
            </w:r>
            <w:r>
              <w:rPr>
                <w:rStyle w:val="IndexLink"/>
              </w:rPr>
              <w:t>35</w:t>
            </w:r>
          </w:hyperlink>
        </w:p>
        <w:p>
          <w:pPr>
            <w:pStyle w:val="Contents5"/>
            <w:tabs>
              <w:tab w:val="clear" w:pos="7892"/>
              <w:tab w:val="right" w:pos="9026" w:leader="dot"/>
            </w:tabs>
            <w:rPr/>
          </w:pPr>
          <w:hyperlink w:anchor="__RefHeading___Toc80712_2749589250">
            <w:r>
              <w:rPr>
                <w:webHidden/>
                <w:rStyle w:val="IndexLink"/>
                <w:rtl w:val="true"/>
              </w:rPr>
              <w:t>ب</w:t>
            </w:r>
            <w:r>
              <w:rPr>
                <w:rStyle w:val="IndexLink"/>
                <w:rtl w:val="true"/>
              </w:rPr>
              <w:t xml:space="preserve">- </w:t>
            </w:r>
            <w:r>
              <w:rPr>
                <w:rStyle w:val="IndexLink"/>
                <w:rtl w:val="true"/>
              </w:rPr>
              <w:t xml:space="preserve">الرد الخاص بدلیلیة </w:t>
            </w:r>
            <w:r>
              <w:rPr>
                <w:rStyle w:val="IndexLink"/>
                <w:rtl w:val="true"/>
              </w:rPr>
              <w:t>(</w:t>
            </w:r>
            <w:r>
              <w:rPr>
                <w:rStyle w:val="IndexLink"/>
                <w:rtl w:val="true"/>
              </w:rPr>
              <w:t>لاحرج</w:t>
            </w:r>
            <w:r>
              <w:rPr>
                <w:rStyle w:val="IndexLink"/>
                <w:rtl w:val="true"/>
              </w:rPr>
              <w:t>):</w:t>
              <w:tab/>
            </w:r>
            <w:r>
              <w:rPr>
                <w:rStyle w:val="IndexLink"/>
              </w:rPr>
              <w:t>36</w:t>
            </w:r>
          </w:hyperlink>
        </w:p>
        <w:p>
          <w:pPr>
            <w:pStyle w:val="Contents5"/>
            <w:tabs>
              <w:tab w:val="clear" w:pos="7892"/>
              <w:tab w:val="right" w:pos="9026" w:leader="dot"/>
            </w:tabs>
            <w:rPr/>
          </w:pPr>
          <w:hyperlink w:anchor="__RefHeading___Toc80714_2749589250">
            <w:r>
              <w:rPr>
                <w:webHidden/>
                <w:rStyle w:val="IndexLink"/>
                <w:rtl w:val="true"/>
              </w:rPr>
              <w:t>ج</w:t>
            </w:r>
            <w:r>
              <w:rPr>
                <w:rStyle w:val="IndexLink"/>
                <w:rtl w:val="true"/>
              </w:rPr>
              <w:t xml:space="preserve">- </w:t>
            </w:r>
            <w:r>
              <w:rPr>
                <w:rStyle w:val="IndexLink"/>
                <w:rtl w:val="true"/>
              </w:rPr>
              <w:t>الرد الخاص بالتعلیل بقاعدة الید واختلال النظام</w:t>
            </w:r>
            <w:r>
              <w:rPr>
                <w:rStyle w:val="IndexLink"/>
                <w:rtl w:val="true"/>
              </w:rPr>
              <w:t>:</w:t>
              <w:tab/>
            </w:r>
            <w:r>
              <w:rPr>
                <w:rStyle w:val="IndexLink"/>
              </w:rPr>
              <w:t>37</w:t>
            </w:r>
          </w:hyperlink>
        </w:p>
        <w:p>
          <w:pPr>
            <w:pStyle w:val="Contents3"/>
            <w:tabs>
              <w:tab w:val="clear" w:pos="8459"/>
              <w:tab w:val="right" w:pos="9026" w:leader="dot"/>
            </w:tabs>
            <w:rPr/>
          </w:pPr>
          <w:hyperlink w:anchor="__RefHeading___Toc80716_2749589250">
            <w:r>
              <w:rPr>
                <w:webHidden/>
                <w:rStyle w:val="IndexLink"/>
              </w:rPr>
              <w:t>6</w:t>
            </w:r>
            <w:r>
              <w:rPr>
                <w:rStyle w:val="IndexLink"/>
                <w:rtl w:val="true"/>
              </w:rPr>
              <w:t xml:space="preserve">- </w:t>
            </w:r>
            <w:r>
              <w:rPr>
                <w:rStyle w:val="IndexLink"/>
                <w:rtl w:val="true"/>
              </w:rPr>
              <w:t>الأخبار والروایات</w:t>
            </w:r>
            <w:r>
              <w:rPr>
                <w:rStyle w:val="IndexLink"/>
                <w:rtl w:val="true"/>
              </w:rPr>
              <w:t>:</w:t>
              <w:tab/>
            </w:r>
            <w:r>
              <w:rPr>
                <w:rStyle w:val="IndexLink"/>
              </w:rPr>
              <w:t>37</w:t>
            </w:r>
          </w:hyperlink>
        </w:p>
        <w:p>
          <w:pPr>
            <w:pStyle w:val="Contents2"/>
            <w:tabs>
              <w:tab w:val="clear" w:pos="8743"/>
              <w:tab w:val="right" w:pos="9026" w:leader="dot"/>
            </w:tabs>
            <w:rPr/>
          </w:pPr>
          <w:hyperlink w:anchor="__RefHeading___Toc80718_2749589250">
            <w:r>
              <w:rPr>
                <w:webHidden/>
                <w:rStyle w:val="IndexLink"/>
                <w:rtl w:val="true"/>
              </w:rPr>
              <w:t xml:space="preserve">حول دلالة هذه الروایة علی قاعدة الفراغ یقول صاحب الوسائل </w:t>
            </w:r>
            <w:r>
              <w:rPr>
                <w:rStyle w:val="IndexLink"/>
                <w:rtl w:val="true"/>
              </w:rPr>
              <w:t>(</w:t>
            </w:r>
            <w:r>
              <w:rPr>
                <w:rStyle w:val="IndexLink"/>
                <w:rtl w:val="true"/>
              </w:rPr>
              <w:t>رحمه الله</w:t>
            </w:r>
            <w:r>
              <w:rPr>
                <w:rStyle w:val="IndexLink"/>
                <w:rtl w:val="true"/>
              </w:rPr>
              <w:t>):</w:t>
              <w:tab/>
            </w:r>
            <w:r>
              <w:rPr>
                <w:rStyle w:val="IndexLink"/>
              </w:rPr>
              <w:t>58</w:t>
            </w:r>
          </w:hyperlink>
        </w:p>
        <w:p>
          <w:pPr>
            <w:pStyle w:val="Contents2"/>
            <w:tabs>
              <w:tab w:val="clear" w:pos="8743"/>
              <w:tab w:val="right" w:pos="9026" w:leader="dot"/>
            </w:tabs>
            <w:rPr/>
          </w:pPr>
          <w:hyperlink w:anchor="__RefHeading___Toc80720_2749589250">
            <w:r>
              <w:rPr>
                <w:webHidden/>
                <w:rStyle w:val="IndexLink"/>
                <w:rtl w:val="true"/>
              </w:rPr>
              <w:t>کما لا شکّ فی دلالة هذه الروایات علی الأمور التالیة</w:t>
            </w:r>
            <w:r>
              <w:rPr>
                <w:rStyle w:val="IndexLink"/>
                <w:rtl w:val="true"/>
              </w:rPr>
              <w:t>:</w:t>
              <w:tab/>
            </w:r>
            <w:r>
              <w:rPr>
                <w:rStyle w:val="IndexLink"/>
              </w:rPr>
              <w:t>68</w:t>
            </w:r>
          </w:hyperlink>
        </w:p>
        <w:p>
          <w:pPr>
            <w:pStyle w:val="Contents2"/>
            <w:tabs>
              <w:tab w:val="clear" w:pos="8743"/>
              <w:tab w:val="right" w:pos="9026" w:leader="dot"/>
            </w:tabs>
            <w:rPr/>
          </w:pPr>
          <w:hyperlink w:anchor="__RefHeading___Toc80722_2749589250">
            <w:r>
              <w:rPr>
                <w:webHidden/>
                <w:rStyle w:val="IndexLink"/>
                <w:rtl w:val="true"/>
              </w:rPr>
              <w:t>ما المراد من الشکّ فی الشی‌ء؟</w:t>
            </w:r>
            <w:r>
              <w:rPr>
                <w:rStyle w:val="IndexLink"/>
                <w:rtl w:val="true"/>
              </w:rPr>
              <w:tab/>
            </w:r>
            <w:r>
              <w:rPr>
                <w:rStyle w:val="IndexLink"/>
              </w:rPr>
              <w:t>68</w:t>
            </w:r>
          </w:hyperlink>
        </w:p>
        <w:p>
          <w:pPr>
            <w:pStyle w:val="Contents2"/>
            <w:tabs>
              <w:tab w:val="clear" w:pos="8743"/>
              <w:tab w:val="right" w:pos="9026" w:leader="dot"/>
            </w:tabs>
            <w:rPr/>
          </w:pPr>
          <w:hyperlink w:anchor="__RefHeading___Toc80724_2749589250">
            <w:r>
              <w:rPr>
                <w:webHidden/>
                <w:rStyle w:val="IndexLink"/>
                <w:rtl w:val="true"/>
              </w:rPr>
              <w:t>مقام الثبوت</w:t>
            </w:r>
            <w:r>
              <w:rPr>
                <w:rStyle w:val="IndexLink"/>
                <w:rtl w:val="true"/>
              </w:rPr>
              <w:t>:</w:t>
              <w:tab/>
            </w:r>
            <w:r>
              <w:rPr>
                <w:rStyle w:val="IndexLink"/>
              </w:rPr>
              <w:t>72</w:t>
            </w:r>
          </w:hyperlink>
        </w:p>
        <w:p>
          <w:pPr>
            <w:pStyle w:val="Contents3"/>
            <w:tabs>
              <w:tab w:val="clear" w:pos="8459"/>
              <w:tab w:val="right" w:pos="9026" w:leader="dot"/>
            </w:tabs>
            <w:rPr/>
          </w:pPr>
          <w:hyperlink w:anchor="__RefHeading___Toc80726_2749589250">
            <w:r>
              <w:rPr>
                <w:webHidden/>
                <w:rStyle w:val="IndexLink"/>
                <w:rtl w:val="true"/>
              </w:rPr>
              <w:t>أدلّة القائلین بتغایر القاعدتین</w:t>
            </w:r>
            <w:r>
              <w:rPr>
                <w:rStyle w:val="IndexLink"/>
                <w:rtl w:val="true"/>
              </w:rPr>
              <w:t>:</w:t>
              <w:tab/>
            </w:r>
            <w:r>
              <w:rPr>
                <w:rStyle w:val="IndexLink"/>
              </w:rPr>
              <w:t>72</w:t>
            </w:r>
          </w:hyperlink>
        </w:p>
        <w:p>
          <w:pPr>
            <w:pStyle w:val="Contents4"/>
            <w:tabs>
              <w:tab w:val="clear" w:pos="8176"/>
              <w:tab w:val="right" w:pos="9026" w:leader="dot"/>
            </w:tabs>
            <w:rPr/>
          </w:pPr>
          <w:hyperlink w:anchor="__RefHeading___Toc80728_274958925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80730_2749589250">
            <w:r>
              <w:rPr>
                <w:webHidden/>
                <w:rStyle w:val="IndexLink"/>
                <w:rtl w:val="true"/>
              </w:rPr>
              <w:t>الدلیل الأوّل</w:t>
            </w:r>
            <w:r>
              <w:rPr>
                <w:rStyle w:val="IndexLink"/>
                <w:rtl w:val="true"/>
              </w:rPr>
              <w:t xml:space="preserve">: </w:t>
            </w:r>
            <w:r>
              <w:rPr>
                <w:rStyle w:val="IndexLink"/>
                <w:rtl w:val="true"/>
              </w:rPr>
              <w:t>عدم وجود القدر الجامع بین القاعدتین</w:t>
            </w:r>
            <w:r>
              <w:rPr>
                <w:rStyle w:val="IndexLink"/>
                <w:rtl w:val="true"/>
              </w:rPr>
              <w:t>:</w:t>
              <w:tab/>
            </w:r>
            <w:r>
              <w:rPr>
                <w:rStyle w:val="IndexLink"/>
              </w:rPr>
              <w:t>73</w:t>
            </w:r>
          </w:hyperlink>
        </w:p>
        <w:p>
          <w:pPr>
            <w:pStyle w:val="Contents5"/>
            <w:tabs>
              <w:tab w:val="clear" w:pos="7892"/>
              <w:tab w:val="right" w:pos="9026" w:leader="dot"/>
            </w:tabs>
            <w:rPr/>
          </w:pPr>
          <w:hyperlink w:anchor="__RefHeading___Toc80732_274958925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80734_2749589250">
            <w:r>
              <w:rPr>
                <w:webHidden/>
                <w:rStyle w:val="IndexLink"/>
                <w:rtl w:val="true"/>
              </w:rPr>
              <w:t>البیان الأوّل للمحقق النائینی</w:t>
            </w:r>
            <w:r>
              <w:rPr>
                <w:rStyle w:val="IndexLink"/>
                <w:rtl w:val="true"/>
              </w:rPr>
              <w:t>:</w:t>
              <w:tab/>
            </w:r>
            <w:r>
              <w:rPr>
                <w:rStyle w:val="IndexLink"/>
              </w:rPr>
              <w:t>73</w:t>
            </w:r>
          </w:hyperlink>
        </w:p>
        <w:p>
          <w:pPr>
            <w:pStyle w:val="Contents6"/>
            <w:tabs>
              <w:tab w:val="clear" w:pos="7609"/>
              <w:tab w:val="right" w:pos="9026" w:leader="dot"/>
            </w:tabs>
            <w:rPr/>
          </w:pPr>
          <w:hyperlink w:anchor="__RefHeading___Toc80736_274958925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80738_2749589250">
            <w:r>
              <w:rPr>
                <w:webHidden/>
                <w:rStyle w:val="IndexLink"/>
                <w:rtl w:val="true"/>
              </w:rPr>
              <w:t>کلام الشیخ الأنصاری</w:t>
            </w:r>
            <w:r>
              <w:rPr>
                <w:rStyle w:val="IndexLink"/>
                <w:rtl w:val="true"/>
              </w:rPr>
              <w:t>:</w:t>
              <w:tab/>
            </w:r>
            <w:r>
              <w:rPr>
                <w:rStyle w:val="IndexLink"/>
              </w:rPr>
              <w:t>73</w:t>
            </w:r>
          </w:hyperlink>
        </w:p>
        <w:p>
          <w:pPr>
            <w:pStyle w:val="Contents6"/>
            <w:tabs>
              <w:tab w:val="clear" w:pos="7609"/>
              <w:tab w:val="right" w:pos="9026" w:leader="dot"/>
            </w:tabs>
            <w:rPr/>
          </w:pPr>
          <w:hyperlink w:anchor="__RefHeading___Toc80740_2749589250">
            <w:r>
              <w:rPr>
                <w:webHidden/>
                <w:rStyle w:val="IndexLink"/>
                <w:rtl w:val="true"/>
              </w:rPr>
              <w:t xml:space="preserve">الإشکالات الواردة علی کلام الشیخ الأنصاری </w:t>
            </w:r>
            <w:r>
              <w:rPr>
                <w:rStyle w:val="IndexLink"/>
                <w:rtl w:val="true"/>
              </w:rPr>
              <w:t>(</w:t>
            </w:r>
            <w:r>
              <w:rPr>
                <w:rStyle w:val="IndexLink"/>
                <w:rtl w:val="true"/>
              </w:rPr>
              <w:t>رحمه الله</w:t>
            </w:r>
            <w:r>
              <w:rPr>
                <w:rStyle w:val="IndexLink"/>
                <w:rtl w:val="true"/>
              </w:rPr>
              <w:t>):</w:t>
              <w:tab/>
            </w:r>
            <w:r>
              <w:rPr>
                <w:rStyle w:val="IndexLink"/>
              </w:rPr>
              <w:t>74</w:t>
            </w:r>
          </w:hyperlink>
        </w:p>
        <w:p>
          <w:pPr>
            <w:pStyle w:val="Contents6"/>
            <w:tabs>
              <w:tab w:val="clear" w:pos="7609"/>
              <w:tab w:val="right" w:pos="9026" w:leader="dot"/>
            </w:tabs>
            <w:rPr/>
          </w:pPr>
          <w:hyperlink w:anchor="__RefHeading___Toc80742_274958925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80744_2749589250">
            <w:r>
              <w:rPr>
                <w:webHidden/>
                <w:rStyle w:val="IndexLink"/>
              </w:rPr>
              <w:t>1</w:t>
            </w:r>
            <w:r>
              <w:rPr>
                <w:rStyle w:val="IndexLink"/>
                <w:rtl w:val="true"/>
              </w:rPr>
              <w:t xml:space="preserve">- </w:t>
            </w:r>
            <w:r>
              <w:rPr>
                <w:rStyle w:val="IndexLink"/>
                <w:rtl w:val="true"/>
              </w:rPr>
              <w:t xml:space="preserve">إشکالات المیرزا النائینی </w:t>
            </w:r>
            <w:r>
              <w:rPr>
                <w:rStyle w:val="IndexLink"/>
                <w:rtl w:val="true"/>
              </w:rPr>
              <w:t>(</w:t>
            </w:r>
            <w:r>
              <w:rPr>
                <w:rStyle w:val="IndexLink"/>
                <w:rtl w:val="true"/>
              </w:rPr>
              <w:t>رحمه الله</w:t>
            </w:r>
            <w:r>
              <w:rPr>
                <w:rStyle w:val="IndexLink"/>
                <w:rtl w:val="true"/>
              </w:rPr>
              <w:t>):</w:t>
              <w:tab/>
            </w:r>
            <w:r>
              <w:rPr>
                <w:rStyle w:val="IndexLink"/>
              </w:rPr>
              <w:t>74</w:t>
            </w:r>
          </w:hyperlink>
        </w:p>
        <w:p>
          <w:pPr>
            <w:pStyle w:val="Contents6"/>
            <w:tabs>
              <w:tab w:val="clear" w:pos="7609"/>
              <w:tab w:val="right" w:pos="9026" w:leader="dot"/>
            </w:tabs>
            <w:rPr/>
          </w:pPr>
          <w:hyperlink w:anchor="__RefHeading___Toc80746_274958925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80748_2749589250">
            <w:r>
              <w:rPr>
                <w:webHidden/>
                <w:rStyle w:val="IndexLink"/>
                <w:rtl w:val="true"/>
              </w:rPr>
              <w:t xml:space="preserve">إشکال المحقق الخوئی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علی رأی المحقق النائینی </w:t>
            </w:r>
            <w:r>
              <w:rPr>
                <w:rStyle w:val="IndexLink"/>
                <w:rtl w:val="true"/>
              </w:rPr>
              <w:t>(</w:t>
            </w:r>
            <w:r>
              <w:rPr>
                <w:rStyle w:val="IndexLink"/>
                <w:rtl w:val="true"/>
              </w:rPr>
              <w:t>رحمه الله</w:t>
            </w:r>
            <w:r>
              <w:rPr>
                <w:rStyle w:val="IndexLink"/>
                <w:rtl w:val="true"/>
              </w:rPr>
              <w:t>):</w:t>
              <w:tab/>
            </w:r>
            <w:r>
              <w:rPr>
                <w:rStyle w:val="IndexLink"/>
              </w:rPr>
              <w:t>75</w:t>
            </w:r>
          </w:hyperlink>
        </w:p>
        <w:p>
          <w:pPr>
            <w:pStyle w:val="Contents6"/>
            <w:tabs>
              <w:tab w:val="clear" w:pos="7609"/>
              <w:tab w:val="right" w:pos="9026" w:leader="dot"/>
            </w:tabs>
            <w:rPr/>
          </w:pPr>
          <w:hyperlink w:anchor="__RefHeading___Toc80750_2749589250">
            <w:r>
              <w:rPr>
                <w:webHidden/>
                <w:rStyle w:val="IndexLink"/>
                <w:rtl w:val="true"/>
              </w:rPr>
              <w:t xml:space="preserve">إشکال المحقق العراقی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علی رأی المحقق النائینی </w:t>
            </w:r>
            <w:r>
              <w:rPr>
                <w:rStyle w:val="IndexLink"/>
                <w:rtl w:val="true"/>
              </w:rPr>
              <w:t>(</w:t>
            </w:r>
            <w:r>
              <w:rPr>
                <w:rStyle w:val="IndexLink"/>
                <w:rtl w:val="true"/>
              </w:rPr>
              <w:t>رحمه الله</w:t>
            </w:r>
            <w:r>
              <w:rPr>
                <w:rStyle w:val="IndexLink"/>
                <w:rtl w:val="true"/>
              </w:rPr>
              <w:t>):</w:t>
              <w:tab/>
            </w:r>
            <w:r>
              <w:rPr>
                <w:rStyle w:val="IndexLink"/>
              </w:rPr>
              <w:t>76</w:t>
            </w:r>
          </w:hyperlink>
        </w:p>
        <w:p>
          <w:pPr>
            <w:pStyle w:val="Contents6"/>
            <w:tabs>
              <w:tab w:val="clear" w:pos="7609"/>
              <w:tab w:val="right" w:pos="9026" w:leader="dot"/>
            </w:tabs>
            <w:rPr/>
          </w:pPr>
          <w:hyperlink w:anchor="__RefHeading___Toc80752_2749589250">
            <w:r>
              <w:rPr>
                <w:webHidden/>
                <w:rStyle w:val="IndexLink"/>
                <w:rtl w:val="true"/>
              </w:rPr>
              <w:t>نتیجة البحث والاحتمالات الموجودة</w:t>
            </w:r>
            <w:r>
              <w:rPr>
                <w:rStyle w:val="IndexLink"/>
                <w:rtl w:val="true"/>
              </w:rPr>
              <w:t>:</w:t>
              <w:tab/>
            </w:r>
            <w:r>
              <w:rPr>
                <w:rStyle w:val="IndexLink"/>
              </w:rPr>
              <w:t>78</w:t>
            </w:r>
          </w:hyperlink>
        </w:p>
        <w:p>
          <w:pPr>
            <w:pStyle w:val="Contents6"/>
            <w:tabs>
              <w:tab w:val="clear" w:pos="7609"/>
              <w:tab w:val="right" w:pos="9026" w:leader="dot"/>
            </w:tabs>
            <w:rPr/>
          </w:pPr>
          <w:hyperlink w:anchor="__RefHeading___Toc80754_2749589250">
            <w:r>
              <w:rPr>
                <w:webHidden/>
                <w:rStyle w:val="IndexLink"/>
                <w:rtl w:val="true"/>
              </w:rPr>
              <w:t>تحقیق المسألة</w:t>
            </w:r>
            <w:r>
              <w:rPr>
                <w:rStyle w:val="IndexLink"/>
                <w:rtl w:val="true"/>
              </w:rPr>
              <w:t>:</w:t>
              <w:tab/>
            </w:r>
            <w:r>
              <w:rPr>
                <w:rStyle w:val="IndexLink"/>
              </w:rPr>
              <w:t>78</w:t>
            </w:r>
          </w:hyperlink>
        </w:p>
        <w:p>
          <w:pPr>
            <w:pStyle w:val="Contents6"/>
            <w:tabs>
              <w:tab w:val="clear" w:pos="7609"/>
              <w:tab w:val="right" w:pos="9026" w:leader="dot"/>
            </w:tabs>
            <w:rPr/>
          </w:pPr>
          <w:hyperlink w:anchor="__RefHeading___Toc80756_2749589250">
            <w:r>
              <w:rPr>
                <w:webHidden/>
                <w:rStyle w:val="IndexLink"/>
              </w:rPr>
              <w:t>2</w:t>
            </w:r>
            <w:r>
              <w:rPr>
                <w:rStyle w:val="IndexLink"/>
                <w:rtl w:val="true"/>
              </w:rPr>
              <w:t xml:space="preserve">- </w:t>
            </w:r>
            <w:r>
              <w:rPr>
                <w:rStyle w:val="IndexLink"/>
                <w:rtl w:val="true"/>
              </w:rPr>
              <w:t>إشکال المحقق العراقی علی رأی الشیخ الأنصاری</w:t>
            </w:r>
            <w:r>
              <w:rPr>
                <w:rStyle w:val="IndexLink"/>
                <w:rtl w:val="true"/>
              </w:rPr>
              <w:t>:</w:t>
              <w:tab/>
            </w:r>
            <w:r>
              <w:rPr>
                <w:rStyle w:val="IndexLink"/>
              </w:rPr>
              <w:t>80</w:t>
            </w:r>
          </w:hyperlink>
        </w:p>
        <w:p>
          <w:pPr>
            <w:pStyle w:val="Contents6"/>
            <w:tabs>
              <w:tab w:val="clear" w:pos="7609"/>
              <w:tab w:val="right" w:pos="9026" w:leader="dot"/>
            </w:tabs>
            <w:rPr/>
          </w:pPr>
          <w:hyperlink w:anchor="__RefHeading___Toc80758_2749589250">
            <w:r>
              <w:rPr>
                <w:webHidden/>
                <w:rStyle w:val="IndexLink"/>
              </w:rPr>
              <w:t>3</w:t>
            </w:r>
            <w:r>
              <w:rPr>
                <w:rStyle w:val="IndexLink"/>
                <w:rtl w:val="true"/>
              </w:rPr>
              <w:t xml:space="preserve">- </w:t>
            </w:r>
            <w:r>
              <w:rPr>
                <w:rStyle w:val="IndexLink"/>
                <w:rtl w:val="true"/>
              </w:rPr>
              <w:t>إشکال المحقق الأصفهانی علی رأی الشیخ الأنصاری</w:t>
            </w:r>
            <w:r>
              <w:rPr>
                <w:rStyle w:val="IndexLink"/>
                <w:rtl w:val="true"/>
              </w:rPr>
              <w:t>:</w:t>
              <w:tab/>
            </w:r>
            <w:r>
              <w:rPr>
                <w:rStyle w:val="IndexLink"/>
              </w:rPr>
              <w:t>81</w:t>
            </w:r>
          </w:hyperlink>
        </w:p>
        <w:p>
          <w:pPr>
            <w:pStyle w:val="Contents6"/>
            <w:tabs>
              <w:tab w:val="clear" w:pos="7609"/>
              <w:tab w:val="right" w:pos="9026" w:leader="dot"/>
            </w:tabs>
            <w:rPr/>
          </w:pPr>
          <w:hyperlink w:anchor="__RefHeading___Toc80760_2749589250">
            <w:r>
              <w:rPr>
                <w:webHidden/>
                <w:rStyle w:val="IndexLink"/>
                <w:rtl w:val="true"/>
              </w:rPr>
              <w:t>تحقیق البحث فی الوجه الأوّل</w:t>
            </w:r>
            <w:r>
              <w:rPr>
                <w:rStyle w:val="IndexLink"/>
                <w:rtl w:val="true"/>
              </w:rPr>
              <w:t>:</w:t>
              <w:tab/>
            </w:r>
            <w:r>
              <w:rPr>
                <w:rStyle w:val="IndexLink"/>
              </w:rPr>
              <w:t>82</w:t>
            </w:r>
          </w:hyperlink>
        </w:p>
        <w:p>
          <w:pPr>
            <w:pStyle w:val="Contents5"/>
            <w:tabs>
              <w:tab w:val="clear" w:pos="7892"/>
              <w:tab w:val="right" w:pos="9026" w:leader="dot"/>
            </w:tabs>
            <w:rPr/>
          </w:pPr>
          <w:hyperlink w:anchor="__RefHeading___Toc80762_2749589250">
            <w:r>
              <w:rPr>
                <w:webHidden/>
                <w:rStyle w:val="IndexLink"/>
                <w:rtl w:val="true"/>
              </w:rPr>
              <w:t>البیان الثانی فی الدلیل الأوّل</w:t>
            </w:r>
            <w:r>
              <w:rPr>
                <w:rStyle w:val="IndexLink"/>
                <w:rtl w:val="true"/>
              </w:rPr>
              <w:t>:</w:t>
              <w:tab/>
            </w:r>
            <w:r>
              <w:rPr>
                <w:rStyle w:val="IndexLink"/>
              </w:rPr>
              <w:t>85</w:t>
            </w:r>
          </w:hyperlink>
        </w:p>
        <w:p>
          <w:pPr>
            <w:pStyle w:val="Contents5"/>
            <w:tabs>
              <w:tab w:val="clear" w:pos="7892"/>
              <w:tab w:val="right" w:pos="9026" w:leader="dot"/>
            </w:tabs>
            <w:rPr/>
          </w:pPr>
          <w:hyperlink w:anchor="__RefHeading___Toc80764_2749589250">
            <w:r>
              <w:rPr>
                <w:webHidden/>
                <w:rStyle w:val="IndexLink"/>
                <w:rtl w:val="true"/>
              </w:rPr>
              <w:t>البیان الثالث فی الدلیل الأوّل</w:t>
            </w:r>
            <w:r>
              <w:rPr>
                <w:rStyle w:val="IndexLink"/>
                <w:rtl w:val="true"/>
              </w:rPr>
              <w:t>:</w:t>
              <w:tab/>
            </w:r>
            <w:r>
              <w:rPr>
                <w:rStyle w:val="IndexLink"/>
              </w:rPr>
              <w:t>86</w:t>
            </w:r>
          </w:hyperlink>
        </w:p>
        <w:p>
          <w:pPr>
            <w:pStyle w:val="Contents6"/>
            <w:tabs>
              <w:tab w:val="clear" w:pos="7609"/>
              <w:tab w:val="right" w:pos="9026" w:leader="dot"/>
            </w:tabs>
            <w:rPr/>
          </w:pPr>
          <w:hyperlink w:anchor="__RefHeading___Toc80766_274958925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80768_2749589250">
            <w:r>
              <w:rPr>
                <w:webHidden/>
                <w:rStyle w:val="IndexLink"/>
                <w:rtl w:val="true"/>
              </w:rPr>
              <w:t>وقد ذکر هذا المطلب فی کلمات السید الخوئی أیضاً کما أسلفنا فهو یقول</w:t>
            </w:r>
            <w:r>
              <w:rPr>
                <w:rStyle w:val="IndexLink"/>
                <w:rtl w:val="true"/>
              </w:rPr>
              <w:t>:</w:t>
              <w:tab/>
            </w:r>
            <w:r>
              <w:rPr>
                <w:rStyle w:val="IndexLink"/>
              </w:rPr>
              <w:t>88</w:t>
            </w:r>
          </w:hyperlink>
        </w:p>
        <w:p>
          <w:pPr>
            <w:pStyle w:val="Contents6"/>
            <w:tabs>
              <w:tab w:val="clear" w:pos="7609"/>
              <w:tab w:val="right" w:pos="9026" w:leader="dot"/>
            </w:tabs>
            <w:rPr/>
          </w:pPr>
          <w:hyperlink w:anchor="__RefHeading___Toc80770_2749589250">
            <w:r>
              <w:rPr>
                <w:webHidden/>
                <w:rStyle w:val="IndexLink"/>
                <w:rtl w:val="true"/>
              </w:rPr>
              <w:t>إشکالات هذه النظریة</w:t>
            </w:r>
            <w:r>
              <w:rPr>
                <w:rStyle w:val="IndexLink"/>
                <w:rtl w:val="true"/>
              </w:rPr>
              <w:t>:</w:t>
              <w:tab/>
            </w:r>
            <w:r>
              <w:rPr>
                <w:rStyle w:val="IndexLink"/>
              </w:rPr>
              <w:t>90</w:t>
            </w:r>
          </w:hyperlink>
        </w:p>
        <w:p>
          <w:pPr>
            <w:pStyle w:val="Contents6"/>
            <w:tabs>
              <w:tab w:val="clear" w:pos="7609"/>
              <w:tab w:val="right" w:pos="9026" w:leader="dot"/>
            </w:tabs>
            <w:rPr/>
          </w:pPr>
          <w:hyperlink w:anchor="__RefHeading___Toc80772_2749589250">
            <w:r>
              <w:rPr>
                <w:webHidden/>
                <w:rStyle w:val="IndexLink"/>
                <w:rtl w:val="true"/>
              </w:rPr>
              <w:t>نتیجة الدلیل الأوّل</w:t>
            </w:r>
            <w:r>
              <w:rPr>
                <w:rStyle w:val="IndexLink"/>
                <w:rtl w:val="true"/>
              </w:rPr>
              <w:t>:</w:t>
              <w:tab/>
            </w:r>
            <w:r>
              <w:rPr>
                <w:rStyle w:val="IndexLink"/>
              </w:rPr>
              <w:t>91</w:t>
            </w:r>
          </w:hyperlink>
        </w:p>
        <w:p>
          <w:pPr>
            <w:pStyle w:val="Contents4"/>
            <w:tabs>
              <w:tab w:val="clear" w:pos="8176"/>
              <w:tab w:val="right" w:pos="9026" w:leader="dot"/>
            </w:tabs>
            <w:rPr/>
          </w:pPr>
          <w:hyperlink w:anchor="__RefHeading___Toc80774_2749589250">
            <w:r>
              <w:rPr>
                <w:webHidden/>
                <w:rStyle w:val="IndexLink"/>
                <w:rtl w:val="true"/>
              </w:rPr>
              <w:t>الدلیل الثانی</w:t>
            </w:r>
            <w:r>
              <w:rPr>
                <w:rStyle w:val="IndexLink"/>
                <w:rtl w:val="true"/>
              </w:rPr>
              <w:t xml:space="preserve">: </w:t>
            </w:r>
            <w:r>
              <w:rPr>
                <w:rStyle w:val="IndexLink"/>
                <w:rtl w:val="true"/>
              </w:rPr>
              <w:t>اجتماع لحاظی الآلیة والاستقلالیة فی الشی‌ء الواحد</w:t>
            </w:r>
            <w:r>
              <w:rPr>
                <w:rStyle w:val="IndexLink"/>
                <w:rtl w:val="true"/>
              </w:rPr>
              <w:t>:</w:t>
              <w:tab/>
            </w:r>
            <w:r>
              <w:rPr>
                <w:rStyle w:val="IndexLink"/>
              </w:rPr>
              <w:t>91</w:t>
            </w:r>
          </w:hyperlink>
        </w:p>
        <w:p>
          <w:pPr>
            <w:pStyle w:val="Contents5"/>
            <w:tabs>
              <w:tab w:val="clear" w:pos="7892"/>
              <w:tab w:val="right" w:pos="9026" w:leader="dot"/>
            </w:tabs>
            <w:rPr/>
          </w:pPr>
          <w:hyperlink w:anchor="__RefHeading___Toc80776_274958925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80778_2749589250">
            <w:r>
              <w:rPr>
                <w:webHidden/>
                <w:rStyle w:val="IndexLink"/>
                <w:rtl w:val="true"/>
              </w:rPr>
              <w:t>یقول المحقق النائینی فی هذا السیاق</w:t>
            </w:r>
            <w:r>
              <w:rPr>
                <w:rStyle w:val="IndexLink"/>
                <w:rtl w:val="true"/>
              </w:rPr>
              <w:t>:</w:t>
              <w:tab/>
            </w:r>
            <w:r>
              <w:rPr>
                <w:rStyle w:val="IndexLink"/>
              </w:rPr>
              <w:t>92</w:t>
            </w:r>
          </w:hyperlink>
        </w:p>
        <w:p>
          <w:pPr>
            <w:pStyle w:val="Contents5"/>
            <w:tabs>
              <w:tab w:val="clear" w:pos="7892"/>
              <w:tab w:val="right" w:pos="9026" w:leader="dot"/>
            </w:tabs>
            <w:rPr/>
          </w:pPr>
          <w:hyperlink w:anchor="__RefHeading___Toc80780_2749589250">
            <w:r>
              <w:rPr>
                <w:webHidden/>
                <w:rStyle w:val="IndexLink"/>
                <w:rtl w:val="true"/>
              </w:rPr>
              <w:t>الإشکالات الواردة علی الدلیل الثانی</w:t>
            </w:r>
            <w:r>
              <w:rPr>
                <w:rStyle w:val="IndexLink"/>
                <w:rtl w:val="true"/>
              </w:rPr>
              <w:t>:</w:t>
              <w:tab/>
            </w:r>
            <w:r>
              <w:rPr>
                <w:rStyle w:val="IndexLink"/>
              </w:rPr>
              <w:t>92</w:t>
            </w:r>
          </w:hyperlink>
        </w:p>
        <w:p>
          <w:pPr>
            <w:pStyle w:val="Contents6"/>
            <w:tabs>
              <w:tab w:val="clear" w:pos="7609"/>
              <w:tab w:val="right" w:pos="9026" w:leader="dot"/>
            </w:tabs>
            <w:rPr/>
          </w:pPr>
          <w:hyperlink w:anchor="__RefHeading___Toc80782_2749589250">
            <w:r>
              <w:rPr>
                <w:webHidden/>
                <w:rStyle w:val="IndexLink"/>
              </w:rPr>
              <w:t>1</w:t>
            </w:r>
            <w:r>
              <w:rPr>
                <w:rStyle w:val="IndexLink"/>
                <w:rtl w:val="true"/>
              </w:rPr>
              <w:t xml:space="preserve">- </w:t>
            </w:r>
            <w:r>
              <w:rPr>
                <w:rStyle w:val="IndexLink"/>
                <w:rtl w:val="true"/>
              </w:rPr>
              <w:t>نظریة المحقق النائینی</w:t>
            </w:r>
            <w:r>
              <w:rPr>
                <w:rStyle w:val="IndexLink"/>
                <w:rtl w:val="true"/>
              </w:rPr>
              <w:t>:</w:t>
              <w:tab/>
            </w:r>
            <w:r>
              <w:rPr>
                <w:rStyle w:val="IndexLink"/>
              </w:rPr>
              <w:t>92</w:t>
            </w:r>
          </w:hyperlink>
        </w:p>
        <w:p>
          <w:pPr>
            <w:pStyle w:val="Contents6"/>
            <w:tabs>
              <w:tab w:val="clear" w:pos="7609"/>
              <w:tab w:val="right" w:pos="9026" w:leader="dot"/>
            </w:tabs>
            <w:rPr/>
          </w:pPr>
          <w:hyperlink w:anchor="__RefHeading___Toc80784_274958925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80786_2749589250">
            <w:r>
              <w:rPr>
                <w:webHidden/>
                <w:rStyle w:val="IndexLink"/>
                <w:rtl w:val="true"/>
              </w:rPr>
              <w:t>الإشکال علی نظریة المحقق النائینی</w:t>
            </w:r>
            <w:r>
              <w:rPr>
                <w:rStyle w:val="IndexLink"/>
                <w:rtl w:val="true"/>
              </w:rPr>
              <w:t>:</w:t>
              <w:tab/>
            </w:r>
            <w:r>
              <w:rPr>
                <w:rStyle w:val="IndexLink"/>
              </w:rPr>
              <w:t>94</w:t>
            </w:r>
          </w:hyperlink>
        </w:p>
        <w:p>
          <w:pPr>
            <w:pStyle w:val="Contents6"/>
            <w:tabs>
              <w:tab w:val="clear" w:pos="7609"/>
              <w:tab w:val="right" w:pos="9026" w:leader="dot"/>
            </w:tabs>
            <w:rPr/>
          </w:pPr>
          <w:hyperlink w:anchor="__RefHeading___Toc80788_2749589250">
            <w:r>
              <w:rPr>
                <w:webHidden/>
                <w:rStyle w:val="IndexLink"/>
              </w:rPr>
              <w:t>2</w:t>
            </w:r>
            <w:r>
              <w:rPr>
                <w:rStyle w:val="IndexLink"/>
                <w:rtl w:val="true"/>
              </w:rPr>
              <w:t xml:space="preserve">- </w:t>
            </w:r>
            <w:r>
              <w:rPr>
                <w:rStyle w:val="IndexLink"/>
                <w:rtl w:val="true"/>
              </w:rPr>
              <w:t>نظریة المحقق الخوئی</w:t>
            </w:r>
            <w:r>
              <w:rPr>
                <w:rStyle w:val="IndexLink"/>
                <w:rtl w:val="true"/>
              </w:rPr>
              <w:t>:</w:t>
              <w:tab/>
            </w:r>
            <w:r>
              <w:rPr>
                <w:rStyle w:val="IndexLink"/>
              </w:rPr>
              <w:t>94</w:t>
            </w:r>
          </w:hyperlink>
        </w:p>
        <w:p>
          <w:pPr>
            <w:pStyle w:val="Contents5"/>
            <w:tabs>
              <w:tab w:val="clear" w:pos="7892"/>
              <w:tab w:val="right" w:pos="9026" w:leader="dot"/>
            </w:tabs>
            <w:rPr/>
          </w:pPr>
          <w:hyperlink w:anchor="__RefHeading___Toc80790_2749589250">
            <w:r>
              <w:rPr>
                <w:webHidden/>
                <w:rStyle w:val="IndexLink"/>
                <w:rtl w:val="true"/>
              </w:rPr>
              <w:t>الإشکال علی جواب السید الخوئی الأوّل</w:t>
            </w:r>
            <w:r>
              <w:rPr>
                <w:rStyle w:val="IndexLink"/>
                <w:rtl w:val="true"/>
              </w:rPr>
              <w:t>:</w:t>
              <w:tab/>
            </w:r>
            <w:r>
              <w:rPr>
                <w:rStyle w:val="IndexLink"/>
              </w:rPr>
              <w:t>95</w:t>
            </w:r>
          </w:hyperlink>
        </w:p>
        <w:p>
          <w:pPr>
            <w:pStyle w:val="Contents4"/>
            <w:tabs>
              <w:tab w:val="clear" w:pos="8176"/>
              <w:tab w:val="right" w:pos="9026" w:leader="dot"/>
            </w:tabs>
            <w:rPr/>
          </w:pPr>
          <w:hyperlink w:anchor="__RefHeading___Toc80792_2749589250">
            <w:r>
              <w:rPr>
                <w:webHidden/>
                <w:rStyle w:val="IndexLink"/>
                <w:rtl w:val="true"/>
              </w:rPr>
              <w:t>الدلیل الثالث</w:t>
            </w:r>
            <w:r>
              <w:rPr>
                <w:rStyle w:val="IndexLink"/>
                <w:rtl w:val="true"/>
              </w:rPr>
              <w:t xml:space="preserve">: </w:t>
            </w:r>
            <w:r>
              <w:rPr>
                <w:rStyle w:val="IndexLink"/>
                <w:rtl w:val="true"/>
              </w:rPr>
              <w:t>محذور الجمع بین المعنی الحقیقی والمعنی المجازی</w:t>
            </w:r>
            <w:r>
              <w:rPr>
                <w:rStyle w:val="IndexLink"/>
                <w:rtl w:val="true"/>
              </w:rPr>
              <w:t>:</w:t>
              <w:tab/>
            </w:r>
            <w:r>
              <w:rPr>
                <w:rStyle w:val="IndexLink"/>
              </w:rPr>
              <w:t>97</w:t>
            </w:r>
          </w:hyperlink>
        </w:p>
        <w:p>
          <w:pPr>
            <w:pStyle w:val="Contents5"/>
            <w:tabs>
              <w:tab w:val="clear" w:pos="7892"/>
              <w:tab w:val="right" w:pos="9026" w:leader="dot"/>
            </w:tabs>
            <w:rPr/>
          </w:pPr>
          <w:hyperlink w:anchor="__RefHeading___Toc80794_274958925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80796_2749589250">
            <w:r>
              <w:rPr>
                <w:webHidden/>
                <w:rStyle w:val="IndexLink"/>
                <w:rtl w:val="true"/>
              </w:rPr>
              <w:t>یقول المحقق السید الخوئی فی توضیح هذا الدلیل</w:t>
            </w:r>
            <w:r>
              <w:rPr>
                <w:rStyle w:val="IndexLink"/>
                <w:rtl w:val="true"/>
              </w:rPr>
              <w:t>:</w:t>
              <w:tab/>
            </w:r>
            <w:r>
              <w:rPr>
                <w:rStyle w:val="IndexLink"/>
              </w:rPr>
              <w:t>98</w:t>
            </w:r>
          </w:hyperlink>
        </w:p>
        <w:p>
          <w:pPr>
            <w:pStyle w:val="Contents5"/>
            <w:tabs>
              <w:tab w:val="clear" w:pos="7892"/>
              <w:tab w:val="right" w:pos="9026" w:leader="dot"/>
            </w:tabs>
            <w:rPr/>
          </w:pPr>
          <w:hyperlink w:anchor="__RefHeading___Toc80798_2749589250">
            <w:r>
              <w:rPr>
                <w:webHidden/>
                <w:rStyle w:val="IndexLink"/>
                <w:rtl w:val="true"/>
              </w:rPr>
              <w:t>الإشکالات علی الدلیل الثالث</w:t>
            </w:r>
            <w:r>
              <w:rPr>
                <w:rStyle w:val="IndexLink"/>
                <w:rtl w:val="true"/>
              </w:rPr>
              <w:t>:</w:t>
              <w:tab/>
            </w:r>
            <w:r>
              <w:rPr>
                <w:rStyle w:val="IndexLink"/>
              </w:rPr>
              <w:t>98</w:t>
            </w:r>
          </w:hyperlink>
        </w:p>
        <w:p>
          <w:pPr>
            <w:pStyle w:val="Contents6"/>
            <w:tabs>
              <w:tab w:val="clear" w:pos="7609"/>
              <w:tab w:val="right" w:pos="9026" w:leader="dot"/>
            </w:tabs>
            <w:rPr/>
          </w:pPr>
          <w:hyperlink w:anchor="__RefHeading___Toc80800_274958925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80802_2749589250">
            <w:r>
              <w:rPr>
                <w:webHidden/>
                <w:rStyle w:val="IndexLink"/>
              </w:rPr>
              <w:t>1</w:t>
            </w:r>
            <w:r>
              <w:rPr>
                <w:rStyle w:val="IndexLink"/>
                <w:rtl w:val="true"/>
              </w:rPr>
              <w:t xml:space="preserve">- </w:t>
            </w:r>
            <w:r>
              <w:rPr>
                <w:rStyle w:val="IndexLink"/>
                <w:rtl w:val="true"/>
              </w:rPr>
              <w:t>نظریة المحقق النائینی</w:t>
            </w:r>
            <w:r>
              <w:rPr>
                <w:rStyle w:val="IndexLink"/>
                <w:rtl w:val="true"/>
              </w:rPr>
              <w:t>:</w:t>
              <w:tab/>
            </w:r>
            <w:r>
              <w:rPr>
                <w:rStyle w:val="IndexLink"/>
              </w:rPr>
              <w:t>98</w:t>
            </w:r>
          </w:hyperlink>
        </w:p>
        <w:p>
          <w:pPr>
            <w:pStyle w:val="Contents6"/>
            <w:tabs>
              <w:tab w:val="clear" w:pos="7609"/>
              <w:tab w:val="right" w:pos="9026" w:leader="dot"/>
            </w:tabs>
            <w:rPr/>
          </w:pPr>
          <w:hyperlink w:anchor="__RefHeading___Toc80804_2749589250">
            <w:r>
              <w:rPr>
                <w:webHidden/>
                <w:rStyle w:val="IndexLink"/>
              </w:rPr>
              <w:t>2</w:t>
            </w:r>
            <w:r>
              <w:rPr>
                <w:rStyle w:val="IndexLink"/>
                <w:rtl w:val="true"/>
              </w:rPr>
              <w:t xml:space="preserve">- </w:t>
            </w:r>
            <w:r>
              <w:rPr>
                <w:rStyle w:val="IndexLink"/>
                <w:rtl w:val="true"/>
              </w:rPr>
              <w:t>نظریة المحقق الخوئی</w:t>
            </w:r>
            <w:r>
              <w:rPr>
                <w:rStyle w:val="IndexLink"/>
                <w:rtl w:val="true"/>
              </w:rPr>
              <w:t>:</w:t>
              <w:tab/>
            </w:r>
            <w:r>
              <w:rPr>
                <w:rStyle w:val="IndexLink"/>
              </w:rPr>
              <w:t>99</w:t>
            </w:r>
          </w:hyperlink>
        </w:p>
        <w:p>
          <w:pPr>
            <w:pStyle w:val="Contents4"/>
            <w:tabs>
              <w:tab w:val="clear" w:pos="8176"/>
              <w:tab w:val="right" w:pos="9026" w:leader="dot"/>
            </w:tabs>
            <w:rPr/>
          </w:pPr>
          <w:hyperlink w:anchor="__RefHeading___Toc80806_2749589250">
            <w:r>
              <w:rPr>
                <w:webHidden/>
                <w:rStyle w:val="IndexLink"/>
                <w:rtl w:val="true"/>
              </w:rPr>
              <w:t>الدلیل الرابع محذور التدافع</w:t>
            </w:r>
            <w:r>
              <w:rPr>
                <w:rStyle w:val="IndexLink"/>
                <w:rtl w:val="true"/>
              </w:rPr>
              <w:t>:</w:t>
              <w:tab/>
            </w:r>
            <w:r>
              <w:rPr>
                <w:rStyle w:val="IndexLink"/>
              </w:rPr>
              <w:t>99</w:t>
            </w:r>
          </w:hyperlink>
        </w:p>
        <w:p>
          <w:pPr>
            <w:pStyle w:val="Contents5"/>
            <w:tabs>
              <w:tab w:val="clear" w:pos="7892"/>
              <w:tab w:val="right" w:pos="9026" w:leader="dot"/>
            </w:tabs>
            <w:rPr/>
          </w:pPr>
          <w:hyperlink w:anchor="__RefHeading___Toc80808_274958925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80810_2749589250">
            <w:r>
              <w:rPr>
                <w:webHidden/>
                <w:rStyle w:val="IndexLink"/>
                <w:rtl w:val="true"/>
              </w:rPr>
              <w:t>الإشکالات علی الدلیل الرابع</w:t>
            </w:r>
            <w:r>
              <w:rPr>
                <w:rStyle w:val="IndexLink"/>
                <w:rtl w:val="true"/>
              </w:rPr>
              <w:t>:</w:t>
              <w:tab/>
            </w:r>
            <w:r>
              <w:rPr>
                <w:rStyle w:val="IndexLink"/>
              </w:rPr>
              <w:t>100</w:t>
            </w:r>
          </w:hyperlink>
        </w:p>
        <w:p>
          <w:pPr>
            <w:pStyle w:val="Contents5"/>
            <w:tabs>
              <w:tab w:val="clear" w:pos="7892"/>
              <w:tab w:val="right" w:pos="9026" w:leader="dot"/>
            </w:tabs>
            <w:rPr/>
          </w:pPr>
          <w:hyperlink w:anchor="__RefHeading___Toc80812_2749589250">
            <w:r>
              <w:rPr>
                <w:webHidden/>
                <w:rStyle w:val="IndexLink"/>
                <w:rtl w:val="true"/>
              </w:rPr>
              <w:t>نظریة المحقق النائینی</w:t>
            </w:r>
            <w:r>
              <w:rPr>
                <w:rStyle w:val="IndexLink"/>
                <w:rtl w:val="true"/>
              </w:rPr>
              <w:t>:</w:t>
              <w:tab/>
            </w:r>
            <w:r>
              <w:rPr>
                <w:rStyle w:val="IndexLink"/>
              </w:rPr>
              <w:t>101</w:t>
            </w:r>
          </w:hyperlink>
        </w:p>
        <w:p>
          <w:pPr>
            <w:pStyle w:val="Contents5"/>
            <w:tabs>
              <w:tab w:val="clear" w:pos="7892"/>
              <w:tab w:val="right" w:pos="9026" w:leader="dot"/>
            </w:tabs>
            <w:rPr/>
          </w:pPr>
          <w:hyperlink w:anchor="__RefHeading___Toc80814_2749589250">
            <w:r>
              <w:rPr>
                <w:webHidden/>
                <w:rStyle w:val="IndexLink"/>
                <w:rtl w:val="true"/>
              </w:rPr>
              <w:t>جواب المحقق النائینی عن محذور التدافع</w:t>
            </w:r>
            <w:r>
              <w:rPr>
                <w:rStyle w:val="IndexLink"/>
                <w:rtl w:val="true"/>
              </w:rPr>
              <w:t>:</w:t>
              <w:tab/>
            </w:r>
            <w:r>
              <w:rPr>
                <w:rStyle w:val="IndexLink"/>
              </w:rPr>
              <w:t>104</w:t>
            </w:r>
          </w:hyperlink>
        </w:p>
        <w:p>
          <w:pPr>
            <w:pStyle w:val="Contents5"/>
            <w:tabs>
              <w:tab w:val="clear" w:pos="7892"/>
              <w:tab w:val="right" w:pos="9026" w:leader="dot"/>
            </w:tabs>
            <w:rPr/>
          </w:pPr>
          <w:hyperlink w:anchor="__RefHeading___Toc80816_2749589250">
            <w:r>
              <w:rPr>
                <w:webHidden/>
                <w:rStyle w:val="IndexLink"/>
                <w:rtl w:val="true"/>
              </w:rPr>
              <w:t>نظریة المحقق الخوئی</w:t>
            </w:r>
            <w:r>
              <w:rPr>
                <w:rStyle w:val="IndexLink"/>
                <w:rtl w:val="true"/>
              </w:rPr>
              <w:t>:</w:t>
              <w:tab/>
            </w:r>
            <w:r>
              <w:rPr>
                <w:rStyle w:val="IndexLink"/>
              </w:rPr>
              <w:t>104</w:t>
            </w:r>
          </w:hyperlink>
        </w:p>
        <w:p>
          <w:pPr>
            <w:pStyle w:val="Contents5"/>
            <w:tabs>
              <w:tab w:val="clear" w:pos="7892"/>
              <w:tab w:val="right" w:pos="9026" w:leader="dot"/>
            </w:tabs>
            <w:rPr/>
          </w:pPr>
          <w:hyperlink w:anchor="__RefHeading___Toc80818_2749589250">
            <w:r>
              <w:rPr>
                <w:webHidden/>
                <w:rStyle w:val="IndexLink"/>
                <w:rtl w:val="true"/>
              </w:rPr>
              <w:t>مناقشة نظریة المحقق الخوئی</w:t>
            </w:r>
            <w:r>
              <w:rPr>
                <w:rStyle w:val="IndexLink"/>
                <w:rtl w:val="true"/>
              </w:rPr>
              <w:t>:</w:t>
              <w:tab/>
            </w:r>
            <w:r>
              <w:rPr>
                <w:rStyle w:val="IndexLink"/>
              </w:rPr>
              <w:t>105</w:t>
            </w:r>
          </w:hyperlink>
        </w:p>
        <w:p>
          <w:pPr>
            <w:pStyle w:val="Contents5"/>
            <w:tabs>
              <w:tab w:val="clear" w:pos="7892"/>
              <w:tab w:val="right" w:pos="9026" w:leader="dot"/>
            </w:tabs>
            <w:rPr/>
          </w:pPr>
          <w:hyperlink w:anchor="__RefHeading___Toc80820_2749589250">
            <w:r>
              <w:rPr>
                <w:webHidden/>
                <w:rStyle w:val="IndexLink"/>
                <w:rtl w:val="true"/>
              </w:rPr>
              <w:t>الرأی المختار فی الدلیل الرابع</w:t>
            </w:r>
            <w:r>
              <w:rPr>
                <w:rStyle w:val="IndexLink"/>
                <w:rtl w:val="true"/>
              </w:rPr>
              <w:t>:</w:t>
              <w:tab/>
            </w:r>
            <w:r>
              <w:rPr>
                <w:rStyle w:val="IndexLink"/>
              </w:rPr>
              <w:t>105</w:t>
            </w:r>
          </w:hyperlink>
        </w:p>
        <w:p>
          <w:pPr>
            <w:pStyle w:val="Contents5"/>
            <w:tabs>
              <w:tab w:val="clear" w:pos="7892"/>
              <w:tab w:val="right" w:pos="9026" w:leader="dot"/>
            </w:tabs>
            <w:rPr/>
          </w:pPr>
          <w:hyperlink w:anchor="__RefHeading___Toc80822_2749589250">
            <w:r>
              <w:rPr>
                <w:webHidden/>
                <w:rStyle w:val="IndexLink"/>
                <w:rtl w:val="true"/>
              </w:rPr>
              <w:t>نتیجة البحث فی مقام الثبوت</w:t>
            </w:r>
            <w:r>
              <w:rPr>
                <w:rStyle w:val="IndexLink"/>
                <w:rtl w:val="true"/>
              </w:rPr>
              <w:t>:</w:t>
              <w:tab/>
            </w:r>
            <w:r>
              <w:rPr>
                <w:rStyle w:val="IndexLink"/>
              </w:rPr>
              <w:t>106</w:t>
            </w:r>
          </w:hyperlink>
        </w:p>
        <w:p>
          <w:pPr>
            <w:pStyle w:val="Contents5"/>
            <w:tabs>
              <w:tab w:val="clear" w:pos="7892"/>
              <w:tab w:val="right" w:pos="9026" w:leader="dot"/>
            </w:tabs>
            <w:rPr/>
          </w:pPr>
          <w:hyperlink w:anchor="__RefHeading___Toc80824_2749589250">
            <w:r>
              <w:rPr>
                <w:webHidden/>
                <w:rStyle w:val="IndexLink"/>
                <w:rtl w:val="true"/>
              </w:rPr>
              <w:t>تحلیل نظریة رجوع الشک فی الصحة إلی الشک فی الوجود</w:t>
            </w:r>
            <w:r>
              <w:rPr>
                <w:rStyle w:val="IndexLink"/>
                <w:rtl w:val="true"/>
              </w:rPr>
              <w:t>:</w:t>
              <w:tab/>
            </w:r>
            <w:r>
              <w:rPr>
                <w:rStyle w:val="IndexLink"/>
              </w:rPr>
              <w:t>106</w:t>
            </w:r>
          </w:hyperlink>
        </w:p>
        <w:p>
          <w:pPr>
            <w:pStyle w:val="Contents2"/>
            <w:tabs>
              <w:tab w:val="clear" w:pos="8743"/>
              <w:tab w:val="right" w:pos="9026" w:leader="dot"/>
            </w:tabs>
            <w:rPr/>
          </w:pPr>
          <w:hyperlink w:anchor="__RefHeading___Toc80826_2749589250">
            <w:r>
              <w:rPr>
                <w:webHidden/>
                <w:rStyle w:val="IndexLink"/>
                <w:rtl w:val="true"/>
              </w:rPr>
              <w:t>مقام الإثبات</w:t>
            </w:r>
            <w:r>
              <w:rPr>
                <w:rStyle w:val="IndexLink"/>
                <w:rtl w:val="true"/>
              </w:rPr>
              <w:tab/>
            </w:r>
            <w:r>
              <w:rPr>
                <w:rStyle w:val="IndexLink"/>
              </w:rPr>
              <w:t>109</w:t>
            </w:r>
          </w:hyperlink>
        </w:p>
        <w:p>
          <w:pPr>
            <w:pStyle w:val="Contents3"/>
            <w:tabs>
              <w:tab w:val="clear" w:pos="8459"/>
              <w:tab w:val="right" w:pos="9026" w:leader="dot"/>
            </w:tabs>
            <w:rPr/>
          </w:pPr>
          <w:hyperlink w:anchor="__RefHeading___Toc80828_2749589250">
            <w:r>
              <w:rPr>
                <w:webHidden/>
                <w:rStyle w:val="IndexLink"/>
                <w:rtl w:val="true"/>
              </w:rPr>
              <w:t>البحث فی مقام الإثبات فی تعدّد قاعدتی الفراغ والتجاوز</w:t>
            </w:r>
            <w:r>
              <w:rPr>
                <w:rStyle w:val="IndexLink"/>
                <w:rtl w:val="true"/>
              </w:rPr>
              <w:tab/>
            </w:r>
            <w:r>
              <w:rPr>
                <w:rStyle w:val="IndexLink"/>
              </w:rPr>
              <w:t>109</w:t>
            </w:r>
          </w:hyperlink>
        </w:p>
        <w:p>
          <w:pPr>
            <w:pStyle w:val="Contents3"/>
            <w:tabs>
              <w:tab w:val="clear" w:pos="8459"/>
              <w:tab w:val="right" w:pos="9026" w:leader="dot"/>
            </w:tabs>
            <w:rPr/>
          </w:pPr>
          <w:hyperlink w:anchor="__RefHeading___Toc80830_2749589250">
            <w:r>
              <w:rPr>
                <w:webHidden/>
                <w:rStyle w:val="IndexLink"/>
                <w:rtl w:val="true"/>
              </w:rPr>
              <w:t>نظریة المحقق النائینی فی جعل قاعدة الفراغ والتجاوز</w:t>
            </w:r>
            <w:r>
              <w:rPr>
                <w:rStyle w:val="IndexLink"/>
                <w:rtl w:val="true"/>
              </w:rPr>
              <w:t>:</w:t>
              <w:tab/>
            </w:r>
            <w:r>
              <w:rPr>
                <w:rStyle w:val="IndexLink"/>
              </w:rPr>
              <w:t>109</w:t>
            </w:r>
          </w:hyperlink>
        </w:p>
        <w:p>
          <w:pPr>
            <w:pStyle w:val="Contents3"/>
            <w:tabs>
              <w:tab w:val="clear" w:pos="8459"/>
              <w:tab w:val="right" w:pos="9026" w:leader="dot"/>
            </w:tabs>
            <w:rPr/>
          </w:pPr>
          <w:hyperlink w:anchor="__RefHeading___Toc80832_2749589250">
            <w:r>
              <w:rPr>
                <w:webHidden/>
                <w:rStyle w:val="IndexLink"/>
                <w:rtl w:val="true"/>
              </w:rPr>
              <w:t>الإشکالات علی نظریة المحقق النائینی</w:t>
            </w:r>
            <w:r>
              <w:rPr>
                <w:rStyle w:val="IndexLink"/>
                <w:rtl w:val="true"/>
              </w:rPr>
              <w:t>:</w:t>
              <w:tab/>
            </w:r>
            <w:r>
              <w:rPr>
                <w:rStyle w:val="IndexLink"/>
              </w:rPr>
              <w:t>110</w:t>
            </w:r>
          </w:hyperlink>
        </w:p>
        <w:p>
          <w:pPr>
            <w:pStyle w:val="Contents3"/>
            <w:tabs>
              <w:tab w:val="clear" w:pos="8459"/>
              <w:tab w:val="right" w:pos="9026" w:leader="dot"/>
            </w:tabs>
            <w:rPr/>
          </w:pPr>
          <w:hyperlink w:anchor="__RefHeading___Toc80834_2749589250">
            <w:r>
              <w:rPr>
                <w:webHidden/>
                <w:rStyle w:val="IndexLink"/>
                <w:rtl w:val="true"/>
              </w:rPr>
              <w:t>مقدمات بحث مقام الإثبات</w:t>
            </w:r>
            <w:r>
              <w:rPr>
                <w:rStyle w:val="IndexLink"/>
                <w:rtl w:val="true"/>
              </w:rPr>
              <w:t>:</w:t>
              <w:tab/>
            </w:r>
            <w:r>
              <w:rPr>
                <w:rStyle w:val="IndexLink"/>
              </w:rPr>
              <w:t>111</w:t>
            </w:r>
          </w:hyperlink>
        </w:p>
        <w:p>
          <w:pPr>
            <w:pStyle w:val="Contents3"/>
            <w:tabs>
              <w:tab w:val="clear" w:pos="8459"/>
              <w:tab w:val="right" w:pos="9026" w:leader="dot"/>
            </w:tabs>
            <w:rPr/>
          </w:pPr>
          <w:hyperlink w:anchor="__RefHeading___Toc80836_2749589250">
            <w:r>
              <w:rPr>
                <w:webHidden/>
                <w:rStyle w:val="IndexLink"/>
                <w:rtl w:val="true"/>
              </w:rPr>
              <w:t>نقد مبنی الإمام الخمینی فی تعدد القاعدتین</w:t>
            </w:r>
            <w:r>
              <w:rPr>
                <w:rStyle w:val="IndexLink"/>
                <w:rtl w:val="true"/>
              </w:rPr>
              <w:tab/>
            </w:r>
            <w:r>
              <w:rPr>
                <w:rStyle w:val="IndexLink"/>
              </w:rPr>
              <w:t>119</w:t>
            </w:r>
          </w:hyperlink>
        </w:p>
        <w:p>
          <w:pPr>
            <w:pStyle w:val="Contents3"/>
            <w:tabs>
              <w:tab w:val="clear" w:pos="8459"/>
              <w:tab w:val="right" w:pos="9026" w:leader="dot"/>
            </w:tabs>
            <w:rPr/>
          </w:pPr>
          <w:hyperlink w:anchor="__RefHeading___Toc80838_2749589250">
            <w:r>
              <w:rPr>
                <w:webHidden/>
                <w:rStyle w:val="IndexLink"/>
                <w:rtl w:val="true"/>
              </w:rPr>
              <w:t>الفرق بین قاعدتی الفراغ والتجاوز</w:t>
            </w:r>
            <w:r>
              <w:rPr>
                <w:rStyle w:val="IndexLink"/>
                <w:rtl w:val="true"/>
              </w:rPr>
              <w:t>:</w:t>
              <w:tab/>
            </w:r>
            <w:r>
              <w:rPr>
                <w:rStyle w:val="IndexLink"/>
              </w:rPr>
              <w:t>120</w:t>
            </w:r>
          </w:hyperlink>
        </w:p>
        <w:p>
          <w:pPr>
            <w:pStyle w:val="Contents2"/>
            <w:tabs>
              <w:tab w:val="clear" w:pos="8743"/>
              <w:tab w:val="right" w:pos="9026" w:leader="dot"/>
            </w:tabs>
            <w:rPr/>
          </w:pPr>
          <w:hyperlink w:anchor="__RefHeading___Toc80840_2749589250">
            <w:r>
              <w:rPr>
                <w:webHidden/>
                <w:rStyle w:val="IndexLink"/>
                <w:rtl w:val="true"/>
              </w:rPr>
              <w:t xml:space="preserve">دراسة وتحلیل رأی الإمام الخمینی </w:t>
            </w:r>
            <w:r>
              <w:rPr>
                <w:rStyle w:val="IndexLink"/>
                <w:rtl w:val="true"/>
              </w:rPr>
              <w:t>(</w:t>
            </w:r>
            <w:r>
              <w:rPr>
                <w:rStyle w:val="IndexLink"/>
                <w:rtl w:val="true"/>
              </w:rPr>
              <w:t>رحمه الله</w:t>
            </w:r>
            <w:r>
              <w:rPr>
                <w:rStyle w:val="IndexLink"/>
                <w:rtl w:val="true"/>
              </w:rPr>
              <w:t xml:space="preserve">) </w:t>
            </w:r>
            <w:r>
              <w:rPr>
                <w:rStyle w:val="IndexLink"/>
                <w:rtl w:val="true"/>
              </w:rPr>
              <w:t>فی استفادة قاعدة التجاوز من الروایات</w:t>
            </w:r>
            <w:r>
              <w:rPr>
                <w:rStyle w:val="IndexLink"/>
                <w:rtl w:val="true"/>
              </w:rPr>
              <w:tab/>
            </w:r>
            <w:r>
              <w:rPr>
                <w:rStyle w:val="IndexLink"/>
              </w:rPr>
              <w:t>123</w:t>
            </w:r>
          </w:hyperlink>
        </w:p>
        <w:p>
          <w:pPr>
            <w:pStyle w:val="Contents3"/>
            <w:tabs>
              <w:tab w:val="clear" w:pos="8459"/>
              <w:tab w:val="right" w:pos="9026" w:leader="dot"/>
            </w:tabs>
            <w:rPr/>
          </w:pPr>
          <w:hyperlink w:anchor="__RefHeading___Toc80842_274958925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80844_2749589250">
            <w:r>
              <w:rPr>
                <w:webHidden/>
                <w:rStyle w:val="IndexLink"/>
                <w:rtl w:val="true"/>
              </w:rPr>
              <w:t xml:space="preserve">مناقشة نظریة الإمام الخمینی </w:t>
            </w:r>
            <w:r>
              <w:rPr>
                <w:rStyle w:val="IndexLink"/>
                <w:rtl w:val="true"/>
              </w:rPr>
              <w:t>(</w:t>
            </w:r>
            <w:r>
              <w:rPr>
                <w:rStyle w:val="IndexLink"/>
                <w:rtl w:val="true"/>
              </w:rPr>
              <w:t>رحمه الله</w:t>
            </w:r>
            <w:r>
              <w:rPr>
                <w:rStyle w:val="IndexLink"/>
                <w:rtl w:val="true"/>
              </w:rPr>
              <w:t>):</w:t>
              <w:tab/>
            </w:r>
            <w:r>
              <w:rPr>
                <w:rStyle w:val="IndexLink"/>
              </w:rPr>
              <w:t>124</w:t>
            </w:r>
          </w:hyperlink>
        </w:p>
        <w:p>
          <w:pPr>
            <w:pStyle w:val="Contents3"/>
            <w:tabs>
              <w:tab w:val="clear" w:pos="8459"/>
              <w:tab w:val="right" w:pos="9026" w:leader="dot"/>
            </w:tabs>
            <w:rPr/>
          </w:pPr>
          <w:hyperlink w:anchor="__RefHeading___Toc80846_2749589250">
            <w:r>
              <w:rPr>
                <w:webHidden/>
                <w:rStyle w:val="IndexLink"/>
                <w:rtl w:val="true"/>
              </w:rPr>
              <w:t xml:space="preserve">مناقشة رأی الإمام الخمینی </w:t>
            </w:r>
            <w:r>
              <w:rPr>
                <w:rStyle w:val="IndexLink"/>
                <w:rtl w:val="true"/>
              </w:rPr>
              <w:t>(</w:t>
            </w:r>
            <w:r>
              <w:rPr>
                <w:rStyle w:val="IndexLink"/>
                <w:rtl w:val="true"/>
              </w:rPr>
              <w:t>رحمه الله</w:t>
            </w:r>
            <w:r>
              <w:rPr>
                <w:rStyle w:val="IndexLink"/>
                <w:rtl w:val="true"/>
              </w:rPr>
              <w:t>):</w:t>
              <w:tab/>
            </w:r>
            <w:r>
              <w:rPr>
                <w:rStyle w:val="IndexLink"/>
              </w:rPr>
              <w:t>125</w:t>
            </w:r>
          </w:hyperlink>
        </w:p>
        <w:p>
          <w:pPr>
            <w:pStyle w:val="Contents2"/>
            <w:tabs>
              <w:tab w:val="clear" w:pos="8743"/>
              <w:tab w:val="right" w:pos="9026" w:leader="dot"/>
            </w:tabs>
            <w:rPr/>
          </w:pPr>
          <w:hyperlink w:anchor="__RefHeading___Toc80848_2749589250">
            <w:r>
              <w:rPr>
                <w:webHidden/>
                <w:rStyle w:val="IndexLink"/>
                <w:rtl w:val="true"/>
              </w:rPr>
              <w:t>دراسة روایة موثقة بکیر بن أعین</w:t>
            </w:r>
            <w:r>
              <w:rPr>
                <w:rStyle w:val="IndexLink"/>
                <w:rtl w:val="true"/>
              </w:rPr>
              <w:t>:</w:t>
              <w:tab/>
            </w:r>
            <w:r>
              <w:rPr>
                <w:rStyle w:val="IndexLink"/>
              </w:rPr>
              <w:t>130</w:t>
            </w:r>
          </w:hyperlink>
        </w:p>
        <w:p>
          <w:pPr>
            <w:pStyle w:val="Contents2"/>
            <w:tabs>
              <w:tab w:val="clear" w:pos="8743"/>
              <w:tab w:val="right" w:pos="9026" w:leader="dot"/>
            </w:tabs>
            <w:rPr/>
          </w:pPr>
          <w:hyperlink w:anchor="__RefHeading___Toc80850_2749589250">
            <w:r>
              <w:rPr>
                <w:webHidden/>
                <w:rStyle w:val="IndexLink"/>
                <w:rtl w:val="true"/>
              </w:rPr>
              <w:t>ثمرة بحث تعدّد القاعدتین أو وحدتهما</w:t>
            </w:r>
            <w:r>
              <w:rPr>
                <w:rStyle w:val="IndexLink"/>
                <w:rtl w:val="true"/>
              </w:rPr>
              <w:t>:</w:t>
              <w:tab/>
            </w:r>
            <w:r>
              <w:rPr>
                <w:rStyle w:val="IndexLink"/>
              </w:rPr>
              <w:t>135</w:t>
            </w:r>
          </w:hyperlink>
        </w:p>
        <w:p>
          <w:pPr>
            <w:pStyle w:val="Contents2"/>
            <w:tabs>
              <w:tab w:val="clear" w:pos="8743"/>
              <w:tab w:val="right" w:pos="9026" w:leader="dot"/>
            </w:tabs>
            <w:rPr/>
          </w:pPr>
          <w:hyperlink w:anchor="__RefHeading___Toc80852_2749589250">
            <w:r>
              <w:rPr>
                <w:webHidden/>
                <w:rStyle w:val="IndexLink"/>
                <w:rtl w:val="true"/>
              </w:rPr>
              <w:t>جریان قاعدة الفراغ والتجاوز فی جمیع أبواب الفقه</w:t>
            </w:r>
            <w:r>
              <w:rPr>
                <w:rStyle w:val="IndexLink"/>
                <w:rtl w:val="true"/>
              </w:rPr>
              <w:t>:</w:t>
              <w:tab/>
            </w:r>
            <w:r>
              <w:rPr>
                <w:rStyle w:val="IndexLink"/>
              </w:rPr>
              <w:t>138</w:t>
            </w:r>
          </w:hyperlink>
        </w:p>
        <w:p>
          <w:pPr>
            <w:pStyle w:val="Contents2"/>
            <w:tabs>
              <w:tab w:val="clear" w:pos="8743"/>
              <w:tab w:val="right" w:pos="9026" w:leader="dot"/>
            </w:tabs>
            <w:rPr/>
          </w:pPr>
          <w:hyperlink w:anchor="__RefHeading___Toc80854_2749589250">
            <w:r>
              <w:rPr>
                <w:webHidden/>
                <w:rStyle w:val="IndexLink"/>
                <w:rtl w:val="true"/>
              </w:rPr>
              <w:t>دراسة عموم قاعدة التجاوز</w:t>
            </w:r>
            <w:r>
              <w:rPr>
                <w:rStyle w:val="IndexLink"/>
                <w:rtl w:val="true"/>
              </w:rPr>
              <w:t>:</w:t>
              <w:tab/>
            </w:r>
            <w:r>
              <w:rPr>
                <w:rStyle w:val="IndexLink"/>
              </w:rPr>
              <w:t>145</w:t>
            </w:r>
          </w:hyperlink>
        </w:p>
        <w:p>
          <w:pPr>
            <w:pStyle w:val="Contents2"/>
            <w:tabs>
              <w:tab w:val="clear" w:pos="8743"/>
              <w:tab w:val="right" w:pos="9026" w:leader="dot"/>
            </w:tabs>
            <w:rPr/>
          </w:pPr>
          <w:hyperlink w:anchor="__RefHeading___Toc80856_2749589250">
            <w:r>
              <w:rPr>
                <w:webHidden/>
                <w:rStyle w:val="IndexLink"/>
                <w:rtl w:val="true"/>
              </w:rPr>
              <w:t>البحث فی جریان قاعدة التجاوز فی الطهارات الثلاث</w:t>
            </w:r>
            <w:r>
              <w:rPr>
                <w:rStyle w:val="IndexLink"/>
                <w:rtl w:val="true"/>
              </w:rPr>
              <w:t>:</w:t>
              <w:tab/>
            </w:r>
            <w:r>
              <w:rPr>
                <w:rStyle w:val="IndexLink"/>
              </w:rPr>
              <w:t>148</w:t>
            </w:r>
          </w:hyperlink>
        </w:p>
        <w:p>
          <w:pPr>
            <w:pStyle w:val="Contents2"/>
            <w:tabs>
              <w:tab w:val="clear" w:pos="8743"/>
              <w:tab w:val="right" w:pos="9026" w:leader="dot"/>
            </w:tabs>
            <w:rPr/>
          </w:pPr>
          <w:hyperlink w:anchor="__RefHeading___Toc80858_2749589250">
            <w:r>
              <w:rPr>
                <w:webHidden/>
                <w:rStyle w:val="IndexLink"/>
                <w:rtl w:val="true"/>
              </w:rPr>
              <w:t>عدم جریان قاعدة التجاوز فی الوضوء</w:t>
            </w:r>
            <w:r>
              <w:rPr>
                <w:rStyle w:val="IndexLink"/>
                <w:rtl w:val="true"/>
              </w:rPr>
              <w:t>:</w:t>
              <w:tab/>
            </w:r>
            <w:r>
              <w:rPr>
                <w:rStyle w:val="IndexLink"/>
              </w:rPr>
              <w:t>149</w:t>
            </w:r>
          </w:hyperlink>
        </w:p>
        <w:p>
          <w:pPr>
            <w:pStyle w:val="Contents3"/>
            <w:tabs>
              <w:tab w:val="clear" w:pos="8459"/>
              <w:tab w:val="right" w:pos="9026" w:leader="dot"/>
            </w:tabs>
            <w:rPr/>
          </w:pPr>
          <w:hyperlink w:anchor="__RefHeading___Toc80860_274958925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80862_2749589250">
            <w:r>
              <w:rPr>
                <w:webHidden/>
                <w:rStyle w:val="IndexLink"/>
                <w:rtl w:val="true"/>
              </w:rPr>
              <w:t>إشکالات المحقق العراقی علی مسلک الشیخ الأنصاری</w:t>
            </w:r>
            <w:r>
              <w:rPr>
                <w:rStyle w:val="IndexLink"/>
                <w:rtl w:val="true"/>
              </w:rPr>
              <w:t>:</w:t>
              <w:tab/>
            </w:r>
            <w:r>
              <w:rPr>
                <w:rStyle w:val="IndexLink"/>
              </w:rPr>
              <w:t>152</w:t>
            </w:r>
          </w:hyperlink>
        </w:p>
        <w:p>
          <w:pPr>
            <w:pStyle w:val="Contents3"/>
            <w:tabs>
              <w:tab w:val="clear" w:pos="8459"/>
              <w:tab w:val="right" w:pos="9026" w:leader="dot"/>
            </w:tabs>
            <w:rPr/>
          </w:pPr>
          <w:hyperlink w:anchor="__RefHeading___Toc80864_2749589250">
            <w:r>
              <w:rPr>
                <w:webHidden/>
                <w:rStyle w:val="IndexLink"/>
                <w:rtl w:val="true"/>
              </w:rPr>
              <w:t>إشکالات نظریة المحقق العراقی</w:t>
            </w:r>
            <w:r>
              <w:rPr>
                <w:rStyle w:val="IndexLink"/>
                <w:rtl w:val="true"/>
              </w:rPr>
              <w:t>:</w:t>
              <w:tab/>
            </w:r>
            <w:r>
              <w:rPr>
                <w:rStyle w:val="IndexLink"/>
              </w:rPr>
              <w:t>153</w:t>
            </w:r>
          </w:hyperlink>
        </w:p>
        <w:p>
          <w:pPr>
            <w:pStyle w:val="Contents2"/>
            <w:tabs>
              <w:tab w:val="clear" w:pos="8743"/>
              <w:tab w:val="right" w:pos="9026" w:leader="dot"/>
            </w:tabs>
            <w:rPr/>
          </w:pPr>
          <w:hyperlink w:anchor="__RefHeading___Toc80866_2749589250">
            <w:r>
              <w:rPr>
                <w:webHidden/>
                <w:rStyle w:val="IndexLink"/>
                <w:rtl w:val="true"/>
              </w:rPr>
              <w:t>دراسة الوجوه الأخری للجمع بین الصحیحة والموثّقة</w:t>
            </w:r>
            <w:r>
              <w:rPr>
                <w:rStyle w:val="IndexLink"/>
                <w:rtl w:val="true"/>
              </w:rPr>
              <w:t>:</w:t>
              <w:tab/>
            </w:r>
            <w:r>
              <w:rPr>
                <w:rStyle w:val="IndexLink"/>
              </w:rPr>
              <w:t>154</w:t>
            </w:r>
          </w:hyperlink>
        </w:p>
        <w:p>
          <w:pPr>
            <w:pStyle w:val="Contents2"/>
            <w:tabs>
              <w:tab w:val="clear" w:pos="8743"/>
              <w:tab w:val="right" w:pos="9026" w:leader="dot"/>
            </w:tabs>
            <w:rPr/>
          </w:pPr>
          <w:hyperlink w:anchor="__RefHeading___Toc80868_2749589250">
            <w:r>
              <w:rPr>
                <w:webHidden/>
                <w:rStyle w:val="IndexLink"/>
                <w:rtl w:val="true"/>
              </w:rPr>
              <w:t>الإشکالات علی الوجه الخامس</w:t>
            </w:r>
            <w:r>
              <w:rPr>
                <w:rStyle w:val="IndexLink"/>
                <w:rtl w:val="true"/>
              </w:rPr>
              <w:tab/>
            </w:r>
            <w:r>
              <w:rPr>
                <w:rStyle w:val="IndexLink"/>
              </w:rPr>
              <w:t>158</w:t>
            </w:r>
          </w:hyperlink>
        </w:p>
        <w:p>
          <w:pPr>
            <w:pStyle w:val="Contents2"/>
            <w:tabs>
              <w:tab w:val="clear" w:pos="8743"/>
              <w:tab w:val="right" w:pos="9026" w:leader="dot"/>
            </w:tabs>
            <w:rPr/>
          </w:pPr>
          <w:hyperlink w:anchor="__RefHeading___Toc80870_2749589250">
            <w:r>
              <w:rPr>
                <w:webHidden/>
                <w:rStyle w:val="IndexLink"/>
                <w:rtl w:val="true"/>
              </w:rPr>
              <w:t>بحث حول جریان قاعدة التجاوز فی الغُسل والتیمّم</w:t>
            </w:r>
            <w:r>
              <w:rPr>
                <w:rStyle w:val="IndexLink"/>
                <w:rtl w:val="true"/>
              </w:rPr>
              <w:t>:</w:t>
              <w:tab/>
            </w:r>
            <w:r>
              <w:rPr>
                <w:rStyle w:val="IndexLink"/>
              </w:rPr>
              <w:t>161</w:t>
            </w:r>
          </w:hyperlink>
        </w:p>
        <w:p>
          <w:pPr>
            <w:pStyle w:val="Contents2"/>
            <w:tabs>
              <w:tab w:val="clear" w:pos="8743"/>
              <w:tab w:val="right" w:pos="9026" w:leader="dot"/>
            </w:tabs>
            <w:rPr/>
          </w:pPr>
          <w:hyperlink w:anchor="__RefHeading___Toc80872_2749589250">
            <w:r>
              <w:rPr>
                <w:webHidden/>
                <w:rStyle w:val="IndexLink"/>
                <w:rtl w:val="true"/>
              </w:rPr>
              <w:t>المؤیّد لجریان قاعدة التجاوز فی الغُسل</w:t>
            </w:r>
            <w:r>
              <w:rPr>
                <w:rStyle w:val="IndexLink"/>
                <w:rtl w:val="true"/>
              </w:rPr>
              <w:t>:</w:t>
              <w:tab/>
            </w:r>
            <w:r>
              <w:rPr>
                <w:rStyle w:val="IndexLink"/>
              </w:rPr>
              <w:t>166</w:t>
            </w:r>
          </w:hyperlink>
        </w:p>
        <w:p>
          <w:pPr>
            <w:pStyle w:val="Contents2"/>
            <w:tabs>
              <w:tab w:val="clear" w:pos="8743"/>
              <w:tab w:val="right" w:pos="9026" w:leader="dot"/>
            </w:tabs>
            <w:rPr/>
          </w:pPr>
          <w:hyperlink w:anchor="__RefHeading___Toc80874_2749589250">
            <w:r>
              <w:rPr>
                <w:webHidden/>
                <w:rStyle w:val="IndexLink"/>
                <w:rtl w:val="true"/>
              </w:rPr>
              <w:t>بحث جریان قاعدة التجاوز فی جزء الجزء</w:t>
            </w:r>
            <w:r>
              <w:rPr>
                <w:rStyle w:val="IndexLink"/>
                <w:rtl w:val="true"/>
              </w:rPr>
              <w:t>:</w:t>
              <w:tab/>
            </w:r>
            <w:r>
              <w:rPr>
                <w:rStyle w:val="IndexLink"/>
              </w:rPr>
              <w:t>167</w:t>
            </w:r>
          </w:hyperlink>
        </w:p>
        <w:p>
          <w:pPr>
            <w:pStyle w:val="Contents3"/>
            <w:tabs>
              <w:tab w:val="clear" w:pos="8459"/>
              <w:tab w:val="right" w:pos="9026" w:leader="dot"/>
            </w:tabs>
            <w:rPr/>
          </w:pPr>
          <w:hyperlink w:anchor="__RefHeading___Toc80876_2749589250">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80878_2749589250">
            <w:r>
              <w:rPr>
                <w:webHidden/>
                <w:rStyle w:val="IndexLink"/>
                <w:rtl w:val="true"/>
              </w:rPr>
              <w:t>نظریة المحقق النائینی</w:t>
            </w:r>
            <w:r>
              <w:rPr>
                <w:rStyle w:val="IndexLink"/>
                <w:rtl w:val="true"/>
              </w:rPr>
              <w:t>:</w:t>
              <w:tab/>
            </w:r>
            <w:r>
              <w:rPr>
                <w:rStyle w:val="IndexLink"/>
              </w:rPr>
              <w:t>167</w:t>
            </w:r>
          </w:hyperlink>
        </w:p>
        <w:p>
          <w:pPr>
            <w:pStyle w:val="Contents3"/>
            <w:tabs>
              <w:tab w:val="clear" w:pos="8459"/>
              <w:tab w:val="right" w:pos="9026" w:leader="dot"/>
            </w:tabs>
            <w:rPr/>
          </w:pPr>
          <w:hyperlink w:anchor="__RefHeading___Toc80880_2749589250">
            <w:r>
              <w:rPr>
                <w:webHidden/>
                <w:rStyle w:val="IndexLink"/>
                <w:rtl w:val="true"/>
              </w:rPr>
              <w:t>نظریة المحقق الأصفهانی</w:t>
            </w:r>
            <w:r>
              <w:rPr>
                <w:rStyle w:val="IndexLink"/>
                <w:rtl w:val="true"/>
              </w:rPr>
              <w:t>:</w:t>
              <w:tab/>
            </w:r>
            <w:r>
              <w:rPr>
                <w:rStyle w:val="IndexLink"/>
              </w:rPr>
              <w:t>169</w:t>
            </w:r>
          </w:hyperlink>
        </w:p>
        <w:p>
          <w:pPr>
            <w:pStyle w:val="Contents2"/>
            <w:tabs>
              <w:tab w:val="clear" w:pos="8743"/>
              <w:tab w:val="right" w:pos="9026" w:leader="dot"/>
            </w:tabs>
            <w:rPr/>
          </w:pPr>
          <w:hyperlink w:anchor="__RefHeading___Toc80882_2749589250">
            <w:r>
              <w:rPr>
                <w:webHidden/>
                <w:rStyle w:val="IndexLink"/>
                <w:rtl w:val="true"/>
              </w:rPr>
              <w:t>جریان قاعدة الفراغ والتجاوز فی الجزء الأخیر من المرکّب</w:t>
            </w:r>
            <w:r>
              <w:rPr>
                <w:rStyle w:val="IndexLink"/>
                <w:rtl w:val="true"/>
              </w:rPr>
              <w:tab/>
            </w:r>
            <w:r>
              <w:rPr>
                <w:rStyle w:val="IndexLink"/>
              </w:rPr>
              <w:t>170</w:t>
            </w:r>
          </w:hyperlink>
        </w:p>
        <w:p>
          <w:pPr>
            <w:pStyle w:val="Contents2"/>
            <w:tabs>
              <w:tab w:val="clear" w:pos="8743"/>
              <w:tab w:val="right" w:pos="9026" w:leader="dot"/>
            </w:tabs>
            <w:rPr/>
          </w:pPr>
          <w:hyperlink w:anchor="__RefHeading___Toc80884_2749589250">
            <w:r>
              <w:rPr>
                <w:webHidden/>
                <w:rStyle w:val="IndexLink"/>
                <w:rtl w:val="true"/>
              </w:rPr>
              <w:t>وقد أورد المحقق الخوئی أیضاً إشکالین علی رأی أستاذه هنا</w:t>
            </w:r>
            <w:r>
              <w:rPr>
                <w:rStyle w:val="IndexLink"/>
                <w:rtl w:val="true"/>
              </w:rPr>
              <w:t>:</w:t>
              <w:tab/>
            </w:r>
            <w:r>
              <w:rPr>
                <w:rStyle w:val="IndexLink"/>
              </w:rPr>
              <w:t>174</w:t>
            </w:r>
          </w:hyperlink>
        </w:p>
        <w:p>
          <w:pPr>
            <w:pStyle w:val="Contents2"/>
            <w:tabs>
              <w:tab w:val="clear" w:pos="8743"/>
              <w:tab w:val="right" w:pos="9026" w:leader="dot"/>
            </w:tabs>
            <w:rPr/>
          </w:pPr>
          <w:hyperlink w:anchor="__RefHeading___Toc80886_2749589250">
            <w:r>
              <w:rPr>
                <w:webHidden/>
                <w:rStyle w:val="IndexLink"/>
                <w:rtl w:val="true"/>
              </w:rPr>
              <w:t>تحلیل نظریة صاحب منتقی الأصول</w:t>
            </w:r>
            <w:r>
              <w:rPr>
                <w:rStyle w:val="IndexLink"/>
                <w:rtl w:val="true"/>
              </w:rPr>
              <w:t>:</w:t>
              <w:tab/>
            </w:r>
            <w:r>
              <w:rPr>
                <w:rStyle w:val="IndexLink"/>
              </w:rPr>
              <w:t>180</w:t>
            </w:r>
          </w:hyperlink>
        </w:p>
        <w:p>
          <w:pPr>
            <w:pStyle w:val="Contents3"/>
            <w:tabs>
              <w:tab w:val="clear" w:pos="8459"/>
              <w:tab w:val="right" w:pos="9026" w:leader="dot"/>
            </w:tabs>
            <w:rPr/>
          </w:pPr>
          <w:hyperlink w:anchor="__RefHeading___Toc80888_274958925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80890_2749589250">
            <w:r>
              <w:rPr>
                <w:webHidden/>
                <w:rStyle w:val="IndexLink"/>
                <w:rtl w:val="true"/>
              </w:rPr>
              <w:t>الإشکالات الواردة علی رأی صاحب منتقی الأصول</w:t>
            </w:r>
            <w:r>
              <w:rPr>
                <w:rStyle w:val="IndexLink"/>
                <w:rtl w:val="true"/>
              </w:rPr>
              <w:t>:</w:t>
              <w:tab/>
            </w:r>
            <w:r>
              <w:rPr>
                <w:rStyle w:val="IndexLink"/>
              </w:rPr>
              <w:t>181</w:t>
            </w:r>
          </w:hyperlink>
        </w:p>
        <w:p>
          <w:pPr>
            <w:pStyle w:val="Contents2"/>
            <w:tabs>
              <w:tab w:val="clear" w:pos="8743"/>
              <w:tab w:val="right" w:pos="9026" w:leader="dot"/>
            </w:tabs>
            <w:rPr/>
          </w:pPr>
          <w:hyperlink w:anchor="__RefHeading___Toc80892_2749589250">
            <w:r>
              <w:rPr>
                <w:webHidden/>
                <w:rStyle w:val="IndexLink"/>
                <w:rtl w:val="true"/>
              </w:rPr>
              <w:t>جریان قاعدة الفراغ والتجاوز عند الشکّ فی صحّة الأجزاء</w:t>
            </w:r>
            <w:r>
              <w:rPr>
                <w:rStyle w:val="IndexLink"/>
                <w:rtl w:val="true"/>
              </w:rPr>
              <w:t>:</w:t>
              <w:tab/>
            </w:r>
            <w:r>
              <w:rPr>
                <w:rStyle w:val="IndexLink"/>
              </w:rPr>
              <w:t>183</w:t>
            </w:r>
          </w:hyperlink>
        </w:p>
        <w:p>
          <w:pPr>
            <w:pStyle w:val="Contents2"/>
            <w:tabs>
              <w:tab w:val="clear" w:pos="8743"/>
              <w:tab w:val="right" w:pos="9026" w:leader="dot"/>
            </w:tabs>
            <w:rPr/>
          </w:pPr>
          <w:hyperlink w:anchor="__RefHeading___Toc80894_2749589250">
            <w:r>
              <w:rPr>
                <w:webHidden/>
                <w:rStyle w:val="IndexLink"/>
                <w:rtl w:val="true"/>
              </w:rPr>
              <w:t>ما المراد من المحلّ فی قاعدة التجاوز؟</w:t>
            </w:r>
            <w:r>
              <w:rPr>
                <w:rStyle w:val="IndexLink"/>
                <w:rtl w:val="true"/>
              </w:rPr>
              <w:tab/>
            </w:r>
            <w:r>
              <w:rPr>
                <w:rStyle w:val="IndexLink"/>
              </w:rPr>
              <w:t>186</w:t>
            </w:r>
          </w:hyperlink>
        </w:p>
        <w:p>
          <w:pPr>
            <w:pStyle w:val="Contents2"/>
            <w:tabs>
              <w:tab w:val="clear" w:pos="8743"/>
              <w:tab w:val="right" w:pos="9026" w:leader="dot"/>
            </w:tabs>
            <w:rPr/>
          </w:pPr>
          <w:hyperlink w:anchor="__RefHeading___Toc80896_2749589250">
            <w:r>
              <w:rPr>
                <w:webHidden/>
                <w:rStyle w:val="IndexLink"/>
                <w:rtl w:val="true"/>
              </w:rPr>
              <w:t>أدلة اختصاص القاعدة بالمحل الشرعی</w:t>
            </w:r>
            <w:r>
              <w:rPr>
                <w:rStyle w:val="IndexLink"/>
                <w:rtl w:val="true"/>
              </w:rPr>
              <w:t>:</w:t>
              <w:tab/>
            </w:r>
            <w:r>
              <w:rPr>
                <w:rStyle w:val="IndexLink"/>
              </w:rPr>
              <w:t>189</w:t>
            </w:r>
          </w:hyperlink>
        </w:p>
        <w:p>
          <w:pPr>
            <w:pStyle w:val="Contents2"/>
            <w:tabs>
              <w:tab w:val="clear" w:pos="8743"/>
              <w:tab w:val="right" w:pos="9026" w:leader="dot"/>
            </w:tabs>
            <w:rPr/>
          </w:pPr>
          <w:hyperlink w:anchor="__RefHeading___Toc80898_2749589250">
            <w:r>
              <w:rPr>
                <w:webHidden/>
                <w:rStyle w:val="IndexLink"/>
                <w:rtl w:val="true"/>
              </w:rPr>
              <w:t>ما المراد بالغیر فی قاعدة التجاوز؟</w:t>
            </w:r>
            <w:r>
              <w:rPr>
                <w:rStyle w:val="IndexLink"/>
                <w:rtl w:val="true"/>
              </w:rPr>
              <w:tab/>
            </w:r>
            <w:r>
              <w:rPr>
                <w:rStyle w:val="IndexLink"/>
              </w:rPr>
              <w:t>190</w:t>
            </w:r>
          </w:hyperlink>
        </w:p>
        <w:p>
          <w:pPr>
            <w:pStyle w:val="Contents2"/>
            <w:tabs>
              <w:tab w:val="clear" w:pos="8743"/>
              <w:tab w:val="right" w:pos="9026" w:leader="dot"/>
            </w:tabs>
            <w:rPr/>
          </w:pPr>
          <w:hyperlink w:anchor="__RefHeading___Toc80900_2749589250">
            <w:r>
              <w:rPr>
                <w:webHidden/>
                <w:rStyle w:val="IndexLink"/>
                <w:rtl w:val="true"/>
              </w:rPr>
              <w:t>بحث اعتبار الدخول فی الغیر فی قاعدة الفراغ والتجاوز</w:t>
            </w:r>
            <w:r>
              <w:rPr>
                <w:rStyle w:val="IndexLink"/>
                <w:rtl w:val="true"/>
              </w:rPr>
              <w:t>:</w:t>
              <w:tab/>
            </w:r>
            <w:r>
              <w:rPr>
                <w:rStyle w:val="IndexLink"/>
              </w:rPr>
              <w:t>196</w:t>
            </w:r>
          </w:hyperlink>
        </w:p>
        <w:p>
          <w:pPr>
            <w:pStyle w:val="Contents2"/>
            <w:tabs>
              <w:tab w:val="clear" w:pos="8743"/>
              <w:tab w:val="right" w:pos="9026" w:leader="dot"/>
            </w:tabs>
            <w:rPr/>
          </w:pPr>
          <w:hyperlink w:anchor="__RefHeading___Toc80902_2749589250">
            <w:r>
              <w:rPr>
                <w:webHidden/>
                <w:rStyle w:val="IndexLink"/>
                <w:rtl w:val="true"/>
              </w:rPr>
              <w:t>بحث اعتبار الدخول فی الغیر فی مجری قاعدة التجاوز</w:t>
            </w:r>
            <w:r>
              <w:rPr>
                <w:rStyle w:val="IndexLink"/>
                <w:rtl w:val="true"/>
              </w:rPr>
              <w:t>:</w:t>
              <w:tab/>
            </w:r>
            <w:r>
              <w:rPr>
                <w:rStyle w:val="IndexLink"/>
              </w:rPr>
              <w:t>197</w:t>
            </w:r>
          </w:hyperlink>
        </w:p>
        <w:p>
          <w:pPr>
            <w:pStyle w:val="Contents2"/>
            <w:tabs>
              <w:tab w:val="clear" w:pos="8743"/>
              <w:tab w:val="right" w:pos="9026" w:leader="dot"/>
            </w:tabs>
            <w:rPr/>
          </w:pPr>
          <w:hyperlink w:anchor="__RefHeading___Toc80904_2749589250">
            <w:r>
              <w:rPr>
                <w:webHidden/>
                <w:rStyle w:val="IndexLink"/>
                <w:rtl w:val="true"/>
              </w:rPr>
              <w:t>هل الدخول فی الغیر شرط شرعی أو عقلی؟</w:t>
            </w:r>
            <w:r>
              <w:rPr>
                <w:rStyle w:val="IndexLink"/>
                <w:rtl w:val="true"/>
              </w:rPr>
              <w:tab/>
            </w:r>
            <w:r>
              <w:rPr>
                <w:rStyle w:val="IndexLink"/>
              </w:rPr>
              <w:t>199</w:t>
            </w:r>
          </w:hyperlink>
        </w:p>
        <w:p>
          <w:pPr>
            <w:pStyle w:val="Contents2"/>
            <w:tabs>
              <w:tab w:val="clear" w:pos="8743"/>
              <w:tab w:val="right" w:pos="9026" w:leader="dot"/>
            </w:tabs>
            <w:rPr/>
          </w:pPr>
          <w:hyperlink w:anchor="__RefHeading___Toc80906_2749589250">
            <w:r>
              <w:rPr>
                <w:webHidden/>
                <w:rStyle w:val="IndexLink"/>
                <w:rtl w:val="true"/>
              </w:rPr>
              <w:t>البحث فی اعتبار الدخول فی الغیر فی مجری قاعدة الفراغ</w:t>
            </w:r>
            <w:r>
              <w:rPr>
                <w:rStyle w:val="IndexLink"/>
                <w:rtl w:val="true"/>
              </w:rPr>
              <w:t>:</w:t>
              <w:tab/>
            </w:r>
            <w:r>
              <w:rPr>
                <w:rStyle w:val="IndexLink"/>
              </w:rPr>
              <w:t>199</w:t>
            </w:r>
          </w:hyperlink>
        </w:p>
        <w:p>
          <w:pPr>
            <w:pStyle w:val="Contents3"/>
            <w:tabs>
              <w:tab w:val="clear" w:pos="8459"/>
              <w:tab w:val="right" w:pos="9026" w:leader="dot"/>
            </w:tabs>
            <w:rPr/>
          </w:pPr>
          <w:hyperlink w:anchor="__RefHeading___Toc80908_274958925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80910_2749589250">
            <w:r>
              <w:rPr>
                <w:webHidden/>
                <w:rStyle w:val="IndexLink"/>
                <w:rtl w:val="true"/>
              </w:rPr>
              <w:t>الإشکال علی رأی المحقّق الخوئی والمحقق الحائری</w:t>
            </w:r>
            <w:r>
              <w:rPr>
                <w:rStyle w:val="IndexLink"/>
                <w:rtl w:val="true"/>
              </w:rPr>
              <w:t>:</w:t>
              <w:tab/>
            </w:r>
            <w:r>
              <w:rPr>
                <w:rStyle w:val="IndexLink"/>
              </w:rPr>
              <w:t>208</w:t>
            </w:r>
          </w:hyperlink>
        </w:p>
        <w:p>
          <w:pPr>
            <w:pStyle w:val="Contents2"/>
            <w:tabs>
              <w:tab w:val="clear" w:pos="8743"/>
              <w:tab w:val="right" w:pos="9026" w:leader="dot"/>
            </w:tabs>
            <w:rPr/>
          </w:pPr>
          <w:hyperlink w:anchor="__RefHeading___Toc80912_2749589250">
            <w:r>
              <w:rPr>
                <w:webHidden/>
                <w:rStyle w:val="IndexLink"/>
                <w:rtl w:val="true"/>
              </w:rPr>
              <w:t>مناقشة رأی المحقّق الحائری</w:t>
            </w:r>
            <w:r>
              <w:rPr>
                <w:rStyle w:val="IndexLink"/>
                <w:rtl w:val="true"/>
              </w:rPr>
              <w:t>:</w:t>
              <w:tab/>
            </w:r>
            <w:r>
              <w:rPr>
                <w:rStyle w:val="IndexLink"/>
              </w:rPr>
              <w:t>209</w:t>
            </w:r>
          </w:hyperlink>
        </w:p>
        <w:p>
          <w:pPr>
            <w:pStyle w:val="Contents2"/>
            <w:tabs>
              <w:tab w:val="clear" w:pos="8743"/>
              <w:tab w:val="right" w:pos="9026" w:leader="dot"/>
            </w:tabs>
            <w:rPr/>
          </w:pPr>
          <w:hyperlink w:anchor="__RefHeading___Toc80914_2749589250">
            <w:r>
              <w:rPr>
                <w:webHidden/>
                <w:rStyle w:val="IndexLink"/>
                <w:rtl w:val="true"/>
              </w:rPr>
              <w:t>جریان قاعدة التجاوز والفراغ فی الشکّ فی الشروط</w:t>
            </w:r>
            <w:r>
              <w:rPr>
                <w:rStyle w:val="IndexLink"/>
                <w:rtl w:val="true"/>
              </w:rPr>
              <w:t>:</w:t>
              <w:tab/>
            </w:r>
            <w:r>
              <w:rPr>
                <w:rStyle w:val="IndexLink"/>
              </w:rPr>
              <w:t>211</w:t>
            </w:r>
          </w:hyperlink>
        </w:p>
        <w:p>
          <w:pPr>
            <w:pStyle w:val="Contents2"/>
            <w:tabs>
              <w:tab w:val="clear" w:pos="8743"/>
              <w:tab w:val="right" w:pos="9026" w:leader="dot"/>
            </w:tabs>
            <w:rPr/>
          </w:pPr>
          <w:hyperlink w:anchor="__RefHeading___Toc80916_2749589250">
            <w:r>
              <w:rPr>
                <w:webHidden/>
                <w:rStyle w:val="IndexLink"/>
                <w:rtl w:val="true"/>
              </w:rPr>
              <w:t>تحلیل الاحتمالات الموجودة فی المسألة</w:t>
            </w:r>
            <w:r>
              <w:rPr>
                <w:rStyle w:val="IndexLink"/>
                <w:rtl w:val="true"/>
              </w:rPr>
              <w:t>:</w:t>
              <w:tab/>
            </w:r>
            <w:r>
              <w:rPr>
                <w:rStyle w:val="IndexLink"/>
              </w:rPr>
              <w:t>211</w:t>
            </w:r>
          </w:hyperlink>
        </w:p>
        <w:p>
          <w:pPr>
            <w:pStyle w:val="Contents2"/>
            <w:tabs>
              <w:tab w:val="clear" w:pos="8743"/>
              <w:tab w:val="right" w:pos="9026" w:leader="dot"/>
            </w:tabs>
            <w:rPr/>
          </w:pPr>
          <w:hyperlink w:anchor="__RefHeading___Toc80918_2749589250">
            <w:r>
              <w:rPr>
                <w:webHidden/>
                <w:rStyle w:val="IndexLink"/>
                <w:rtl w:val="true"/>
              </w:rPr>
              <w:t>دراسة حکم القسم الأول</w:t>
            </w:r>
            <w:r>
              <w:rPr>
                <w:rStyle w:val="IndexLink"/>
                <w:rtl w:val="true"/>
              </w:rPr>
              <w:t>:</w:t>
              <w:tab/>
            </w:r>
            <w:r>
              <w:rPr>
                <w:rStyle w:val="IndexLink"/>
              </w:rPr>
              <w:t>212</w:t>
            </w:r>
          </w:hyperlink>
        </w:p>
        <w:p>
          <w:pPr>
            <w:pStyle w:val="Contents2"/>
            <w:tabs>
              <w:tab w:val="clear" w:pos="8743"/>
              <w:tab w:val="right" w:pos="9026" w:leader="dot"/>
            </w:tabs>
            <w:rPr/>
          </w:pPr>
          <w:hyperlink w:anchor="__RefHeading___Toc80920_2749589250">
            <w:r>
              <w:rPr>
                <w:webHidden/>
                <w:rStyle w:val="IndexLink"/>
                <w:rtl w:val="true"/>
              </w:rPr>
              <w:t>مناقشة نظریة المحقق النائینی</w:t>
            </w:r>
            <w:r>
              <w:rPr>
                <w:rStyle w:val="IndexLink"/>
                <w:rtl w:val="true"/>
              </w:rPr>
              <w:t>:</w:t>
              <w:tab/>
            </w:r>
            <w:r>
              <w:rPr>
                <w:rStyle w:val="IndexLink"/>
              </w:rPr>
              <w:t>215</w:t>
            </w:r>
          </w:hyperlink>
        </w:p>
        <w:p>
          <w:pPr>
            <w:pStyle w:val="Contents2"/>
            <w:tabs>
              <w:tab w:val="clear" w:pos="8743"/>
              <w:tab w:val="right" w:pos="9026" w:leader="dot"/>
            </w:tabs>
            <w:rPr/>
          </w:pPr>
          <w:hyperlink w:anchor="__RefHeading___Toc80922_2749589250">
            <w:r>
              <w:rPr>
                <w:webHidden/>
                <w:rStyle w:val="IndexLink"/>
                <w:rtl w:val="true"/>
              </w:rPr>
              <w:t>بحث نظریة المحقق العراقی</w:t>
            </w:r>
            <w:r>
              <w:rPr>
                <w:rStyle w:val="IndexLink"/>
                <w:rtl w:val="true"/>
              </w:rPr>
              <w:t>:</w:t>
              <w:tab/>
            </w:r>
            <w:r>
              <w:rPr>
                <w:rStyle w:val="IndexLink"/>
              </w:rPr>
              <w:t>217</w:t>
            </w:r>
          </w:hyperlink>
        </w:p>
        <w:p>
          <w:pPr>
            <w:pStyle w:val="Contents3"/>
            <w:tabs>
              <w:tab w:val="clear" w:pos="8459"/>
              <w:tab w:val="right" w:pos="9026" w:leader="dot"/>
            </w:tabs>
            <w:rPr/>
          </w:pPr>
          <w:hyperlink w:anchor="__RefHeading___Toc80924_2749589250">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80926_2749589250">
            <w:r>
              <w:rPr>
                <w:webHidden/>
                <w:rStyle w:val="IndexLink"/>
                <w:rtl w:val="true"/>
              </w:rPr>
              <w:t>الإشکالات علی نظریة المحقق العراقی</w:t>
            </w:r>
            <w:r>
              <w:rPr>
                <w:rStyle w:val="IndexLink"/>
                <w:rtl w:val="true"/>
              </w:rPr>
              <w:t>:</w:t>
              <w:tab/>
            </w:r>
            <w:r>
              <w:rPr>
                <w:rStyle w:val="IndexLink"/>
              </w:rPr>
              <w:t>220</w:t>
            </w:r>
          </w:hyperlink>
        </w:p>
        <w:p>
          <w:pPr>
            <w:pStyle w:val="Contents2"/>
            <w:tabs>
              <w:tab w:val="clear" w:pos="8743"/>
              <w:tab w:val="right" w:pos="9026" w:leader="dot"/>
            </w:tabs>
            <w:rPr/>
          </w:pPr>
          <w:hyperlink w:anchor="__RefHeading___Toc80928_2749589250">
            <w:r>
              <w:rPr>
                <w:webHidden/>
                <w:rStyle w:val="IndexLink"/>
                <w:rtl w:val="true"/>
              </w:rPr>
              <w:t>بحث نظریة صاحب منتقی الأصول</w:t>
            </w:r>
            <w:r>
              <w:rPr>
                <w:rStyle w:val="IndexLink"/>
                <w:rtl w:val="true"/>
              </w:rPr>
              <w:t>:</w:t>
              <w:tab/>
            </w:r>
            <w:r>
              <w:rPr>
                <w:rStyle w:val="IndexLink"/>
              </w:rPr>
              <w:t>224</w:t>
            </w:r>
          </w:hyperlink>
        </w:p>
        <w:p>
          <w:pPr>
            <w:pStyle w:val="Contents3"/>
            <w:tabs>
              <w:tab w:val="clear" w:pos="8459"/>
              <w:tab w:val="right" w:pos="9026" w:leader="dot"/>
            </w:tabs>
            <w:rPr/>
          </w:pPr>
          <w:hyperlink w:anchor="__RefHeading___Toc80930_2749589250">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80932_2749589250">
            <w:r>
              <w:rPr>
                <w:webHidden/>
                <w:rStyle w:val="IndexLink"/>
                <w:rtl w:val="true"/>
              </w:rPr>
              <w:t>الإشکالات علی نظریة صاحب منتقی الأصول</w:t>
            </w:r>
            <w:r>
              <w:rPr>
                <w:rStyle w:val="IndexLink"/>
                <w:rtl w:val="true"/>
              </w:rPr>
              <w:t>:</w:t>
              <w:tab/>
            </w:r>
            <w:r>
              <w:rPr>
                <w:rStyle w:val="IndexLink"/>
              </w:rPr>
              <w:t>225</w:t>
            </w:r>
          </w:hyperlink>
        </w:p>
        <w:p>
          <w:pPr>
            <w:pStyle w:val="Contents2"/>
            <w:tabs>
              <w:tab w:val="clear" w:pos="8743"/>
              <w:tab w:val="right" w:pos="9026" w:leader="dot"/>
            </w:tabs>
            <w:rPr/>
          </w:pPr>
          <w:hyperlink w:anchor="__RefHeading___Toc80934_2749589250">
            <w:r>
              <w:rPr>
                <w:webHidden/>
                <w:rStyle w:val="IndexLink"/>
                <w:rtl w:val="true"/>
              </w:rPr>
              <w:t>هل أنّ لزوم المضیّ وعدم الاعتناء بالشک فی قاعدة التجاوز رخصة أم عزیمة؟</w:t>
            </w:r>
            <w:r>
              <w:rPr>
                <w:rStyle w:val="IndexLink"/>
                <w:rtl w:val="true"/>
              </w:rPr>
              <w:tab/>
            </w:r>
            <w:r>
              <w:rPr>
                <w:rStyle w:val="IndexLink"/>
              </w:rPr>
              <w:t>231</w:t>
            </w:r>
          </w:hyperlink>
        </w:p>
        <w:p>
          <w:pPr>
            <w:pStyle w:val="Contents2"/>
            <w:tabs>
              <w:tab w:val="clear" w:pos="8743"/>
              <w:tab w:val="right" w:pos="9026" w:leader="dot"/>
            </w:tabs>
            <w:rPr/>
          </w:pPr>
          <w:hyperlink w:anchor="__RefHeading___Toc80936_2749589250">
            <w:r>
              <w:rPr>
                <w:webHidden/>
                <w:rStyle w:val="IndexLink"/>
                <w:rtl w:val="true"/>
              </w:rPr>
              <w:t>بحث نظریة المحقّق العراقی</w:t>
            </w:r>
            <w:r>
              <w:rPr>
                <w:rStyle w:val="IndexLink"/>
                <w:rtl w:val="true"/>
              </w:rPr>
              <w:t>:</w:t>
              <w:tab/>
            </w:r>
            <w:r>
              <w:rPr>
                <w:rStyle w:val="IndexLink"/>
              </w:rPr>
              <w:t>232</w:t>
            </w:r>
          </w:hyperlink>
        </w:p>
        <w:p>
          <w:pPr>
            <w:pStyle w:val="Contents2"/>
            <w:tabs>
              <w:tab w:val="clear" w:pos="8743"/>
              <w:tab w:val="right" w:pos="9026" w:leader="dot"/>
            </w:tabs>
            <w:rPr/>
          </w:pPr>
          <w:hyperlink w:anchor="__RefHeading___Toc80938_2749589250">
            <w:r>
              <w:rPr>
                <w:webHidden/>
                <w:rStyle w:val="IndexLink"/>
                <w:rtl w:val="true"/>
              </w:rPr>
              <w:t>إشکال صاحب منتقی الأصول علی نظریة المحقّق العراقی</w:t>
            </w:r>
            <w:r>
              <w:rPr>
                <w:rStyle w:val="IndexLink"/>
                <w:rtl w:val="true"/>
              </w:rPr>
              <w:t>:</w:t>
              <w:tab/>
            </w:r>
            <w:r>
              <w:rPr>
                <w:rStyle w:val="IndexLink"/>
              </w:rPr>
              <w:t>233</w:t>
            </w:r>
          </w:hyperlink>
        </w:p>
        <w:p>
          <w:pPr>
            <w:pStyle w:val="Contents2"/>
            <w:tabs>
              <w:tab w:val="clear" w:pos="8743"/>
              <w:tab w:val="right" w:pos="9026" w:leader="dot"/>
            </w:tabs>
            <w:rPr/>
          </w:pPr>
          <w:hyperlink w:anchor="__RefHeading___Toc80940_2749589250">
            <w:r>
              <w:rPr>
                <w:webHidden/>
                <w:rStyle w:val="IndexLink"/>
                <w:rtl w:val="true"/>
              </w:rPr>
              <w:t>مناقشة إشکالات صاحب المنتقی</w:t>
            </w:r>
            <w:r>
              <w:rPr>
                <w:rStyle w:val="IndexLink"/>
                <w:rtl w:val="true"/>
              </w:rPr>
              <w:t>:</w:t>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35_29112"/>
      <w:bookmarkStart w:id="1" w:name="pg2935_29112"/>
      <w:bookmarkEnd w:id="1"/>
    </w:p>
    <w:p>
      <w:pPr>
        <w:pStyle w:val="Heading2"/>
        <w:numPr>
          <w:ilvl w:val="1"/>
          <w:numId w:val="1"/>
        </w:numPr>
        <w:rPr/>
      </w:pPr>
      <w:bookmarkStart w:id="2" w:name="pg2935_29112"/>
      <w:bookmarkStart w:id="3" w:name="__RefHeading___Toc80644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الفراغ و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الشیخ محمد جعفر الطبسی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علیهم‌السلام،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646_2749589250"/>
      <w:bookmarkStart w:id="6" w:name="_Toc2"/>
      <w:bookmarkEnd w:id="5"/>
      <w:r>
        <w:rPr>
          <w:rtl w:val="true"/>
        </w:rPr>
        <w:t>اشارة</w:t>
      </w:r>
      <w:bookmarkStart w:id="7" w:name="pg2935_29116"/>
      <w:bookmarkEnd w:id="6"/>
    </w:p>
    <w:p>
      <w:pPr>
        <w:pStyle w:val="Heading2"/>
        <w:numPr>
          <w:ilvl w:val="1"/>
          <w:numId w:val="1"/>
        </w:numPr>
        <w:rPr/>
      </w:pPr>
      <w:bookmarkStart w:id="8" w:name="__RefHeading___Toc80648_2749589250"/>
      <w:bookmarkStart w:id="9" w:name="_Toc3"/>
      <w:bookmarkEnd w:id="7"/>
      <w:bookmarkEnd w:id="8"/>
      <w:r>
        <w:rPr>
          <w:rtl w:val="true"/>
        </w:rPr>
        <w:t>المدخل</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والصلاة والسلام علی خیر خلقه وأشرف بریّته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أهل بیته الطیبین الطاهرین سیّما بقیة الله فی الأرضین الحجة بن الحسن العسکری أرواح العالمین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لباحث أن یشکّ فی أهمّیة علم الفقه ودوره البنّاء فی حیاة المجتمع، ولا شکّ أیضاً فی أهمّیة القواعد الفقهیة وهی التی تشکلّ کلّیّات فی الفقه ویطبّقها الفقیه والمجتهد علی الجزئیات، وللأسف الشدید لم یتناولها الفقهاء المتقدمین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والقاعدة فی إصطلاح اللغویین قد وضعت لما هو الأساس للشی‌ء من دون فرق بین کونه مادّیاً أو معنویّاً بحیث إنعدامه واضمحلاله یسبب انتفائه فیمثّل لذلک البیت فإنّه ینعدم بانعدام أساسه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الأُسّ،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الإساس، وقواعد البیت إساسه، وفی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 مِنَ الْبَیْتِ وَإِسْمَاعِیلُ</w:t>
      </w:r>
      <w:r>
        <w:rPr>
          <w:rFonts w:eastAsia="Amiri" w:cs="Amiri" w:ascii="Amiri" w:hAnsi="Amiri"/>
          <w:color w:val="111111"/>
          <w:sz w:val="28"/>
          <w:szCs w:val="28"/>
          <w:rtl w:val="true"/>
          <w:lang w:bidi="ar-SA"/>
        </w:rPr>
        <w:t>).</w:t>
      </w:r>
      <w:r>
        <w:rPr>
          <w:rStyle w:val="FootnoteAnchor"/>
          <w:rtl w:val="true"/>
        </w:rPr>
        <w:footnoteReference w:id="2"/>
      </w:r>
      <w:bookmarkStart w:id="10" w:name="pg2935_29117"/>
    </w:p>
    <w:p>
      <w:pPr>
        <w:pStyle w:val="BookText"/>
        <w:rPr/>
      </w:pPr>
      <w:bookmarkEnd w:id="10"/>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أساطین البناء التی تعمده، وقواعد الهودج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خشبات أربع معترضة فی أسفله ترکّب عیدان الهودج فیها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تعریف القاعدة اصطلاحاً فهی عبارة عن قضیة کلّیّة تنطبق علی جمیع جزئیاتها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التهانوی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تُطلَق علی معان مرادف الأصل، والقانون، والمسألة، والضابطة، والمقصد، وعرّفت بأنّها أمر کلّی منطبق علی جمیع جزئیاته عند تعرف أحکامها منه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ویشترط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بنحو القضیّة الکلّیة کما سبق، ولکن لا یشترط أن تکون أساساً للعلم بحیث ینتفی بانتفائها، فمثلًا لو انتفت قاعدة واحدة من قواعد الفقه لم ینتف العلم بانتفائها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أمور مهمّة کلّها ترتبط بالبحث حول القواعد الفقهیة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المراد من القاعدة الفقهیة وهل یشترط فی اعتبارها الکلّیّة، وکذلک الفرق بین القاعدة الفقهیة والضابط الفقهی بمعنی أنّها لا تختصّ بباب من الأبواب الفقهیة بخلاف الضابط، أو الفرق بین القاعدة الفقهیة والنظریة الفقهیة وغیر ذلک من المباحث العلمیة التی لسنا الآن بصدد بیان ذلک</w:t>
      </w:r>
      <w:r>
        <w:rPr>
          <w:rFonts w:eastAsia="IRNazanin" w:cs="IRNazanin"/>
          <w:color w:val="111111"/>
          <w:sz w:val="28"/>
          <w:szCs w:val="28"/>
          <w:rtl w:val="true"/>
          <w:lang w:bidi="fa-IR"/>
        </w:rPr>
        <w:t>.</w:t>
      </w:r>
    </w:p>
    <w:p>
      <w:pPr>
        <w:pStyle w:val="Heading2"/>
        <w:numPr>
          <w:ilvl w:val="1"/>
          <w:numId w:val="1"/>
        </w:numPr>
        <w:rPr/>
      </w:pPr>
      <w:bookmarkStart w:id="11" w:name="__RefHeading___Toc80650_2749589250"/>
      <w:bookmarkStart w:id="12" w:name="_Toc4"/>
      <w:bookmarkEnd w:id="11"/>
      <w:r>
        <w:rPr>
          <w:rtl w:val="true"/>
        </w:rPr>
        <w:t>تاریخ کتابة القواعد الفقهیة</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المباحث المطروحة فی مبحث القواعد الفقهیة عبارة عن تاریخ کتابة ذلک عند العلماء والفقهاء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أهل السنّة لعل ذلک یرجع إلی القرن الرابع الهجری، ویدّل علیه وجود بعض المؤلّفات التی کتبت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کتاب القواعد الفقهیة عند الحنفیین من أهل السنّة أول کتاب جُمعت فیه بعض القواعد الفقهیة فقد جمع مؤلّفه أبو طاهر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الحنفیة فی بلاد ما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قاعدة فقهیة علی مذهب أبی حنیفة فکان القرن الرابع بدایة تدوین القواعد الفقهیة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الوسط الشیعی فیعتبر کتاب القواعد والفوائد للشهید الأوّل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کتاب دوَّن فیه القواعد الفقهیة وفقاً لمذهب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إرجاع سبب سبق السنّة فی تدوین القواعد إلی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فقههم حیث قطعت الرابطة بینهم وبین کلام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رحیل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الطبیعی أنّ ذلک الانفصال یجعل الفقه یتبلّور ضمن ضوابط معیّنة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إستخدامهم لأدوات خاصّة بهم فی عملیة الاستنباط الفقهی کالقیاس والاستحسان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بأنّ الأساس فی تأسیس القواعد الفقهیة لدی الشیعة الإمامیة هو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وضعوا إلیهم أصولًا کلّیة وأمروا الفقهاء بالتفریع علیها، کما ورد فی الحدیث الشریف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الأصول وعلیکم التفریع</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تجدر الإشارة إلیه أنّ ما قام به المرحوم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القیّم مما یرشدنا إلی أهمیّة ما ألّفه فی الباب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لابن 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صنعته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یشتمل علی ضوابط کلّیّة أصولیة وفرعیة تستنبط منها الأحکام الشرعیة، لم یعمل الأصحاب مثله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المنطلق فقد قام فقهائنا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بتدوین وتألیف الکتب التی تتعلّق بالقواعد الفقهیة نشیر إلی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والفوائد، للشهید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الأقطاب الفقهیة علی مذهب الإمامیة، تألیف محمد بن علی بن إبراهیم الأحسائی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الأیام من مهمّات أدلّة الأحکام، تألیف المولی أحمد بن محمد مهدی بن أبی ذر النراقی الکاشانی ت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یشتمل هذا الکتاب القیم علی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عائدة، وکلّ عائدة تُعد قاعدة 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عناوین الأصول، تألیف السید عبد الفتاح بن علی الحسینی المراغی ت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الفقیه، تألیف الشیخ محمد تقی الفقیه المولود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ضمّنه قواعد مهمّة فی الفقه والأصول ومنها قاعدة علی الید وقاعدة تعدد الأیدی وقاعدة لا ضرر وقاعدة لا حرج</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الجعفریة فی قواعد الفقه والأصول، تألیف الشیخ عباس آل کاشف الغطاء ت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الکلّیة الفقهیة، تألیف السید مهدی القزوینی ت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القواعد الفقهیة، تألیف مهدی بن حسین بن عزیز الخالصی الکاظمی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الکتاب فی مجلدین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تألیف الشیخ محمد جعفر شریعتمدار الاسترابادی ت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ترتیب أبواب الفقه یقرب من خمسة عشر ألف بیت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مستقصی القواعد الکلّیة الفقهیة، تألیف المیرزا حبیب الله الرشتی ت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الجعفریة فی قواعد الفقه والأصول، تألیف الشیخ عباس آل کاشف الغطاء بن الشیخ حسن بن الشیخ الأکبر الشیخ جعفر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تألیف السید محمد باقر الیزدی ت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والأصولیة، تألیف ملّا فتح علی اللنکرانی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1339</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الفقهیة، تألیف الشیخ محمدباقر البیدکلّی من أعلام القرن الرابع عشر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بعض القواعد الفقهیة، تألیف المولی الآغا فاضل الدرنبدی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1286</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بحث المؤلف فی هذه الرسالة قاعدة الید والضرر وقاعدة الإحسان وغیرها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13" w:name="pg2935_29121"/>
    </w:p>
    <w:p>
      <w:pPr>
        <w:pStyle w:val="BookText"/>
        <w:rPr/>
      </w:pPr>
      <w:bookmarkEnd w:id="13"/>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لا ضرر وقاعدة التسامح، تألیف السید المیرزا أبو القاسم الطهرانی، مجلّد واحد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قاعدة لا ضرر، ورسالة فی قاعدة علی الید ما أخذت، تألیف الشیخ ضیاء الدین العراقی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لا ضرر، تألیف الحسن علی بن محمد باقر بن إسماعیل الواعظ الحسینی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الغرویة، تألیف المولی أبوالحسن الشریف بن محمد طاهر بن عبدالحمید بن موسی علی بن محمد بن معتوق الاصفهانی الغروی، فرغ منها سنة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کتاب حسن فیه ما یستفاد من الأحادیث من القواعد الفقهیة والمسائل الأصولیة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للفقید الراحل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القواعد الفقهیة الاخری ترکنا ذکرها رعایة الاختصار</w:t>
      </w:r>
      <w:r>
        <w:rPr>
          <w:rFonts w:eastAsia="IRNazanin" w:cs="IRNazanin"/>
          <w:color w:val="111111"/>
          <w:sz w:val="28"/>
          <w:szCs w:val="28"/>
          <w:rtl w:val="true"/>
          <w:lang w:bidi="fa-IR"/>
        </w:rPr>
        <w:t>.</w:t>
      </w:r>
    </w:p>
    <w:p>
      <w:pPr>
        <w:pStyle w:val="Heading2"/>
        <w:numPr>
          <w:ilvl w:val="1"/>
          <w:numId w:val="1"/>
        </w:numPr>
        <w:rPr/>
      </w:pPr>
      <w:bookmarkStart w:id="14" w:name="__RefHeading___Toc80652_2749589250"/>
      <w:bookmarkStart w:id="15" w:name="_Toc5"/>
      <w:bookmarkEnd w:id="14"/>
      <w:r>
        <w:rPr>
          <w:rtl w:val="true"/>
        </w:rPr>
        <w:t>نبذة عن کتابة القواعد الفقهیة عند أهل السنة</w:t>
      </w:r>
      <w:bookmarkEnd w:id="15"/>
    </w:p>
    <w:p>
      <w:pPr>
        <w:pStyle w:val="BookText"/>
        <w:rPr/>
      </w:pPr>
      <w:r>
        <w:rPr>
          <w:rFonts w:ascii="IRNazanin" w:hAnsi="IRNazanin" w:eastAsia="IRNazanin"/>
          <w:color w:val="111111"/>
          <w:sz w:val="28"/>
          <w:sz w:val="28"/>
          <w:szCs w:val="28"/>
          <w:rtl w:val="true"/>
          <w:lang w:bidi="fa-IR"/>
        </w:rPr>
        <w:t>قلنا سابقاً بأنّ أهل السنّة هم السابقین فی کتابة وتألیف وتدوین القواعد الفقهیة وأشرنا إلی سبب ذلک وطبیعة فقههم المبتنی علی أساس الرأی والقیاس یقتضی ذلک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أنّ الشیخ عزّ الدین بن عبد السلام الشافعی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أرجع</w:t>
      </w:r>
      <w:bookmarkStart w:id="16" w:name="pg2935_29122"/>
    </w:p>
    <w:p>
      <w:pPr>
        <w:pStyle w:val="BookText"/>
        <w:rPr/>
      </w:pPr>
      <w:bookmarkEnd w:id="16"/>
      <w:r>
        <w:rPr>
          <w:rFonts w:ascii="IRNazanin" w:hAnsi="IRNazanin" w:eastAsia="IRNazanin"/>
          <w:color w:val="111111"/>
          <w:sz w:val="28"/>
          <w:sz w:val="28"/>
          <w:szCs w:val="28"/>
          <w:rtl w:val="true"/>
          <w:lang w:bidi="fa-IR"/>
        </w:rPr>
        <w:t xml:space="preserve">الفقه کلّه إلی اعتبار المصالح ودرء المفاسد، بل وأرجع تاج الدین السبکّی الفقه کلّه علی نحو الإجمال إلی اعتبار المصالح، فإنّ درء المفاسد من جملتها فعلی ما ذکر عن البعض بأنّ القرن الرابع بدایة تدوین القواعد الفقهیة وتألیف الکتب فیها لدی العامة، وکانت الحنفیّة من السابقین فی هذا المضمار، وبعده بدأ فقهاء سائر المذاهب بتدوین القواعد الفقهیة، وشاع الاهتمام بها، ویطلق علی قرنی السابع والثامن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الذهبیة لتدوین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الاهتمام بهذه القواعد وتدوین الکتب المتعددة فیها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80654_2749589250"/>
      <w:bookmarkStart w:id="18" w:name="_Toc6"/>
      <w:bookmarkEnd w:id="17"/>
      <w:r>
        <w:rPr>
          <w:rtl w:val="true"/>
        </w:rPr>
        <w:t>الکتب المؤلّفة فی القواعد الفقهیة</w:t>
      </w:r>
      <w:bookmarkEnd w:id="18"/>
    </w:p>
    <w:p>
      <w:pPr>
        <w:pStyle w:val="BookText"/>
        <w:rPr/>
      </w:pPr>
      <w:r>
        <w:rPr>
          <w:rFonts w:ascii="IRNazanin" w:hAnsi="IRNazanin" w:eastAsia="IRNazanin"/>
          <w:color w:val="111111"/>
          <w:sz w:val="28"/>
          <w:sz w:val="28"/>
          <w:szCs w:val="28"/>
          <w:rtl w:val="true"/>
          <w:lang w:bidi="fa-IR"/>
        </w:rPr>
        <w:t>الفقه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المذهب الحنفی ولأسباب کمناهجهم الاستنباطیة یعتبر أول مذهب بدأت بکتابة القواعد الفقهیة، وقد اشتهر جمع من فقهائه بتدوین 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الحنفیة فی القرن الثالث الهجری فی بلاد ما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سبعة عشر قاعدة فقهیة علی مذهب أبی حنیفة، وردّ جمیع مذهب أبی حنیفة إلی هذه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حسن بن دلال الکرخی الحنفی، المعروف بأبی الحسن الکرخی ت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الأصول التی علیها مدار فروع الحنفیة أو قواعد الکرخی، وجمع فیه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مطبوع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عبید الله بن عمر بن عیسی الدبوسی القاضی الحنفی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تأسیس النظر فی اختلاف الأئمّة، وفیه أکثر من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مطبوع</w:t>
      </w:r>
    </w:p>
    <w:p>
      <w:pPr>
        <w:pStyle w:val="BookText"/>
        <w:rPr/>
      </w:pPr>
      <w:r>
        <w:rPr>
          <w:rFonts w:ascii="IRNazanin" w:hAnsi="IRNazanin" w:eastAsia="IRNazanin"/>
          <w:color w:val="111111"/>
          <w:sz w:val="28"/>
          <w:sz w:val="28"/>
          <w:szCs w:val="28"/>
          <w:rtl w:val="true"/>
          <w:lang w:bidi="fa-IR"/>
        </w:rPr>
        <w:t>مع قواعد الکرخی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عثمان الغزی الدمشقی، المشهور بشرف الدین الحنفی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القواعد فی 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إبراهیم بن محمد المشهور بابن نُجَیم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الأشباه والنظائر فی الفروع، وکتبت علیه حوالی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وتعلیقة أشهرها غمز عیون البصائر علی محاسن الأشباه والنظائر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الحموی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العقود الحسان فی قواعد مذهب النعمان، وهذا الکتاب مجموعة شعریة أنشدها الحموی، وشرحها بنفسه، وسمّی شرحه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فرائد الدرر والمرجان فی شرح العقود الحسان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إبراهیم بن محمد المصری، المعروف بابن نجیم الحنفی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 الأشباه النظائر،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زین الدین عمر الکفیریّ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الأشباه والنظائر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فقهاء الحنفیین برئاسة أحمد جودت باشا فی ترکیا بعهد السلطان عبد العزیز خان العثمانی، ألّفوا مجلة الأحکام العدلیة التی یحتوی علی </w:t>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و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طبع فی عام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الستار بن عبدالله القریمّی القسطنطین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تشریح القواعد 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نسیب بن حسین، المشهور بابن حمزة الحسینی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البهیة فی القواعد والفوائد الفقهیة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المصطفی الخادمی، المعروف بأبی السعید الخادمی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 المجموع المُذَهّب فی قواعد المذهب، کخاتمة علی کتاب</w:t>
      </w:r>
      <w:bookmarkStart w:id="19" w:name="pg2935_29124"/>
    </w:p>
    <w:p>
      <w:pPr>
        <w:pStyle w:val="BookText"/>
        <w:rPr/>
      </w:pPr>
      <w:bookmarkEnd w:id="19"/>
      <w:r>
        <w:rPr>
          <w:rFonts w:ascii="IRNazanin" w:hAnsi="IRNazanin" w:eastAsia="IRNazanin"/>
          <w:color w:val="111111"/>
          <w:sz w:val="28"/>
          <w:sz w:val="28"/>
          <w:szCs w:val="28"/>
          <w:rtl w:val="true"/>
          <w:lang w:bidi="fa-IR"/>
        </w:rPr>
        <w:t xml:space="preserve">مجامیع الحقایق والقواعد وجوامع الروائق والفوائد فی علم الأصول، وطرح فیه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للمذهب الحنفی علی ترتیب المعجم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القیصری الحنفی، المعروف بکوزی بیوکزاده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مجموعة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الزرقاء الحنفی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شرح 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عمیم الإحسان البنغلادشی، صاحب کتاب قواعد الفقه الذی طبع للمرّة الأوّلی فی بنغلادش</w:t>
      </w:r>
      <w:r>
        <w:rPr>
          <w:rFonts w:eastAsia="IRNazanin" w:cs="IRNazanin"/>
          <w:color w:val="111111"/>
          <w:sz w:val="28"/>
          <w:szCs w:val="28"/>
          <w:rtl w:val="true"/>
          <w:lang w:bidi="fa-IR"/>
        </w:rPr>
        <w:t>.</w:t>
      </w:r>
    </w:p>
    <w:p>
      <w:pPr>
        <w:pStyle w:val="Heading2"/>
        <w:numPr>
          <w:ilvl w:val="1"/>
          <w:numId w:val="1"/>
        </w:numPr>
        <w:rPr/>
      </w:pPr>
      <w:bookmarkStart w:id="20" w:name="__RefHeading___Toc80656_2749589250"/>
      <w:bookmarkStart w:id="21" w:name="_Toc7"/>
      <w:bookmarkEnd w:id="20"/>
      <w:r>
        <w:rPr>
          <w:rtl w:val="true"/>
        </w:rPr>
        <w:t>مؤلفو القواعد الفقهیة فی الفقه المالکی</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أبو العباس، أحمد بن العلاء، إدریس بن عبد الرحمن الصنهاجیّ، المعروف بالقرافیّ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الفروق الذی سماه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أنواء البروق وأنواع الفروق، ودرس فیه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من حیث تفاوتها وتشابهها فی أربعة مجلدات، وعرض فیه أسلوب کتابه قواعد الفقه،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المالکی، صاحب کتاب قواعد الأحکام الشرعیة الذی أتی بالقواعد الفقهیة فیه علی ترتیب الأبواب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أحمد المالکی المقریّ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من طبّ لمن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طبع مجلده الثانی من قبل جامعة 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موسی بن محمد اللّخمی، المشهور بأبی إسحاق الشاطبی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 الموافقات فی أصول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التلمسانی الوِنشَریسیّ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إیضاح المسالک إلی قواعد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ویشتمل علی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غازی العثمانی المکناسیّ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الکلّیات</w:t>
      </w:r>
      <w:bookmarkStart w:id="22" w:name="pg2935_29125"/>
    </w:p>
    <w:p>
      <w:pPr>
        <w:pStyle w:val="BookText"/>
        <w:rPr/>
      </w:pPr>
      <w:bookmarkEnd w:id="22"/>
      <w:r>
        <w:rPr>
          <w:rFonts w:ascii="IRNazanin" w:hAnsi="IRNazanin" w:eastAsia="IRNazanin"/>
          <w:color w:val="111111"/>
          <w:sz w:val="28"/>
          <w:sz w:val="28"/>
          <w:szCs w:val="28"/>
          <w:rtl w:val="true"/>
          <w:lang w:bidi="fa-IR"/>
        </w:rPr>
        <w:t>الفقهیة علی مذهب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 من قِبَل جامعة الزیتونیّة للشریعة وأصول الدین بتونسیّا</w:t>
      </w:r>
      <w:r>
        <w:rPr>
          <w:rFonts w:eastAsia="IRNazanin" w:cs="IRNazanin"/>
          <w:color w:val="111111"/>
          <w:sz w:val="28"/>
          <w:szCs w:val="28"/>
          <w:rtl w:val="true"/>
          <w:lang w:bidi="fa-IR"/>
        </w:rPr>
        <w:t>.</w:t>
      </w:r>
    </w:p>
    <w:p>
      <w:pPr>
        <w:pStyle w:val="Heading2"/>
        <w:numPr>
          <w:ilvl w:val="1"/>
          <w:numId w:val="1"/>
        </w:numPr>
        <w:rPr/>
      </w:pPr>
      <w:bookmarkStart w:id="23" w:name="__RefHeading___Toc80658_2749589250"/>
      <w:bookmarkStart w:id="24" w:name="_Toc8"/>
      <w:bookmarkEnd w:id="23"/>
      <w:r>
        <w:rPr>
          <w:rtl w:val="true"/>
        </w:rPr>
        <w:t>مؤلفو القواعد الفقهیة فی الفقه الشافعی</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أبو حامد، محمد بن إبراهیم الجاجرمیّ السهلکیّ الشافعی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القواعد فی فروع الشافعیة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عز الدین، عبد العزیز بن عبد السلام السلمیّ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قواعد الأحکام فی مصالح الأنام،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عمر المکی، المعروف بابن الوکیل المصریّ الشافعی، وابن المرحل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والنظائر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أبو سعید، خلیل بن الکَیکلّدی الدمشقیّ، المشهور بالعلائیّ الشافعی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 المُذهّب فی قواعد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والنظائر فی فروع فقه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عبد الکافی بن علی بن تمام السبکی، المشهور بتاج الدین السبکی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والنظائر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بهادر بن عبد الله، بدر الدین، محمد الزرکشی المصریّ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المنثور فی ترتیب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فی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علی ترتیب حروف المعجم، وفی أربعة مجلدات بکویت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بن محمد السیوطی، المعروف بجلال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والنظائر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بین هذه الکتب یعتبر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 من أهم ما کُتِب فی هذه الباب، ورتّبه المؤلف فی سبعة کتب، وشرح فی الکتاب الأوّل خمسة</w:t>
      </w:r>
      <w:bookmarkStart w:id="25" w:name="pg2935_29126"/>
    </w:p>
    <w:p>
      <w:pPr>
        <w:pStyle w:val="BookText"/>
        <w:rPr/>
      </w:pPr>
      <w:bookmarkEnd w:id="25"/>
      <w:r>
        <w:rPr>
          <w:rFonts w:ascii="IRNazanin" w:hAnsi="IRNazanin" w:eastAsia="IRNazanin"/>
          <w:color w:val="111111"/>
          <w:sz w:val="28"/>
          <w:sz w:val="28"/>
          <w:szCs w:val="28"/>
          <w:rtl w:val="true"/>
          <w:lang w:bidi="fa-IR"/>
        </w:rPr>
        <w:t>قواعد رئیسیة، وبین فروعها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بمقاصدها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یزول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تجلب التیسیر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مُحَکِّمةٌ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وأتی بأربعین قاعدة فقهیة فی الکتاب الثانی، ویبدأ هذا القسم بقاعدةِ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لا یُنقض 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وینتهی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المباشرة علی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شمول هذه القواعد أقل من القواعد الخمسة الماضیة، وفی الکتاب الثالث جاء بعشرین قاعدة</w:t>
      </w:r>
      <w:r>
        <w:rPr>
          <w:rFonts w:eastAsia="IRNazanin" w:cs="IRNazanin"/>
          <w:color w:val="111111"/>
          <w:sz w:val="28"/>
          <w:szCs w:val="28"/>
          <w:rtl w:val="true"/>
          <w:lang w:bidi="fa-IR"/>
        </w:rPr>
        <w:t>.</w:t>
      </w:r>
    </w:p>
    <w:p>
      <w:pPr>
        <w:pStyle w:val="Heading2"/>
        <w:numPr>
          <w:ilvl w:val="1"/>
          <w:numId w:val="1"/>
        </w:numPr>
        <w:rPr/>
      </w:pPr>
      <w:bookmarkStart w:id="26" w:name="__RefHeading___Toc80660_2749589250"/>
      <w:bookmarkStart w:id="27" w:name="_Toc9"/>
      <w:bookmarkEnd w:id="26"/>
      <w:r>
        <w:rPr>
          <w:rtl w:val="true"/>
        </w:rPr>
        <w:t>مؤلفو القواعد الفقهیة فی الفقه الحنبلی</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سلمان بن عبد القوی الطوفی الحنبلی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الکبری فی فروع الحنابلة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أبو العباس، أحمد بن عبد الحلیم بن تیمیة الحرّانی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النورانیة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أبی بکر، المشهور بابن قیّم الجوزیّة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بدایع الفرائد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عبد الرحمن بن شهاب بن أحمد بن أبی أحمد، رجب، المشهور بابن رجب الحنبلی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 القواعد وتحریر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فی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ویحتوی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مطبوع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حسن بن أحمد بن عبد الهادی، المعروف بابن مِبرد الصالحی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الکلّیّة والضوابط الفقهیة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وهذا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الذی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تفصیلیة معمّقة حول أحد القواعد الفقهیة المهمّة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 والتجاوز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لسماحة آیة الله الشیخ محمدجواد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یُعد ذلک دروس ألقاها علی مجموعة من الفضلاء فی الحوزة العلمیة بقم المقدسة وطلب منّی سماحته تعریب ذلک وطرحت فکرة التعریب علی سماحة الأخ الأستاذ الفاضل الشیخ محمد جواد السعیدی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أحد أساتذة حوزتنا حوزة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أسسّها المرجع الدینی الکبیر سماحة آیة الله العظمی شیخنا الاستاذ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المترجم المحترم من قبل بترجمة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فی الأواسط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نسأل الباری عزوجل أن یوفّقنا لخدمة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جعفر الطبسی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28" w:name="pg2935_29128"/>
    </w:p>
    <w:p>
      <w:pPr>
        <w:pStyle w:val="Heading2"/>
        <w:numPr>
          <w:ilvl w:val="1"/>
          <w:numId w:val="1"/>
        </w:numPr>
        <w:rPr/>
      </w:pPr>
      <w:bookmarkStart w:id="29" w:name="__RefHeading___Toc80662_2749589250"/>
      <w:bookmarkStart w:id="30" w:name="_Toc10"/>
      <w:bookmarkEnd w:id="28"/>
      <w:bookmarkEnd w:id="29"/>
      <w:r>
        <w:rPr>
          <w:rtl w:val="true"/>
        </w:rPr>
        <w:t>مقدمة المترجم</w:t>
      </w:r>
      <w:bookmarkEnd w:id="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بارئ الخلائق أجمعین والصلاة والسلام علی أشرف الأنبیاء وخاتم المرسلین سیّدنا محمد وآله الطیبین الطاهرین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قاعدة الفراغ والتجاوز إنّما تُعتبر واحدة من أهمّ القواعد الفقهیة التی لطالما استند إلیها فقهاؤنا العظام فی تصحیح المخترعات الشرعیة والمرکّبات الاعتباریة عند الشک فی إتیان جزءٍ أو نسیان شرط منها کما هو الحال فی بابی الصلاة والحج، قاعدة بحث فیها الفقهاء وصال فی میدانها العلماء فألّفوا فیها الکثیر من المؤلفات ورکزوا علی دراسة هذه القاعدة وتحلیلها من مختلف الزوایا والجهات، ومن هؤلاء مؤلفنا القدیر</w:t>
      </w:r>
    </w:p>
    <w:p>
      <w:pPr>
        <w:pStyle w:val="BookText"/>
        <w:rPr/>
      </w:pPr>
      <w:r>
        <w:rPr>
          <w:rFonts w:ascii="IRNazanin" w:hAnsi="IRNazanin" w:eastAsia="IRNazanin"/>
          <w:color w:val="111111"/>
          <w:sz w:val="28"/>
          <w:sz w:val="28"/>
          <w:szCs w:val="28"/>
          <w:rtl w:val="true"/>
          <w:lang w:bidi="fa-IR"/>
        </w:rPr>
        <w:t xml:space="preserve">وأستاذنا الکبیر الفقیه العلامة آیة الله الشیخ محمد جواد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عزّه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تزخر المکتبة الإمامیة بکتبها القیّمة ومؤلفاته النفیسة فی شتی المجالات ولاسیّما فی علمی الفقه والأصول، هذه المؤلفات التی ساهمت وتساهم فی نشر فقه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وفکرهم وها هی حوزة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منطقة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سوریا بإدارة مدیرها المدبّر ومشرفها القدیر العلامة الشیخ محمدجعفر الطبسی قد تصدّت فی السنوات الخمس التی مرّت علی تأسیسها لمهمّة القیام بطبع کثیر من مؤلفات مؤلفنا القدیر وترجمة عدد لا بأس به من الکتب والکتیبات للمؤلف فی علمی الفقه والأصول ووضعها بین أیدی طلبة العلوم الدینیة وطلاب الحوزات العلمیّة للتزود والاستفادة منها ولا سیّما لمن بلغ منهم مرحلتی السطوح العلیا وبحث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أُسندتْ إلیّ فیما سبق مهمّة القیام بترجمة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نجح إلی حدّ کبیر فی أوساط الطلبة الأفاضل فکان له طلابه وقرّاؤه وهذه هی المهمّة الثانیة التی لطالما أفتخر بحملها علی عاتقی وأشکر سماحة العلامة الشیخ محمد جعفر الطبسی علی حسن ظنّه بعملی فی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وجدت من خلال قراءتی الدقیقة وبنظری القاصر أنّ هذا العمل الجدید للمؤلف الجلیل عملٌ دقیق وقیّمٌ وجبّار، یجاری مؤلفات فقهائنا الکبار الذین کتبوا فی قاعدة الفراغ والتجاوز، وقد بحث المؤلف فی هذه القاعدة من زوایا مختلفة وبأسلوب سهلٍ وبیان سلس وألفاظ عذبةٍ یتذوقها القارئ الکریم بکلّ سهولة ویسار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جواد السعیدی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تعتبر قاعدة الفراغ والتجاوز من القواعد الهامة الّتی استند إلیها الفقهاء فی کثیر من الفروع وأبواب الفقه لاسیّما فی العبادات، من هؤلاء الفقهاء المرحوم السید حیث ذکر فی خاتمة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مسائل عدیدة تحت عنوان فروع العلم الإجمالی وهی من المسائل الفقهیة الهامّة جدّاً وهی تبتنی علی أمرین أساسیین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والتجاوز،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قاعدة الفراغ والتجاوز فقد جرتْ سیرة الأصولیین وطریقة العلماء المتأخرین علی إدراجها والبحث عنها فی طیّات مباحث الاستصحاب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تعارض الاستصحاب مع قاعدة الفراغ والتجاوز علی وجه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یعتقد جلّ الأصولیین بل ربّما کلّهم بأنّ قاعدة الفراغ والتجاوز مقّدمة علی الاستصحاب أمّا من باب الحکومة وإمّا من باب</w:t>
      </w:r>
    </w:p>
    <w:p>
      <w:pPr>
        <w:pStyle w:val="BookText"/>
        <w:rPr/>
      </w:pPr>
      <w:r>
        <w:rPr>
          <w:rFonts w:ascii="IRNazanin" w:hAnsi="IRNazanin" w:eastAsia="IRNazanin"/>
          <w:color w:val="111111"/>
          <w:sz w:val="28"/>
          <w:sz w:val="28"/>
          <w:szCs w:val="28"/>
          <w:rtl w:val="true"/>
          <w:lang w:bidi="fa-IR"/>
        </w:rPr>
        <w:t>التخصیص</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بُحث عن هذه القاعدة کقاعدة فقهیة هامة فی الکتب المؤلّفة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ولکنّنا لا نجد فی کلمات القدماء ما یسمّی بقاعدة الفراغ والتجاوز وإنْ وجدنا الروایات التی تُعدّ مستنداً لهذه القاعدة فی عبارات القدماء وکتبهم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الأمور الّتی لا بدّ من بیانها فی مبحث قاعدة الفراغ والتجاوز وقد کانت محطّ أنظار الباحثین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ومدرک هذه القاعدة وشروط جریانها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التساؤل بأنّ قاعدة الفراغ والتجاوز قاعدة واحدة أم قاعدتان مستقلّتان؟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قاعدة الفراغ والتجاوز أصلٌ عملی أو أمارة؟ وعلی فرض کونها أصلًا فمن أیّ الأصول العملیة 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تجری هذه القاعدة؟ فهل هی مختصّة ببابی الصلاة والطهارة أو تعمّ جمیع أبواب الفقه؟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یبدأ البحث عادةً فی الکتب الأصولیة فی إطار البحث عن قاعدة الفراغ والتجاوز من زاویة أنّها من الأمارات أو الأصول العملیة، إلّا أنّ الترتیب الطبیعی والمنطقی یقتضی أن نبحث أولًا عن أدلّة هذه القاعدة ومدارکها ثمّ ننتقل إلی</w:t>
      </w:r>
      <w:bookmarkStart w:id="31" w:name="pg2935_29132"/>
    </w:p>
    <w:p>
      <w:pPr>
        <w:pStyle w:val="BookText"/>
        <w:rPr/>
      </w:pPr>
      <w:bookmarkEnd w:id="31"/>
      <w:r>
        <w:rPr>
          <w:rFonts w:ascii="IRNazanin" w:hAnsi="IRNazanin" w:eastAsia="IRNazanin"/>
          <w:color w:val="111111"/>
          <w:sz w:val="28"/>
          <w:sz w:val="28"/>
          <w:szCs w:val="28"/>
          <w:rtl w:val="true"/>
          <w:lang w:bidi="fa-IR"/>
        </w:rPr>
        <w:t>البحث عن کونها من الأمارات أو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لابدّ من البحث أولًا عن أدلّة هذه القاعدة ومدارکها ثمّ الانتقال إلی الأبحاث الأخری المتعلّقة بهذه القاعدة والتّی وقع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هذا وذاک لا بد من بیان تعریف الفراغ والتجاوز للتعرف علیها ولو علی نحو الإجمال</w:t>
      </w:r>
      <w:r>
        <w:rPr>
          <w:rFonts w:eastAsia="IRNazanin" w:cs="IRNazanin"/>
          <w:color w:val="111111"/>
          <w:sz w:val="28"/>
          <w:szCs w:val="28"/>
          <w:rtl w:val="true"/>
          <w:lang w:bidi="fa-IR"/>
        </w:rPr>
        <w:t>.</w:t>
      </w:r>
    </w:p>
    <w:p>
      <w:pPr>
        <w:pStyle w:val="Heading2"/>
        <w:numPr>
          <w:ilvl w:val="1"/>
          <w:numId w:val="1"/>
        </w:numPr>
        <w:rPr/>
      </w:pPr>
      <w:bookmarkStart w:id="32" w:name="__RefHeading___Toc80664_2749589250"/>
      <w:bookmarkStart w:id="33" w:name="_Toc11"/>
      <w:bookmarkEnd w:id="32"/>
      <w:r>
        <w:rPr>
          <w:rtl w:val="true"/>
        </w:rPr>
        <w:t>التعریف الإجمالی للقاعدتین</w:t>
      </w:r>
      <w:bookmarkEnd w:id="33"/>
    </w:p>
    <w:p>
      <w:pPr>
        <w:pStyle w:val="BookText"/>
        <w:rPr/>
      </w:pPr>
      <w:r>
        <w:rPr>
          <w:rFonts w:ascii="IRNazanin" w:hAnsi="IRNazanin" w:eastAsia="IRNazanin"/>
          <w:color w:val="111111"/>
          <w:sz w:val="28"/>
          <w:sz w:val="28"/>
          <w:szCs w:val="28"/>
          <w:rtl w:val="true"/>
          <w:lang w:bidi="fa-IR"/>
        </w:rPr>
        <w:t>قاعدة الفراغ هی الحکم ظاهراً بصحّة العمل الذی فرغ منه المکلّف، کما لو صلّی المکلّف ثمّ شکّ فی صحة جزءٍ من أجزائها أو شرط من شرائطها بعد الانتهاء منها فإنّ قاعدة الفراغ أثبتت فی حقّه حکماً ظاهراً بصحّة صلاته</w:t>
      </w:r>
      <w:r>
        <w:rPr>
          <w:rFonts w:eastAsia="IRNazanin" w:cs="IRNazanin"/>
          <w:color w:val="111111"/>
          <w:sz w:val="28"/>
          <w:szCs w:val="28"/>
          <w:rtl w:val="true"/>
          <w:lang w:bidi="fa-IR"/>
        </w:rPr>
        <w:t>.</w:t>
      </w:r>
    </w:p>
    <w:p>
      <w:pPr>
        <w:pStyle w:val="Heading2"/>
        <w:numPr>
          <w:ilvl w:val="1"/>
          <w:numId w:val="1"/>
        </w:numPr>
        <w:rPr/>
      </w:pPr>
      <w:bookmarkStart w:id="34" w:name="__RefHeading___Toc80666_2749589250"/>
      <w:bookmarkStart w:id="35" w:name="_Toc12"/>
      <w:bookmarkEnd w:id="34"/>
      <w:r>
        <w:rPr>
          <w:rtl w:val="true"/>
        </w:rPr>
        <w:t>قاعدة التجاوز</w:t>
      </w:r>
      <w:bookmarkEnd w:id="35"/>
    </w:p>
    <w:p>
      <w:pPr>
        <w:pStyle w:val="BookText"/>
        <w:rPr/>
      </w:pPr>
      <w:r>
        <w:rPr>
          <w:rFonts w:ascii="IRNazanin" w:hAnsi="IRNazanin" w:eastAsia="IRNazanin"/>
          <w:color w:val="111111"/>
          <w:sz w:val="28"/>
          <w:sz w:val="28"/>
          <w:szCs w:val="28"/>
          <w:rtl w:val="true"/>
          <w:lang w:bidi="fa-IR"/>
        </w:rPr>
        <w:t>هی الحکم ظاهراً بإتیان الجزء المشکوک بعد تجاوز محلّه، وذلک کما لو شک المصلّی فی حالة السجود بأنّه هل رکع أولًا؟ فإنّ قاعدة التجاوز تجعل فی حقّه حکماً ظاهریاً بأنّه أتی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فالفرق بین القاعدتین علی القول بأنّهما قاعدتان مستقلّتان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الخلاف فی ذلک فی الأبحاث القادمة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مورد قاعدة الفراغ هو الشکّ فی صحّة الجزء المأتی به بینما مجری قاعدة التجاوز هو الشکّ فی إتیان الجزء من الأساس</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أنّنا سنذکر الفرق بین هاتین القاعدتین بعد البحث عن مدارک هذه القاعدة</w:t>
      </w:r>
      <w:r>
        <w:rPr>
          <w:rFonts w:eastAsia="IRNazanin" w:cs="IRNazanin"/>
          <w:color w:val="111111"/>
          <w:sz w:val="28"/>
          <w:szCs w:val="28"/>
          <w:rtl w:val="true"/>
          <w:lang w:bidi="fa-IR"/>
        </w:rPr>
        <w:t>.</w:t>
      </w:r>
      <w:bookmarkStart w:id="36" w:name="pg2935_29133"/>
    </w:p>
    <w:p>
      <w:pPr>
        <w:pStyle w:val="Heading2"/>
        <w:numPr>
          <w:ilvl w:val="1"/>
          <w:numId w:val="1"/>
        </w:numPr>
        <w:rPr/>
      </w:pPr>
      <w:bookmarkStart w:id="37" w:name="__RefHeading___Toc80668_2749589250"/>
      <w:bookmarkStart w:id="38" w:name="_Toc13"/>
      <w:bookmarkEnd w:id="36"/>
      <w:bookmarkEnd w:id="37"/>
      <w:r>
        <w:rPr>
          <w:rtl w:val="true"/>
        </w:rPr>
        <w:t>أدلّة قاعدة الفراغ والتجاوز</w:t>
      </w:r>
      <w:bookmarkEnd w:id="38"/>
    </w:p>
    <w:p>
      <w:pPr>
        <w:pStyle w:val="Heading3"/>
        <w:numPr>
          <w:ilvl w:val="2"/>
          <w:numId w:val="1"/>
        </w:numPr>
        <w:rPr/>
      </w:pPr>
      <w:bookmarkStart w:id="39" w:name="__RefHeading___Toc80670_2749589250"/>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مجموع ما یمکن أن یُتوصل إلیه من الأدلّة علی قاعدة الفراغ والتجاوز من خلال تتبّع کلمات العلماء الأعلام ستّة أدلّة ونحن نذکر منها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الأدلة القابلة للمناقشة والطعن ثمّ نرجی البحث عن الأخبار والروایات التی تعتبر الدلیل الأهمّ علی هذه القاعدة إلی نهایة الأدلة</w:t>
      </w:r>
      <w:r>
        <w:rPr>
          <w:rFonts w:eastAsia="IRNazanin" w:cs="IRNazanin"/>
          <w:color w:val="111111"/>
          <w:sz w:val="28"/>
          <w:szCs w:val="28"/>
          <w:rtl w:val="true"/>
          <w:lang w:bidi="fa-IR"/>
        </w:rPr>
        <w:t>.</w:t>
      </w:r>
    </w:p>
    <w:p>
      <w:pPr>
        <w:pStyle w:val="Heading3"/>
        <w:numPr>
          <w:ilvl w:val="2"/>
          <w:numId w:val="1"/>
        </w:numPr>
        <w:rPr/>
      </w:pPr>
      <w:bookmarkStart w:id="41" w:name="__RefHeading___Toc80672_2749589250"/>
      <w:bookmarkStart w:id="42" w:name="_Toc15"/>
      <w:bookmarkEnd w:id="41"/>
      <w:r>
        <w:rPr/>
        <w:t>1</w:t>
      </w:r>
      <w:r>
        <w:rPr>
          <w:rtl w:val="true"/>
        </w:rPr>
        <w:t xml:space="preserve">- </w:t>
      </w:r>
      <w:r>
        <w:rPr>
          <w:rtl w:val="true"/>
        </w:rPr>
        <w:t>الإجماع العملی</w:t>
      </w:r>
      <w:r>
        <w:rPr>
          <w:rtl w:val="true"/>
        </w:rPr>
        <w:t>:</w:t>
      </w:r>
      <w:bookmarkEnd w:id="42"/>
    </w:p>
    <w:p>
      <w:pPr>
        <w:pStyle w:val="Heading4"/>
        <w:numPr>
          <w:ilvl w:val="3"/>
          <w:numId w:val="1"/>
        </w:numPr>
        <w:rPr/>
      </w:pPr>
      <w:bookmarkStart w:id="43" w:name="__RefHeading___Toc80674_2749589250"/>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من خلال التصفّح فی الأبواب الفقیهة المختلفة سوف یتبیّن لنا أنّ فقهائنا العظام قد استندوا إلی هذه القاعدة وعملوا بها فی شتّی أبواب الفقه کالصلاة والوضوء والحجّ وبعض الموارد الأخری، والمراد بالإجماع العملی هو هذا الاستناد وعمل الفقهاء فی هذه الموارد وإن لم یتحقّق الإجماع القولی منهم فی هذه المسألة</w:t>
      </w:r>
      <w:r>
        <w:rPr>
          <w:rFonts w:eastAsia="IRNazanin" w:cs="IRNazanin"/>
          <w:color w:val="111111"/>
          <w:sz w:val="28"/>
          <w:szCs w:val="28"/>
          <w:rtl w:val="true"/>
          <w:lang w:bidi="fa-IR"/>
        </w:rPr>
        <w:t>.</w:t>
      </w:r>
    </w:p>
    <w:p>
      <w:pPr>
        <w:pStyle w:val="Heading4"/>
        <w:numPr>
          <w:ilvl w:val="3"/>
          <w:numId w:val="1"/>
        </w:numPr>
        <w:rPr/>
      </w:pPr>
      <w:bookmarkStart w:id="45" w:name="__RefHeading___Toc80676_2749589250"/>
      <w:bookmarkStart w:id="46" w:name="_Toc17"/>
      <w:bookmarkEnd w:id="45"/>
      <w:r>
        <w:rPr>
          <w:rtl w:val="true"/>
        </w:rPr>
        <w:t>المناقشة فی دلیلیت الإجماع العملی</w:t>
      </w:r>
      <w:r>
        <w:rPr>
          <w:rtl w:val="true"/>
        </w:rPr>
        <w:t>:</w:t>
      </w:r>
      <w:bookmarkEnd w:id="46"/>
    </w:p>
    <w:p>
      <w:pPr>
        <w:pStyle w:val="BookText"/>
        <w:rPr/>
      </w:pPr>
      <w:r>
        <w:rPr>
          <w:rFonts w:ascii="IRNazanin" w:hAnsi="IRNazanin" w:eastAsia="IRNazanin"/>
          <w:color w:val="111111"/>
          <w:sz w:val="28"/>
          <w:sz w:val="28"/>
          <w:szCs w:val="28"/>
          <w:rtl w:val="true"/>
          <w:lang w:bidi="fa-IR"/>
        </w:rPr>
        <w:t xml:space="preserve">مضافاً إلی أنّ تحقق هذا الإجماع فی غیر باب الصلاة والطهارات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وغیر معلوم فإنّ الإشکال المهمّ الذی یواجه هذا الدلیل هو أنّ هذا الإجماع مدرکی قطعاً والإجماع المدرکی لا حجیة له وذلک أنّ مدرک الفقهاء فی موارد استنادهم إلی هذه القاعدة هو تلک الروایات الواردة عن الأئمّة المعصومین علیهم السلام فی هذا المجال،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لم یکن مستند الفقهاء فی هذه المسألة هو الإجماع التعبّدی المعتبر، ومن هنا یسقط الدلیل المذکور عن الاعتبار والحجّیة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47" w:name="pg2935_29134"/>
    </w:p>
    <w:p>
      <w:pPr>
        <w:pStyle w:val="Heading3"/>
        <w:numPr>
          <w:ilvl w:val="2"/>
          <w:numId w:val="1"/>
        </w:numPr>
        <w:rPr/>
      </w:pPr>
      <w:bookmarkStart w:id="48" w:name="__RefHeading___Toc80678_2749589250"/>
      <w:bookmarkStart w:id="49" w:name="_Toc18"/>
      <w:bookmarkEnd w:id="47"/>
      <w:bookmarkEnd w:id="48"/>
      <w:r>
        <w:rPr/>
        <w:t>2</w:t>
      </w:r>
      <w:r>
        <w:rPr>
          <w:rtl w:val="true"/>
        </w:rPr>
        <w:t xml:space="preserve">- </w:t>
      </w:r>
      <w:r>
        <w:rPr>
          <w:rtl w:val="true"/>
        </w:rPr>
        <w:t>السیرة المتشرّعة</w:t>
      </w:r>
      <w:r>
        <w:rPr>
          <w:rtl w:val="true"/>
        </w:rPr>
        <w:t>:</w:t>
      </w:r>
      <w:bookmarkEnd w:id="49"/>
    </w:p>
    <w:p>
      <w:pPr>
        <w:pStyle w:val="Heading4"/>
        <w:numPr>
          <w:ilvl w:val="3"/>
          <w:numId w:val="1"/>
        </w:numPr>
        <w:rPr/>
      </w:pPr>
      <w:bookmarkStart w:id="50" w:name="__RefHeading___Toc80680_2749589250"/>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حیث استقرّت سیرة المتشرعة العملیة علی أنّهم إذا قاموا إلی عمل عبادیاً کان أو غیره جاؤوا به علی شکله الصحیح، علی سبیل المثال فإنّ المصلّی عندما یتمّ صلاته لا یفکّر فی إعادة صلاته أو قضائها نهائیاً إذ یعتقد أنّه صلّی صلاة صحیحة، نعم یمکن لبعض العظماء أن یعیدوا بعض أعمالهم العبادیة من باب الاحتیاط إلّا أنّه لا یحکم أیّ مکلّف متشرع علی نفسه بإعادة أعماله بمجرد الشکّ فی أنّها هل صدرتْ منه علی الشکل الصحیح أو لا؟</w:t>
      </w:r>
    </w:p>
    <w:p>
      <w:pPr>
        <w:pStyle w:val="Heading4"/>
        <w:numPr>
          <w:ilvl w:val="3"/>
          <w:numId w:val="1"/>
        </w:numPr>
        <w:rPr/>
      </w:pPr>
      <w:bookmarkStart w:id="52" w:name="__RefHeading___Toc80682_2749589250"/>
      <w:bookmarkStart w:id="53" w:name="_Toc20"/>
      <w:bookmarkEnd w:id="52"/>
      <w:r>
        <w:rPr>
          <w:rtl w:val="true"/>
        </w:rPr>
        <w:t>مناقشة هذا الدلیل</w:t>
      </w:r>
      <w:r>
        <w:rPr>
          <w:rtl w:val="true"/>
        </w:rPr>
        <w:t>:</w:t>
      </w:r>
      <w:bookmarkEnd w:id="53"/>
    </w:p>
    <w:p>
      <w:pPr>
        <w:pStyle w:val="BookText"/>
        <w:rPr/>
      </w:pPr>
      <w:r>
        <w:rPr>
          <w:rFonts w:ascii="IRNazanin" w:hAnsi="IRNazanin" w:eastAsia="IRNazanin"/>
          <w:color w:val="111111"/>
          <w:sz w:val="28"/>
          <w:sz w:val="28"/>
          <w:szCs w:val="28"/>
          <w:rtl w:val="true"/>
          <w:lang w:bidi="fa-IR"/>
        </w:rPr>
        <w:t>یرد علی حجیة هذه السیرة ما ورد علی الإجماع العملی حیث یحتمل أن تکون السیرة مدرکیةً أیْ أنّ سیرة المتشرعة هذه مبتنیة علی فتوی الفقهاء أو الروایات أو أی دلیل آخر فتصبح هذه السیرة فاقدة للاعتبار والحجیة کالإجماع المدرکی، لاستناد هذه السیرة إلی فتاوی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سئل الفقهاء عن حکم الوضوء مثلًا فیما لو شکّ فی صحته بعد الانتهاء منه فهل تجب الإعادة؟ لأجابوا بالنفی وعدم وجوب الإعادة، وعلی هذا لا یمکن لسیرة المتشرعة أن تقع دلیلًا لقاعدة الفراغ والتجاوز</w:t>
      </w:r>
      <w:r>
        <w:rPr>
          <w:rFonts w:eastAsia="IRNazanin" w:cs="IRNazanin"/>
          <w:color w:val="111111"/>
          <w:sz w:val="28"/>
          <w:szCs w:val="28"/>
          <w:rtl w:val="true"/>
          <w:lang w:bidi="fa-IR"/>
        </w:rPr>
        <w:t>.</w:t>
      </w:r>
    </w:p>
    <w:p>
      <w:pPr>
        <w:pStyle w:val="Heading3"/>
        <w:numPr>
          <w:ilvl w:val="2"/>
          <w:numId w:val="1"/>
        </w:numPr>
        <w:rPr/>
      </w:pPr>
      <w:bookmarkStart w:id="54" w:name="__RefHeading___Toc80684_2749589250"/>
      <w:bookmarkStart w:id="55" w:name="_Toc21"/>
      <w:bookmarkEnd w:id="54"/>
      <w:r>
        <w:rPr/>
        <w:t>3</w:t>
      </w:r>
      <w:r>
        <w:rPr>
          <w:rtl w:val="true"/>
        </w:rPr>
        <w:t xml:space="preserve">- </w:t>
      </w:r>
      <w:r>
        <w:rPr>
          <w:rtl w:val="true"/>
        </w:rPr>
        <w:t>سیرة العقلاء</w:t>
      </w:r>
      <w:r>
        <w:rPr>
          <w:rtl w:val="true"/>
        </w:rPr>
        <w:t>:</w:t>
      </w:r>
      <w:bookmarkEnd w:id="55"/>
    </w:p>
    <w:p>
      <w:pPr>
        <w:pStyle w:val="Heading4"/>
        <w:numPr>
          <w:ilvl w:val="3"/>
          <w:numId w:val="1"/>
        </w:numPr>
        <w:rPr/>
      </w:pPr>
      <w:bookmarkStart w:id="56" w:name="__RefHeading___Toc80686_2749589250"/>
      <w:bookmarkStart w:id="57" w:name="_Toc22"/>
      <w:bookmarkEnd w:id="56"/>
      <w:r>
        <w:rPr>
          <w:rtl w:val="true"/>
        </w:rPr>
        <w:t>اشارة</w:t>
      </w:r>
      <w:bookmarkEnd w:id="5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بناء العقلاء وجرتْ سیرتهم علی أنّ المکلّف المختار العالم بأجزاء المأمور به وشرائطه إذا أتی بالمأمور به منه عدّوا عمله تامّاً وصحیحاً، ویمکن أن یدّعی ذلک فی قاعدة الفراغ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لو أتی بالعمل وشکّ بعد الفراغ فی صحّة عمله فإنّ قاعدة الفراغ تقتضی صحّة هذا العمل</w:t>
      </w:r>
      <w:r>
        <w:rPr>
          <w:rFonts w:eastAsia="IRNazanin" w:cs="IRNazanin"/>
          <w:color w:val="111111"/>
          <w:sz w:val="28"/>
          <w:szCs w:val="28"/>
          <w:rtl w:val="true"/>
          <w:lang w:bidi="fa-IR"/>
        </w:rPr>
        <w:t>.</w:t>
      </w:r>
      <w:bookmarkStart w:id="58" w:name="pg2935_29135"/>
    </w:p>
    <w:p>
      <w:pPr>
        <w:pStyle w:val="BookText"/>
        <w:rPr/>
      </w:pPr>
      <w:bookmarkEnd w:id="58"/>
      <w:r>
        <w:rPr>
          <w:rFonts w:ascii="IRNazanin" w:hAnsi="IRNazanin" w:eastAsia="IRNazanin"/>
          <w:color w:val="111111"/>
          <w:sz w:val="28"/>
          <w:sz w:val="28"/>
          <w:szCs w:val="28"/>
          <w:rtl w:val="true"/>
          <w:lang w:bidi="fa-IR"/>
        </w:rPr>
        <w:t xml:space="preserve">فلو سلّمنا صحة هذا الدلیل کان لا بدّ من الالتزام بأنّ التعلیل الوارد فی ذیل بعض الروایات التی سنبحث عنها تحت عنوان الدلیل السادس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الشکّ فی صحّة الوضوء بعد الفراغ منه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لیس هذا التعلیل أمراً تعبّدیاً بأن یکون الشارع قد بیّن ذلک وهو فی مقام التشریع بل سیکون هذا التعلیل أمراً ارتکازیاً عقلائیاً ویکون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منوّهاً إلی هذا المرتکز العقلائی فی الروایة حیث یمکن اعتبارها کمؤید للسیرة العقلائیة</w:t>
      </w:r>
      <w:r>
        <w:rPr>
          <w:rFonts w:eastAsia="IRNazanin" w:cs="IRNazanin"/>
          <w:color w:val="111111"/>
          <w:sz w:val="28"/>
          <w:szCs w:val="28"/>
          <w:rtl w:val="true"/>
          <w:lang w:bidi="fa-IR"/>
        </w:rPr>
        <w:t>.</w:t>
      </w:r>
    </w:p>
    <w:p>
      <w:pPr>
        <w:pStyle w:val="Heading4"/>
        <w:numPr>
          <w:ilvl w:val="3"/>
          <w:numId w:val="1"/>
        </w:numPr>
        <w:rPr/>
      </w:pPr>
      <w:bookmarkStart w:id="59" w:name="__RefHeading___Toc80688_2749589250"/>
      <w:bookmarkStart w:id="60" w:name="_Toc23"/>
      <w:bookmarkEnd w:id="59"/>
      <w:r>
        <w:rPr>
          <w:rtl w:val="true"/>
        </w:rPr>
        <w:t>مناقشة الاستدلال بالسیرة العقلائیة</w:t>
      </w:r>
      <w:r>
        <w:rPr>
          <w:rtl w:val="true"/>
        </w:rPr>
        <w:t>:</w:t>
      </w:r>
      <w:bookmarkEnd w:id="60"/>
    </w:p>
    <w:p>
      <w:pPr>
        <w:pStyle w:val="BookText"/>
        <w:rPr/>
      </w:pPr>
      <w:r>
        <w:rPr>
          <w:rFonts w:ascii="IRNazanin" w:hAnsi="IRNazanin" w:eastAsia="IRNazanin"/>
          <w:color w:val="111111"/>
          <w:sz w:val="28"/>
          <w:sz w:val="28"/>
          <w:szCs w:val="28"/>
          <w:rtl w:val="true"/>
          <w:lang w:bidi="fa-IR"/>
        </w:rPr>
        <w:t>لتحقیق أنّ سیرة العقلاء هل یمکن أن تقع دلیلًا علی قاعدة الفراغ أو لا، لابدّ من بیان أنّ السیرة العقلائیة لا تخلو عن 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تکون السیرة العقلائیة تعبّدیة حیث لا حاجة معها إلی بیان الملاک من قبل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لسیرة العقلاء مدرکٌ لدی العقلاء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هذا البحث قد جری فی أصالة الحقیقة أیضاً من أنّ أصالة الحقیقة هل هی أصل لفظی عقلائی تعبّدی أو لیست کذلک بل تکون راجعة إلی أصالة عدم القرینة</w:t>
      </w:r>
      <w:r>
        <w:rPr>
          <w:rStyle w:val="FootnoteAnchor"/>
          <w:rtl w:val="true"/>
        </w:rPr>
        <w:footnoteReference w:id="31"/>
      </w:r>
      <w:r>
        <w:rPr>
          <w:rFonts w:ascii="IRNazanin" w:hAnsi="IRNazanin" w:eastAsia="IRNazanin"/>
          <w:color w:val="111111"/>
          <w:sz w:val="28"/>
          <w:sz w:val="28"/>
          <w:szCs w:val="28"/>
          <w:rtl w:val="true"/>
          <w:lang w:bidi="fa-IR"/>
        </w:rPr>
        <w:t>؟ وفیما نحن فیه لو أتی الفاعل العالم المختار بعملٍ فإنّ حکم العقلاء بصحّة عمله بعد الفراغ منه هل هو أصل تعبّدی عقلائی؟ أو لیس تعبدیاً بل له ملاک؟</w:t>
      </w:r>
    </w:p>
    <w:p>
      <w:pPr>
        <w:pStyle w:val="BookText"/>
        <w:rPr/>
      </w:pPr>
      <w:r>
        <w:rPr>
          <w:rFonts w:ascii="IRNazanin" w:hAnsi="IRNazanin" w:eastAsia="IRNazanin"/>
          <w:color w:val="111111"/>
          <w:sz w:val="28"/>
          <w:sz w:val="28"/>
          <w:szCs w:val="28"/>
          <w:rtl w:val="true"/>
          <w:lang w:bidi="fa-IR"/>
        </w:rPr>
        <w:t>القول بأنّ سیرة العقلاء فی مبحث قاعدة الفراغ والتجاوز أصل تعبّدی مشکل جدّاً بل یمکن القول بأنْ لا أصل تعبدی لدی العقلاء، والأصول أو السیر العقلائیة کلّها قائمة علی أساس الملاک، وعلی هذا الأساس لابدّ من معرفة ملاک سیرة العقلاء فیما نحن فیه، فما هو ملاک السیرة العقلائیة هنا؟</w:t>
      </w:r>
    </w:p>
    <w:p>
      <w:pPr>
        <w:pStyle w:val="BookText"/>
        <w:rPr/>
      </w:pPr>
      <w:r>
        <w:rPr>
          <w:rFonts w:ascii="IRNazanin" w:hAnsi="IRNazanin" w:eastAsia="IRNazanin"/>
          <w:color w:val="111111"/>
          <w:sz w:val="28"/>
          <w:sz w:val="28"/>
          <w:szCs w:val="28"/>
          <w:rtl w:val="true"/>
          <w:lang w:bidi="fa-IR"/>
        </w:rPr>
        <w:t>یمکن الإجابة بأنّ ملاک هذه السیرة ومآلها إلی أصالة عدم الغفلة وذلک أنّ العقلاء یجرون أصالة عدم الغفلة فی حقّ مَن قصد إتیان عمله والقیام بتکلیفه علی النحو الصحیح لکنّه شک فی أنه هل عرضت علیه الغفلة أثناء العمل أو لا؟ ومن هنا لابدّ من البحث والتحقیق فی موارد إجراء العقلاء أصالة عدم الغفلة هل جریانها مختص بموارد خاصّة أو لا؟</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سؤالان رئیسیان فی مورد هذا الأصل ومجراه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جریان أصالة عدم الغفلة فی خصوص الأقوال کالخبر والشهادة بحیث لا یشمل الأفعال الخارجیة؟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البعض</w:t>
      </w:r>
      <w:r>
        <w:rPr>
          <w:rStyle w:val="FootnoteAnchor"/>
          <w:rtl w:val="true"/>
        </w:rPr>
        <w:footnoteReference w:id="32"/>
      </w:r>
      <w:r>
        <w:rPr>
          <w:rFonts w:ascii="IRNazanin" w:hAnsi="IRNazanin" w:eastAsia="IRNazanin"/>
          <w:color w:val="111111"/>
          <w:sz w:val="28"/>
          <w:sz w:val="28"/>
          <w:szCs w:val="28"/>
          <w:rtl w:val="true"/>
          <w:lang w:bidi="fa-IR"/>
        </w:rPr>
        <w:t>أنّ مورد أصالة عدم الغفلة هو باب الإخبار والشهادة، وذلک بسبب أنّ العاقل ملتفت إلی الخصوصیات الموجودة فی الحادثة والقرائن المکتنفة بالکلام، ومن هنا تجری أصالة عدم الغفلة فی شهادة الشاهد أو نقل الخبر عن حادثة أو نقل الروایة فتکون أصالة عدم الغفلة أصلًا عقلائیاً لفظیاً وعلیه لا تجری فی دائرة الأفعال الخارجیة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التحقیق جریان هذا الأصل فی الأفعال أیضاً لأنّا نجد من أنفسنا أنّنا لو أمرنا شخصاً بإعداد طعام مرکّب من عدّة مواد خاصة لکنّا شککنا فی أنّه هل أنجز عمله علی نحو صحیح أو أنّه کان غافلًا أثناء عمله أجرینا فی حقّه أصالة</w:t>
      </w:r>
      <w:bookmarkStart w:id="61" w:name="pg2935_29137"/>
    </w:p>
    <w:p>
      <w:pPr>
        <w:pStyle w:val="BookText"/>
        <w:rPr/>
      </w:pPr>
      <w:bookmarkEnd w:id="61"/>
      <w:r>
        <w:rPr>
          <w:rFonts w:ascii="IRNazanin" w:hAnsi="IRNazanin" w:eastAsia="IRNazanin"/>
          <w:color w:val="111111"/>
          <w:sz w:val="28"/>
          <w:sz w:val="28"/>
          <w:szCs w:val="28"/>
          <w:rtl w:val="true"/>
          <w:lang w:bidi="fa-IR"/>
        </w:rPr>
        <w:t>عدم الغفلة وحملنا عمله علی الصحّة، ومن هنا لم تکن أصالة عدم الغفلة أصلًا لفظیاً عقلائیاً صرفاً بل تجری فی الأفعال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عرفنا جریان أصالة عدم الغفلة فی الأفعال أیضاً فلابدّ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 الاستدلال بسیرة العقلاء علی قاعدة الفراغ والتجاوز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نحرز بأنّ أصالة عدم الغفلة هل تشمل أقوال المکلّف نفسه وأفعاله بأن یطبّقها المکلّف علی أفعال نفسه أو أنّها تختص بأقوال الآخرین وأفعالهم؟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باعتقادنا أن لا عمومیة ولا توسعة لأصالة عدم الغفلة من هذه الجهة فتختص بأقوال الآخرین وأفعالهم ولا أقل من الشکّ فی شمول هذا الأصل العقلائی لأفعال المکلّف نفسه ولمّا کانت أصالة عدم الغفلة دلیلًا لبیّاً وجب الأخذ بالقدر المتیقّن منه وهو قول الغیر وفعله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الرکون إلی فعل نفسه بهذا الأصل، وفی النتیجة لا تکون السیرة العقلائیة دلیلًا علی قاعدة 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التعلیل الوارد فی ذیل الروایات الدالة علی السیرة العقلائیة التی سندرسها فی الدلیل السادس فإنّنا سنجیب هناک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تعلیلًا ولا یعد علّة، وقد ذکر بعض الأعاظم کالمحقق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العبارة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ولیست علّة</w:t>
      </w:r>
      <w:r>
        <w:rPr>
          <w:rFonts w:eastAsia="IRNazanin" w:cs="IRNazanin"/>
          <w:color w:val="111111"/>
          <w:sz w:val="28"/>
          <w:szCs w:val="28"/>
          <w:rtl w:val="true"/>
          <w:lang w:bidi="fa-IR"/>
        </w:rPr>
        <w:t>.</w:t>
      </w:r>
    </w:p>
    <w:p>
      <w:pPr>
        <w:pStyle w:val="Heading3"/>
        <w:numPr>
          <w:ilvl w:val="2"/>
          <w:numId w:val="1"/>
        </w:numPr>
        <w:rPr/>
      </w:pPr>
      <w:bookmarkStart w:id="62" w:name="__RefHeading___Toc80690_2749589250"/>
      <w:bookmarkStart w:id="63" w:name="_Toc24"/>
      <w:bookmarkEnd w:id="62"/>
      <w:r>
        <w:rPr/>
        <w:t>4</w:t>
      </w:r>
      <w:r>
        <w:rPr>
          <w:rtl w:val="true"/>
        </w:rPr>
        <w:t xml:space="preserve">- </w:t>
      </w:r>
      <w:r>
        <w:rPr>
          <w:rtl w:val="true"/>
        </w:rPr>
        <w:t>إثبات حجیة القاعدة بأصالة الصحة</w:t>
      </w:r>
      <w:r>
        <w:rPr>
          <w:rtl w:val="true"/>
        </w:rPr>
        <w:t>:</w:t>
      </w:r>
      <w:bookmarkEnd w:id="63"/>
    </w:p>
    <w:p>
      <w:pPr>
        <w:pStyle w:val="Heading4"/>
        <w:numPr>
          <w:ilvl w:val="3"/>
          <w:numId w:val="1"/>
        </w:numPr>
        <w:rPr/>
      </w:pPr>
      <w:bookmarkStart w:id="64" w:name="__RefHeading___Toc80692_2749589250"/>
      <w:bookmarkStart w:id="65" w:name="_Toc25"/>
      <w:bookmarkEnd w:id="64"/>
      <w:r>
        <w:rPr>
          <w:rtl w:val="true"/>
        </w:rPr>
        <w:t>اشارة</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 علی قاعدة الفراغ أدلّة أصالة الصحة کما هو المستفاد من کلمات الفقیه العظیم الحاج رضا الهمدانی من أنّ الأدلّة الدالّة علی حجیة أصالة الصحة تدلّ بنفسها أیضاً علی حجیة قاعدة الفراغ التی هی من مصادیق قاعدة أصالة الصحة الکلّیة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الاعتداد بالشک بعد الفراغ من</w:t>
      </w:r>
    </w:p>
    <w:p>
      <w:pPr>
        <w:pStyle w:val="BookText"/>
        <w:rPr/>
      </w:pPr>
      <w:r>
        <w:rPr>
          <w:rFonts w:ascii="IRNazanin" w:hAnsi="IRNazanin" w:eastAsia="IRNazanin"/>
          <w:color w:val="111111"/>
          <w:sz w:val="28"/>
          <w:sz w:val="28"/>
          <w:szCs w:val="28"/>
          <w:rtl w:val="true"/>
          <w:lang w:bidi="fa-IR"/>
        </w:rPr>
        <w:t>الوضوء إنّما هو لکونه من جزیئات هذه القاعدة، وهذه القاعدة بنفسها من القواعد الکلّیة المسلّمة المعمول بها فی جمیع أبواب الفقه وهذه هی القاعدة التی یُعبّر عنها بأصالة الصحّة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فالمرحوم المحقق الهمدانی لا یری قاعدة الفراغ قاعدة مستقلة بل یعتقد أنّها من مصادیق وجزئیات أصالة الصحة التی هی من القواعد الفقهیة المسلّمة الجاریة فی جمیع أبواب الفقه کما أنّها أصل عقلائی حیث لو شک فی صحة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منه قام بناء العقلاء علی أنّ ذلک العمل قد أنجز علی النحو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ولکنّه یذکر فی صفحات أخری من کتابه عند الحدیث عن قاعدة التجاوز وأنّها تجری فیما لو شک فی أصل وجود الجزء بعد تجاوز محله کالرکوع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أنّ قاعدة التجاوز علی خلاف قاعدة الفراغ ولیست من مصادیق أصالة الصحة بل هی قاعدة مستقلّة مختصّة بباب الصلاة ولا تجری فی سائر أبواب الفقه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مفاد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إسماعیل بن جابر وصحیحة زرارة الذین سنتکلّم عنهما فی 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یقتضیه ظاهرهما عدم الاعتناء بالشک فی وجود شی‌ء بعد تجاوز محلّه، لا فی صحته، فهی قاعدة أخری غیر قاعدة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فالظاهر أنّ هذه القاعدة مخصوصة بالصلاة لا أنّها کقاعدة الصحّة ساریة جاریة فی جمیع أبواب الفقه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فإنّه جعل أدلّة أصالة الصحة دلیلًا علی قاعدة الفراغ وفرّق بین أصالة الصحة وقاعدة التجاوز من حیث المضمون والمدلول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الدلیل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للتعرف علی أنّ أدلّة أصالة الصحّة یمکنها أن تقع دلیلًا علی قاعدة الفراغ لابد لنا من أن نعرف هل هناک فرق بینهما أولا؟</w:t>
      </w:r>
    </w:p>
    <w:p>
      <w:pPr>
        <w:pStyle w:val="BookText"/>
        <w:rPr/>
      </w:pPr>
      <w:r>
        <w:rPr>
          <w:rFonts w:ascii="IRNazanin" w:hAnsi="IRNazanin" w:eastAsia="IRNazanin"/>
          <w:color w:val="111111"/>
          <w:sz w:val="28"/>
          <w:sz w:val="28"/>
          <w:szCs w:val="28"/>
          <w:rtl w:val="true"/>
          <w:lang w:bidi="fa-IR"/>
        </w:rPr>
        <w:t>تشترک قاعدة الفراغ مع أصالة الصحة فی عدّة وجوه ممّا جعلت هذه الوجوه قاعدة الفراغ من مصادیق أصالة الصحة، والوجوه المشترکة بین أصالة الصحّة وقاعدة الفراغ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اختُلف فی قاعدة الفراغ من جهة أنّها أمارة أو أصل فکذلک وقع الخلاف فی أصالة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الشروط المعتبرة عند الفقهاء لإجراء قاعدة الفراغ هی نفسها معتبرة فی جریان أصالة الصحة،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جریان قاعدة الفراغ إحراز عنوان العمل وذلک أنّ مَنْ فرغ من الوضوء فشک فی صحة وضوئه لا بد أن یحرز أنّه قد توضأ، أمّا لو تردّد فی أصل العمل ولم یعلم بأنّه توضأ أو غسل وجهه بهدف تبریده فلا تجری قاعدة الفراغ، وهذا الشرط بعینه معتبر فی إجراء أصالة الصحة حیث إنّ بناء العقلاء قائم علی جریان أصالة الصحة مع إحراز العمل فیکون العمل محکوماً بالصحة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الاشتراک الثالث بین أصالة الصحة وقاعدة الفراغ أنّ أصالة الصحة تجری فی جمیع أبواب الفقه فکذلک قاعدة الفراغ تجری فی جمیع أبواب الفقه علی ما هو التحقیق، وقد صرّح المرحوم صاحب الجواهر بجریان هذه القاعدة فی کلّ عمل مرکّب کالصلاة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وسنبین بالتفصیل مدی حدود جریان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وجوه الافتراق بین أصالة الصحة وقاعدة الفراغ المستفادة من کلمات المرحوم المحقق النائینی والمرحوم الشیخ الأعظم الأنصاری فهی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الصحة إنّما تتعلّق بفعل غیر المکلّف</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محمدعلی الکاظمی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آیة الله النائینی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تتعلّق قاعدة الفراغ بفعل المکلّف نفسه فتفترقان من جهة مجراهما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قاعدة الفراغ بما بعد العمل کما هو مستفادٌ من عنوان الفراغ نفسه، أمّا أصالة الصحة فلا تختص بما بعد العمل بل تجری فی أثناء العمل</w:t>
      </w:r>
      <w:r>
        <w:rPr>
          <w:rStyle w:val="FootnoteAnchor"/>
          <w:rtl w:val="true"/>
        </w:rPr>
        <w:footnoteReference w:id="37"/>
      </w:r>
      <w:r>
        <w:rPr>
          <w:rFonts w:ascii="IRNazanin" w:hAnsi="IRNazanin" w:eastAsia="IRNazanin"/>
          <w:color w:val="111111"/>
          <w:sz w:val="28"/>
          <w:sz w:val="28"/>
          <w:szCs w:val="28"/>
          <w:rtl w:val="true"/>
          <w:lang w:bidi="fa-IR"/>
        </w:rPr>
        <w:t>أیضاً، فعلی سبیل المثال لو شُکّ فی صحة صلاة المیّت والمصلی مشتغلٌ بها علی الجنازة جرتْ أصالة الصحة وحکمنها بصحّة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یقتضیه النظر عدم تمامیة کلا الفرقین فلا یمکن الردّ بهما علی کلام المرحوم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الفرق الأوّل فکما نعتقده ویعتقده بعض المحققین ومنهم المرحوم الهمدانی</w:t>
      </w:r>
      <w:r>
        <w:rPr>
          <w:rStyle w:val="FootnoteAnchor"/>
          <w:rtl w:val="true"/>
        </w:rPr>
        <w:footnoteReference w:id="38"/>
      </w:r>
      <w:r>
        <w:rPr>
          <w:rFonts w:ascii="IRNazanin" w:hAnsi="IRNazanin" w:eastAsia="IRNazanin"/>
          <w:color w:val="111111"/>
          <w:sz w:val="28"/>
          <w:sz w:val="28"/>
          <w:szCs w:val="28"/>
          <w:rtl w:val="true"/>
          <w:lang w:bidi="fa-IR"/>
        </w:rPr>
        <w:t>أنّ أصالة الصحة لا اختصاص لها بفعل غیر المکلّف بل تجری فی فعل المکلّف نفسه أیضاً، وعلی هذا فإنّ قاعدة الفراغ من مصادیق أصالة الصحة ولا تختلف عنها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الثانی أیضاً لا یوجب الافتراق بین قاعدة الفراغ وأصالة الصحة، وذلک لأنّ أصالة الصحة عامّة تشتمل ما بعد الفراغ من العمل وأثناء العمل وتجری فیهما، فتشمل قاعدة الفراغ أیضاً التی تتعلّق بما بعد الانتهاء من العمل</w:t>
      </w:r>
      <w:bookmarkStart w:id="66" w:name="pg2935_29141"/>
    </w:p>
    <w:p>
      <w:pPr>
        <w:pStyle w:val="BookText"/>
        <w:rPr/>
      </w:pPr>
      <w:bookmarkEnd w:id="66"/>
      <w:r>
        <w:rPr>
          <w:rFonts w:ascii="IRNazanin" w:hAnsi="IRNazanin" w:eastAsia="IRNazanin"/>
          <w:color w:val="111111"/>
          <w:sz w:val="28"/>
          <w:sz w:val="28"/>
          <w:szCs w:val="28"/>
          <w:rtl w:val="true"/>
          <w:lang w:bidi="fa-IR"/>
        </w:rPr>
        <w:t>وعلیه فإنّ هذا الکلام یُثبت أصل المدّعی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هی ذاتها أصالة الصحة الجاریة بعد الانتهاء من العمل</w:t>
      </w:r>
      <w:r>
        <w:rPr>
          <w:rFonts w:eastAsia="IRNazanin" w:cs="IRNazanin"/>
          <w:color w:val="111111"/>
          <w:sz w:val="28"/>
          <w:szCs w:val="28"/>
          <w:rtl w:val="true"/>
          <w:lang w:bidi="fa-IR"/>
        </w:rPr>
        <w:t>.</w:t>
      </w:r>
    </w:p>
    <w:p>
      <w:pPr>
        <w:pStyle w:val="Heading4"/>
        <w:numPr>
          <w:ilvl w:val="3"/>
          <w:numId w:val="1"/>
        </w:numPr>
        <w:rPr/>
      </w:pPr>
      <w:bookmarkStart w:id="67" w:name="__RefHeading___Toc80694_2749589250"/>
      <w:bookmarkStart w:id="68" w:name="_Toc26"/>
      <w:bookmarkEnd w:id="67"/>
      <w:r>
        <w:rPr>
          <w:rtl w:val="true"/>
        </w:rPr>
        <w:t>تحقیق الکلام فی الفرق بین قاعدة الفراغ وأصالة الصحة</w:t>
      </w:r>
      <w:r>
        <w:rPr>
          <w:rtl w:val="true"/>
        </w:rPr>
        <w:t>:</w:t>
      </w:r>
      <w:bookmarkEnd w:id="68"/>
    </w:p>
    <w:p>
      <w:pPr>
        <w:pStyle w:val="BookText"/>
        <w:rPr/>
      </w:pPr>
      <w:r>
        <w:rPr>
          <w:rFonts w:ascii="IRNazanin" w:hAnsi="IRNazanin" w:eastAsia="IRNazanin"/>
          <w:color w:val="111111"/>
          <w:sz w:val="28"/>
          <w:sz w:val="28"/>
          <w:szCs w:val="28"/>
          <w:rtl w:val="true"/>
          <w:lang w:bidi="fa-IR"/>
        </w:rPr>
        <w:t>إنّ قاعدة الفراغ وأصالة الصحة مختلفتان من حیث الملاک وذلک لأنّ ملاک قاعدة الفراغ هو التوجّه والالتفات کما ورد التعبیر فی الروایات بالأذکریة یعنی أن یکون التفات المکلّف أثناء العمل أکثر من زمن فراغه من العمل حیث یشک فی صحته، وهذا الملاک غیر متوفر فی أصالة الصحة حیث یمکن فیها للعمل الذی قد أُنجز، أن یتّصف بأحد عنوانی الصحة والفساد إلا أنّ الشارع أو العقل قد غلب جانب الصحّة علی الفساد حیث قال الشارع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 أمر أخیک علی أحسنه حتی یأتیک ما یغلبک منه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محمد بن 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علاقة للأذکریة فی أصالة الصحة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قاعدة الفراغ وأصالة الصحة وإن اشترکتا فی بعض الأمور إلا أنّهما مختلفتین من ناحیة الملاک ولم یمکنْ عدّ أصالة الصحة بمنزلة الدلیل علی قاعدة الفراغ</w:t>
      </w:r>
      <w:r>
        <w:rPr>
          <w:rFonts w:eastAsia="IRNazanin" w:cs="IRNazanin"/>
          <w:color w:val="111111"/>
          <w:sz w:val="28"/>
          <w:szCs w:val="28"/>
          <w:rtl w:val="true"/>
          <w:lang w:bidi="fa-IR"/>
        </w:rPr>
        <w:t>.</w:t>
      </w:r>
    </w:p>
    <w:p>
      <w:pPr>
        <w:pStyle w:val="Heading3"/>
        <w:numPr>
          <w:ilvl w:val="2"/>
          <w:numId w:val="1"/>
        </w:numPr>
        <w:rPr/>
      </w:pPr>
      <w:bookmarkStart w:id="69" w:name="__RefHeading___Toc80696_2749589250"/>
      <w:bookmarkStart w:id="70" w:name="_Toc27"/>
      <w:bookmarkEnd w:id="69"/>
      <w:r>
        <w:rPr/>
        <w:t>5</w:t>
      </w:r>
      <w:r>
        <w:rPr>
          <w:rtl w:val="true"/>
        </w:rPr>
        <w:t xml:space="preserve">- </w:t>
      </w:r>
      <w:r>
        <w:rPr>
          <w:rtl w:val="true"/>
        </w:rPr>
        <w:t>أدلة المحقق الهمدانی</w:t>
      </w:r>
      <w:r>
        <w:rPr>
          <w:rtl w:val="true"/>
        </w:rPr>
        <w:t>:</w:t>
      </w:r>
      <w:bookmarkEnd w:id="70"/>
    </w:p>
    <w:p>
      <w:pPr>
        <w:pStyle w:val="Heading4"/>
        <w:numPr>
          <w:ilvl w:val="3"/>
          <w:numId w:val="1"/>
        </w:numPr>
        <w:rPr/>
      </w:pPr>
      <w:bookmarkStart w:id="71" w:name="__RefHeading___Toc80698_2749589250"/>
      <w:bookmarkStart w:id="72" w:name="_Toc28"/>
      <w:bookmarkEnd w:id="71"/>
      <w:r>
        <w:rPr>
          <w:rtl w:val="true"/>
        </w:rPr>
        <w:t>اشارة</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فی الدلیل السابق أن بیّننا بأن المرحوم المحقق الهمدانی جعل قاعدة الفراغ من مصادیق أصالة الصحّة ولم یلتزم بذلک فی قاعدة التجاوز، وعلی مبناه کلّما جاز جعله دلیلًا علی أصالة الصحة کان دلیلًا علی قاعدة الفراغ أیضاً، وقد ذکر فی کتابه ثلاثة أدلة علی أصالة الصحة وبالتالی سکتون هذه الأدلّة أدلّة</w:t>
      </w:r>
      <w:bookmarkStart w:id="73" w:name="pg2935_29142"/>
    </w:p>
    <w:p>
      <w:pPr>
        <w:pStyle w:val="BookText"/>
        <w:rPr/>
      </w:pPr>
      <w:bookmarkEnd w:id="73"/>
      <w:r>
        <w:rPr>
          <w:rFonts w:ascii="IRNazanin" w:hAnsi="IRNazanin" w:eastAsia="IRNazanin"/>
          <w:color w:val="111111"/>
          <w:sz w:val="28"/>
          <w:sz w:val="28"/>
          <w:szCs w:val="28"/>
          <w:rtl w:val="true"/>
          <w:lang w:bidi="fa-IR"/>
        </w:rPr>
        <w:t>علی قاعدة الفراغ أیضاً، ومن هنا کان لابدّ من البحث فی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المحقق الهمدانی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 فی حمل الأفعال الماضیة الصادرة من المکلّف أو من غیره علی الصحیح إنّما هی السیرة القطعیة ولولاه لاختلّ نظام المعاش والمعاد، ولم یقم للمسلمین سوقٌ، فضلًا عن لزوم العسر والحرج المنفیین فی الشریعة، إذ ما من أحد إلا إذا التفت إلی أعماله الماضیة من عباداته ومعاملاته، إلّا ویشکّ فی أکثرها لأجل الجهل بأحکامها أو اقترانها بأمور لو کان ملتفتاً إلیها لکان شاکاً، کما أنّه لو التفت إلی أعمال غیره، یشکّ فی صحّتها غالباً فلو بنی علی الاعتناء بشکّه لضاق علیه العیش، کما لا یخفی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80700_2749589250"/>
      <w:bookmarkStart w:id="75" w:name="_Toc29"/>
      <w:bookmarkEnd w:id="74"/>
      <w:r>
        <w:rPr>
          <w:rtl w:val="true"/>
        </w:rPr>
        <w:t>الدلیل الأوّل قاعدة لا حرج</w:t>
      </w:r>
      <w:r>
        <w:rPr>
          <w:rtl w:val="true"/>
        </w:rPr>
        <w:t>:</w:t>
      </w:r>
      <w:bookmarkEnd w:id="75"/>
    </w:p>
    <w:p>
      <w:pPr>
        <w:pStyle w:val="BookText"/>
        <w:rPr/>
      </w:pPr>
      <w:r>
        <w:rPr>
          <w:rFonts w:ascii="IRNazanin" w:hAnsi="IRNazanin" w:eastAsia="IRNazanin"/>
          <w:color w:val="111111"/>
          <w:sz w:val="28"/>
          <w:sz w:val="28"/>
          <w:szCs w:val="28"/>
          <w:rtl w:val="true"/>
          <w:lang w:bidi="fa-IR"/>
        </w:rPr>
        <w:t>فالدلیل الأوّل الذی أقیم علی أصالة الصحة قاعدة لا حرج التی تعتبر من القواعد الفقهیة المسلّمة، توضیح ذلک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إذا التفت إلی أعماله السابقة أو أعمال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الوضوء، المعاملات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واستقرأها مفصّلًا سیحصل له الشکّ فی کثیر منها، فلو وجب الاعتناء بشکّه هذا لزم العسر والحرج، فلو شک مثلًا فی صحة صلاة قد أتی بها سابقاً وجب علیه أن یعیدها، ولو التفت إلی هذه الصلاة المعادة حصل له الشکّ فی صحتها أیضاً ولزمته الإعادة، وهکذا یستمر الشکّ وتستمر معه إعادة الصلاة ولیس هذا إلا عسراً وحرجاً، وهذا الإشکال بعینه یجری فی الصوم والمعاملات وسایر أمور الحیاة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قاعدة لا حرج کإحدی القواعد الفقهیة تدلّ علی أنّ الله تعالی لم یشرع حکماً حرجیاً فی الشریعة ولمّا کان الاعتناء بالشک وعدم إجراء أصالة</w:t>
      </w:r>
      <w:bookmarkStart w:id="76" w:name="pg2935_29143"/>
    </w:p>
    <w:p>
      <w:pPr>
        <w:pStyle w:val="BookText"/>
        <w:rPr/>
      </w:pPr>
      <w:bookmarkEnd w:id="76"/>
      <w:r>
        <w:rPr>
          <w:rFonts w:ascii="IRNazanin" w:hAnsi="IRNazanin" w:eastAsia="IRNazanin"/>
          <w:color w:val="111111"/>
          <w:sz w:val="28"/>
          <w:sz w:val="28"/>
          <w:szCs w:val="28"/>
          <w:rtl w:val="true"/>
          <w:lang w:bidi="fa-IR"/>
        </w:rPr>
        <w:t>الصحة موجباً للعسر والحرج یحکم بنفیها من خلال قاعدة لا حرج فیحکم بجریان أصالة الصحة</w:t>
      </w:r>
      <w:r>
        <w:rPr>
          <w:rFonts w:eastAsia="IRNazanin" w:cs="IRNazanin"/>
          <w:color w:val="111111"/>
          <w:sz w:val="28"/>
          <w:szCs w:val="28"/>
          <w:rtl w:val="true"/>
          <w:lang w:bidi="fa-IR"/>
        </w:rPr>
        <w:t>.</w:t>
      </w:r>
    </w:p>
    <w:p>
      <w:pPr>
        <w:pStyle w:val="Heading4"/>
        <w:numPr>
          <w:ilvl w:val="3"/>
          <w:numId w:val="1"/>
        </w:numPr>
        <w:rPr/>
      </w:pPr>
      <w:bookmarkStart w:id="77" w:name="__RefHeading___Toc80702_2749589250"/>
      <w:bookmarkStart w:id="78" w:name="_Toc30"/>
      <w:bookmarkEnd w:id="77"/>
      <w:r>
        <w:rPr>
          <w:rtl w:val="true"/>
        </w:rPr>
        <w:t>الدلیل الثانی</w:t>
      </w:r>
      <w:r>
        <w:rPr>
          <w:rtl w:val="true"/>
        </w:rPr>
        <w:t>:</w:t>
      </w:r>
      <w:bookmarkEnd w:id="78"/>
    </w:p>
    <w:p>
      <w:pPr>
        <w:pStyle w:val="BookText"/>
        <w:rPr/>
      </w:pPr>
      <w:r>
        <w:rPr>
          <w:rFonts w:ascii="IRNazanin" w:hAnsi="IRNazanin" w:eastAsia="IRNazanin"/>
          <w:color w:val="111111"/>
          <w:sz w:val="28"/>
          <w:sz w:val="28"/>
          <w:szCs w:val="28"/>
          <w:rtl w:val="true"/>
          <w:lang w:bidi="fa-IR"/>
        </w:rPr>
        <w:t>التعلیل الوارد فی 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ذلک أنّه لو لم تکن الید حجة ولم یمکن للناس أن یحکموا بملکیة الأشخاص للأموال التی تحت أیدیهم لما قام للمسلمین سوق، فالمرحوم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من عموم هذا التعلیل لیعمّمه علی موارد جریان قاعدة الفراغ وأصالة الصحة حیث إنّه لو التزم بلزوم الإعادة فی موارد الشکّ فی صحّة الأعمال السابقة لم یبق سوق للمسلمین قط</w:t>
      </w:r>
      <w:r>
        <w:rPr>
          <w:rFonts w:eastAsia="IRNazanin" w:cs="IRNazanin"/>
          <w:color w:val="111111"/>
          <w:sz w:val="28"/>
          <w:szCs w:val="28"/>
          <w:rtl w:val="true"/>
          <w:lang w:bidi="fa-IR"/>
        </w:rPr>
        <w:t>.</w:t>
      </w:r>
    </w:p>
    <w:p>
      <w:pPr>
        <w:pStyle w:val="Heading4"/>
        <w:numPr>
          <w:ilvl w:val="3"/>
          <w:numId w:val="1"/>
        </w:numPr>
        <w:rPr/>
      </w:pPr>
      <w:bookmarkStart w:id="79" w:name="__RefHeading___Toc80704_2749589250"/>
      <w:bookmarkStart w:id="80" w:name="_Toc31"/>
      <w:bookmarkEnd w:id="79"/>
      <w:r>
        <w:rPr>
          <w:rtl w:val="true"/>
        </w:rPr>
        <w:t>الدلیل الثالث اختلال النظام</w:t>
      </w:r>
      <w:r>
        <w:rPr>
          <w:rtl w:val="true"/>
        </w:rPr>
        <w:t>:</w:t>
      </w:r>
      <w:bookmarkEnd w:id="80"/>
    </w:p>
    <w:p>
      <w:pPr>
        <w:pStyle w:val="BookText"/>
        <w:rPr/>
      </w:pPr>
      <w:r>
        <w:rPr>
          <w:rFonts w:ascii="IRNazanin" w:hAnsi="IRNazanin" w:eastAsia="IRNazanin"/>
          <w:color w:val="111111"/>
          <w:sz w:val="28"/>
          <w:sz w:val="28"/>
          <w:szCs w:val="28"/>
          <w:rtl w:val="true"/>
          <w:lang w:bidi="fa-IR"/>
        </w:rPr>
        <w:t>حیث یقال فی بیان هذا الدلیل بأنّه لو بنینا علی وجوب إعادة الأعمال السابقة بمجرّد الشکّ فی صحتها لزم اختلال نظام حیاة الناس ومعیشتهم وإصابتهم بهلع وضیاع، وهذا الدلیل مآله إلی الدلیل السابق لأنّ الناتج منهما زوال نظام المجتمع واختلال حیاة الأفراد</w:t>
      </w:r>
      <w:r>
        <w:rPr>
          <w:rFonts w:eastAsia="IRNazanin" w:cs="IRNazanin"/>
          <w:color w:val="111111"/>
          <w:sz w:val="28"/>
          <w:szCs w:val="28"/>
          <w:rtl w:val="true"/>
          <w:lang w:bidi="fa-IR"/>
        </w:rPr>
        <w:t>.</w:t>
      </w:r>
    </w:p>
    <w:p>
      <w:pPr>
        <w:pStyle w:val="Heading4"/>
        <w:numPr>
          <w:ilvl w:val="3"/>
          <w:numId w:val="1"/>
        </w:numPr>
        <w:rPr/>
      </w:pPr>
      <w:bookmarkStart w:id="81" w:name="__RefHeading___Toc80706_2749589250"/>
      <w:bookmarkStart w:id="82" w:name="_Toc32"/>
      <w:bookmarkEnd w:id="81"/>
      <w:r>
        <w:rPr>
          <w:rtl w:val="true"/>
        </w:rPr>
        <w:t>الرد علی أدلّة المرحوم الهمدانی</w:t>
      </w:r>
      <w:r>
        <w:rPr>
          <w:rtl w:val="true"/>
        </w:rPr>
        <w:t>:</w:t>
      </w:r>
      <w:bookmarkEnd w:id="82"/>
    </w:p>
    <w:p>
      <w:pPr>
        <w:pStyle w:val="Heading5"/>
        <w:numPr>
          <w:ilvl w:val="4"/>
          <w:numId w:val="1"/>
        </w:numPr>
        <w:rPr/>
      </w:pPr>
      <w:bookmarkStart w:id="83" w:name="__RefHeading___Toc80708_2749589250"/>
      <w:bookmarkStart w:id="84" w:name="_Toc33"/>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حیث یمکن الردّ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الکلّی الشامل للأدلة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الردود الجزئیة الخاصة المتعلّقة بکلّ واحد من تلک الأدلة الثلاثة</w:t>
      </w:r>
      <w:r>
        <w:rPr>
          <w:rFonts w:eastAsia="IRNazanin" w:cs="IRNazanin"/>
          <w:color w:val="111111"/>
          <w:sz w:val="28"/>
          <w:szCs w:val="28"/>
          <w:rtl w:val="true"/>
          <w:lang w:bidi="fa-IR"/>
        </w:rPr>
        <w:t>.</w:t>
      </w:r>
    </w:p>
    <w:p>
      <w:pPr>
        <w:pStyle w:val="Heading5"/>
        <w:numPr>
          <w:ilvl w:val="4"/>
          <w:numId w:val="1"/>
        </w:numPr>
        <w:rPr/>
      </w:pPr>
      <w:bookmarkStart w:id="85" w:name="__RefHeading___Toc80710_2749589250"/>
      <w:bookmarkStart w:id="86" w:name="_Toc34"/>
      <w:bookmarkEnd w:id="85"/>
      <w:r>
        <w:rPr>
          <w:rtl w:val="true"/>
        </w:rPr>
        <w:t>أ</w:t>
      </w:r>
      <w:r>
        <w:rPr>
          <w:rtl w:val="true"/>
        </w:rPr>
        <w:t xml:space="preserve">- </w:t>
      </w:r>
      <w:r>
        <w:rPr>
          <w:rtl w:val="true"/>
        </w:rPr>
        <w:t>الرد الکلّی المتعلّق بجمیع الأدلّة الثلاثة</w:t>
      </w:r>
      <w:r>
        <w:rPr>
          <w:rtl w:val="true"/>
        </w:rPr>
        <w:t>:</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الروایات التی تُعد مستنداً لقاعدة الفراغ والتجاوز تتجاوز العشرین روایة</w:t>
      </w:r>
      <w:bookmarkStart w:id="87" w:name="pg2935_29144"/>
    </w:p>
    <w:p>
      <w:pPr>
        <w:pStyle w:val="BookText"/>
        <w:rPr/>
      </w:pPr>
      <w:bookmarkEnd w:id="87"/>
      <w:r>
        <w:rPr>
          <w:rFonts w:ascii="IRNazanin" w:hAnsi="IRNazanin" w:eastAsia="IRNazanin"/>
          <w:color w:val="111111"/>
          <w:sz w:val="28"/>
          <w:sz w:val="28"/>
          <w:szCs w:val="28"/>
          <w:rtl w:val="true"/>
          <w:lang w:bidi="fa-IR"/>
        </w:rPr>
        <w:t xml:space="preserve">وهی إمّا أن لم یذکر فیها تعلیل وإما أن ذُکر فیها التعلیل بمثل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آخر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فی مقام بیان الدلیل إلا أنّه لم یستدلّ فی روایة من روایات قاعدة الفراغ والتجاوز باختلال النظام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قاعدة لا حرج،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فی کثیر من المسائل الفقهیة الحرجیة علی نفی الحرج ورفع التکلیف بالآیة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ممّا یدلّ علی أنّ هذه الأمور الثلاثة لیست أدلّة علی قاعدة الفراغ</w:t>
      </w:r>
      <w:r>
        <w:rPr>
          <w:rFonts w:eastAsia="IRNazanin" w:cs="IRNazanin"/>
          <w:color w:val="111111"/>
          <w:sz w:val="28"/>
          <w:szCs w:val="28"/>
          <w:rtl w:val="true"/>
          <w:lang w:bidi="fa-IR"/>
        </w:rPr>
        <w:t>.</w:t>
      </w:r>
    </w:p>
    <w:p>
      <w:pPr>
        <w:pStyle w:val="Heading5"/>
        <w:numPr>
          <w:ilvl w:val="4"/>
          <w:numId w:val="1"/>
        </w:numPr>
        <w:rPr/>
      </w:pPr>
      <w:bookmarkStart w:id="88" w:name="__RefHeading___Toc80712_2749589250"/>
      <w:bookmarkStart w:id="89" w:name="_Toc35"/>
      <w:bookmarkEnd w:id="88"/>
      <w:r>
        <w:rPr>
          <w:rtl w:val="true"/>
        </w:rPr>
        <w:t>ب</w:t>
      </w:r>
      <w:r>
        <w:rPr>
          <w:rtl w:val="true"/>
        </w:rPr>
        <w:t xml:space="preserve">- </w:t>
      </w:r>
      <w:r>
        <w:rPr>
          <w:rtl w:val="true"/>
        </w:rPr>
        <w:t xml:space="preserve">الرد الخاص بدلیلیة </w:t>
      </w:r>
      <w:r>
        <w:rPr>
          <w:rtl w:val="true"/>
        </w:rPr>
        <w:t>(</w:t>
      </w:r>
      <w:r>
        <w:rPr>
          <w:rtl w:val="true"/>
        </w:rPr>
        <w:t>لاحرج</w:t>
      </w:r>
      <w:r>
        <w:rPr>
          <w:rtl w:val="true"/>
        </w:rPr>
        <w:t>):</w:t>
      </w:r>
      <w:bookmarkEnd w:id="8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ننکر وقوع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لقاعدة نفی الحرج لأنّ قاعدة نفی الحرج إنّما تتصوّر فی موارد یشک فیها غالب الناس فی صحة أعمالهم بعد الفراغ من العمل، أمّا أثناء العمل فقلّما یُبتلی المکلّف بهذا النوع من الشکّ، وعلیه فلیس ما ادّعاه المرحوم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أحدٍ إذا التفت إلی أعماله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ویشک فی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یطابق الواقع، لأنّ الشکّ من هذا القبیل إنّما یقع للقلیل من الناس وبالتالی فلا یکون مستلزماً للعسر والحرج</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لا حرج لیست قاعدة ثابتة فلا یمکن إثبات الحکم بالاستناد إلیها، وذلک أنّ هذه القاعدة تفید أنّ الحکم الحرجی لم یُجعل فی الشریعة بینما تثبت قاعدة الفراغ صحّة الجزء المشکوک وتثبت قاعدة التجاوز حصول الجزء المشکوک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علی رأی بعض الفقهاء فی قاعدة التجاوز لا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bookmarkStart w:id="90" w:name="pg2935_29145"/>
    </w:p>
    <w:p>
      <w:pPr>
        <w:pStyle w:val="BookText"/>
        <w:rPr/>
      </w:pPr>
      <w:bookmarkEnd w:id="90"/>
      <w:r>
        <w:rPr>
          <w:rFonts w:ascii="IRNazanin" w:hAnsi="IRNazanin" w:eastAsia="IRNazanin"/>
          <w:color w:val="111111"/>
          <w:sz w:val="28"/>
          <w:sz w:val="28"/>
          <w:szCs w:val="28"/>
          <w:rtl w:val="true"/>
          <w:lang w:bidi="fa-IR"/>
        </w:rPr>
        <w:t>هذا فإنّ لسان قاعدة الفراغ والتجاوز مثبت وإیجابی بینما لسان قاعدة لا حرج منفی وسلبی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80714_2749589250"/>
      <w:bookmarkStart w:id="92" w:name="_Toc36"/>
      <w:bookmarkEnd w:id="91"/>
      <w:r>
        <w:rPr>
          <w:rtl w:val="true"/>
        </w:rPr>
        <w:t>ج</w:t>
      </w:r>
      <w:r>
        <w:rPr>
          <w:rtl w:val="true"/>
        </w:rPr>
        <w:t xml:space="preserve">- </w:t>
      </w:r>
      <w:r>
        <w:rPr>
          <w:rtl w:val="true"/>
        </w:rPr>
        <w:t>الرد الخاص بالتعلیل بقاعدة الید واختلال النظام</w:t>
      </w:r>
      <w:r>
        <w:rPr>
          <w:rtl w:val="true"/>
        </w:rPr>
        <w:t>:</w:t>
      </w:r>
      <w:bookmarkEnd w:id="9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أسلفنا فی الجواب السابق أنّ الإشکال إنّما یرد علی صغری کلام المرحوم المحقق الهمدانی حیث لا یحصل الشکّ من هذا القبیل لجمیع الناس وإنّما یحصل لعددٍ قلیل منهم ومن هنا فإنّ إعادة الأعمال السابقة لا تؤدّی إلی تعطیل سوق المسلمین فضلًا عن اختلال نظام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لولاه 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انصراف ظاهر إلی المعاملات بالمعنی الأعم وبالتالی لا یشمل بابی العبادات والطهارات الذَین هما المجریان الأساسیان لقاعدة الفراغ، فلو أوجب الشارع إعادة العمل فیما لو شُک فی صحته بعد الفراغ منه فی بابی العبادات والطهارات لم یکن لذلک علاقة بسوق المسلمین أو باختلال نظام معیشة الناس ولم یلزم أی خلل فی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الاستناد إلی الدلیل الخامس القائم علی قاعدة الفراغ فهو مردود</w:t>
      </w:r>
      <w:r>
        <w:rPr>
          <w:rFonts w:eastAsia="IRNazanin" w:cs="IRNazanin"/>
          <w:color w:val="111111"/>
          <w:sz w:val="28"/>
          <w:szCs w:val="28"/>
          <w:rtl w:val="true"/>
          <w:lang w:bidi="fa-IR"/>
        </w:rPr>
        <w:t>.</w:t>
      </w:r>
    </w:p>
    <w:p>
      <w:pPr>
        <w:pStyle w:val="Heading3"/>
        <w:numPr>
          <w:ilvl w:val="2"/>
          <w:numId w:val="1"/>
        </w:numPr>
        <w:rPr/>
      </w:pPr>
      <w:bookmarkStart w:id="93" w:name="__RefHeading___Toc80716_2749589250"/>
      <w:bookmarkStart w:id="94" w:name="_Toc37"/>
      <w:bookmarkEnd w:id="93"/>
      <w:r>
        <w:rPr/>
        <w:t>6</w:t>
      </w:r>
      <w:r>
        <w:rPr>
          <w:rtl w:val="true"/>
        </w:rPr>
        <w:t xml:space="preserve">- </w:t>
      </w:r>
      <w:r>
        <w:rPr>
          <w:rtl w:val="true"/>
        </w:rPr>
        <w:t>الأخبار والروایات</w:t>
      </w:r>
      <w:r>
        <w:rPr>
          <w:rtl w:val="true"/>
        </w:rPr>
        <w:t>:</w:t>
      </w:r>
      <w:bookmarkEnd w:id="9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سبق فی ابتداء البحث عن أدلّة قاعدة الفراغ والتجاوز أنّ عمدة هذه الأدلّة وأساسها هی الروایات المستفیضة المعتبرة أکثرها، حتی أنّ بعض الأعاظم</w:t>
      </w:r>
    </w:p>
    <w:p>
      <w:pPr>
        <w:pStyle w:val="BookText"/>
        <w:rPr/>
      </w:pPr>
      <w:r>
        <w:rPr>
          <w:rFonts w:ascii="IRNazanin" w:hAnsi="IRNazanin" w:eastAsia="IRNazanin"/>
          <w:color w:val="111111"/>
          <w:sz w:val="28"/>
          <w:sz w:val="28"/>
          <w:szCs w:val="28"/>
          <w:rtl w:val="true"/>
          <w:lang w:bidi="fa-IR"/>
        </w:rPr>
        <w:t xml:space="preserve">کالمرحوم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ینوّه إلی الأدلّة الخمسة السابقة بل دخل مباشرة فی البحث عن الروایات وذلک لعدم تمامیة تلک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ورد أغلبها فی أبواب الطهارة والصلاة والحج وهی فوق حد الآحاد وقد وصلت إلی حدّ الاستفاضة، ولا یبعد بل یمکن ادّعاء تواترها معنی بعد دراستها والتأمل فیها وإن لم یتحقق التواتر اللفظی فی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یُبحث عنه فی الدلیل السادس هو أنّ هذه الروایات هل تدلّ علی أصل قاعدة الفراغ والتجاوز أو لا؟ ولا ندخل فی تفاصیل البحث فی هذا المجال بل ینصب اهتمامنا ببیان أنّ من فرغ من عمل ما ثم شک فی صحته فهل تجاوز محله فهل یعتنی بشکّه طبقاً لمضمون هذه الروایات؟ فما مدلولها؟</w:t>
      </w:r>
    </w:p>
    <w:p>
      <w:pPr>
        <w:pStyle w:val="BookText"/>
        <w:rPr/>
      </w:pPr>
      <w:r>
        <w:rPr>
          <w:rFonts w:ascii="IRNazanin" w:hAnsi="IRNazanin" w:eastAsia="IRNazanin"/>
          <w:color w:val="111111"/>
          <w:sz w:val="28"/>
          <w:sz w:val="28"/>
          <w:szCs w:val="28"/>
          <w:rtl w:val="true"/>
          <w:lang w:bidi="fa-IR"/>
        </w:rPr>
        <w:t>أمّا الروایات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ابن أبی عمیر، عن أبی أیّوب الخزّاز،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الرجل یشکّ بعدما ینصرف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ولا شی‌ء علیه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صحیحة، والمراد بمحمد بن الحسن هو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أجلّاء فقهاء الامامیة العظام ولا یخفی وثاقته وجلالة قدره وعظمة شأنه علی أحد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وطریق المرحوم الشیخ الطوسی بحسین بن سعید طریق صحیح وقد ذکر فی</w:t>
      </w:r>
    </w:p>
    <w:p>
      <w:pPr>
        <w:pStyle w:val="BookText"/>
        <w:rPr/>
      </w:pPr>
      <w:r>
        <w:rPr>
          <w:rFonts w:ascii="IRNazanin" w:hAnsi="IRNazanin" w:eastAsia="IRNazanin"/>
          <w:color w:val="111111"/>
          <w:sz w:val="28"/>
          <w:sz w:val="28"/>
          <w:szCs w:val="28"/>
          <w:rtl w:val="true"/>
          <w:lang w:bidi="fa-IR"/>
        </w:rPr>
        <w:t>المشیخة</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یراد به الحسین بن سعید بن حمّاد بن سعید بن مهران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صرّح بوثاقته کبار علماء الرجال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یراد به محمد بن أبی عمیر وهو من الثقات والأعاظم عند الإمامیة</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أیوب الخراز یعبر عنه فی کتب الرجال بأسماء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عیسی أبو أیوب إبراهیم الخراز أبو أیوب، إبراهیم بن زیاد أبو أیوب، إبراهیم بن زیاد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شخص واحد وهو ثقة وله کتاب النوادر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فقهائنا الأصحاب وکان الأوثق فی الکوفة وقد تتلمّذ عند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فلا إشکال فی سند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دلالة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الروایة یسأل محمد بن مسلم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شک بعد الإنصراف من صلاته ویجیب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الشکّ لا یعتنی به فلا تجب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هذه الروایة مختصّة بباب الصلاة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الروایة للقسمین من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صحة الصلاة والشک فی إتیان جزءٍ من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البحث فی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یراد بالانصراف الانصراف الفقهی الحاصل بالتسلیم بعمل آخر؟ یری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هو الانصراف الفقهی وقد عُبِّر فی الروایات عن التسلیم فی الصلاة بعنوان الانصراف</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أحمد بن محمد، عن الحسن بن محبوب، عن علی بن رئاب،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بعد ما تفرغ من صلاتک فامض ولا تُعدْ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سند الروایة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کسابقتها روایة صحیحة إذ طریق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بأحمد بن محمد طریق صحیح کما ورد ذلک فی مشیخة التهذیب فإنّ أحمد بن محمد أو أحمد بن محمد بن خالد البرقی</w:t>
      </w:r>
      <w:r>
        <w:rPr>
          <w:rStyle w:val="FootnoteAnchor"/>
          <w:rtl w:val="true"/>
        </w:rPr>
        <w:footnoteReference w:id="51"/>
      </w:r>
      <w:r>
        <w:rPr>
          <w:rFonts w:ascii="IRNazanin" w:hAnsi="IRNazanin" w:eastAsia="IRNazanin"/>
          <w:color w:val="111111"/>
          <w:sz w:val="28"/>
          <w:sz w:val="28"/>
          <w:szCs w:val="28"/>
          <w:rtl w:val="true"/>
          <w:lang w:bidi="fa-IR"/>
        </w:rPr>
        <w:t xml:space="preserve">وهو من الثقات الأجلاء وطریق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رویته بهذه الأسانید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أبو الحسن علی بن إبراهیم بن هاشم القمی، ومحمد بن عبد الله بن أذینة، وأحمد بن عبد الله بن أمیة، وعلی بن الحسین السعد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w:t>
      </w:r>
      <w:r>
        <w:rPr>
          <w:rStyle w:val="FootnoteAnchor"/>
          <w:rtl w:val="true"/>
        </w:rPr>
        <w:footnoteReference w:id="52"/>
      </w:r>
      <w:r>
        <w:rPr>
          <w:rFonts w:ascii="IRNazanin" w:hAnsi="IRNazanin" w:eastAsia="IRNazanin"/>
          <w:color w:val="111111"/>
          <w:sz w:val="28"/>
          <w:sz w:val="28"/>
          <w:szCs w:val="28"/>
          <w:rtl w:val="true"/>
          <w:lang w:bidi="fa-IR"/>
        </w:rPr>
        <w:t xml:space="preserve">وهو طریق صحیح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الأشعری وهو فقیه وشیخ القمیین ومن الثقات</w:t>
      </w:r>
      <w:r>
        <w:rPr>
          <w:rStyle w:val="FootnoteAnchor"/>
          <w:rtl w:val="true"/>
        </w:rPr>
        <w:footnoteReference w:id="53"/>
      </w:r>
      <w:r>
        <w:rPr>
          <w:rFonts w:ascii="IRNazanin" w:hAnsi="IRNazanin" w:eastAsia="IRNazanin"/>
          <w:color w:val="111111"/>
          <w:sz w:val="28"/>
          <w:sz w:val="28"/>
          <w:szCs w:val="28"/>
          <w:rtl w:val="true"/>
          <w:lang w:bidi="fa-IR"/>
        </w:rPr>
        <w:t xml:space="preserve">وطریق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رویته بهده الأسانید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أبو جعفر محمد بن یحیی العطار القمی، وعلی بن موسی بن جعفر الکمندانی،</w:t>
      </w:r>
    </w:p>
    <w:p>
      <w:pPr>
        <w:pStyle w:val="BookText"/>
        <w:rPr/>
      </w:pPr>
      <w:r>
        <w:rPr>
          <w:rFonts w:ascii="IRNazanin" w:hAnsi="IRNazanin" w:eastAsia="IRNazanin"/>
          <w:color w:val="111111"/>
          <w:sz w:val="28"/>
          <w:sz w:val="28"/>
          <w:szCs w:val="28"/>
          <w:rtl w:val="true"/>
          <w:lang w:bidi="fa-IR"/>
        </w:rPr>
        <w:t>وأبو سلیمان داوود بن کورة القمی، وأبو علی أحمد بن إدریس بن أحمد الأشعری القمی، وأبو الحسن علی بن إبراهیم بن هاشم القمی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وهذا الطریق أیضاً طریق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وقد وثّقه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النجاشی لم یذکر اسمه فی کتابه ولم یتعرّض لترجمته، بینما ذکره الکشی من أصحاب الإجماع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من ثقات الإمامیة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ترجمة محمد بن مسلم فقد سبقت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صحة الصلاة أو فی إتیان جزء منها، بعد الفراغ منها فامض ولا تعتنِ بشکک ولا حاجة إلی إعادتها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أیضاً تدلّ بوضوح علی قاعدة الفراغ والتجاوز فی خصوص الصلاة، والجدیر بالذکر أنّ المرحوم صاحب الوسائل نقل الروایة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العموم الزمانی أی فی کلّ زمنٍ شککت بعد إتمام الصلاة لا تعتنِ بشکک، أمّا فی تهذیب الأحکام فقد جاءت الروایة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العموم الإفرادی أی أنّک إذا شککت بعد الفراغ من الصلاة فی أی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الصحة أم فی إتیان جزءٍ من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باعتقادی تعبیر روایة تهذیب الأحکام لا عبارة وسائل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الرجل بعدما صلّی فلم یدر ثلاثاً صلّی أم أربعاً وکان یقینه حین انصرف أنّه قد کان قد أتمّ، لم یُعِد الصلاة، وکان حین انصرف أقرب إلی الحق منه بعد ذلک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إدریس فی آخر السرائر نقلًا من کتاب محمد بن علی بن محبوب، عن یعقوب بن یزید، عن ابن أبی عمیر، عن محمد بن مسلم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الصدوق من کبار فقهائنا الإمامیة، أمّا إسناد المرحوم الشیخ الصدوق إلی محمد بن مسلم کما ورد ذلک فی مشیخة کتاب الفقیه فهو کالتالی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بن عبد الله بن أحمد بن أبی عبد الله</w:t>
      </w:r>
      <w:r>
        <w:rPr>
          <w:rStyle w:val="FootnoteAnchor"/>
          <w:rtl w:val="true"/>
        </w:rPr>
        <w:footnoteReference w:id="59"/>
      </w:r>
      <w:r>
        <w:rPr>
          <w:rFonts w:ascii="IRNazanin" w:hAnsi="IRNazanin" w:eastAsia="IRNazanin"/>
          <w:color w:val="111111"/>
          <w:sz w:val="28"/>
          <w:sz w:val="28"/>
          <w:szCs w:val="28"/>
          <w:rtl w:val="true"/>
          <w:lang w:bidi="fa-IR"/>
        </w:rPr>
        <w:t>، عن أبیه</w:t>
      </w:r>
      <w:r>
        <w:rPr>
          <w:rStyle w:val="FootnoteAnchor"/>
          <w:rtl w:val="true"/>
        </w:rPr>
        <w:footnoteReference w:id="60"/>
      </w:r>
      <w:r>
        <w:rPr>
          <w:rFonts w:ascii="IRNazanin" w:hAnsi="IRNazanin" w:eastAsia="IRNazanin"/>
          <w:color w:val="111111"/>
          <w:sz w:val="28"/>
          <w:sz w:val="28"/>
          <w:szCs w:val="28"/>
          <w:rtl w:val="true"/>
          <w:lang w:bidi="fa-IR"/>
        </w:rPr>
        <w:t>عن جده أحمد بن أبی عبد الله البرقی</w:t>
      </w:r>
      <w:r>
        <w:rPr>
          <w:rStyle w:val="FootnoteAnchor"/>
          <w:rtl w:val="true"/>
        </w:rPr>
        <w:footnoteReference w:id="61"/>
      </w:r>
      <w:r>
        <w:rPr>
          <w:rFonts w:ascii="IRNazanin" w:hAnsi="IRNazanin" w:eastAsia="IRNazanin"/>
          <w:color w:val="111111"/>
          <w:sz w:val="28"/>
          <w:sz w:val="28"/>
          <w:szCs w:val="28"/>
          <w:rtl w:val="true"/>
          <w:lang w:bidi="fa-IR"/>
        </w:rPr>
        <w:t>، عن أبیه محمد بن خالد</w:t>
      </w:r>
      <w:r>
        <w:rPr>
          <w:rStyle w:val="FootnoteAnchor"/>
          <w:rtl w:val="true"/>
        </w:rPr>
        <w:footnoteReference w:id="62"/>
      </w:r>
      <w:r>
        <w:rPr>
          <w:rFonts w:ascii="IRNazanin" w:hAnsi="IRNazanin" w:eastAsia="IRNazanin"/>
          <w:color w:val="111111"/>
          <w:sz w:val="28"/>
          <w:sz w:val="28"/>
          <w:szCs w:val="28"/>
          <w:rtl w:val="true"/>
          <w:lang w:bidi="fa-IR"/>
        </w:rPr>
        <w:t>، عن العلاء بن رزین</w:t>
      </w:r>
      <w:r>
        <w:rPr>
          <w:rStyle w:val="FootnoteAnchor"/>
          <w:rtl w:val="true"/>
        </w:rPr>
        <w:footnoteReference w:id="63"/>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فی هذا الطریق أحمد بن عبد الله بن أحمد بن أبی عبد الله وأبوه وهما لم یُوثّقَا فی الکتب الرجالیة إلّا أنّنا نعتقد بوثاقتهما نظراً إلی قرائن تدلّ علی وثاقتهما وعلیه فإنّ هذا الطریق 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بعد الانتهاء من صلاته بأنّه صلّی ثلاث رکعات أم أربعاً وقد کان متیقّناً من تمامیة صلاته عند الفراغ منها لم تجب علیه الإعادة لأنّ زمان انصرافه من الصلاة أقرب إلی الواقع من زمان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معنی قاعدة الفراغ أی عدم وجوب الاعتناء بالشک بعد الانتهاء من العمل، هذا ولکن فی هذه الروایة عبارةً قد تدلّ علی عدم ارتباط الروایة بقاعدة الفراغ فلابدّ من التأمل فی هذه العبارة التی یقول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یقینه حین انصرف أنّه کان قد 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المصلّی عند انصرافه من الصلاة کان متیقّناً من أنّه قد أتمّ صلاته ثمّ شک بعد مرّة، وبهذا البیان تکون الروایة مرتبطة بقاعدة الیقین والشک الساری حیث أنّ المصلی عند إتمام الصلاة متیقّن من تمامیة صلاته ثمّ یحصل له الشکّ فی ذلک المتیقّن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فترة فهنا یُحکم بصحة صلاته طبقاً لقاعدة الیقین فلا تجب الإعادة وعلی هذا فلا دلالة لهذه الروایة علی قاعدة الفراغ</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حمل الروایة علی قاعدة الفراغ بتوجیه بسیط وهو بأن نحمل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ظاهر معناها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یقینه حین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المصلی کان کمن تیقّن بتمامیة صلاته وصحّتها لا أنّ هذا المصلی نفسه کان متیقّناً بتمامیة صلاته بعد الفراغ منها، وعلیه یمکن جعل هذه الروایة دلیلًا علی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الأخری فی هذه الروایة أنّه کما نقلنا من کتاب وسائل الشیعة أنّ ابن إدریس أیضاً قد روی هذه الروایة فی مستطرفات السرائر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هناک إشکالًا فی سند هذا النقل حیث یقع فی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یُوَثَّقْ</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وعلی هذا فإن ابن إدریس ینقل هذه الروایات عن المرحوم الشیخ الطوسی الذی طریقه إلی محمد بن علی بن محبوب هو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أخبرنی به الحسین بن عبید الله عن أحمد بن محمد بن یحیی العطّار عن أبیه محمد بن یحیی 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مشیخة تهذیب الأحکام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الطریق یوجد أحمد بن محمد بن یحیی العطار الذی لم یُذکر فی حقه توثیق فی کتب الرجال للمتقدمین، هذا ولکنّ بعض الأعلام من أمثال الشهید الثانی والشیخ البهائی قد وثّقوه، والسید الخوئی یرفض هذا التوثیق لکون هذا التوثیق أمراً اجتهادیاً واستنباطیاً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القاسم الموسوی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المرحوم آیة الله العظمی البروجردی فقد أثبت وثاقة أحمد بن محمد بن یحیی العطّار من خلال روایة الشیخ الطوسی والشیخ الصدوق عنه ولاسیّما مع کثرة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 اللنکرانی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التقریر فی مباحث الصلاة تقریراً لأبحاث السید حسین الطباطبائی البروجردی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أحمد بن محمد عن أحمد بن محمد بن أبی نصر، عن حماد بن عیسی، عن حریز بن عبد الله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الأذان وقد دخل فی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وقد قرأ؟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وقد سجد؟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إذا خرجتَ من شی‌ءٍ ثمّ دخلت فی غیره فشککَ لیس بشی‌ءٍ</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سند هذه الروایة التی تعد من الروایات المعروفة فی هذا الباب وتدعی بصحیحة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الطوسی وإسناده إلی أحمد بن محمد إسناد صحیح کما سبق تفصیل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أحمد بن محمد بن أبی نصر البزنطی وهو من أهالی الکوفة ومن ثقات الإمامیة وقد التقی بالإمام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مکانة رفیعة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حماد بن عیسی الجُهنّی الذی غرق فی جحفة وکان من ثقات الإمامیة، وقد صرّح بوثاقته الشیخ الطوسی والنجاشی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حریز بن عبد الله السجستانی أبو محمد الأزدی ثقة من أهالی الکوفة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عن التوصیف وکان من الفقهاء والمتکلّمین فی عصره وله شأنه عند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ینقل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الاستصحاب نقلًا عن کتابی تهذیب الأحکام ووسائل الشیعة ذیل الروایة بعبارة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فلیس بشی‌ءٍ</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یتابع</w:t>
      </w:r>
    </w:p>
    <w:p>
      <w:pPr>
        <w:pStyle w:val="BookText"/>
        <w:rPr/>
      </w:pPr>
      <w:r>
        <w:rPr>
          <w:rFonts w:ascii="IRNazanin" w:hAnsi="IRNazanin" w:eastAsia="IRNazanin"/>
          <w:color w:val="111111"/>
          <w:sz w:val="28"/>
          <w:sz w:val="28"/>
          <w:szCs w:val="28"/>
          <w:rtl w:val="true"/>
          <w:lang w:bidi="fa-IR"/>
        </w:rPr>
        <w:t xml:space="preserve">کلامه بأنّ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ورد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ولا یضرّ ذلک بالروایة علی کلا التعبیرین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الروایة نجد زرارة یسأل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عدیدة ویجیب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یذکر فیها خمسة من موارد قاعدة الفراغ ثمّ یبیّن قاعدة کلّیة فیها، فقد سأل زرارة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المصلی إذا شک فی الأذان وهو فی الاقامة أو شک فی الأذان والاقامة وهو فی حالة التکبیر أو شک فی التکبیر وهو منشغل فی القراءة فی الصلاة أو شک فی القراءة وهو فی الرکوع أو شک فی الرکوع وهو منشغل بالسجود،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مورد یجیب وجوب المضیّ وعدم الاعتناء بالشک ثمّ یذکر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إذا خرجت من أی جزء من أجزاء العمل ودخلت فی الجزء التالی وشککت فی الجزء السابق فلا تعتنِ بشکک ولا ترتبْ علیه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هذه الضابطة الکلّیة عمومٌ یشمل جزء العمل فتدلّ الروایة علی قاعدة التجاوز کما یشمل کلّ العمل فتدلّ علی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یستفاد أیضاً من هذه الروایة هو وجوب الدخول فی التالی بعد الفراغ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اختلفوا فی جریان قاعدة الفراغ والتجاوز فی أنّه هل یعتبر الدخول فی العمل التالی مضافاً إلی الخروج من العمل الأوّل أو یکفی مجرد الانصراف والفراغ من العمل الأوّل؟ فإن الروایات الثلاث السابقة کانت</w:t>
      </w:r>
    </w:p>
    <w:p>
      <w:pPr>
        <w:pStyle w:val="BookText"/>
        <w:rPr/>
      </w:pPr>
      <w:r>
        <w:rPr>
          <w:rFonts w:ascii="IRNazanin" w:hAnsi="IRNazanin" w:eastAsia="IRNazanin"/>
          <w:color w:val="111111"/>
          <w:sz w:val="28"/>
          <w:sz w:val="28"/>
          <w:szCs w:val="28"/>
          <w:rtl w:val="true"/>
          <w:lang w:bidi="fa-IR"/>
        </w:rPr>
        <w:t>تدلّ علی کفایة مجرد الانصراف والفراغ من العمل، أمّا هذه الروایة فتدلّ علی وجوب الدخول فی التالی لجریان قاعدة الفراغ والتجاوز فلا یُجزی مجرّد الفراغ والانصراف من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أبن بکیر،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إذا راجعنا إلی تهذیب الأحکام علمنا حیث روی عنه الشیخ الطوسی، وطریق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أخبرنی به الشیخ أبو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عبید الله، وأحمد بن عبدون، کلّهم عن أحمد بن محمد بن الحسن بن الولید عن أبیه، وأخبرنی به أیضاً أبو الحسین بن أبی جیّد القمی، عن محمد بن الحسن بن الولید، عن الحسین بن الحسن بن أبان، عن الحسین بن سعید، ورواه أیضاً محمد بن الحسن بن الولید، عن محمد بن الحسن الصفّار عن أحمد بن محمد، عن الحسین بن سعید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وهذا الطریق طریق صحیح خالٍ عن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صفوان بن یحیی البجلّی وهو من أصحاب الإجماع</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بکیر بن أعین أبو علی الشیبانی، وهو فطحی المذهب ومع ذلک فإنّه ثقة ومن أصحاب الإجماع</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ذکره فالروایة موثقة لا إشکال فیها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کسابقتها عامة تشمل جمیع أبواب الفقه کما أنّها لا اختصاص لها بحین العمل بل تشمل ما بعد العمل، أمّا بالنسبة إلی عبارة هذه الروایة فقد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فی کتابی تهذیب الأحکام ووسائل الشیعة فتکون ظرفاً زمانیاً مع أنّ الصحیح أن تکتب منفصلة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عن عبد الله بن الحسن، عن جدّه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رکع وسجد ولم یدْرِ هل کبّر أو قال شیئاً فی رکوعه وسجوده، هل یعتدّ بتلک الرکعة والسجدة؟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فلیمض فی صلاته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فی سند هذه الروایة عبد الله بن الحسن الذی لم یوثّق فی کتب الرجال، ومن هنا لا تخلو الروایة من إشکال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معنی الروایة فهو إنّ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أخیه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قد رکع وهو لا یعلم هل کبّر أولا؟ أو کان فی السجود وشک فی ذکر الرکوع فهل یعتنی بتلک الرکعة من الصلاة وسجودها؟ فیجیب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کلّما شک فی صلاته لا یعتنی بشکه ویبنی علی أنّه قد أتی بها ولو لاحظنا سؤال الراوی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تبیّن لنا بوضوح أنّ الروایة ناظرة إلی الشکّ بعد تجاوز محل العمل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جعل هذه الروایة کدلیل من أدلّة قاعدة التجاوز، وعلی هذا فأنّها مختصة بباب الصلاة ولا تعم سائر أبواب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فی شی‌ءٍ لم تجزْه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الشیخ الطوسی یروی عن الشیخ المفید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أحمد بن محمد بن الحسن بن الولید وهو من مشایخ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القدر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الحسن بن أحمد بن الولید فقیه وشیخ القمیین، ومن ثقات الشیعة الأجلاء</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سعد بن عبد الله بن أبی خلف الأشعری القمی من فقهاء قم وهو ثقة جلیل الشأن کثیر التصانیف</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محمد بن عیسی الأشعری القمی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ثقات الإمامیة وقد قالوا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ووجههم وفقیههم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ترجمة أحمد بن محمد بن أبی نصر البزنطی فقد ذکرت فی الروایات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عبد الکریم بن عمرو بن صالح الخثعمی الکوفی یقول فیه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أبی عبد الله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ثقة عیناً یُلَقّب کرّاماً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الطوسی أیضاً فی عداد أصحاب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واقفی خبیث، له کتاب، یروی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وعلیه فقد کان من أجلاء الإمامیة وصار واقفی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التی یرویها مشایخه عنه فأنّها تعود إلی ما قبل صیرورته واقفیاً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أبی یعفور العبدی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ثقة، جلیل فی أصحابنا کریم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أیّامه، وکان قارئاً یُقرئ فی مسجد الکوفة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وقد ذکره الشیخ الطوسی فی عداد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المعروف برجال الکشی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هذه الروایة موثّقة وذلک لوقوع عبد الکریم بن عمرو الخثعمی فی سلسلة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أی فعل من أفعال الوضوء وقد انتقلت إلی غیره فلا اعتبار بشکک والشک المعتبر هو الشکّ فی شی‌ء لم تتجاوز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عدة نقاط وقع الخلاف فیها،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الغائب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یرجع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لأول وهلة أنه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شُک فی جزءٍ من أفعال الوضوء کغسل الوجه مثلًا وقد انشغل بغیره کغسل الیدین لا یُعتنی بشکه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أنّه ما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یراد به الشکّ فی</w:t>
      </w:r>
    </w:p>
    <w:p>
      <w:pPr>
        <w:pStyle w:val="BookText"/>
        <w:rPr/>
      </w:pPr>
      <w:r>
        <w:rPr>
          <w:rFonts w:ascii="IRNazanin" w:hAnsi="IRNazanin" w:eastAsia="IRNazanin"/>
          <w:color w:val="111111"/>
          <w:sz w:val="28"/>
          <w:sz w:val="28"/>
          <w:szCs w:val="28"/>
          <w:rtl w:val="true"/>
          <w:lang w:bidi="fa-IR"/>
        </w:rPr>
        <w:t>إتیان الشی‌ء؟ أو الشکّ فی صحة الشی‌ء المأتی به؟ أو أن العبارة لها إطلاق یشمل کلیهما؟ وسنوضح الجواب عن هذه الأسئلة فی الأبحاث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القول فیما یتعلّق بذیل الروایة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مقام بیان ضابط کلّی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ابن أبی عمیر،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الوضوء بعدما فرغ من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 ولا یعید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الشیخ الطوسی هذه الروایة عن محمد بن علی بن محبوب، وطریق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هو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أخبرنی به الحسین بن عبید الله، عن أحمد بن محمد بن یحیی العطار، عن أبیه محمد بن یحیی، عن محمد بن علی بن محبوب</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یعقوب بن یزید بن حمّاد الأنباری السلمی، من ثقات الإمامیة الأجلاء وهو کثیر الروایة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عن ابن أبی عمیر ومحمد بن مسلم فقد سبق فی الروایات السابقة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محمد بن مسلم، سألت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شک</w:t>
      </w:r>
    </w:p>
    <w:p>
      <w:pPr>
        <w:pStyle w:val="BookText"/>
        <w:rPr/>
      </w:pPr>
      <w:r>
        <w:rPr>
          <w:rFonts w:ascii="IRNazanin" w:hAnsi="IRNazanin" w:eastAsia="IRNazanin"/>
          <w:color w:val="111111"/>
          <w:sz w:val="28"/>
          <w:sz w:val="28"/>
          <w:szCs w:val="28"/>
          <w:rtl w:val="true"/>
          <w:lang w:bidi="fa-IR"/>
        </w:rPr>
        <w:t xml:space="preserve">فی وضوئه بعد الفراغ من صلاته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صلاته ولیبنِ علی أنّه قد أتی بالوضوء ولا لزوم لإعادة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الروایة أیضاً کسابقتها وقع الخلاف فی أنّ المراد من الشکّ هل هو الشکّ فی صحّة وضوئه أو الشکّ فی أصل فعل الوضوء أوله إطلاق یشمل کلیهما؟ الظاهر أنّ المراد هو الشکّ فی أصل إتیان الوضوء بأنّ یشک الإنسان بأنّه هل صلّی مع الوضوء أو بدونه؟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سعد بن عبد الله، عن موسی بن جعفر، عن أبی جعفر عن الحسن بن الحسین اللؤلؤی، عن الحسن بن علی بن فضّال، عن عبد الله 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وطهورک فذکرته تذکّراً فامضه ولا إعادة علیک فیه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الشیخ الطوسی وفقاً لما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أخبرنی به الشیخ أبو عبدالله</w:t>
      </w:r>
      <w:r>
        <w:rPr>
          <w:rStyle w:val="FootnoteAnchor"/>
          <w:rtl w:val="true"/>
        </w:rPr>
        <w:footnoteReference w:id="93"/>
      </w:r>
      <w:r>
        <w:rPr>
          <w:rFonts w:ascii="IRNazanin" w:hAnsi="IRNazanin" w:eastAsia="IRNazanin"/>
          <w:color w:val="111111"/>
          <w:sz w:val="28"/>
          <w:sz w:val="28"/>
          <w:szCs w:val="28"/>
          <w:rtl w:val="true"/>
          <w:lang w:bidi="fa-IR"/>
        </w:rPr>
        <w:t>، عن أبی القاسم جعفر بن محمد بن قولویه</w:t>
      </w:r>
      <w:r>
        <w:rPr>
          <w:rStyle w:val="FootnoteAnchor"/>
          <w:rtl w:val="true"/>
        </w:rPr>
        <w:footnoteReference w:id="94"/>
      </w:r>
      <w:r>
        <w:rPr>
          <w:rFonts w:ascii="IRNazanin" w:hAnsi="IRNazanin" w:eastAsia="IRNazanin"/>
          <w:color w:val="111111"/>
          <w:sz w:val="28"/>
          <w:sz w:val="28"/>
          <w:szCs w:val="28"/>
          <w:rtl w:val="true"/>
          <w:lang w:bidi="fa-IR"/>
        </w:rPr>
        <w:t>، عن أبیه</w:t>
      </w:r>
      <w:r>
        <w:rPr>
          <w:rStyle w:val="FootnoteAnchor"/>
          <w:rtl w:val="true"/>
        </w:rPr>
        <w:footnoteReference w:id="95"/>
      </w:r>
      <w:r>
        <w:rPr>
          <w:rFonts w:ascii="IRNazanin" w:hAnsi="IRNazanin" w:eastAsia="IRNazanin"/>
          <w:color w:val="111111"/>
          <w:sz w:val="28"/>
          <w:sz w:val="28"/>
          <w:szCs w:val="28"/>
          <w:rtl w:val="true"/>
          <w:lang w:bidi="fa-IR"/>
        </w:rPr>
        <w:t>،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w:t>
      </w:r>
    </w:p>
    <w:p>
      <w:pPr>
        <w:pStyle w:val="BookText"/>
        <w:rPr/>
      </w:pPr>
      <w:r>
        <w:rPr>
          <w:rFonts w:ascii="IRNazanin" w:hAnsi="IRNazanin" w:eastAsia="IRNazanin"/>
          <w:color w:val="111111"/>
          <w:sz w:val="28"/>
          <w:sz w:val="28"/>
          <w:szCs w:val="28"/>
          <w:rtl w:val="true"/>
          <w:lang w:bidi="fa-IR"/>
        </w:rPr>
        <w:t xml:space="preserve">به أیضاً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بن الحسین</w:t>
      </w:r>
      <w:r>
        <w:rPr>
          <w:rStyle w:val="FootnoteAnchor"/>
          <w:rtl w:val="true"/>
        </w:rPr>
        <w:footnoteReference w:id="96"/>
      </w:r>
      <w:r>
        <w:rPr>
          <w:rFonts w:ascii="IRNazanin" w:hAnsi="IRNazanin" w:eastAsia="IRNazanin"/>
          <w:color w:val="111111"/>
          <w:sz w:val="28"/>
          <w:sz w:val="28"/>
          <w:szCs w:val="28"/>
          <w:rtl w:val="true"/>
          <w:lang w:bidi="fa-IR"/>
        </w:rPr>
        <w:t>، عن أبیه</w:t>
      </w:r>
      <w:r>
        <w:rPr>
          <w:rStyle w:val="FootnoteAnchor"/>
          <w:rtl w:val="true"/>
        </w:rPr>
        <w:footnoteReference w:id="97"/>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وهذا الطریق طریق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سعد بن عبد الله بن أبی خلف الأشعری القمی، جلیل من کبار الفقهاء ومن ثقات الإمامیة، له مؤلفات کثیرة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موسی بن جعفر بن وهب البغدادی، ذکره الشیخ الطوسی والشیخ النجاشی فی کتبهما إلا أنّهما لم یذکرا عن وثاقتهما شیئاً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 أحمد بن محمد بن خالد البرقی أو هو أحمد بن محمد بن عیسی الأشعری وکلاهما من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اللؤلؤی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بعض علماء الرجال</w:t>
      </w:r>
      <w:r>
        <w:rPr>
          <w:rStyle w:val="FootnoteAnchor"/>
          <w:rtl w:val="true"/>
        </w:rPr>
        <w:footnoteReference w:id="101"/>
      </w:r>
      <w:r>
        <w:rPr>
          <w:rFonts w:ascii="IRNazanin" w:hAnsi="IRNazanin" w:eastAsia="IRNazanin"/>
          <w:color w:val="111111"/>
          <w:sz w:val="28"/>
          <w:sz w:val="28"/>
          <w:szCs w:val="28"/>
          <w:rtl w:val="true"/>
          <w:lang w:bidi="fa-IR"/>
        </w:rPr>
        <w:t>بینما وثّقه النجاشی</w:t>
      </w:r>
      <w:r>
        <w:rPr>
          <w:rStyle w:val="FootnoteAnchor"/>
          <w:rtl w:val="true"/>
        </w:rPr>
        <w:footnoteReference w:id="102"/>
      </w:r>
      <w:r>
        <w:rPr>
          <w:rFonts w:ascii="IRNazanin" w:hAnsi="IRNazanin" w:eastAsia="IRNazanin"/>
          <w:color w:val="111111"/>
          <w:sz w:val="28"/>
          <w:sz w:val="28"/>
          <w:szCs w:val="28"/>
          <w:rtl w:val="true"/>
          <w:lang w:bidi="fa-IR"/>
        </w:rPr>
        <w:t xml:space="preserve">وما نعتقده هو أنّه کلّما دار الأمر بین توثیق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وتضعیف الآخرین ووقع التعارض بینهما، قدّم قول النجاشی علی أقوال الآخرین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فطحی المذهب معتقداً إمامة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لکنّه رجع عن ذلک حین وفاته وصار یؤمن بإمامة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خصّیصاً به، کان جلیل القدر، عظیم المنزلة زاهداً ورعاً ثقة فی الحدیث وفی روایاته </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وهو من أصحاب الإجماع علی رأیٍ</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أصحاب الإجماع، وقد سبق ذکره وذکر محمد بن مسلم الذی هو من الرواة الأجلاء عند ذکرنا للروایة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مضی من صلاتک وطهورک ثمّ تذکّرته ابْن علی أنّک أتیت به ولا تجب علیک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فذکرته 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فیه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لتدلّ الروایة علی قاعدة الفراغ والتجاوز بمعنی أنّک لو شککت بعد إتمام الصلاة أو الوضوء أو الغسل فی إتیان جزءٍ من الأجزاء فابن علی أنّک أتیت بذلک الجزء ولا تجب الإعادة وعلی هذا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الالتفات ثانیة إلی صحة ذلک الشی‌ء أو إتیانه وهذا هو معنی الشکّ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یمکن أن یقال بأنّ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فذکرته 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یتذکّر الإنسان بأنّه ترک جزءاً غیر رکنی من الصلاة کذکر الرکوع علی سبیل المثال فإنّ الفقهاء یفتون بعدم وجوب الإعادة هنا</w:t>
      </w:r>
      <w:r>
        <w:rPr>
          <w:rStyle w:val="FootnoteAnchor"/>
          <w:rtl w:val="true"/>
        </w:rPr>
        <w:footnoteReference w:id="105"/>
      </w:r>
      <w:r>
        <w:rPr>
          <w:rFonts w:ascii="IRNazanin" w:hAnsi="IRNazanin" w:eastAsia="IRNazanin"/>
          <w:color w:val="111111"/>
          <w:sz w:val="28"/>
          <w:sz w:val="28"/>
          <w:szCs w:val="28"/>
          <w:rtl w:val="true"/>
          <w:lang w:bidi="fa-IR"/>
        </w:rPr>
        <w:t xml:space="preserve">لکن لمّا کانت الروایة ذکرت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لنا عدم تمامیة هذا المعنی وعدم صحة هذا القول</w:t>
      </w:r>
    </w:p>
    <w:p>
      <w:pPr>
        <w:pStyle w:val="BookText"/>
        <w:rPr/>
      </w:pPr>
      <w:r>
        <w:rPr>
          <w:rFonts w:ascii="IRNazanin" w:hAnsi="IRNazanin" w:eastAsia="IRNazanin"/>
          <w:color w:val="111111"/>
          <w:sz w:val="28"/>
          <w:sz w:val="28"/>
          <w:szCs w:val="28"/>
          <w:rtl w:val="true"/>
          <w:lang w:bidi="fa-IR"/>
        </w:rPr>
        <w:t>لأنّ المصلی إذا قام إلی الصلاة فتذکّر فی الأثناء أنّه لم یتوضّأ، أو أنّه حتی لو أتمّ صلاته ثمّ علم أنه لم یتوضّأ قبل الصلاة وجب علیه أن یتوضّأ ویعید صلاته</w:t>
      </w:r>
      <w:r>
        <w:rPr>
          <w:rStyle w:val="FootnoteAnchor"/>
          <w:rtl w:val="true"/>
        </w:rPr>
        <w:footnoteReference w:id="106"/>
      </w:r>
      <w:r>
        <w:rPr>
          <w:rFonts w:ascii="IRNazanin" w:hAnsi="IRNazanin" w:eastAsia="IRNazanin"/>
          <w:color w:val="111111"/>
          <w:sz w:val="28"/>
          <w:sz w:val="28"/>
          <w:szCs w:val="28"/>
          <w:rtl w:val="true"/>
          <w:lang w:bidi="fa-IR"/>
        </w:rPr>
        <w:t xml:space="preserve">، ومن هنا فلابدّ من الالتزام بأنّ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تذکّرته 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فی العمل وذلک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عن أبان بن عثمان،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بعدما یتوضأ؟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بإسناده عن الحسن بن سعید، وقد ذکرنا طریق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حسین بن سعید وبیّنا أحواله فی الروایة الخامسة وقلنا بأنّ هذا الطریق طریق صحیح قابل للرکون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فضالة بن أیوب الأزدی من أصحاب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ثقات الإمامیة</w:t>
      </w:r>
      <w:r>
        <w:rPr>
          <w:rStyle w:val="FootnoteAnchor"/>
          <w:rtl w:val="true"/>
        </w:rPr>
        <w:footnoteReference w:id="108"/>
      </w:r>
      <w:r>
        <w:rPr>
          <w:rFonts w:ascii="IRNazanin" w:hAnsi="IRNazanin" w:eastAsia="IRNazanin"/>
          <w:color w:val="111111"/>
          <w:sz w:val="28"/>
          <w:sz w:val="28"/>
          <w:szCs w:val="28"/>
          <w:rtl w:val="true"/>
          <w:lang w:bidi="fa-IR"/>
        </w:rPr>
        <w:t>، وقد قیل بأنّه من أصحاب الإجماع</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أبان بن عثمان الأحمر البجلی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أصل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بکیر بن أعین بن سنسن الشیبانی الکوفی من أصحاب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توفی أیام حیاة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المرحوم الکشی روایتین فی مدحه وکلتاهما صحیحة وقد جاء فی إحداهما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وفاة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أنزله الله بین رسول الله وأمیر المؤمنین صلوات الله علیهما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وعلیه فإنّه من ثقات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الإشکال فی هذه الروایة أنّها مضمرة حیث لم یُذکر فیها اسم الإمام المروی عنه لکن لمّا کان المُضْمِر هو بکیر بن أعین لا یخلّ الإضمار بالروایة لأنّه لا یروی عن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بکیر بن أعین فی هذه الروایة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شک فی الوضوء بعد الفراغ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الشخص فی حالة الوضوء أکثر التفاتاً من زمان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بالنظر إلی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الروایة تفید بأنّ المعیار فی عدم الاعتناء بالشک هو الالتفات والذکر حالة الوضوء وأنّ الإنسان حین قیامه بأیّ عمل یکون التفاته إلی أجزاء عمله وشرائطه أکثر منه بعد الانتهاء من العمل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هذه الروایة بحسب الظاهر مختصّة بباب الوضوء فلا تشمل سائر أبواب الفقه إلا أنّ یقال بأن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التعلیل فتکون العبارة من باب ذکر العلة فی مقام بیان المعلول فهی تقوم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یعید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التعلیل بالأمر العقلی شاملًا لغیر مورد السؤال جاز أن تجعل الروایة دلیلًا</w:t>
      </w:r>
      <w:bookmarkStart w:id="95" w:name="pg2935_29166"/>
    </w:p>
    <w:p>
      <w:pPr>
        <w:pStyle w:val="BookText"/>
        <w:rPr/>
      </w:pPr>
      <w:bookmarkEnd w:id="95"/>
      <w:r>
        <w:rPr>
          <w:rFonts w:ascii="IRNazanin" w:hAnsi="IRNazanin" w:eastAsia="IRNazanin"/>
          <w:color w:val="111111"/>
          <w:sz w:val="28"/>
          <w:sz w:val="28"/>
          <w:szCs w:val="28"/>
          <w:rtl w:val="true"/>
          <w:lang w:bidi="fa-IR"/>
        </w:rPr>
        <w:t xml:space="preserve">علی القاعدة وتعمیم هذه القاعدة علی جمیع أبواب الفقه، مضافاً إلی أنّه یمکن القول بأنه لا خصوصیة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علاقة لها فی الحکم، ومن هنا یمکن إلغاء الخصوصیة وإجراء قاعدة الروایة فی سائر أبواب الفقه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یکون علی وضوء وشکّ علی وضوء هو أم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وهو فی صلاته انصرف وتوضّأ وأعادها وإذ ذکر وقد فرغ من صلاته أجزأه ذلک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العباس عبد الله بن جعفر بن الحسن بن مالک بن جامع الحمیری شیخ القمیین وکبیرهم وله مؤلّفات کثیرة وهو من ثقات الإمامیة ومن أصحاب الإمام الهادی والإمام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هذا الراوی ولم یُوثّق فی الکتب الرجالیة وهو مجهول کما ذکرنا ذلک فی الروایة السادسة وعلی هذا یکون الخلل فی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حکم رجل کان متوضّئاً ثمّ شک فی أنه متوضّئ أو لا، ویجیبه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شک فی ذلک أثناء الصلاة وجب علیه أن یقطع صلاته ویتوضّأ ثمّ یستأنف الصلاة، أمّا إذا شک بعد الفراغ من الصلاة فلا داعی إلی التوضؤ ویکفیه ذلک</w:t>
      </w:r>
      <w:r>
        <w:rPr>
          <w:rFonts w:eastAsia="IRNazanin" w:cs="IRNazanin"/>
          <w:color w:val="111111"/>
          <w:sz w:val="28"/>
          <w:szCs w:val="28"/>
          <w:rtl w:val="true"/>
          <w:lang w:bidi="fa-IR"/>
        </w:rPr>
        <w:t>.</w:t>
      </w:r>
    </w:p>
    <w:p>
      <w:pPr>
        <w:pStyle w:val="Heading2"/>
        <w:numPr>
          <w:ilvl w:val="1"/>
          <w:numId w:val="1"/>
        </w:numPr>
        <w:rPr/>
      </w:pPr>
      <w:bookmarkStart w:id="96" w:name="__RefHeading___Toc80718_2749589250"/>
      <w:bookmarkStart w:id="97" w:name="_Toc38"/>
      <w:bookmarkEnd w:id="96"/>
      <w:r>
        <w:rPr>
          <w:rtl w:val="true"/>
        </w:rPr>
        <w:t xml:space="preserve">حول دلالة هذه الروایة علی قاعدة الفراغ یقول صاحب الوسائل </w:t>
      </w:r>
      <w:r>
        <w:rPr>
          <w:rtl w:val="true"/>
        </w:rPr>
        <w:t>(</w:t>
      </w:r>
      <w:r>
        <w:rPr>
          <w:rtl w:val="true"/>
        </w:rPr>
        <w:t>رحمه الله</w:t>
      </w:r>
      <w:r>
        <w:rPr>
          <w:rtl w:val="true"/>
        </w:rPr>
        <w:t>):</w:t>
      </w:r>
      <w:bookmarkEnd w:id="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الاستحباب لما مرّ وآخره قرینة ظاهرة علی ذلک،</w:t>
      </w:r>
    </w:p>
    <w:p>
      <w:pPr>
        <w:pStyle w:val="BookText"/>
        <w:rPr/>
      </w:pPr>
      <w:r>
        <w:rPr>
          <w:rFonts w:ascii="IRNazanin" w:hAnsi="IRNazanin" w:eastAsia="IRNazanin"/>
          <w:color w:val="111111"/>
          <w:sz w:val="28"/>
          <w:sz w:val="28"/>
          <w:szCs w:val="28"/>
          <w:rtl w:val="true"/>
          <w:lang w:bidi="fa-IR"/>
        </w:rPr>
        <w:t>ویمکن حمله علی أنّ المراد بالوضوء الاستنجاء</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القول بعدم دلالة هذه الروایة علی قاعدة الفراغ والتجاوز، وعلیه یجب حمل هذه الروایة أمّا علی استصحاب الوضوء السابق أو علی الاستحباب أو یقال کما علیه صاحب الوسائل من أنّ المراد بالوضوء هو الاستنجاء، هذا لکن لمّا کان الإشکال فی سند الروایة فلا حاجة إلی التدقیق فی دلالة متنها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وأنا ساجد فلا أدری رکعت أم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فامض</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البحث عن سند الروایة الخامسة أنّ إسناد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وطریقه إلی الحسین بن سعید الأهوازی طریق صحیح یُعتمد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فضالة بن أیوب الأزدی حیث ذکرناه فی البحث عن سند الروایة العاشرة وهو من أصحاب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هو من أصحاب الإجماع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حمّاد بن عثمان بن عمرو بن خالد الفزاری، من ثقات الإمامیة فی الکوفة یروی عن الأئمّة الصادق والکاظم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وعلیه فلا</w:t>
      </w:r>
    </w:p>
    <w:p>
      <w:pPr>
        <w:pStyle w:val="BookText"/>
        <w:rPr/>
      </w:pPr>
      <w:r>
        <w:rPr>
          <w:rFonts w:ascii="IRNazanin" w:hAnsi="IRNazanin" w:eastAsia="IRNazanin"/>
          <w:color w:val="111111"/>
          <w:sz w:val="28"/>
          <w:sz w:val="28"/>
          <w:szCs w:val="28"/>
          <w:rtl w:val="true"/>
          <w:lang w:bidi="fa-IR"/>
        </w:rPr>
        <w:t>إشکال فی سند الروایة وتکون الروایة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یسأل حماد بن عثمان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فی أثناء الصلاة وأنا ساجد فی أنّی هل رکعت أو لا؟ ماذا أصنع؟ ویجیب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تعتن بشکک وابنِ علی أنک أتیت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تلاحظون فإنّ الروایة تدلّ علی قاعدة الفراغ والتجاوز ولا إشکال فی دلالتها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صفوان،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وأنا ساجد فلا أدری رکعت أم 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 امضه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الحسین بن سعید الأهوازی الذی یُسند إلیه المرحوم الشیخ الطوسی وطریقه إلیه طریق صحیح کما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صفوان بن یحیی أبو محمد البَجلی بیّاع السابریّ من ثقات الإمامیة الأجلاء، یروی أبوه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یروی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مکانته الممیّزة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أصحاب الإجماع</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حاله فی الروایة السابقة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الأخری هی أنّ الروایتین روایة واحدة ولا تحتسبان روایتین مستقلتین لأنّ الراوی الأوّل الذی یروی مباشرة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واحد هو حماد بن عثمان والمروی عنه هو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لا بد من الالتزام بأنّ الروایتین روایة واحدة نُقلت عن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هذه الروایة تُشبه عبارات الروایة السابقة وتختلفان فی جواب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حیث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الروایة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 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نقل الروایة الثانیة یقول لحمّاد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أنّک رکعت وأنّک فی حکم من رکع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أعم من أنّک رکعت أو لم ترکع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المطلب ثمرتان فقهیتان أیضاً حیث أنه لو صار الإنسان مثلًا أجیراً لإتیان حج وبجمیع أجزائه وشرائطه ولا یکون الغرض إتیان الحج المبرئ للذمّة فقط فإذا شکّ هذا الأجیر بعد الخروج من الإحرام فی أنّه هل جاء بالطواف أولا؟ فإن قلنا بأنّ الشارع من خلال قاعدة الفراغ قد عبّده علی أنه قد أتی بالمشکوک فیه کان عمله تام الأجزاء قد فعل ما استؤجر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نقل بهذا التعبّد الشرعی من خلال قاعدة الفراغ فإنّ عمله هذا وإن کان صحیحاً إلّا أنّه لم یکن تام الأجزاء والشرائط وعلیه فلم یأت الأجیر بما استؤجر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فضالة، عن أبان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أستتمّ قائماً فلا أدری رکعت أم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 فامض فی صلاتک، فإنّما ذلک من الشیطان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حسین بن سعید الأهوازی، وقد ذکرنا أن طریق الشیخ الطوسی إلیه طریق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فضالة بن أیوب الأزدی وقد ذکرنا فی البحث السندی للروایة العاشرة أنّه من ثقات الإمامیة ومن أصحاب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قول من أصحاب الإجماع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أبان بن عثمان الأحمر البجلی، وقد سبق الکلّام حوله فی الروایة العاشرة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الفضیل بن یسار النهدی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فیه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فضیلًا من أصحاب أبی وإنّی لأحبّ الرجل أن یُحبّ أصحاب أبیه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وهو من ثقات الإمامیة الأجلّاء ومن أصحاب الإجماع</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فضیل بن یسار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وأنا قائم حال الصلاة فی أنی رکعت أم لا؟ ماذا أصنع؟ یجیب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بأنّک أتیت بالرکوع فامض فی صلاتک فإنّما ذلک الشکّ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فیما یتعلّق بالقیام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أستتم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الروایة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القیام بعد السجود، وعلیه یکون مفاد الروایة عدم الاعتناء بالشک بعد تجاوز المحل، وقد ذکر هذا الاحتمال الشیخ الطوسی أیضاً</w:t>
      </w:r>
      <w:r>
        <w:rPr>
          <w:rStyle w:val="FootnoteAnchor"/>
          <w:rtl w:val="true"/>
        </w:rPr>
        <w:footnoteReference w:id="123"/>
      </w:r>
      <w:r>
        <w:rPr>
          <w:rFonts w:ascii="IRNazanin" w:hAnsi="IRNazanin" w:eastAsia="IRNazanin"/>
          <w:color w:val="111111"/>
          <w:sz w:val="28"/>
          <w:sz w:val="28"/>
          <w:szCs w:val="28"/>
          <w:rtl w:val="true"/>
          <w:lang w:bidi="fa-IR"/>
        </w:rPr>
        <w:t>، وعلی هذا تدلّ الروایة علی قاعدة الفراغ والتجاوز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القیام قبل السجود، وعلیه لما لم یمض محل الرکوع فإنّ الروایات الکثیرة دالة علی وجوب الإتیان بالرکوع، وقد أفتی بمقتضاها الفقهاء</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إنّما تدلّ علی قاعدة الفراغ والتجاوز فیما لو أرید بالقیام بعد السجود ولکن لا بد من الالتزام بعدم ارتباطها بقاعدة الفراغ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قرینة علی أنّ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الخاص إذ لیس الشیطان منشأً لکلّ شکٍ وإنما شک کثیر الشکّ والوسواس فقط من قبل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أنّ السؤال فی الروایة إنّما یتعلّق بمن تحصل له هذه الحالة دائماً أی أنّه کلّما أکمل القیام شک فی أنه رکع أم لم یرکع، ومن هنا تختص الروایة بکثیر الشکّ</w:t>
      </w:r>
      <w:r>
        <w:rPr>
          <w:rStyle w:val="FootnoteAnchor"/>
          <w:rtl w:val="true"/>
        </w:rPr>
        <w:footnoteReference w:id="125"/>
      </w:r>
      <w:r>
        <w:rPr>
          <w:rFonts w:ascii="IRNazanin" w:hAnsi="IRNazanin" w:eastAsia="IRNazanin"/>
          <w:color w:val="111111"/>
          <w:sz w:val="28"/>
          <w:sz w:val="28"/>
          <w:szCs w:val="28"/>
          <w:rtl w:val="true"/>
          <w:lang w:bidi="fa-IR"/>
        </w:rPr>
        <w:t xml:space="preserve">وتفید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یمکن عدّها فی عداد الروایات الدالة علی قاعدة الفراغ والتجاوز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سعد عن أحمد بن محمد عن أبیه عن عبد الله بن المغیرة،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فلیمض وإن شک فی السجود بعد ما قام فلیمض، 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ومما یلزم ذکره أن الشیخ الطوسی قد نقل هذه الروایة فی الاستبصار عن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یرویها فی تهذیب الأحکام عن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وینقلها صاحب الوسائل کما جاء فی الاستبصار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سعد بن عبد الله الأشعری القمی، من ثقات الإمامیة وفقهائهم الأجلاء</w:t>
      </w:r>
      <w:r>
        <w:rPr>
          <w:rStyle w:val="FootnoteAnchor"/>
          <w:rtl w:val="true"/>
        </w:rPr>
        <w:footnoteReference w:id="127"/>
      </w:r>
      <w:r>
        <w:rPr>
          <w:rFonts w:ascii="IRNazanin" w:hAnsi="IRNazanin" w:eastAsia="IRNazanin"/>
          <w:color w:val="111111"/>
          <w:sz w:val="28"/>
          <w:sz w:val="28"/>
          <w:szCs w:val="28"/>
          <w:rtl w:val="true"/>
          <w:lang w:bidi="fa-IR"/>
        </w:rPr>
        <w:t xml:space="preserve">، وقد بیّنا طریق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فی البحث عن سند</w:t>
      </w:r>
    </w:p>
    <w:p>
      <w:pPr>
        <w:pStyle w:val="BookText"/>
        <w:rPr/>
      </w:pPr>
      <w:r>
        <w:rPr>
          <w:rFonts w:ascii="IRNazanin" w:hAnsi="IRNazanin" w:eastAsia="IRNazanin"/>
          <w:color w:val="111111"/>
          <w:sz w:val="28"/>
          <w:sz w:val="28"/>
          <w:szCs w:val="28"/>
          <w:rtl w:val="true"/>
          <w:lang w:bidi="fa-IR"/>
        </w:rPr>
        <w:t>الروایة التاسعة فلا حاجة إلی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عیسی بن عبد الله الأشعری القمی شیخ القمیین وفقیههم ومن ثقات الإمامیة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عیسی بن عبد الله الأشعری القمی الذی یصفه النجاشی بشیخ القمیین ووجه الأشاعرة لکنّه لا یوثقّه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المغیرة أبو محمد البجلی من ثقات الإمامیة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إسماعیل بن جابر الجعفی الخثعمی الکوفی الذی روی حدیث الأذان وهو من ثقات أصحاب الإمامین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لو شک المکلّف بعد السجود فی الرکوع لا یعتنی بشکه ویبنی علی أنه فعله وکذا لو شک فی السجود بعد القیام ثمّ یبیّن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کلّیة فی ذیل الروایة بقوله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شک فیه</w:t>
      </w:r>
    </w:p>
    <w:p>
      <w:pPr>
        <w:pStyle w:val="BookText"/>
        <w:rPr/>
      </w:pPr>
      <w:r>
        <w:rPr>
          <w:rFonts w:ascii="IRNazanin" w:hAnsi="IRNazanin" w:eastAsia="IRNazanin"/>
          <w:color w:val="111111"/>
          <w:sz w:val="28"/>
          <w:sz w:val="28"/>
          <w:szCs w:val="28"/>
          <w:rtl w:val="true"/>
          <w:lang w:bidi="fa-IR"/>
        </w:rPr>
        <w:t>مما قد جاوزه ودخل فی غیره فلیمض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صدر الروایة لمّا کان مرتبطاً برکوع الصلاة وسجودها وقیامها فإن الصدر یخصص ذیل الروایة ویکون قرینة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شی‌ء من أجزاء الصلاة شک فیه، وعلیه فلا تعم القاعدة سائر أبواب الفقه، هذا ولکن لمّا کان المورد لا یخصص الوارد کما بیّنا ذلک مراراً فی الأصول فإن صدر الروایة فیما نحن فیه وإن کان متعلقاً بموردین من باب الصلاة إلا أنّه لا یقید ذیل الروایة بل تبقی القاعدة المبینة فی الذیل علی کلیتها، وبالتالی تصلح هذه الروایة لأن تکون من أدلّة قاعدة 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المجال یری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هذه الروایة هو الضابط الکلّی ولا تکون هذه الروایة أقل من الصحیحة فی باب الاستصحاب فی إفادة القاعدة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ثلاث روایات أخری فی هذا الباب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شبیهة بالروایة السابقة ولا شی‌ء زائد فیها ومن هنا فإنّنا نکتفی بذکرها من غیر تعلیق علیها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سعد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عن أبی جعفر یعنی أحمد بن محمد عن الحسین بن سعید،</w:t>
      </w:r>
      <w:r>
        <w:rPr>
          <w:rStyle w:val="FootnoteAnchor"/>
          <w:rtl w:val="true"/>
        </w:rPr>
        <w:footnoteReference w:id="134"/>
      </w:r>
      <w:r>
        <w:rPr>
          <w:rFonts w:ascii="IRNazanin" w:hAnsi="IRNazanin" w:eastAsia="IRNazanin"/>
          <w:color w:val="111111"/>
          <w:sz w:val="28"/>
          <w:sz w:val="28"/>
          <w:szCs w:val="28"/>
          <w:rtl w:val="true"/>
          <w:lang w:bidi="fa-IR"/>
        </w:rPr>
        <w:t>عن فضالة، عن العلاء بن رزین</w:t>
      </w:r>
      <w:r>
        <w:rPr>
          <w:rStyle w:val="FootnoteAnchor"/>
          <w:rtl w:val="true"/>
        </w:rPr>
        <w:footnoteReference w:id="135"/>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شک بعدما سجد أنه لم یرکع؟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فی صلاته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عن أحمد بن محمد بن أبی نصر، عن أبان بن عثمان، عن عبد الرحمن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المیمون البصری</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أهوی السجود فلم یدر أرکع أم لم یرکع؟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رکع</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العلاء،</w:t>
      </w:r>
      <w:r>
        <w:rPr>
          <w:rStyle w:val="FootnoteAnchor"/>
          <w:rtl w:val="true"/>
        </w:rPr>
        <w:footnoteReference w:id="139"/>
      </w:r>
      <w:r>
        <w:rPr>
          <w:rFonts w:ascii="IRNazanin" w:hAnsi="IRNazanin" w:eastAsia="IRNazanin"/>
          <w:color w:val="111111"/>
          <w:sz w:val="28"/>
          <w:sz w:val="28"/>
          <w:szCs w:val="28"/>
          <w:rtl w:val="true"/>
          <w:lang w:bidi="fa-IR"/>
        </w:rPr>
        <w:t xml:space="preserve">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شک بعد ما سجد أنّه لم یرکع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یمضی فی صلاته حتی یستیقن أنه لم 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ونذکر هنا أیضاً روایتین أخریین کأدلة علی قاعدة الفراغ والتجاوز</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حریز بن عبد الله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یقین بعد حائلٍ قضاه ومضی علی الیقین ویقضی الحائل والشک جمیعاً فإن شکّ فی الظهر فیما بینه وبین أن یصلّی العصر قضاها وإن دخله الشکّ بعد أن یصلّی العصر فقد مضت إلّا أن یستیقن، لأنّ العصر حائل فیما بینه وبین الظهر فلا یدع الحائل لما کان من الشکّ إلّا بیقین</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w:t>
      </w:r>
      <w:r>
        <w:rPr>
          <w:rStyle w:val="FootnoteAnchor"/>
          <w:rtl w:val="true"/>
        </w:rPr>
        <w:footnoteReference w:id="143"/>
      </w:r>
      <w:r>
        <w:rPr>
          <w:rFonts w:ascii="IRNazanin" w:hAnsi="IRNazanin" w:eastAsia="IRNazanin"/>
          <w:color w:val="111111"/>
          <w:sz w:val="28"/>
          <w:sz w:val="28"/>
          <w:szCs w:val="28"/>
          <w:rtl w:val="true"/>
          <w:lang w:bidi="fa-IR"/>
        </w:rPr>
        <w:t>عن موسی بن القاسم</w:t>
      </w:r>
      <w:r>
        <w:rPr>
          <w:rStyle w:val="FootnoteAnchor"/>
          <w:rtl w:val="true"/>
        </w:rPr>
        <w:footnoteReference w:id="144"/>
      </w:r>
      <w:r>
        <w:rPr>
          <w:rFonts w:ascii="IRNazanin" w:hAnsi="IRNazanin" w:eastAsia="IRNazanin"/>
          <w:color w:val="111111"/>
          <w:sz w:val="28"/>
          <w:sz w:val="28"/>
          <w:szCs w:val="28"/>
          <w:rtl w:val="true"/>
          <w:lang w:bidi="fa-IR"/>
        </w:rPr>
        <w:t>، عن عبد الرحمن بن سیابة</w:t>
      </w:r>
      <w:r>
        <w:rPr>
          <w:rStyle w:val="FootnoteAnchor"/>
          <w:rtl w:val="true"/>
        </w:rPr>
        <w:footnoteReference w:id="145"/>
      </w:r>
      <w:r>
        <w:rPr>
          <w:rFonts w:ascii="IRNazanin" w:hAnsi="IRNazanin" w:eastAsia="IRNazanin"/>
          <w:color w:val="111111"/>
          <w:sz w:val="28"/>
          <w:sz w:val="28"/>
          <w:szCs w:val="28"/>
          <w:rtl w:val="true"/>
          <w:lang w:bidi="fa-IR"/>
        </w:rPr>
        <w:t>، عن حماد</w:t>
      </w:r>
      <w:r>
        <w:rPr>
          <w:rStyle w:val="FootnoteAnchor"/>
          <w:rtl w:val="true"/>
        </w:rPr>
        <w:footnoteReference w:id="146"/>
      </w:r>
      <w:r>
        <w:rPr>
          <w:rFonts w:ascii="IRNazanin" w:hAnsi="IRNazanin" w:eastAsia="IRNazanin"/>
          <w:color w:val="111111"/>
          <w:sz w:val="28"/>
          <w:sz w:val="28"/>
          <w:szCs w:val="28"/>
          <w:rtl w:val="true"/>
          <w:lang w:bidi="fa-IR"/>
        </w:rPr>
        <w:t>، عن حریز</w:t>
      </w:r>
      <w:r>
        <w:rPr>
          <w:rStyle w:val="FootnoteAnchor"/>
          <w:rtl w:val="true"/>
        </w:rPr>
        <w:footnoteReference w:id="147"/>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بالبیت فلم یدر ستة طاف أو سبعة، طواف فریضة،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فلیعد طوافه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خرج وفاته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98" w:name="pg2935_29176"/>
    </w:p>
    <w:p>
      <w:pPr>
        <w:pStyle w:val="BookText"/>
        <w:rPr/>
      </w:pPr>
      <w:bookmarkEnd w:id="98"/>
      <w:r>
        <w:rPr>
          <w:rFonts w:ascii="IRNazanin" w:hAnsi="IRNazanin" w:eastAsia="IRNazanin"/>
          <w:color w:val="111111"/>
          <w:sz w:val="28"/>
          <w:sz w:val="28"/>
          <w:szCs w:val="28"/>
          <w:rtl w:val="true"/>
          <w:lang w:bidi="fa-IR"/>
        </w:rPr>
        <w:t>هذه أهم الروایات التی استدلّ بها علی قاعدة الفراغ وإلّا فإن هناک روایات أخری فی هذا المجال، ویستفاد من جمیعها هذه القاعدة الکلّیة</w:t>
      </w:r>
      <w:r>
        <w:rPr>
          <w:rFonts w:eastAsia="IRNazanin" w:cs="IRNazanin"/>
          <w:color w:val="111111"/>
          <w:sz w:val="28"/>
          <w:szCs w:val="28"/>
          <w:rtl w:val="true"/>
          <w:lang w:bidi="fa-IR"/>
        </w:rPr>
        <w:t>.</w:t>
      </w:r>
    </w:p>
    <w:p>
      <w:pPr>
        <w:pStyle w:val="Heading2"/>
        <w:numPr>
          <w:ilvl w:val="1"/>
          <w:numId w:val="1"/>
        </w:numPr>
        <w:rPr/>
      </w:pPr>
      <w:bookmarkStart w:id="99" w:name="__RefHeading___Toc80720_2749589250"/>
      <w:bookmarkStart w:id="100" w:name="_Toc39"/>
      <w:bookmarkEnd w:id="99"/>
      <w:r>
        <w:rPr>
          <w:rtl w:val="true"/>
        </w:rPr>
        <w:t>کما لا شکّ فی دلالة هذه الروایات علی الأمور التالیة</w:t>
      </w:r>
      <w:r>
        <w:rPr>
          <w:rtl w:val="true"/>
        </w:rPr>
        <w:t>:</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الاعتناء بالشک، والبناء علی صحة العمل المأتی به فیما لو شک المکلّف فی صحة العمل بعد الفراغ والانتهاء منه بشکل کامل، سواء کان العمل بسیطاً أو مرکباً وسواء کان منشأ الشکّ فی صحة عمله هو الشکّ فی الإخلال بالجزء أو بالشرط أو الشکّ فی وجود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الاعتناء بالشک، والبناء علی إتیان الجزء المشکوک فیما لو شک المکلّف فی إتیان جزءٍ من المأمور به المرکب فیما لو تجاوز محل ذلک الجزء المشکوک ودخل فی الجزء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قاعدة الفراغ وقاعدة التجاوز کلتیهما تستفادان من الروایات السابقة، هذا ولکن المهم الذی وقع النزاع فیه هو أن القاعدتین هل هما مجعولتان بجعل واحد أو أنّهما قاعدتان منفصلتان مستقلتان؟ وهل قاعدة الفراغ والتجاوز قاعدة عامة تجری فی جمیع أبواب الفقه أو هی مختصة بباب الصلاة والوضوء التی سنبحث عنها فی المباحث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قبل الخوض فی البحث عن اتحاد القاعدتین أو تعدّدهما من معرفة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الروایات السابقة</w:t>
      </w:r>
      <w:r>
        <w:rPr>
          <w:rFonts w:eastAsia="IRNazanin" w:cs="IRNazanin"/>
          <w:color w:val="111111"/>
          <w:sz w:val="28"/>
          <w:szCs w:val="28"/>
          <w:rtl w:val="true"/>
          <w:lang w:bidi="fa-IR"/>
        </w:rPr>
        <w:t>.</w:t>
      </w:r>
    </w:p>
    <w:p>
      <w:pPr>
        <w:pStyle w:val="Heading2"/>
        <w:numPr>
          <w:ilvl w:val="1"/>
          <w:numId w:val="1"/>
        </w:numPr>
        <w:rPr/>
      </w:pPr>
      <w:bookmarkStart w:id="101" w:name="__RefHeading___Toc80722_2749589250"/>
      <w:bookmarkStart w:id="102" w:name="_Toc40"/>
      <w:bookmarkEnd w:id="101"/>
      <w:r>
        <w:rPr>
          <w:rtl w:val="true"/>
        </w:rPr>
        <w:t>ما المراد من الشکّ فی الشی‌ء؟</w:t>
      </w:r>
      <w:bookmarkEnd w:id="1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أربعة احتمالات فی خصوص المراد من الشکّ فی الشی‌ء المذکور فی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أصل وجود العمل وتحققه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صحة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إحراز أصل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مطلقة تشمل کلا الشکلّین الشکّ فی الصحة والشک فی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مجملة لا دلالة لها علی الشکّ فی الوجود أو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إنّ المتعیّن هو أی واحد من هذه الاحتمالات الأربعة لابدّ من البحث أولًا عن إمکان الجمع بین قاعدتی الفراغ والتجاوز فی مقام الثبوت ووجود قدر جامع بینهما أو عدمه ثمّ البحث فی مقام الإثبات فی تعیین الاحتمال الصحیح فی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کان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فی هذا البحث إلی أنّ المراد بالشک فی الشی‌ء هو الشکّ فی أصل وجود العمل وتحققه الشامل للشک فی تحقق الجزء أو الشرط فی العمل، ویری أنّ الشکّ فی صحة العمل لیس موضوع قاعدة التجاوز وهذا یوافق المتفاهم العرفی مضافاً إلی تأیید هذا الاحتمال من قبل الروایات الأخری، لأنّ المتفاهم عرفاً من الشکّ هو الشکّ فی الوجود لا الشکّ فی الصحة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فإنّنا نبحث أولًا عن مسألة الجمع بین قاعدتی 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إتحاد قاعدتی الفراغ والتجاوز أو تغایرهما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نزاع هام فی هذه القاعدة حول وجود قاعدتین إحداهما قاعدة الفراغ والأخری قاعدة التجاوز أو أنّهما مجعولتان بجعل واحد فی الشریعة؟ وقد</w:t>
      </w:r>
    </w:p>
    <w:p>
      <w:pPr>
        <w:pStyle w:val="BookText"/>
        <w:rPr/>
      </w:pPr>
      <w:r>
        <w:rPr>
          <w:rFonts w:ascii="IRNazanin" w:hAnsi="IRNazanin" w:eastAsia="IRNazanin"/>
          <w:color w:val="111111"/>
          <w:sz w:val="28"/>
          <w:sz w:val="28"/>
          <w:szCs w:val="28"/>
          <w:rtl w:val="true"/>
          <w:lang w:bidi="fa-IR"/>
        </w:rPr>
        <w:t>ذُکرت فی هذا المجال ثلاثة فروق بین قاعدة الفراغ وقاعدة التجاوز مما یمکن جعلها سبباً فی ظهور الاختلاف والتغایر بین القاعدتین وهذه الفروق الثلاثة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قاعدة الفراغ الشکّ فی الصحة بینما مورد قاعدة التجاوز هو الشکّ فی وجود العمل وتحققه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قاعدة الفراغ فی الأعمال البسیطة والمرکبة بینما تجری قاعدة الفراغ فی خصوص الأعمال المرکّبة ولا تجری فی الأعمال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الفرق بینهما فی الأعمال المرکبة التی تجری فیهما کلتا القاعدتین حیث لا فرق فی مورد قاعدة الفراغ بین أن یکون الشکّ فی الصحة ناشئاً من احتمال الإخلال بالجزء أو الشرط أو من جهة وجود المانع، أمّا قاعدة التجاوز فأنّها تجری فی الجزء المشکوک دون موارد احتمال وجود المانع، مع وجود الخلاف فی موارد احتمال الإخلال بالشرط</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التجاوز یکون الدخول فی الجزء التالی قیداً واقعیاً مقوّماً لحقیقة التجاوز، لأنّ التجاوز عن الجزء إنّما یتحقّق فیما لو دخل الإنسان فی الجزء التالی من المرکّب، أمّا فی قاعدة الفراغ فإننا لو اعتبرنا الدخول فی الجزء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قیداً اعتباریاً تعبدیاً لا واقعیاً بمعنی أنّ الشارع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عملک ودخلت فی العمل الآخر فلا تعتن بالشک فی عملک السابق، فإنّ الشارع هنا یعتبر الدخول فی العمل التالی قیداً تعبّدیاً وقد کان یمکنه أن لا یذکر هذا الشرط بل یقتصر علی ملاحظة انتهاء العمل السابق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سبق هو أنّ الفقهاء استفادوا من الروایات الواردة فی قاعدة الفراغ عمومیة هذه القاعدة والتزموا بجریانها فی جمیع أبواب الفقه حتی</w:t>
      </w:r>
    </w:p>
    <w:p>
      <w:pPr>
        <w:pStyle w:val="BookText"/>
        <w:rPr/>
      </w:pPr>
      <w:r>
        <w:rPr>
          <w:rFonts w:ascii="IRNazanin" w:hAnsi="IRNazanin" w:eastAsia="IRNazanin"/>
          <w:color w:val="111111"/>
          <w:sz w:val="28"/>
          <w:sz w:val="28"/>
          <w:szCs w:val="28"/>
          <w:rtl w:val="true"/>
          <w:lang w:bidi="fa-IR"/>
        </w:rPr>
        <w:t xml:space="preserve">المعاملات من العقود والإیقاعات، بینما التزموا باختصاص قاعدة التجاوز بباب الصلاة وعدم جریانها فی سائر أبواب الفقه کالوضوء والغسل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ذهب بعض الفقهاء علی خلاف المشهور إلّا أنّ قاعدة التجاوز أیضاً تجری فی جمیع أبواب العبادات عدا الوضوء، وعلیه فلو قلنا بأنّ القاعدتین قاعدتان مستقلّتان صحّ بالتفکیک المذکور آنفاً، أمّا لو قلنا بأنّهما قاعدة واحدة مجعولة بجعل شرعی واحد لم یتمّ ذلک التفکیک حیث یجب الالتزام إمّا بعمومیة هذه القاعدة وجریأنها فی جمیع أبواب الفقه وإما بعدم شمولیتها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البحث فی أنّ قاعدة الفراغ والتجاوز شاملة لجمیع أبواب الفقه أم أنّها مختصّة ببعض هذه الأبواب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آخر للنزاع فی أنّ قاعدة الفراغ والتجاوز هل انّهما قاعدتان أو قاعدة واحدة؟</w:t>
      </w:r>
    </w:p>
    <w:p>
      <w:pPr>
        <w:pStyle w:val="BookText"/>
        <w:rPr/>
      </w:pPr>
      <w:r>
        <w:rPr>
          <w:rFonts w:ascii="IRNazanin" w:hAnsi="IRNazanin" w:eastAsia="IRNazanin"/>
          <w:color w:val="111111"/>
          <w:sz w:val="28"/>
          <w:sz w:val="28"/>
          <w:szCs w:val="28"/>
          <w:rtl w:val="true"/>
          <w:lang w:bidi="fa-IR"/>
        </w:rPr>
        <w:t>هناک خمسة أقوال هی مجموع الآراء فی مسألة اتحاد القاعدتین أو تغایرهما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الفراغ والتجاوز قاعدة واحدة ولیس للشارع فی باب الفراغ والتجاوز إلّا مجعول شرعی واحد، غایة الأمر أنّه قد یعبر عن هذا المجعول الواحد بقاعدة الفراغ وتارة بقاعدة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کلمات المرحوم الآخوند وجمع کثیر من الفقهاء أنّهما قاعدتان مستقلتان والمجعول فی قاعدة الفراغ مختلف تماماً عن المجعول فی قاعدة التجاوز</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القاعدتین وإن کانتا اثنتین بحسب الظاهر إلّا أنّ قاعدة التجاوز ترجع إلی قاعدة الفراغ وعلیه یکون المجعول الشرعی واحداً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03" w:name="pg2935_29180"/>
    </w:p>
    <w:p>
      <w:pPr>
        <w:pStyle w:val="BookText"/>
        <w:rPr/>
      </w:pPr>
      <w:bookmarkEnd w:id="10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قاعدة واحدة لا أکثر وهی قاعدة التجاوز أمّا قاعدة الفراغ فمآلها إلی 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الأدلّة قاعدة الفراغ فقط ولا وجود لقاعدة تسمّی بقاعدة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البحث عن صحة هذه الآراء أو بطلانها لابدّ من الإشارة إلی أنّ هذا البحث قد وقع فی کلمات الفقهاء فی مقامین 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الثبوت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مقام الثبوت فقد وقع البحث فی أنّ قاعدة الفراغ والتجاوز مع قطع النظر عن الروایات السابقة هل هما قاعدتان أم أنهما قاعدة واحدة لوجود الجامع بینهما؟ والآراء المذکورة آنفاً إنّما تذکّر فی هذا المقام حیث لا بد من البحث عن صحتها أو 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نأتی إلی مقام الإثبات فیما لو توصّلنا إلی عدم وجود جامع بینهما وإنّ قاعدة الفراغ مختلفة عن قاعدة التجاوز ولا بد حینئذٍ بملاحظة الروایات المذکورة من التماس دلیل خاص علی کلّ من قاعدة الفراغ وقاعدة التجاوز، أمّا لو التزمنا باتّحاد القاعدتین کان لابدّ من دراسة الروایات السابقة لمعرفة الروایات المتکفّلة بإثبات القدر الجامع التی تفید کلتا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بیان هذه المقدمة نبدأ بدراسة الآراء والنظریات الواردة فی وحدة قاعدة الفراغ والتجاوز أو تعددهما ونعقد البحث فی مقامی الثبوت والإثبات</w:t>
      </w:r>
      <w:r>
        <w:rPr>
          <w:rFonts w:eastAsia="IRNazanin" w:cs="IRNazanin"/>
          <w:color w:val="111111"/>
          <w:sz w:val="28"/>
          <w:szCs w:val="28"/>
          <w:rtl w:val="true"/>
          <w:lang w:bidi="fa-IR"/>
        </w:rPr>
        <w:t>.</w:t>
      </w:r>
    </w:p>
    <w:p>
      <w:pPr>
        <w:pStyle w:val="Heading2"/>
        <w:numPr>
          <w:ilvl w:val="1"/>
          <w:numId w:val="1"/>
        </w:numPr>
        <w:rPr/>
      </w:pPr>
      <w:bookmarkStart w:id="104" w:name="__RefHeading___Toc80724_2749589250"/>
      <w:bookmarkStart w:id="105" w:name="_Toc41"/>
      <w:bookmarkEnd w:id="104"/>
      <w:r>
        <w:rPr>
          <w:rtl w:val="true"/>
        </w:rPr>
        <w:t>مقام الثبوت</w:t>
      </w:r>
      <w:r>
        <w:rPr>
          <w:rtl w:val="true"/>
        </w:rPr>
        <w:t>:</w:t>
      </w:r>
      <w:bookmarkEnd w:id="105"/>
    </w:p>
    <w:p>
      <w:pPr>
        <w:pStyle w:val="Heading3"/>
        <w:numPr>
          <w:ilvl w:val="2"/>
          <w:numId w:val="1"/>
        </w:numPr>
        <w:rPr/>
      </w:pPr>
      <w:bookmarkStart w:id="106" w:name="__RefHeading___Toc80726_2749589250"/>
      <w:bookmarkStart w:id="107" w:name="_Toc42"/>
      <w:bookmarkEnd w:id="106"/>
      <w:r>
        <w:rPr>
          <w:rtl w:val="true"/>
        </w:rPr>
        <w:t>أدلّة القائلین بتغایر القاعدتین</w:t>
      </w:r>
      <w:r>
        <w:rPr>
          <w:rtl w:val="true"/>
        </w:rPr>
        <w:t>:</w:t>
      </w:r>
      <w:bookmarkEnd w:id="107"/>
    </w:p>
    <w:p>
      <w:pPr>
        <w:pStyle w:val="Heading4"/>
        <w:numPr>
          <w:ilvl w:val="3"/>
          <w:numId w:val="1"/>
        </w:numPr>
        <w:rPr/>
      </w:pPr>
      <w:bookmarkStart w:id="108" w:name="__RefHeading___Toc80728_2749589250"/>
      <w:bookmarkStart w:id="109" w:name="_Toc43"/>
      <w:bookmarkEnd w:id="108"/>
      <w:r>
        <w:rPr>
          <w:rtl w:val="true"/>
        </w:rPr>
        <w:t>اشارة</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القائلون بتعدّد قاعدتی الفراغ والتجاوز علی مدّعاهم بأربعة أدلّة، ذکر المیرزا النائینی الأدلّة القائمة علی التعدد فی مقام الثبوت وهی الأمور التالیة</w:t>
      </w:r>
      <w:r>
        <w:rPr>
          <w:rFonts w:eastAsia="IRNazanin" w:cs="IRNazanin"/>
          <w:color w:val="111111"/>
          <w:sz w:val="28"/>
          <w:szCs w:val="28"/>
          <w:rtl w:val="true"/>
          <w:lang w:bidi="fa-IR"/>
        </w:rPr>
        <w:t>:</w:t>
      </w:r>
      <w:bookmarkStart w:id="110" w:name="pg2935_29181"/>
    </w:p>
    <w:p>
      <w:pPr>
        <w:pStyle w:val="Heading4"/>
        <w:numPr>
          <w:ilvl w:val="3"/>
          <w:numId w:val="1"/>
        </w:numPr>
        <w:rPr/>
      </w:pPr>
      <w:bookmarkStart w:id="111" w:name="__RefHeading___Toc80730_2749589250"/>
      <w:bookmarkStart w:id="112" w:name="_Toc44"/>
      <w:bookmarkEnd w:id="110"/>
      <w:bookmarkEnd w:id="111"/>
      <w:r>
        <w:rPr>
          <w:rtl w:val="true"/>
        </w:rPr>
        <w:t>الدلیل الأوّل</w:t>
      </w:r>
      <w:r>
        <w:rPr>
          <w:rtl w:val="true"/>
        </w:rPr>
        <w:t xml:space="preserve">: </w:t>
      </w:r>
      <w:r>
        <w:rPr>
          <w:rtl w:val="true"/>
        </w:rPr>
        <w:t>عدم وجود القدر الجامع بین القاعدتین</w:t>
      </w:r>
      <w:r>
        <w:rPr>
          <w:rtl w:val="true"/>
        </w:rPr>
        <w:t>:</w:t>
      </w:r>
      <w:bookmarkEnd w:id="112"/>
    </w:p>
    <w:p>
      <w:pPr>
        <w:pStyle w:val="Heading5"/>
        <w:numPr>
          <w:ilvl w:val="4"/>
          <w:numId w:val="1"/>
        </w:numPr>
        <w:rPr/>
      </w:pPr>
      <w:bookmarkStart w:id="113" w:name="__RefHeading___Toc80732_2749589250"/>
      <w:bookmarkStart w:id="114" w:name="_Toc45"/>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الدلیل الأوّل الذی أقیم علی تعدد القاعدتین هو أن الموضوع فی قاعدة الفراغ هو الشکّ فی الصحة وفی قاعدة التجاوز هو الشکّ فی الوجود ولا جامع بین الموضوعین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هذا الدلیل بثلاثة وجوه وبیانات مختلفة</w:t>
      </w:r>
      <w:r>
        <w:rPr>
          <w:rFonts w:eastAsia="IRNazanin" w:cs="IRNazanin"/>
          <w:color w:val="111111"/>
          <w:sz w:val="28"/>
          <w:szCs w:val="28"/>
          <w:rtl w:val="true"/>
          <w:lang w:bidi="fa-IR"/>
        </w:rPr>
        <w:t>:</w:t>
      </w:r>
    </w:p>
    <w:p>
      <w:pPr>
        <w:pStyle w:val="Heading5"/>
        <w:numPr>
          <w:ilvl w:val="4"/>
          <w:numId w:val="1"/>
        </w:numPr>
        <w:rPr/>
      </w:pPr>
      <w:bookmarkStart w:id="115" w:name="__RefHeading___Toc80734_2749589250"/>
      <w:bookmarkStart w:id="116" w:name="_Toc46"/>
      <w:bookmarkEnd w:id="115"/>
      <w:r>
        <w:rPr>
          <w:rtl w:val="true"/>
        </w:rPr>
        <w:t>البیان الأوّل للمحقق النائینی</w:t>
      </w:r>
      <w:r>
        <w:rPr>
          <w:rtl w:val="true"/>
        </w:rPr>
        <w:t>:</w:t>
      </w:r>
      <w:bookmarkEnd w:id="116"/>
    </w:p>
    <w:p>
      <w:pPr>
        <w:pStyle w:val="Heading6"/>
        <w:numPr>
          <w:ilvl w:val="5"/>
          <w:numId w:val="1"/>
        </w:numPr>
        <w:rPr/>
      </w:pPr>
      <w:bookmarkStart w:id="117" w:name="__RefHeading___Toc80736_2749589250"/>
      <w:bookmarkStart w:id="118" w:name="_Toc47"/>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عرض المیرزا النائینی الدلیل الأوّل بهذا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موضوع الشکّ ومتعلقه فی قاعدة الفراغ هو صحة العمل لمفاد کان الناقصة أی أن المقصود إثبات وصف الصحة لعمل خارجی، أمّا موضوع الشکّ ومتعلقه فی قاعدة التجاوز هو وجود الجزء أو عدمه بمفاد کان التامة أی أنّ قاعدة التجاوز تُعبّدنا بالبناء علی وجود الجزء المشکوک فلا جامع بین الأمرین لتغایر متعلّق التعبد فی کلّ من القاعدتین ففی قاعدة الفراغ یُبحث عن أنّ هذا الموجود صحیح أو لا؟ بینما فی قاعدة التجاوز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الجزء موجود أولا؟ وکلّ منهما یحتاج إلی جعل مستقل</w:t>
      </w:r>
      <w:r>
        <w:rPr>
          <w:rFonts w:eastAsia="IRNazanin" w:cs="IRNazanin"/>
          <w:color w:val="111111"/>
          <w:sz w:val="28"/>
          <w:szCs w:val="28"/>
          <w:rtl w:val="true"/>
          <w:lang w:bidi="fa-IR"/>
        </w:rPr>
        <w:t>.</w:t>
      </w:r>
    </w:p>
    <w:p>
      <w:pPr>
        <w:pStyle w:val="Heading6"/>
        <w:numPr>
          <w:ilvl w:val="5"/>
          <w:numId w:val="1"/>
        </w:numPr>
        <w:rPr/>
      </w:pPr>
      <w:bookmarkStart w:id="119" w:name="__RefHeading___Toc80738_2749589250"/>
      <w:bookmarkStart w:id="120" w:name="_Toc48"/>
      <w:bookmarkEnd w:id="119"/>
      <w:r>
        <w:rPr>
          <w:rtl w:val="true"/>
        </w:rPr>
        <w:t>کلام الشیخ الأنصاری</w:t>
      </w:r>
      <w:r>
        <w:rPr>
          <w:rtl w:val="true"/>
        </w:rPr>
        <w:t>:</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المرحوم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اتّحاد القاعدتین ویشکلّ کلامه جواباً عن الدلیل الأوّل حیث فسّر قاعدة الفراغ بحیث یکون مآلها إلی قاعدة التجاوز کما أنّه جعل مفاد قاعدة الفراغ مفاد کان التامة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الشکّ فی صحة الشی‌ء المأتی به حکمه حکم الشکّ فی الإتیان، بل هو هو، لأنّ مرجعه إلی الشکّ فی وجود الشی‌ء الصحیح</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121" w:name="pg2935_29182"/>
    </w:p>
    <w:p>
      <w:pPr>
        <w:pStyle w:val="BookText"/>
        <w:rPr/>
      </w:pPr>
      <w:bookmarkEnd w:id="121"/>
      <w:r>
        <w:rPr>
          <w:rFonts w:ascii="IRNazanin" w:hAnsi="IRNazanin" w:eastAsia="IRNazanin"/>
          <w:color w:val="111111"/>
          <w:sz w:val="28"/>
          <w:sz w:val="28"/>
          <w:szCs w:val="28"/>
          <w:rtl w:val="true"/>
          <w:lang w:bidi="fa-IR"/>
        </w:rPr>
        <w:t>وعلی هذا البیان فعندما نشک فی صحة الشی‌ء الموجود نکون فی الواقع قد شککنا فی وجود الشی‌ء الصحیح فلا مانع أبداً من تصویر الجامع بینهما لأنّ مفاد القاعدتین هو مفاد کان التامة</w:t>
      </w:r>
      <w:r>
        <w:rPr>
          <w:rFonts w:eastAsia="IRNazanin" w:cs="IRNazanin"/>
          <w:color w:val="111111"/>
          <w:sz w:val="28"/>
          <w:szCs w:val="28"/>
          <w:rtl w:val="true"/>
          <w:lang w:bidi="fa-IR"/>
        </w:rPr>
        <w:t>.</w:t>
      </w:r>
    </w:p>
    <w:p>
      <w:pPr>
        <w:pStyle w:val="Heading6"/>
        <w:numPr>
          <w:ilvl w:val="5"/>
          <w:numId w:val="1"/>
        </w:numPr>
        <w:rPr/>
      </w:pPr>
      <w:bookmarkStart w:id="122" w:name="__RefHeading___Toc80740_2749589250"/>
      <w:bookmarkStart w:id="123" w:name="_Toc49"/>
      <w:bookmarkEnd w:id="122"/>
      <w:r>
        <w:rPr>
          <w:rtl w:val="true"/>
        </w:rPr>
        <w:t xml:space="preserve">الإشکالات الواردة علی کلام الشیخ الأنصاری </w:t>
      </w:r>
      <w:r>
        <w:rPr>
          <w:rtl w:val="true"/>
        </w:rPr>
        <w:t>(</w:t>
      </w:r>
      <w:r>
        <w:rPr>
          <w:rtl w:val="true"/>
        </w:rPr>
        <w:t>رحمه الله</w:t>
      </w:r>
      <w:r>
        <w:rPr>
          <w:rtl w:val="true"/>
        </w:rPr>
        <w:t>):</w:t>
      </w:r>
      <w:bookmarkEnd w:id="123"/>
    </w:p>
    <w:p>
      <w:pPr>
        <w:pStyle w:val="Heading6"/>
        <w:numPr>
          <w:ilvl w:val="5"/>
          <w:numId w:val="1"/>
        </w:numPr>
        <w:rPr/>
      </w:pPr>
      <w:bookmarkStart w:id="124" w:name="__RefHeading___Toc80742_2749589250"/>
      <w:bookmarkStart w:id="125" w:name="_Toc50"/>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هناک ثلاثة إشکالات هامّة ترد علی کلام الشیخ الأنصاری</w:t>
      </w:r>
      <w:r>
        <w:rPr>
          <w:rFonts w:eastAsia="IRNazanin" w:cs="IRNazanin"/>
          <w:color w:val="111111"/>
          <w:sz w:val="28"/>
          <w:szCs w:val="28"/>
          <w:rtl w:val="true"/>
          <w:lang w:bidi="fa-IR"/>
        </w:rPr>
        <w:t>:</w:t>
      </w:r>
    </w:p>
    <w:p>
      <w:pPr>
        <w:pStyle w:val="Heading6"/>
        <w:numPr>
          <w:ilvl w:val="5"/>
          <w:numId w:val="1"/>
        </w:numPr>
        <w:rPr/>
      </w:pPr>
      <w:bookmarkStart w:id="126" w:name="__RefHeading___Toc80744_2749589250"/>
      <w:bookmarkStart w:id="127" w:name="_Toc51"/>
      <w:bookmarkEnd w:id="126"/>
      <w:r>
        <w:rPr/>
        <w:t>1</w:t>
      </w:r>
      <w:r>
        <w:rPr>
          <w:rtl w:val="true"/>
        </w:rPr>
        <w:t xml:space="preserve">- </w:t>
      </w:r>
      <w:r>
        <w:rPr>
          <w:rtl w:val="true"/>
        </w:rPr>
        <w:t xml:space="preserve">إشکالات المیرزا النائینی </w:t>
      </w:r>
      <w:r>
        <w:rPr>
          <w:rtl w:val="true"/>
        </w:rPr>
        <w:t>(</w:t>
      </w:r>
      <w:r>
        <w:rPr>
          <w:rtl w:val="true"/>
        </w:rPr>
        <w:t>رحمه الله</w:t>
      </w:r>
      <w:r>
        <w:rPr>
          <w:rtl w:val="true"/>
        </w:rPr>
        <w:t>):</w:t>
      </w:r>
      <w:bookmarkEnd w:id="127"/>
    </w:p>
    <w:p>
      <w:pPr>
        <w:pStyle w:val="Heading6"/>
        <w:numPr>
          <w:ilvl w:val="5"/>
          <w:numId w:val="1"/>
        </w:numPr>
        <w:rPr/>
      </w:pPr>
      <w:bookmarkStart w:id="128" w:name="__RefHeading___Toc80746_2749589250"/>
      <w:bookmarkStart w:id="129" w:name="_Toc52"/>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 xml:space="preserve">أورد المرحوم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للدلیل الأوّل ونقله لکلام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إشکالین علی هذا الکلام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إرجاع مفاد قاعدة الفراغ إلی مفاد کان التامة إنّما یخالف مدلول روایات قاعدة الفراغ کروایة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وطهورک فامضه کما هو</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لأنّ ظاهر هذه الروایات هو التعبّد بصحة العمل الموجود لا التعبّد بوجود العمل الصحیح</w:t>
      </w:r>
      <w:r>
        <w:rPr>
          <w:rStyle w:val="FootnoteAnchor"/>
          <w:rtl w:val="true"/>
        </w:rPr>
        <w:footnoteReference w:id="154"/>
      </w:r>
      <w:r>
        <w:rPr>
          <w:rFonts w:ascii="IRNazanin" w:hAnsi="IRNazanin" w:eastAsia="IRNazanin"/>
          <w:color w:val="111111"/>
          <w:sz w:val="28"/>
          <w:sz w:val="28"/>
          <w:szCs w:val="28"/>
          <w:rtl w:val="true"/>
          <w:lang w:bidi="fa-IR"/>
        </w:rPr>
        <w:t>وإن أمکن القول بوجود الملازمة بین هذین الأمرین إلّا أنّ إثبات وجود العمل الصحیح بقاعدة الفراغ یؤدّی إلی کونها أصلًا مثبتاً ولا حجیة للأصل المثبت، ومن هنا یقول المیرزا النائینی فی خاتمة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فإرجاع التعبّد فیها إلی التعبّد بوجود العمل الصحیح ربما یُشبه الأکل من القفا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رجوع قاعدة الفراغ إلی قاعدة التجاوز وإلی مفاد کان التامة</w:t>
      </w:r>
      <w:bookmarkStart w:id="130" w:name="pg2935_29183"/>
    </w:p>
    <w:p>
      <w:pPr>
        <w:pStyle w:val="BookText"/>
        <w:rPr/>
      </w:pPr>
      <w:bookmarkEnd w:id="130"/>
      <w:r>
        <w:rPr>
          <w:rFonts w:ascii="IRNazanin" w:hAnsi="IRNazanin" w:eastAsia="IRNazanin"/>
          <w:color w:val="111111"/>
          <w:sz w:val="28"/>
          <w:sz w:val="28"/>
          <w:szCs w:val="28"/>
          <w:rtl w:val="true"/>
          <w:lang w:bidi="fa-IR"/>
        </w:rPr>
        <w:t xml:space="preserve">فإنّ القاعدة تفقد کلّیتها وشمولیتها وتختص بباب أحکام العبادات فلا تجری فی موارد الأحکام الوضعیة وباب المعاملات لأنّ العقل فی باب الأحکام التکلیفیة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المکلّف بوجوب إبراء ذمته وتحصیل الفراغ للذمة وهو یتحقّق بإحراز وجود الصحیح فی الخارج من غیر حاجة إلی أن یشتمل العمل العبادی علی جمیع شرائط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باب المعاملات فلا یجب تفریغ الذمة بل اللازم فی هذا الباب ترتّب أثر المعاملة وهو یترتب علی صحة الموجود أیضاً فعلی سبیل المثال أنّ الملکیة تترتّب علی صحة البیع الموجود ولا یترتب أثر الملکیة إلّا مع إحراز صحة البیع الخارجی المعیّن، ومن هنا یقول المرحوم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التعبّد بوجود عقد صحیح من دون العقد الموجود لا یترتب علیه أثرٌ خارجاً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80748_2749589250"/>
      <w:bookmarkStart w:id="132" w:name="_Toc53"/>
      <w:bookmarkEnd w:id="131"/>
      <w:r>
        <w:rPr>
          <w:rtl w:val="true"/>
        </w:rPr>
        <w:t xml:space="preserve">إشکال المحقق الخوئی </w:t>
      </w:r>
      <w:r>
        <w:rPr>
          <w:rtl w:val="true"/>
        </w:rPr>
        <w:t>(</w:t>
      </w:r>
      <w:r>
        <w:rPr>
          <w:rtl w:val="true"/>
        </w:rPr>
        <w:t>رحمه الله</w:t>
      </w:r>
      <w:r>
        <w:rPr>
          <w:rtl w:val="true"/>
        </w:rPr>
        <w:t xml:space="preserve">) </w:t>
      </w:r>
      <w:r>
        <w:rPr>
          <w:rtl w:val="true"/>
        </w:rPr>
        <w:t xml:space="preserve">علی رأی المحقق النائینی </w:t>
      </w:r>
      <w:r>
        <w:rPr>
          <w:rtl w:val="true"/>
        </w:rPr>
        <w:t>(</w:t>
      </w:r>
      <w:r>
        <w:rPr>
          <w:rtl w:val="true"/>
        </w:rPr>
        <w:t>رحمه الله</w:t>
      </w:r>
      <w:r>
        <w:rPr>
          <w:rtl w:val="true"/>
        </w:rPr>
        <w:t>):</w:t>
      </w:r>
      <w:bookmarkEnd w:id="132"/>
    </w:p>
    <w:p>
      <w:pPr>
        <w:pStyle w:val="BookText"/>
        <w:rPr/>
      </w:pPr>
      <w:r>
        <w:rPr>
          <w:rFonts w:ascii="IRNazanin" w:hAnsi="IRNazanin" w:eastAsia="IRNazanin"/>
          <w:color w:val="111111"/>
          <w:sz w:val="28"/>
          <w:sz w:val="28"/>
          <w:szCs w:val="28"/>
          <w:rtl w:val="true"/>
          <w:lang w:bidi="fa-IR"/>
        </w:rPr>
        <w:t xml:space="preserve">یقول المرحوم آیة الله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الإشکال الثانی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العبادات والمعاملات حیث یترتب الأثر فی کلا البابین علی وجود العمل الصحیح وعلیه فلا یجب فی المعاملات إحراز صحة المعاملة الخارجیة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مدعاه یقول بأنّ هنا ثلاثة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المعاملة الخارجیة المعیّنة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المعاملة الخارجیة الصحیح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الکلّی للوجود الصحیح</w:t>
      </w:r>
      <w:r>
        <w:rPr>
          <w:rFonts w:eastAsia="IRNazanin" w:cs="IRNazanin"/>
          <w:color w:val="111111"/>
          <w:sz w:val="28"/>
          <w:szCs w:val="28"/>
          <w:rtl w:val="true"/>
          <w:lang w:bidi="fa-IR"/>
        </w:rPr>
        <w:t>.</w:t>
      </w:r>
      <w:bookmarkStart w:id="133" w:name="pg2935_29184"/>
    </w:p>
    <w:p>
      <w:pPr>
        <w:pStyle w:val="BookText"/>
        <w:rPr/>
      </w:pPr>
      <w:bookmarkEnd w:id="133"/>
      <w:r>
        <w:rPr>
          <w:rFonts w:ascii="IRNazanin" w:hAnsi="IRNazanin" w:eastAsia="IRNazanin"/>
          <w:color w:val="111111"/>
          <w:sz w:val="28"/>
          <w:sz w:val="28"/>
          <w:szCs w:val="28"/>
          <w:rtl w:val="true"/>
          <w:lang w:bidi="fa-IR"/>
        </w:rPr>
        <w:t xml:space="preserve">یری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الأثر فی باب المعاملات إنّما یترتّب فیما لو أحرزنا بأنّ المعاملة الخارجیة مشتملة علی جمیع شروط الصحة أی أنّه بالعنوان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المعاملة الخارجیة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رأی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بأنّ الأثر إنّما یترتب علی وجود البیع الکلّی الذی تکون هذه المعاملة الخارجیة مصداقاً له، وذلک أنّ قاعدة الفراغ لا تجری فی البیع الکلّی بما هو کلّی بل تجری فی ذلک البیع الکلّی المتحقّق فی الخارج بهذه المشخصات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قاعدة الفراغ تضمّن لنا بوجود الصحیح وإن لم یُحرَز فیه جمیع شروط الصحة، فلا فرق من هذه الجهة بین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نص کلام المرحوم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اعتراضه الثانی فلا یرجع إلی محصل لأنّ مفاد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الإرجاع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بوجود الصحیح ممّا تعلّق به الشکّ وهو کاف فی ترتّب الأثر، فإذا باع زید داره من عمرو بثمن معیّن وشک فی صحة هذه المعاملة وفسادها، کان مقتضی قاعدة الفراغ بعد الإرجاع المذکور هو الحکم بوجود بیع صحیح یکون المبیع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بالثمن المعیّن والتعبّد بوجود هذا البیع کافٍ فی ترتب الأثر وإن لم تثبت صحة هذه المعاملة الشخصیة الخارجیة کما هو الحال فی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العبادات والمعاملات من هذه الجهة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80750_2749589250"/>
      <w:bookmarkStart w:id="135" w:name="_Toc54"/>
      <w:bookmarkEnd w:id="134"/>
      <w:r>
        <w:rPr>
          <w:rtl w:val="true"/>
        </w:rPr>
        <w:t xml:space="preserve">إشکال المحقق العراقی </w:t>
      </w:r>
      <w:r>
        <w:rPr>
          <w:rtl w:val="true"/>
        </w:rPr>
        <w:t>(</w:t>
      </w:r>
      <w:r>
        <w:rPr>
          <w:rtl w:val="true"/>
        </w:rPr>
        <w:t>رحمه الله</w:t>
      </w:r>
      <w:r>
        <w:rPr>
          <w:rtl w:val="true"/>
        </w:rPr>
        <w:t xml:space="preserve">) </w:t>
      </w:r>
      <w:r>
        <w:rPr>
          <w:rtl w:val="true"/>
        </w:rPr>
        <w:t xml:space="preserve">علی رأی المحقق النائینی </w:t>
      </w:r>
      <w:r>
        <w:rPr>
          <w:rtl w:val="true"/>
        </w:rPr>
        <w:t>(</w:t>
      </w:r>
      <w:r>
        <w:rPr>
          <w:rtl w:val="true"/>
        </w:rPr>
        <w:t>رحمه الله</w:t>
      </w:r>
      <w:r>
        <w:rPr>
          <w:rtl w:val="true"/>
        </w:rPr>
        <w:t>):</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یذکر المرحوم المحقق العراقی فی إشکاله علی المیرزا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لا یترتب فی العبادات علی وجود الصحیح بل یترتّب علی صحة الموجود المعلوم</w:t>
      </w:r>
    </w:p>
    <w:p>
      <w:pPr>
        <w:pStyle w:val="BookText"/>
        <w:rPr/>
      </w:pPr>
      <w:r>
        <w:rPr>
          <w:rFonts w:ascii="IRNazanin" w:hAnsi="IRNazanin" w:eastAsia="IRNazanin"/>
          <w:color w:val="111111"/>
          <w:sz w:val="28"/>
          <w:sz w:val="28"/>
          <w:szCs w:val="28"/>
          <w:rtl w:val="true"/>
          <w:lang w:bidi="fa-IR"/>
        </w:rPr>
        <w:t xml:space="preserve">فی الخارج، فعلی سبیل المثال لو التفت المصلّی بعد الفراغ من صلاته أنّه ترک سجدة واحدة وجب علیه قضاؤها والإتیان بسجدتی السهو، ویری المحقق العراقی أنّ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قضاء السجدة والإتیان بسجدتی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یترتّب علی صحة الموجود بمعنی أنّ هذه الصلاة الخارجیة تامّة صحیحة من جمیع الجهات عدا هذه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والمورد الآخر الذی لا یترتّب فیه الأثر علی وجود الصحیح إنّما هو فی الأمور التی لیس لها ما بإزاء مستقلًا کالترتیب والموالاة وکذا فی الأحکام الوضعیة کالعقود والإیقاعات حیث یترتب الأثر علی صحّة الموجود لا علی وجود الصحیح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نصّ عبارة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توهّم کفایة مجرّد إثبات وجود الصلاة الصحیح فی فراغ الذمّة وخروج المکلّف عن العهدة بلا احتیاج إلی إثبات صحّة المأتی به فمدفوع، بأنّ کثیراً ما تمسّ الحاجة إلی إثبات صحة الموجود بمفاد کان الناقصة، کما فی قضاء السجدة وسجدتی السهو ونحوهما ممّا أخذ فی موضوعها صحّة الموجود لا مجرّد وجود الصحیح إذ فی نحو هذه الآثار لا یکفی مجرّد إثبات وجود الصحیح فی ترتّبها، مع أنّ قاعدة الصحّة تعمّ الوضعیات أیضاً من العقود والإیقاعات التی لا بد فیها من إثبات صحّة العقد أو الإیقاع فی ترتیب آثارهما ولا یکفی فی ترتبها مجرد إثبات وجود الصحیح بمفاد کان التامة مع أنّه لا یتمّ فیما لو کان الشک فی الصحة من جهة الشک فی فقد الترتیب أو الموالاة مثلًا لا من جهة الشک فی فقد الجزء، فإنّه من جهة انصراف الشی‌ء عرفاً عن مثل هذه الإضافات إلی ما کان له وجود مستقلّ، لا یصدق علی الکلّ أنّه شی‌ء مشکوک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136" w:name="pg2935_29186"/>
    </w:p>
    <w:p>
      <w:pPr>
        <w:pStyle w:val="BookText"/>
        <w:rPr/>
      </w:pPr>
      <w:bookmarkEnd w:id="136"/>
      <w:r>
        <w:rPr>
          <w:rFonts w:ascii="IRNazanin" w:hAnsi="IRNazanin" w:eastAsia="IRNazanin"/>
          <w:color w:val="111111"/>
          <w:sz w:val="28"/>
          <w:sz w:val="28"/>
          <w:szCs w:val="28"/>
          <w:rtl w:val="true"/>
          <w:lang w:bidi="fa-IR"/>
        </w:rPr>
        <w:t>وعلی هذا فإنّ المحقق العراقی یری أنّ الأثر کما یترتّب فی المعاملات علی صحّة الموجود لا علی الوجود الصحیح فکذلک من العبادات ما یترتب فیه الأثر علی صحة الموجود إلّا أنّه من الواضح أنّ المورد الثانی الذی ذکره العراقی من باب النقض إنّما یرتبط بمقام الإثبات دون مقام الثبوت</w:t>
      </w:r>
      <w:r>
        <w:rPr>
          <w:rFonts w:eastAsia="IRNazanin" w:cs="IRNazanin"/>
          <w:color w:val="111111"/>
          <w:sz w:val="28"/>
          <w:szCs w:val="28"/>
          <w:rtl w:val="true"/>
          <w:lang w:bidi="fa-IR"/>
        </w:rPr>
        <w:t>.</w:t>
      </w:r>
    </w:p>
    <w:p>
      <w:pPr>
        <w:pStyle w:val="Heading6"/>
        <w:numPr>
          <w:ilvl w:val="5"/>
          <w:numId w:val="1"/>
        </w:numPr>
        <w:rPr/>
      </w:pPr>
      <w:bookmarkStart w:id="137" w:name="__RefHeading___Toc80752_2749589250"/>
      <w:bookmarkStart w:id="138" w:name="_Toc55"/>
      <w:bookmarkEnd w:id="137"/>
      <w:r>
        <w:rPr>
          <w:rtl w:val="true"/>
        </w:rPr>
        <w:t>نتیجة البحث والاحتمالات الموجودة</w:t>
      </w:r>
      <w:r>
        <w:rPr>
          <w:rtl w:val="true"/>
        </w:rPr>
        <w:t>:</w:t>
      </w:r>
      <w:bookmarkEnd w:id="138"/>
    </w:p>
    <w:p>
      <w:pPr>
        <w:pStyle w:val="BookText"/>
        <w:rPr/>
      </w:pPr>
      <w:r>
        <w:rPr>
          <w:rFonts w:ascii="IRNazanin" w:hAnsi="IRNazanin" w:eastAsia="IRNazanin"/>
          <w:color w:val="111111"/>
          <w:sz w:val="28"/>
          <w:sz w:val="28"/>
          <w:szCs w:val="28"/>
          <w:rtl w:val="true"/>
          <w:lang w:bidi="fa-IR"/>
        </w:rPr>
        <w:t>ممّا ذکرنا یمکن الاستنتاج بأنّ فی بحث العبادات والمعاملات أربعة احتمالات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یترتب الأثر فی البابین علی الوجود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یترتب الأثر فی البابین علی صحة الموجود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یترتب الأثر فی العبادات علی الوجود الصحیح وفی المعاملات علی صحّة الموجود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الوصول إلی قاعدة کلّیّة فی البابین ولابدّ من البحث فی کلّ مورد عن أثره الخاص فقد یترتب الأثر علی الوجود الصحیح فی بعض الموارد کما قد یتعلّق الأثر بصحة الموجود فی موارد أخری</w:t>
      </w:r>
      <w:r>
        <w:rPr>
          <w:rFonts w:eastAsia="IRNazanin" w:cs="IRNazanin"/>
          <w:color w:val="111111"/>
          <w:sz w:val="28"/>
          <w:szCs w:val="28"/>
          <w:rtl w:val="true"/>
          <w:lang w:bidi="fa-IR"/>
        </w:rPr>
        <w:t>.</w:t>
      </w:r>
    </w:p>
    <w:p>
      <w:pPr>
        <w:pStyle w:val="Heading6"/>
        <w:numPr>
          <w:ilvl w:val="5"/>
          <w:numId w:val="1"/>
        </w:numPr>
        <w:rPr/>
      </w:pPr>
      <w:bookmarkStart w:id="139" w:name="__RefHeading___Toc80754_2749589250"/>
      <w:bookmarkStart w:id="140" w:name="_Toc56"/>
      <w:bookmarkEnd w:id="139"/>
      <w:r>
        <w:rPr>
          <w:rtl w:val="true"/>
        </w:rPr>
        <w:t>تحقیق المسألة</w:t>
      </w:r>
      <w:r>
        <w:rPr>
          <w:rtl w:val="true"/>
        </w:rPr>
        <w:t>:</w:t>
      </w:r>
      <w:bookmarkEnd w:id="140"/>
    </w:p>
    <w:p>
      <w:pPr>
        <w:pStyle w:val="BookText"/>
        <w:rPr/>
      </w:pPr>
      <w:r>
        <w:rPr>
          <w:rFonts w:ascii="IRNazanin" w:hAnsi="IRNazanin" w:eastAsia="IRNazanin"/>
          <w:color w:val="111111"/>
          <w:sz w:val="28"/>
          <w:sz w:val="28"/>
          <w:szCs w:val="28"/>
          <w:rtl w:val="true"/>
          <w:lang w:bidi="fa-IR"/>
        </w:rPr>
        <w:t>یبدو أنّ الاحتمال الرابع من بین الاحتمالات الأربعة السابقة هو الصحیح فلا یمکن استنتاج حکم کلّی فی کلا بابی العبادات والمعاملات بل لابدّ من إتّباع الدلیل والبحث فی کلّ مورد عن الأثر الخاص المتعلق به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الأثر الخاص فی باب العبادات عدم الإعادة أو عدم القضاء فإنّه یترتب علی الوجود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وجود العبادة</w:t>
      </w:r>
    </w:p>
    <w:p>
      <w:pPr>
        <w:pStyle w:val="BookText"/>
        <w:rPr/>
      </w:pPr>
      <w:r>
        <w:rPr>
          <w:rFonts w:ascii="IRNazanin" w:hAnsi="IRNazanin" w:eastAsia="IRNazanin"/>
          <w:color w:val="111111"/>
          <w:sz w:val="28"/>
          <w:sz w:val="28"/>
          <w:szCs w:val="28"/>
          <w:rtl w:val="true"/>
          <w:lang w:bidi="fa-IR"/>
        </w:rPr>
        <w:t>الصحیحة یعتبر مصداقاً یُمتثل به أمر المولی ویحصل فراغ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یکفی فی ترتب عدم الإعادة وعدم القضاء مجرّد أن صار العمل الخارجی مصداقاً للوجود الصحیح ولا داعی إلی صحة الموجود الخارجی بمعنی لابدّیة الإتیان بالعبادة فی الخارج مع إحراز جمیع شرائطها وخصوصیاتها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بعض الآثار الأخری کالنهی عن الفحشاء والمنکر وکالمعراجیة للصلاة فلا یکفی فی ترتّبها الوجود الصحیح بل تترتّب هذه الآثار علی الصحّة التامة للعمل الخارجی، وعلیه لابد من احراز صحة الصلاة التی جاء بها المکلّف حتی ترتب علیها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الفحشاء والمنکر أو المعراجیة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شاع بین الفقهاء أنّه ربّما یکون العمل مسقطاً للتکلیف ومصداقاً للامتثال ومع ذلک لا یحمل علیه بعض الآثار الأخری کالنهی عن الفحشاء أو المعراجیة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لی أنّ ذلک جار فی باب المعاملات أیضاً إلّا أنّ الآثار فی باب المعاملات غالباً ما تترتب علی صحة العقد الموجود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للبیع الواقع بین شخصین أن یکون مؤثراً فی النقل والانتقال للملکیة کان لابدّ لنا من إحراز صحّة ذلک البیع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البیع الفضولی حیث تکون إجازة المالک شرطاً لصحته فإنّ هذه الإجازة إنّما تکون مکمّلة للبیع فیما لو أحرزنا صحّة البیع الفضولی الواقع فی الخارج من جمیع الجهات عدا إجازة المالک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فإنّنا نجد موارد أخری فی باب المعاملات حیث یتعلّق الأثر علی الوجود الصحیح لا علی صحة الموجود مثلًا فی مورد بیع المعاطاة یترتّب أثر الملکیة علی المعاطاة التی هی مصداق للوجود الصحیح للبیع</w:t>
      </w:r>
      <w:r>
        <w:rPr>
          <w:rFonts w:eastAsia="IRNazanin" w:cs="IRNazanin"/>
          <w:color w:val="111111"/>
          <w:sz w:val="28"/>
          <w:szCs w:val="28"/>
          <w:rtl w:val="true"/>
          <w:lang w:bidi="fa-IR"/>
        </w:rPr>
        <w:t>.</w:t>
      </w:r>
      <w:bookmarkStart w:id="141" w:name="pg2935_29188"/>
    </w:p>
    <w:p>
      <w:pPr>
        <w:pStyle w:val="BookText"/>
        <w:rPr/>
      </w:pPr>
      <w:bookmarkEnd w:id="141"/>
      <w:r>
        <w:rPr>
          <w:rFonts w:ascii="IRNazanin" w:hAnsi="IRNazanin" w:eastAsia="IRNazanin"/>
          <w:color w:val="111111"/>
          <w:sz w:val="28"/>
          <w:sz w:val="28"/>
          <w:szCs w:val="28"/>
          <w:rtl w:val="true"/>
          <w:lang w:bidi="fa-IR"/>
        </w:rPr>
        <w:t>وعلی هذا فإنّ المسألة تختلف باختلاف الآثار فی باب العبادات والمعاملات ولا یمکن القول بأنّ الأثر دائماً للوجود الصحیح أو أنّ الأثر مطلقاً لصحّة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یکون الإشکال الثانی للمحقق النائینی علی کلام الشیخ الأنصاری فی إرجاع قاعدة الفراغ إلی مفاد کان التامة لیس وارداً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العبادات والمعاملات من جهة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الإشکال الأوّل للمحقق النائینی علی رأی الشیخ الأعظم وقد ناقشناه مفصلًا</w:t>
      </w:r>
      <w:r>
        <w:rPr>
          <w:rFonts w:eastAsia="IRNazanin" w:cs="IRNazanin"/>
          <w:color w:val="111111"/>
          <w:sz w:val="28"/>
          <w:szCs w:val="28"/>
          <w:rtl w:val="true"/>
          <w:lang w:bidi="fa-IR"/>
        </w:rPr>
        <w:t>.</w:t>
      </w:r>
    </w:p>
    <w:p>
      <w:pPr>
        <w:pStyle w:val="Heading6"/>
        <w:numPr>
          <w:ilvl w:val="5"/>
          <w:numId w:val="1"/>
        </w:numPr>
        <w:rPr/>
      </w:pPr>
      <w:bookmarkStart w:id="142" w:name="__RefHeading___Toc80756_2749589250"/>
      <w:bookmarkStart w:id="143" w:name="_Toc57"/>
      <w:bookmarkEnd w:id="142"/>
      <w:r>
        <w:rPr/>
        <w:t>2</w:t>
      </w:r>
      <w:r>
        <w:rPr>
          <w:rtl w:val="true"/>
        </w:rPr>
        <w:t xml:space="preserve">- </w:t>
      </w:r>
      <w:r>
        <w:rPr>
          <w:rtl w:val="true"/>
        </w:rPr>
        <w:t>إشکال المحقق العراقی علی رأی الشیخ الأنصاری</w:t>
      </w:r>
      <w:r>
        <w:rPr>
          <w:rtl w:val="true"/>
        </w:rPr>
        <w:t>:</w:t>
      </w:r>
      <w:bookmarkEnd w:id="143"/>
    </w:p>
    <w:p>
      <w:pPr>
        <w:pStyle w:val="BookText"/>
        <w:rPr/>
      </w:pPr>
      <w:r>
        <w:rPr>
          <w:rFonts w:ascii="IRNazanin" w:hAnsi="IRNazanin" w:eastAsia="IRNazanin"/>
          <w:color w:val="111111"/>
          <w:sz w:val="28"/>
          <w:sz w:val="28"/>
          <w:szCs w:val="28"/>
          <w:rtl w:val="true"/>
          <w:lang w:bidi="fa-IR"/>
        </w:rPr>
        <w:t>یقول المحقق العراقی فی إشکاله علی کلام الشیخ الأنصاری بأنّ الأثر المترتب من قبل الشارع علی الشک فی الصحة یغایر الأثر الذی رتّبه علی الشک فی الوجود وأنّ ما نراه أحیاناً من الملازمة بینهما فی الخارج فی بعض الموارد لا یستلزم اتحادهما فلا یمکن إرجاع الشک فی أصل الوجود إلی الشک فی صحة الموجود الذی هو 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فإن الالتزام برأی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بحصول التعبّد بالوجود مضافاً إلی التعبّد بالصحة عند الشک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للأصل المثبت الذی لا اعتبار له ولیس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نراه هو صحّة هذا الإشکال علی الشیخ الأنصاری، وقد ذکرنا الفرق بین هذین العنوانین فی الأبحاث السابقة عند التحقیق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کلام المحقق العراقی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قاعدة التجاوز بعدما کان متعلّقاً بأصل وجود الشی‌ء، وفی قاعدة الفراغ بصحة الموجود، نظیر الشک فی وجود الکرّ والشک فی کریّة</w:t>
      </w:r>
      <w:bookmarkStart w:id="144" w:name="pg2935_29189"/>
    </w:p>
    <w:p>
      <w:pPr>
        <w:pStyle w:val="BookText"/>
        <w:rPr/>
      </w:pPr>
      <w:bookmarkEnd w:id="144"/>
      <w:r>
        <w:rPr>
          <w:rFonts w:ascii="IRNazanin" w:hAnsi="IRNazanin" w:eastAsia="IRNazanin"/>
          <w:color w:val="111111"/>
          <w:sz w:val="28"/>
          <w:sz w:val="28"/>
          <w:szCs w:val="28"/>
          <w:rtl w:val="true"/>
          <w:lang w:bidi="fa-IR"/>
        </w:rPr>
        <w:t>الموجود، فلا یتصوّر بینهما جامع قریب ثبوتاً حتی یمکن إرادتهما من لفظ واحد، ولا مجال لإرجاع الشکّ فی صحّة الموجود إلی الشک فی وجود الصحیح أو التام، إذ فرقٌ واضح بین الشک فی وجود الصحیح وبین الشک فی صحّة الموجود، ومجرد کون منشأ الشک فی وجود الصحیح هو الشک فی بعض ما اعتبر فیه لا یخرجه عن الشک فی الشی‌ء بمفاد کان التامة إلی الشک فی صحّة الموجود الذی هو مفاد کان الناقصة وإن کان یلازمه خارجاً نظیر ملازمة الشک فی وجود الکرّ مع کرّیة الموجود وحینئذٍ فإذا کان المهمّ فی قاعدة التجاوز إثبات أصل وجود الشی‌ء وفی قاعدة الفراغ إثبات صحة الموجود المفروغ الوجود بمفاد کان الناقصة لا إثبات وجود الصحیح بمفاد کان التامة فلا مجال لإرجاع أحد المفادین إلی الآخر ولا لترتیب الأثر المترتب علی صحة الموجود بإثبات الوجود الصحیح بمحض ملازمة أحد المفادین مع الآخر واتحادهما بحسب المنشأ لأنه من المثبت المفروض عندهم ولذا لا یحکمون بترتیب آثار کریّة الموجود باستصحاب وجود الکرّ وبالعکس</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80758_2749589250"/>
      <w:bookmarkStart w:id="146" w:name="_Toc58"/>
      <w:bookmarkEnd w:id="145"/>
      <w:r>
        <w:rPr/>
        <w:t>3</w:t>
      </w:r>
      <w:r>
        <w:rPr>
          <w:rtl w:val="true"/>
        </w:rPr>
        <w:t xml:space="preserve">- </w:t>
      </w:r>
      <w:r>
        <w:rPr>
          <w:rtl w:val="true"/>
        </w:rPr>
        <w:t>إشکال المحقق الأصفهانی علی رأی الشیخ الأنصاری</w:t>
      </w:r>
      <w:r>
        <w:rPr>
          <w:rtl w:val="true"/>
        </w:rPr>
        <w:t>:</w:t>
      </w:r>
      <w:bookmarkEnd w:id="146"/>
    </w:p>
    <w:p>
      <w:pPr>
        <w:pStyle w:val="BookText"/>
        <w:rPr/>
      </w:pPr>
      <w:r>
        <w:rPr>
          <w:rFonts w:ascii="IRNazanin" w:hAnsi="IRNazanin" w:eastAsia="IRNazanin"/>
          <w:color w:val="111111"/>
          <w:sz w:val="28"/>
          <w:sz w:val="28"/>
          <w:szCs w:val="28"/>
          <w:rtl w:val="true"/>
          <w:lang w:bidi="fa-IR"/>
        </w:rPr>
        <w:t>دخل المحقق الأصفهانی فی مقام الإشکال علی الشیخ الأعظم الأنصاری عن طریق التغایر فی اعتبارات الماهیة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قید الصحة فی العمل یمکن أن یُفرض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یلاحظ قید الصحة علی نحو اللابشرط، وتارةً أخری علی نحو بشرط الشی‌ء، ویعتبر العمل مقیّداً بالصحة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موارد الشک فی الصحة یلاحظ هذا القید بشرط الشی‌ء، وفی موارد الشک</w:t>
      </w:r>
      <w:bookmarkStart w:id="147" w:name="pg2935_29190"/>
    </w:p>
    <w:p>
      <w:pPr>
        <w:pStyle w:val="BookText"/>
        <w:rPr/>
      </w:pPr>
      <w:bookmarkEnd w:id="147"/>
      <w:r>
        <w:rPr>
          <w:rFonts w:ascii="IRNazanin" w:hAnsi="IRNazanin" w:eastAsia="IRNazanin"/>
          <w:color w:val="111111"/>
          <w:sz w:val="28"/>
          <w:sz w:val="28"/>
          <w:szCs w:val="28"/>
          <w:rtl w:val="true"/>
          <w:lang w:bidi="fa-IR"/>
        </w:rPr>
        <w:t>فی الوجود یؤخذ قید الصحة علی نحو اللابشرط، وهذان الاعتباران لحاظان متغایران تماماً حیث لا یمکن إرجاع أحدهما إلی الآخر، فلا یمکن تصوّر جامع واحد بین قاعدتی الفراغ والتجاوز ولا إرجاع قاعدة الفراغ إلی 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وإصلاح الجامع بإرجاع الشک فی الصحّة فی وجود العمل الصحیح کما عن الشیخ الأعظم فی بعض فروع المسألة غیر معقول، لأنّ ملاحظة العمل مهملًا واقعاً غیر معقول وملاحظته بنحو اللابشرط القسمی یوجب اختصاصه بقاعدة التجاوز وملاحظته بنحو الماهیة بشرط شی‌ء أی العمل بوصف الصحة یوجب اختصاصه بقاعدة الفراغ والاعتبارات متقابلة فلا یعقل الجمع بینها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أجاب المحقق الأصفهانی نفسه بعد هذا الإشکال بأنّ المراد من الصحة لیس ترتیب الأثر لئلا یوجد جامع بین الوجود وترتب الأثر علی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مجرد الاختلاف بین قاعدتی الفراغ والتجاوز من جهة أنّ إحداهما بمفاد کان التامة والأخری بمفاد کان الناقصة، مجرّد هذا التفاوت غیر مانع من تصور القدر الجامع، والصحّة المشکوکة هی القدر الجامع وقد تکون بمفاد کان الناقصة تارة وبمفاد کان التامة تارة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ویندفع أصل الإشکال بأنّ الصحة لا یراد منها ترتب الأثر حتی لا یکون جامعٌ للوجود ولترتب الأثر علی الموجود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 w:name="__RefHeading___Toc80760_2749589250"/>
      <w:bookmarkStart w:id="149" w:name="_Toc59"/>
      <w:bookmarkEnd w:id="148"/>
      <w:r>
        <w:rPr>
          <w:rtl w:val="true"/>
        </w:rPr>
        <w:t>تحقیق البحث فی الوجه الأوّل</w:t>
      </w:r>
      <w:r>
        <w:rPr>
          <w:rtl w:val="true"/>
        </w:rPr>
        <w:t>:</w:t>
      </w:r>
      <w:bookmarkEnd w:id="1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 لعدم إمکان تصویر الجامع بین قاعدة الفراغ وقاعدة التجاوز</w:t>
      </w:r>
    </w:p>
    <w:p>
      <w:pPr>
        <w:pStyle w:val="BookText"/>
        <w:rPr/>
      </w:pPr>
      <w:r>
        <w:rPr>
          <w:rFonts w:ascii="IRNazanin" w:hAnsi="IRNazanin" w:eastAsia="IRNazanin"/>
          <w:color w:val="111111"/>
          <w:sz w:val="28"/>
          <w:sz w:val="28"/>
          <w:szCs w:val="28"/>
          <w:rtl w:val="true"/>
          <w:lang w:bidi="fa-IR"/>
        </w:rPr>
        <w:t>علی مبنی المیرزا النائینی هو أنّ مفاد قاعدة التجاوز هو مفاد کان التامة، أمّا مفاد قاعدة الفراغ فهو مفاد کان الناقصة ولا 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الأنصاری فقد أرجع فی مقام الردّ قاعدة الفراغ إلی قاعدة التجاوز حیث أورد بعض الإعلام إشکالات عدیدة علی کلامه، منها إشکال المحقق العراقی الذی هو الأقوی من بینها حیث رأی أنّ الشک فی عالم الواقع نوعان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الوجود والآخر هو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إرجاع الشک فی الصحة إلی الشک فی وجود الصحیح إنّما هو مجرد تأویل لفظی لا یغیّر من الواقع شیئاً، والشاهد علی تغایرهما هو أنّ لکلّ من هذین النوعین من الشک أثر 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إرجاع الشک فی الصحة إلی الشک فی وجود الصحیح کان أصلًا مثبتاً وهذا بحدّ ذاته أکثر من الدلیل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الإرجاع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الأدلّة فی مقام الإثبات وسنبحث عن مقام الإثبات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علمنا عدم تمامیة ردّ الشیخ الأنصاری علی الوجه الأوّل وإرجاعه قاعدة الفراغ إلی قاعدة التجاوز لابدّ لنا من البحث فی إمکانیة تصوّر القدر الجامع بین مفادی کان التامة وکان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الاصفهانی فی مقام بیان الجامع، بعد الإشکال علی کلام الشیخ الأنصاری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الصحّة المشکوکة تارةً تلحظ بمفاد کان التامّة وأخری تلحظ بمفاد کان الناقصة، فإن لوحظ فی مورد الشک وجود الصحّة بلا لحاظ اتّصاف عمل خاص بها، کان ذلک، بمفاد کان التامة وإن لوحظ وجود اتّصاف عملٍ بها بأن لوحظت وصفاً لعمل خاصّ کانت بمفاد کان الناقصة، وعلیه فلا</w:t>
      </w:r>
    </w:p>
    <w:p>
      <w:pPr>
        <w:pStyle w:val="BookText"/>
        <w:rPr/>
      </w:pPr>
      <w:r>
        <w:rPr>
          <w:rFonts w:ascii="IRNazanin" w:hAnsi="IRNazanin" w:eastAsia="IRNazanin"/>
          <w:color w:val="111111"/>
          <w:sz w:val="28"/>
          <w:sz w:val="28"/>
          <w:szCs w:val="28"/>
          <w:rtl w:val="true"/>
          <w:lang w:bidi="fa-IR"/>
        </w:rPr>
        <w:t>ملزم للالتزام بأن الملحوظ فی هذا القسم هو اتّصاف العمل بالصحة بل لیس هو إلّا صحة العمل فإنّه مورد الأثر فیمکن لحاظه بمفاد کان التامة، وعلیه فلا مانع للجمع بین القاعدتین من جهة تباین نسبتیهما لاتحادهما ذاتاً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أنّ المحقق الاصفهانی قد غیّر صورة المسألة حیث جعلنا صورة المسألة أنّ الشک لو کان بلحاظ اتصاف العمل الموجود بالصحة کان بمفاد کان الناقصة وإن کان بلحاظ أصل وجود العمل کان بمفاد کان التامّة إلّا أنّ الأصفهانی ذکر أنّ الصحة المشکوکة قدر جامع بین کان التامة وکان الناقصة حیث إن کان الشک فی مورد ما قد لوحظ فی وجود الصحة من غیر اتّصاف عملٍ خاص کان ذلک مفاد کان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فرض اتّصاف عملٍ خاصّ بحیث کانت الصحة المشکوکة وصفاً لذلک العمل کان مفاد کان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فإنّه لم یجعل الملحوظ اتّصاف العمل بالصحّة بل یجعل الملحوظ صحّة العمل وهی المورد لترتب الأثر، ویمکن لحاظها علی نحو مفاد کان التامة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أعتقده هو أنّ کلام المحقق الأصفهانی کإرجاع الشیخ الأنصاری إنّما هو مجرد توجیه لفظی یخالف الواقع إذ من الواضح أنْ لیس البحث فی قاعدة التجاوز عن مسألة الصحّة بل الشک فی أصل وجود الجزء لا فی صحّته، وذلک کما لو شکّ المصلی فی هذه المسألة هل رکع فی صلاته أولا؟ وعلی هذا فإنّ الصحة المشکوکة لا یمکن لها أن تکون کقدر جامع بین مفاد کان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کان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w:t>
      </w:r>
      <w:bookmarkStart w:id="150" w:name="pg2935_29193"/>
    </w:p>
    <w:p>
      <w:pPr>
        <w:pStyle w:val="BookText"/>
        <w:rPr/>
      </w:pPr>
      <w:bookmarkEnd w:id="150"/>
      <w:r>
        <w:rPr>
          <w:rFonts w:ascii="IRNazanin" w:hAnsi="IRNazanin" w:eastAsia="IRNazanin"/>
          <w:color w:val="111111"/>
          <w:sz w:val="28"/>
          <w:sz w:val="28"/>
          <w:szCs w:val="28"/>
          <w:rtl w:val="true"/>
          <w:lang w:bidi="fa-IR"/>
        </w:rPr>
        <w:t xml:space="preserve">ثمّ إنّه بعد رفضنا للجامع الذی ذکره المحقق الأصفهانی یمکن أن یدّعی متوهمّ بأنّ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قدر جامع بین الشک فی الصحة والشکّ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التوهم فی غیر محلّه بدلیلین، ولا یمکن أن یقع عنوان الشک جامعاً بین قاعدة الفراغ وقاعدة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فی صدد إیجاد قدر جامع قریب بحیث یکون مذکوراً فی روایة وتدّعی وجوده فی مقام الإثبات لتدلّ الروایة علی قاعدة الفراغ وقاعدة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جامع بعید شأنه شأن القول بأن الجامع بین الصحة ووجود العمل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فی صدد القدر الجامع فی متعلق الشک مع قطع النظر عن الشک نفسه بمعنی أنّنا عندما نقول بأنّ مجری قاعدة التجاوز هو الشک فی الوجود ومجری قاعدة الفراغ هو الشک فی الصحة لابدّ لنا فی مقام بیان القدر الجامع من أن نلتمس القدر الجامع بین الصحة والوجود، کما لو التمسنا قدراً جامعاً بین الشک فی الصلاة والشک فی البیع فإنّه لابد لنا حینئذٍ من إیجاد عنوانٍ یستفاد من داخله عنوان الصلاة وعنوان البیع، وعنوان الشک لیس کذلک حیث لا یمکن انتزاع الصحة والوجود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فالحاصل من مباحث الوجه الأوّل لتعدّد القاعدتین أن لا قدر جامع بین مفاد کان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کان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الأوّل للدلیل الأوّل تام لا إشکال فیه</w:t>
      </w:r>
      <w:r>
        <w:rPr>
          <w:rFonts w:eastAsia="IRNazanin" w:cs="IRNazanin"/>
          <w:color w:val="111111"/>
          <w:sz w:val="28"/>
          <w:szCs w:val="28"/>
          <w:rtl w:val="true"/>
          <w:lang w:bidi="fa-IR"/>
        </w:rPr>
        <w:t>.</w:t>
      </w:r>
    </w:p>
    <w:p>
      <w:pPr>
        <w:pStyle w:val="Heading5"/>
        <w:numPr>
          <w:ilvl w:val="4"/>
          <w:numId w:val="1"/>
        </w:numPr>
        <w:rPr/>
      </w:pPr>
      <w:bookmarkStart w:id="151" w:name="__RefHeading___Toc80762_2749589250"/>
      <w:bookmarkStart w:id="152" w:name="_Toc60"/>
      <w:bookmarkEnd w:id="151"/>
      <w:r>
        <w:rPr>
          <w:rtl w:val="true"/>
        </w:rPr>
        <w:t>البیان الثانی فی الدلیل الأوّل</w:t>
      </w:r>
      <w:r>
        <w:rPr>
          <w:rtl w:val="true"/>
        </w:rPr>
        <w:t>:</w:t>
      </w:r>
      <w:bookmarkEnd w:id="15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 فی عدم وجود القدر الجامع بین قاعدة الفراغ وقاعدة التجاوز هو أنّ الشی‌ء فی قاعدة الفراغ متیقّن الوجود أی أنّ قاعدة الفراغ إنّما تعبدّنا بصحة ما هو</w:t>
      </w:r>
      <w:bookmarkStart w:id="153" w:name="pg2935_29194"/>
    </w:p>
    <w:p>
      <w:pPr>
        <w:pStyle w:val="BookText"/>
        <w:rPr/>
      </w:pPr>
      <w:bookmarkEnd w:id="153"/>
      <w:r>
        <w:rPr>
          <w:rFonts w:ascii="IRNazanin" w:hAnsi="IRNazanin" w:eastAsia="IRNazanin"/>
          <w:color w:val="111111"/>
          <w:sz w:val="28"/>
          <w:sz w:val="28"/>
          <w:szCs w:val="28"/>
          <w:rtl w:val="true"/>
          <w:lang w:bidi="fa-IR"/>
        </w:rPr>
        <w:t>مفروض الوجود بینما یکون الشی‌ء فی قاعدة التجاوز مشکوک الوجود أی تعبّدنا بوجود المشکوک، ولا یمکن تصوّر القدر الجامع بین متیقّن الوجود ومشکوکه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الأصفهانی فی هذا المجال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مرجع الشکّ فی الصحّة إلی فرض الوجود وهو لا یجامع الشک فی الوجود حیث لا جامع بین فرض الوجود وعدم فرض الوجود وهو من الجمع بین المتقابلین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السید الخوئی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المجعول فی قاعدة الفراغ هو البناء علی الصحة والتعبّد بها بعد فرض الوجود والمجعول فی قاعدة التجاوز هو البناء علی الوجود والتعبّد به مع فرض الشک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الجمع بینهما فی دلیلٍ واحد إذ لا یمکن اجتماع فرض الوجود مع فرض الشک فی الوجود فی دلیل واحدٍ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وهذا الوجه کالوجه الأوّل تامٌ وصحیح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مبنی الشیخ الأنصاری الذی یرجع مفاد کان الناقصة إلی کان التامة، کذا وعلی مبنی المحقق الأصفهانی القائل بوجود القدر الجامع بین مفاد کان التامة وکان الناقصة فلا صحّة لهذا الوجه إذ لم یکن الشی‌ء فی قاعدة الفراغ متیقّن الوجود بل کان مشکوک الوجود کما فی قاعدة التجاوز، هذا علی مبنی الشیخ الأنصاری، أمّا المحقق الأصفهانی فقد جعل الشکّ فی الصحة قدراً جامعاً بین القاعدتین، وعلی هذین المبنیین لا یتمّ الوجه الثانی</w:t>
      </w:r>
      <w:r>
        <w:rPr>
          <w:rFonts w:eastAsia="IRNazanin" w:cs="IRNazanin"/>
          <w:color w:val="111111"/>
          <w:sz w:val="28"/>
          <w:szCs w:val="28"/>
          <w:rtl w:val="true"/>
          <w:lang w:bidi="fa-IR"/>
        </w:rPr>
        <w:t>.</w:t>
      </w:r>
    </w:p>
    <w:p>
      <w:pPr>
        <w:pStyle w:val="Heading5"/>
        <w:numPr>
          <w:ilvl w:val="4"/>
          <w:numId w:val="1"/>
        </w:numPr>
        <w:rPr/>
      </w:pPr>
      <w:bookmarkStart w:id="154" w:name="__RefHeading___Toc80764_2749589250"/>
      <w:bookmarkStart w:id="155" w:name="_Toc61"/>
      <w:bookmarkEnd w:id="154"/>
      <w:r>
        <w:rPr>
          <w:rtl w:val="true"/>
        </w:rPr>
        <w:t>البیان الثالث فی الدلیل الأوّل</w:t>
      </w:r>
      <w:r>
        <w:rPr>
          <w:rtl w:val="true"/>
        </w:rPr>
        <w:t>:</w:t>
      </w:r>
      <w:bookmarkEnd w:id="155"/>
    </w:p>
    <w:p>
      <w:pPr>
        <w:pStyle w:val="Heading6"/>
        <w:numPr>
          <w:ilvl w:val="5"/>
          <w:numId w:val="1"/>
        </w:numPr>
        <w:rPr/>
      </w:pPr>
      <w:bookmarkStart w:id="156" w:name="__RefHeading___Toc80766_2749589250"/>
      <w:bookmarkStart w:id="157" w:name="_Toc62"/>
      <w:bookmarkEnd w:id="156"/>
      <w:r>
        <w:rPr>
          <w:rtl w:val="true"/>
        </w:rPr>
        <w:t>اشارة</w:t>
      </w:r>
      <w:bookmarkEnd w:id="1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بیّناه أثناء عرضنا للوجه الأوّل إلّا أنّ هناک نقاطاً أخری لابدّ من البحث</w:t>
      </w:r>
    </w:p>
    <w:p>
      <w:pPr>
        <w:pStyle w:val="BookText"/>
        <w:rPr/>
      </w:pPr>
      <w:r>
        <w:rPr>
          <w:rFonts w:ascii="IRNazanin" w:hAnsi="IRNazanin" w:eastAsia="IRNazanin"/>
          <w:color w:val="111111"/>
          <w:sz w:val="28"/>
          <w:sz w:val="28"/>
          <w:szCs w:val="28"/>
          <w:rtl w:val="true"/>
          <w:lang w:bidi="fa-IR"/>
        </w:rPr>
        <w:t>فیها ودراستها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السبب فی عدم وجود القدر الجامع بین قاعدتی الفراغ والتجاوز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متعلّق الشک فی قاعدة الفراغ هو الصحّة بینما فی قاعدة التجاوز هو الوجود ولا یعقل تصوّر قدر جامع بین الصحة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المحقق النائینی بهذا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متعلّق الشکّ فی قاعدة التجاوز إنّما هو وجود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قاعدة الفراغ إنّما هو صحّة الموجود ولا جامع بینهما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وللمحقق العراقی فی هذا السیاق کلامٌ ذُکر بعده فی کلمات المرحوم السید الخوئی وهو أنّ العلماء والمحققین یصرّحون فی مبحث الإطلاق بأنّ الإطلاق هو رفض القیود لا جمع القیود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الإطلاق بمعنی جمع القیود لزم أن یلاحظ الشارع عند الحکم علی موضوع مختلف أنواع القیود ویثبت الحکم علی جمیع هذه الأنواع فعلی سبیل المثال عند جعل حکم الحرمة للخمر التی لها أنواع مختلفة کالمتّخذ من العنب من التمر الأحمر والأصفر فعلیه أن یلاحظ جمیع أنواع العصیر ثمّ یجعل الحکم علیها فالإطلاق هو رفض القیود لا جمع القیود بمعنی أنّ الشارع المقدّس عند الحکم بالحرمة علی الخمر لا یلاحظ قیداً من قیود الخمر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المحقق العراقی قد استخدم هذه القاعدة فیما نحن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عنوان الشک فی الشی‌ء بعد تجاوز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إطلاق والشارع</w:t>
      </w:r>
      <w:bookmarkStart w:id="158" w:name="pg2935_29196"/>
    </w:p>
    <w:p>
      <w:pPr>
        <w:pStyle w:val="BookText"/>
        <w:rPr/>
      </w:pPr>
      <w:bookmarkEnd w:id="158"/>
      <w:r>
        <w:rPr>
          <w:rFonts w:ascii="IRNazanin" w:hAnsi="IRNazanin" w:eastAsia="IRNazanin"/>
          <w:color w:val="111111"/>
          <w:sz w:val="28"/>
          <w:sz w:val="28"/>
          <w:szCs w:val="28"/>
          <w:rtl w:val="true"/>
          <w:lang w:bidi="fa-IR"/>
        </w:rPr>
        <w:t>لم یلاحظ شیئاً من خصوصیاته من حیث کون الشک فی الصحة أو الشک فی الوجود بل حکم علی نحو الإطلاق بعدم الاعتناء بالشک بعد الانتهاء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نستنتج أنّ عنوان الشک أوّلًا وبالذات یشمل الشک فی الصحة والشک فی الوجود ولمّا لم یلاحظ الشارع المقدّس خصوصیات الشک لم یبق مجال للبحث فی وجود القدر الجامع بین الشک فی الصحة والشک فی الوجود، وذلک أنّ القدر الجامع إنّما یتصور فیما لو لاحظ الشارع کلا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الصحة والشک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لاحظ هنا مطلق الشک فقط حیث ینطبق علی قاعدة الفراغ کما ینطبق علی قاعدة التجاوز</w:t>
      </w:r>
      <w:r>
        <w:rPr>
          <w:rFonts w:eastAsia="IRNazanin" w:cs="IRNazanin"/>
          <w:color w:val="111111"/>
          <w:sz w:val="28"/>
          <w:szCs w:val="28"/>
          <w:rtl w:val="true"/>
          <w:lang w:bidi="fa-IR"/>
        </w:rPr>
        <w:t>.</w:t>
      </w:r>
    </w:p>
    <w:p>
      <w:pPr>
        <w:pStyle w:val="Heading6"/>
        <w:numPr>
          <w:ilvl w:val="5"/>
          <w:numId w:val="1"/>
        </w:numPr>
        <w:rPr/>
      </w:pPr>
      <w:bookmarkStart w:id="159" w:name="__RefHeading___Toc80768_2749589250"/>
      <w:bookmarkStart w:id="160" w:name="_Toc63"/>
      <w:bookmarkEnd w:id="159"/>
      <w:r>
        <w:rPr>
          <w:rtl w:val="true"/>
        </w:rPr>
        <w:t>وقد ذکر هذا المطلب فی کلمات السید الخوئی أیضاً کما أسلفنا فهو یقول</w:t>
      </w:r>
      <w:r>
        <w:rPr>
          <w:rtl w:val="true"/>
        </w:rPr>
        <w:t>:</w:t>
      </w:r>
      <w:bookmarkEnd w:id="1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والتحقیق أنّ الاستدلال المذکور ساقط من أصله لما ذکرناه مراراً من أنّ معنی الإطلاق هو إلغاء جمیع الخصوصیّات، لا الأخذ بجمیعها فإذا جُعل حکمٌ لموضوع مطلق، معناه ثبوت الحکم به بالفاء جمیع الخصوصیات کما إذا جعلت الحرمة للخمر المطلق مثلًا فإنه عبارة عن الحکم بحرمة الخمر بإلغاء جمیع الخصوصیّات من کونه أحمر أو أصفر أو مأخوذاً من العنب أو من التمر وغیرها من الخصوصیات لا الحکم بحرمة الخمر مع لحاظ الخصوصیات والاحتفاظ بها، بمعنی أنّ الخمر بما هو أحمر حرام وبما هو أصفر حرام وهکذا، وحینئذٍ لا مانع من جعل قاعدة کلّیة شاملة لموارد قاعدة الفراغ وموارد قاعدة التجاوز بلا لحاظ خصوصیّات الموارد بأن یکون موضوع القاعدة مطلق الشکّ فی شی‌ءٍ بعد التجاوز عنه بلا لحاظ خصوصیة کون الشک متعلّقاً بالصحّة أو بالوجود فیکون المجعول عدم الاعتناء بالشکّ فی الشی‌ء بعد التجاوز عنه بلا لحاظ کون الشکّ متعلّقاً بالوجود أو بالصحة أو غیرهما من خصوصیات المورد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الکلام المذکور تامٌ لا إشکال فیه إذ أنّ إطلاق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 بعد التجاوز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الشک فی الصحّة والشک فی الوجود، ومن هنا لا داعی للانفکاک بینهما ثمّ التماس القدر الجامع بینهما بل یکفی هذا العنوان الکلّی القابل للانطباق علی کلتا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أقرّ بهذا العنوان الکلّی المحقق النائینی کقدر جامع حیث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الشارع فی مقام ضرب قاعدة کلّیّة للشک فی الشی‌ء بعد التجاوز عنه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أقرّ بهذا الکلّام من جاء بعده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یتابع السید الخوئی کلامه بذکر مطلب آخر تعود جذوره إلی کلمات المحقق الاصفهانی</w:t>
      </w:r>
      <w:r>
        <w:rPr>
          <w:rStyle w:val="FootnoteAnchor"/>
          <w:rtl w:val="true"/>
        </w:rPr>
        <w:footnoteReference w:id="169"/>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الصحّة من الأوصاف الانتزاعیة التی لیس فی الخارج بإزائها شی‌ء إذ هو منتزع من مطابقة المأتی به للمأمور به فالشک فی الصحّة دائماً یرجع إلی الشک فی وجود جزء أو شرط فلا مانع من جعل قاعدة شاملة لموارد الشکّ فی الوجود وموارد الشک فی الصحة لکون الشکّ فی الصحة راجعاً إلی الشک فی الوجود فتکون قاعدة الفراغ راجعة إلی قاعدة التجاوز</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الخوئی فی هذه العبارات مستدرکاً ما ذکره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النظر عن مبنی الإطلاق والتزمنا أنّ هنا شکّین مختلفین بحیث لابدّ من تصوّر قدر جامع بینهما إلّا أنّ إرجاع الشک فی الصحة إلی الشک فی وجود الجزء أو الشرط هو قانون کلّی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الشک فی صحّة عملٍ مرکب ینشأ دائماً من الشک فی</w:t>
      </w:r>
      <w:bookmarkStart w:id="161" w:name="pg2935_29198"/>
    </w:p>
    <w:p>
      <w:pPr>
        <w:pStyle w:val="BookText"/>
        <w:rPr/>
      </w:pPr>
      <w:bookmarkEnd w:id="161"/>
      <w:r>
        <w:rPr>
          <w:rFonts w:ascii="IRNazanin" w:hAnsi="IRNazanin" w:eastAsia="IRNazanin"/>
          <w:color w:val="111111"/>
          <w:sz w:val="28"/>
          <w:sz w:val="28"/>
          <w:szCs w:val="28"/>
          <w:rtl w:val="true"/>
          <w:lang w:bidi="fa-IR"/>
        </w:rPr>
        <w:t>وجود جزئه أو شرطه، وبالتالی فإنّ القدر الجامع بین الصحة والوجود هو الوجود کما أنّ القدر الجامع بین الشک فی الصحّة والشک فی الوجود هو الشک فی الوجود وعلیه تعود قاعدة الفراغ إلی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منه یشبه إلی حدّ کبیر بکلام الشیخ الأنصاری فی أنّ التعبّد بالصحة إنّما هو بمعنی التعبّد فی الوجود فی قاعدة الفراغ، وقد عبّدنا الشارع فی موارد الشک فی الصحة بوجود الصحیح</w:t>
      </w:r>
      <w:r>
        <w:rPr>
          <w:rFonts w:eastAsia="IRNazanin" w:cs="IRNazanin"/>
          <w:color w:val="111111"/>
          <w:sz w:val="28"/>
          <w:szCs w:val="28"/>
          <w:rtl w:val="true"/>
          <w:lang w:bidi="fa-IR"/>
        </w:rPr>
        <w:t>.</w:t>
      </w:r>
    </w:p>
    <w:p>
      <w:pPr>
        <w:pStyle w:val="Heading6"/>
        <w:numPr>
          <w:ilvl w:val="5"/>
          <w:numId w:val="1"/>
        </w:numPr>
        <w:rPr/>
      </w:pPr>
      <w:bookmarkStart w:id="162" w:name="__RefHeading___Toc80770_2749589250"/>
      <w:bookmarkStart w:id="163" w:name="_Toc64"/>
      <w:bookmarkEnd w:id="162"/>
      <w:r>
        <w:rPr>
          <w:rtl w:val="true"/>
        </w:rPr>
        <w:t>إشکالات هذه النظریة</w:t>
      </w:r>
      <w:r>
        <w:rPr>
          <w:rtl w:val="true"/>
        </w:rPr>
        <w:t>:</w:t>
      </w:r>
      <w:bookmarkEnd w:id="163"/>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المباحث السابقة أنّ الشک فی الصحة أحیاناً یکون ناشئاً من الشک فی وجود المانع، ومن جهة أخری فإنّ الشکّ فی وجود المانع یختلف عن الشک فی وجود الجزء أو الشرط حیث إنّ القاعدة فی الشکّ فی وجود الجزء أو الشرط تعبّد الإنسان بالوجود ولا تعبّد من هذا القبیل فی الشک فی وجود المانع، وعلیه لا یمکن القول بأنّه کلّما کان الشک فی الصحة کان هذا الشک ناشئاً من الشک فی الوجود وإنّ القاعدة تعبّدنا بالوجود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کلام السید الخوئی فی الشک فی شرط المرکّب أیضاً غیر تام، فلا یمکن القول بأنّ الشک فی صحة المرکّب ینشأ دائماً من الشک فی وجود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الشک فی الصحة راجع إلی الشک فی الوجود، والقاعدة تعبّدنا بالوجود، مثلًا لو شک المکلّف بعد الفراغ من صلاة الظهر بأنّه هل کان متطهّراً أو لا؟ فإنّ الطهارة من شروط صحّة الصلاة، فلو أنّ الشک فی صحة الصلاة رجع إلی الشک فی وجود الطهارة وتعبّد المکلّف بوجود الطهارة بمقتضی القاعدة کان لابد من الحکم علیه بالتمکّن من قیامه بصلاة العصر مع أنّ أحداً من الفقهاء لم یُفتِ بذلک</w:t>
      </w:r>
      <w:r>
        <w:rPr>
          <w:rFonts w:eastAsia="IRNazanin" w:cs="IRNazanin"/>
          <w:color w:val="111111"/>
          <w:sz w:val="28"/>
          <w:szCs w:val="28"/>
          <w:rtl w:val="true"/>
          <w:lang w:bidi="fa-IR"/>
        </w:rPr>
        <w:t>.</w:t>
      </w:r>
      <w:bookmarkStart w:id="164" w:name="pg2935_29199"/>
    </w:p>
    <w:p>
      <w:pPr>
        <w:pStyle w:val="BookText"/>
        <w:rPr/>
      </w:pPr>
      <w:bookmarkEnd w:id="164"/>
      <w:r>
        <w:rPr>
          <w:rFonts w:ascii="IRNazanin" w:hAnsi="IRNazanin" w:eastAsia="IRNazanin"/>
          <w:color w:val="111111"/>
          <w:sz w:val="28"/>
          <w:sz w:val="28"/>
          <w:szCs w:val="28"/>
          <w:rtl w:val="true"/>
          <w:lang w:bidi="fa-IR"/>
        </w:rPr>
        <w:t>وعلی هذا فنظراً إلی الإشکالین السابقین فإنّ إرجاع الشک فی الصحّة إلی الشک فی الوجود غیر قابل للقبول</w:t>
      </w:r>
      <w:r>
        <w:rPr>
          <w:rFonts w:eastAsia="IRNazanin" w:cs="IRNazanin"/>
          <w:color w:val="111111"/>
          <w:sz w:val="28"/>
          <w:szCs w:val="28"/>
          <w:rtl w:val="true"/>
          <w:lang w:bidi="fa-IR"/>
        </w:rPr>
        <w:t>.</w:t>
      </w:r>
    </w:p>
    <w:p>
      <w:pPr>
        <w:pStyle w:val="Heading6"/>
        <w:numPr>
          <w:ilvl w:val="5"/>
          <w:numId w:val="1"/>
        </w:numPr>
        <w:rPr/>
      </w:pPr>
      <w:bookmarkStart w:id="165" w:name="__RefHeading___Toc80772_2749589250"/>
      <w:bookmarkStart w:id="166" w:name="_Toc65"/>
      <w:bookmarkEnd w:id="165"/>
      <w:r>
        <w:rPr>
          <w:rtl w:val="true"/>
        </w:rPr>
        <w:t>نتیجة الدلیل الأوّل</w:t>
      </w:r>
      <w:r>
        <w:rPr>
          <w:rtl w:val="true"/>
        </w:rPr>
        <w:t>:</w:t>
      </w:r>
      <w:bookmarkEnd w:id="166"/>
    </w:p>
    <w:p>
      <w:pPr>
        <w:pStyle w:val="BookText"/>
        <w:rPr/>
      </w:pPr>
      <w:r>
        <w:rPr>
          <w:rFonts w:ascii="IRNazanin" w:hAnsi="IRNazanin" w:eastAsia="IRNazanin"/>
          <w:color w:val="111111"/>
          <w:sz w:val="28"/>
          <w:sz w:val="28"/>
          <w:szCs w:val="28"/>
          <w:rtl w:val="true"/>
          <w:lang w:bidi="fa-IR"/>
        </w:rPr>
        <w:t>بالنظر إلی الوجوه الثلاثة للدلیل الأوّل والإشکالات الواردة علیها یتبیّن لنا أنّ الطریق الوحید لإثبات وحدة القاعدتین هو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مقام الإثبات فإن وجدنا روایة مطلقة أمکن انطباقها علی کلتا القاعدتین</w:t>
      </w:r>
      <w:r>
        <w:rPr>
          <w:rFonts w:eastAsia="IRNazanin" w:cs="IRNazanin"/>
          <w:color w:val="111111"/>
          <w:sz w:val="28"/>
          <w:szCs w:val="28"/>
          <w:rtl w:val="true"/>
          <w:lang w:bidi="fa-IR"/>
        </w:rPr>
        <w:t>.</w:t>
      </w:r>
    </w:p>
    <w:p>
      <w:pPr>
        <w:pStyle w:val="Heading4"/>
        <w:numPr>
          <w:ilvl w:val="3"/>
          <w:numId w:val="1"/>
        </w:numPr>
        <w:rPr/>
      </w:pPr>
      <w:bookmarkStart w:id="167" w:name="__RefHeading___Toc80774_2749589250"/>
      <w:bookmarkStart w:id="168" w:name="_Toc66"/>
      <w:bookmarkEnd w:id="167"/>
      <w:r>
        <w:rPr>
          <w:rtl w:val="true"/>
        </w:rPr>
        <w:t>الدلیل الثانی</w:t>
      </w:r>
      <w:r>
        <w:rPr>
          <w:rtl w:val="true"/>
        </w:rPr>
        <w:t xml:space="preserve">: </w:t>
      </w:r>
      <w:r>
        <w:rPr>
          <w:rtl w:val="true"/>
        </w:rPr>
        <w:t>اجتماع لحاظی الآلیة والاستقلالیة فی الشی‌ء الواحد</w:t>
      </w:r>
      <w:r>
        <w:rPr>
          <w:rtl w:val="true"/>
        </w:rPr>
        <w:t>:</w:t>
      </w:r>
      <w:bookmarkEnd w:id="168"/>
    </w:p>
    <w:p>
      <w:pPr>
        <w:pStyle w:val="Heading5"/>
        <w:numPr>
          <w:ilvl w:val="4"/>
          <w:numId w:val="1"/>
        </w:numPr>
        <w:rPr/>
      </w:pPr>
      <w:bookmarkStart w:id="169" w:name="__RefHeading___Toc80776_2749589250"/>
      <w:bookmarkStart w:id="170" w:name="_Toc67"/>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الدلیل الثانی الذی ذکره المیرزا النائینی علی تعدّد قاعدتی الفراغ والتجاوز هو اجتماع لحاظین متغایرین علی ملحوظ واحد وذلک أنّ قاعدة الفراغ إنّما تتعلق بکلّ العمل بمعنی أن یشک فی صحّة العمل بعد الفراغ منه فتدلّ قاعدة الفراغ علی صحته، أمّا قاعدة التجاوز فتتعلّق بجزء العمل بمعنی أن یُشک عند الإتیان بجزء فی الجزء السابق علیه فتدلّ قاعدة التجاوز علی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قاعدة الفراغ یجب علی المولی أن یتصوّر کلّ العمل أمّا حین تصوّر المرکّب لابد من تصور أجزائه فی الرتبة السابقة علی تصوّر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فإنّ الاجزاء عند لحاظ المرکبّ تلاحظ لحاظاً تبعیاً اندکاکیاً بتبع تصوّر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لحاظ الأجزاء فی قاعدة الفراغ لحاظاً تبعیاً غیر استقلالی بینما یتصوّر الجزء فی قاعدة التجاوز علی نحو الاستقلال حیث یقول المولی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عن جزء ودخلت فی جزء آخر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فلو أراد الشارع المقدّس أن یجعل هاتین القاعدتین ضمن خطاب واحد وجب</w:t>
      </w:r>
      <w:bookmarkStart w:id="171" w:name="pg2935_29200"/>
    </w:p>
    <w:p>
      <w:pPr>
        <w:pStyle w:val="BookText"/>
        <w:rPr/>
      </w:pPr>
      <w:bookmarkEnd w:id="171"/>
      <w:r>
        <w:rPr>
          <w:rFonts w:ascii="IRNazanin" w:hAnsi="IRNazanin" w:eastAsia="IRNazanin"/>
          <w:color w:val="111111"/>
          <w:sz w:val="28"/>
          <w:sz w:val="28"/>
          <w:szCs w:val="28"/>
          <w:rtl w:val="true"/>
          <w:lang w:bidi="fa-IR"/>
        </w:rPr>
        <w:t>علیه أن یلاحظ الأجزاء علی نحو الاستقلال وعلی نحو التبعیة فیتعلّق اللحاظ الاستقلالی واللحاظ التبعی بالجزء الواحد فی زمان واحدٍ مع أنّ اجتماع لحاظین مختلفین فی الملحوظ الواحد غیر ممکن</w:t>
      </w:r>
      <w:r>
        <w:rPr>
          <w:rFonts w:eastAsia="IRNazanin" w:cs="IRNazanin"/>
          <w:color w:val="111111"/>
          <w:sz w:val="28"/>
          <w:szCs w:val="28"/>
          <w:rtl w:val="true"/>
          <w:lang w:bidi="fa-IR"/>
        </w:rPr>
        <w:t>.</w:t>
      </w:r>
    </w:p>
    <w:p>
      <w:pPr>
        <w:pStyle w:val="Heading5"/>
        <w:numPr>
          <w:ilvl w:val="4"/>
          <w:numId w:val="1"/>
        </w:numPr>
        <w:rPr/>
      </w:pPr>
      <w:bookmarkStart w:id="172" w:name="__RefHeading___Toc80778_2749589250"/>
      <w:bookmarkStart w:id="173" w:name="_Toc68"/>
      <w:bookmarkEnd w:id="172"/>
      <w:r>
        <w:rPr>
          <w:rtl w:val="true"/>
        </w:rPr>
        <w:t>یقول المحقق النائینی فی هذا السیاق</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المرکّب حیث إنّه مؤلف من الأجزاء بالأسر فلا محالة تکون ملاحظة کلّ جزءٍ بنفسه سابقة فی الرتبة علی لحاظ المرکّب بما هو، إذ فی مرتبة لحاظ المرکّب یکون الجزء مندکّاً فیه فی اللحاظ ویکون الملحوظ الاستقلالی هو المرکب لا غیر فلحاظ کلّ حرفٍ بنفسه سابق علی لحاظ الکلمة بما هی کما أنّ لحاظ الکلمة فی نفسها سابق فی الرتبة علی لحاظ الآیة فإذا کان لحاظ کلّ من الأجزاء سابقاً علی لحاظ المرکب فی الرتبة وکان لحاظه فی ضمن المرکب اندکاکیاً فکیف یمکن أن یرید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القاعدة الجزء والکلّ معاً حیث یکون الکلّ بنفسه ملحوظاً حتی یتحقّق به مورد قاعدة الفراغ ویکون الجزء بنفسه ملحوظاً فی عرضه حتی یتحقّق به مورد قاعدة التجاوز</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80780_2749589250"/>
      <w:bookmarkStart w:id="175" w:name="_Toc69"/>
      <w:bookmarkEnd w:id="174"/>
      <w:r>
        <w:rPr>
          <w:rtl w:val="true"/>
        </w:rPr>
        <w:t>الإشکالات الواردة علی الدلیل الثانی</w:t>
      </w:r>
      <w:r>
        <w:rPr>
          <w:rtl w:val="true"/>
        </w:rPr>
        <w:t>:</w:t>
      </w:r>
      <w:bookmarkEnd w:id="175"/>
    </w:p>
    <w:p>
      <w:pPr>
        <w:pStyle w:val="Heading6"/>
        <w:numPr>
          <w:ilvl w:val="5"/>
          <w:numId w:val="1"/>
        </w:numPr>
        <w:rPr/>
      </w:pPr>
      <w:bookmarkStart w:id="176" w:name="__RefHeading___Toc80782_2749589250"/>
      <w:bookmarkStart w:id="177" w:name="_Toc70"/>
      <w:bookmarkEnd w:id="176"/>
      <w:r>
        <w:rPr/>
        <w:t>1</w:t>
      </w:r>
      <w:r>
        <w:rPr>
          <w:rtl w:val="true"/>
        </w:rPr>
        <w:t xml:space="preserve">- </w:t>
      </w:r>
      <w:r>
        <w:rPr>
          <w:rtl w:val="true"/>
        </w:rPr>
        <w:t>نظریة المحقق النائینی</w:t>
      </w:r>
      <w:r>
        <w:rPr>
          <w:rtl w:val="true"/>
        </w:rPr>
        <w:t>:</w:t>
      </w:r>
      <w:bookmarkEnd w:id="177"/>
    </w:p>
    <w:p>
      <w:pPr>
        <w:pStyle w:val="Heading6"/>
        <w:numPr>
          <w:ilvl w:val="5"/>
          <w:numId w:val="1"/>
        </w:numPr>
        <w:rPr/>
      </w:pPr>
      <w:bookmarkStart w:id="178" w:name="__RefHeading___Toc80784_2749589250"/>
      <w:bookmarkStart w:id="179" w:name="_Toc71"/>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یقول المحقق النائینی بعد ذکر هذا الدلیل علی تعدّد قاعدتی الفراغ والتجاوز فی مقام الإجابة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یتمّ هذا الدلیل فیما إذا لوحظت الأجزاء فی عرض لحاظ المرکّب ولکنّها لیست کذلک إذ لو راجعنا الروایات لتبیّن لنا أنّها طائفتان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المطلقة التی تبیّن وظیفة المکلّف عند الشک فی کلّ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الخاصّة التی تبیّن وظیفة المکلّف عند الشک فی الأجزاء فتقول مثلًا لو شک فی الرکوع بعد إکمال السجود 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الخاصّة هنا حاکمة علی الروایات المطلقة فلا یتحقّق اجتماع لحاظین متغایرین علی ملحوظ واحد فی عرض واحدٍ، لأنّ الشارع المقدّس قد لاحظ کلّ المرکب أولًا ثمّ ذکر الأجزاء فی الأدلة الأخری علی نحو الاستقلال، ومن هنا فلا یکون لحاظ المرکّب والأجزاء فی عرض بعضهما وفی زمان واحدٍ إذ الشارع قد لاحظ الکلّ أولًا ثمّ لاحظ الأجزاء، وعلیه فلا یلزم اجتماع اللحاظین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عبارة المیرزا النائینی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الشک فی الأجزاء لو کان ملحوظاً فی جعل القاعدة مثل ما لوحظ نفس العمل فیه، لکان لهما مجال واسع، لکنّ الأمر لیس کذلک بل المجعول ابتداءً هو عدم الاعتناء بالشکّ بعد التجاوز عن العمل، فلو کنّا نحن وهذه الإطلاقات، لقلنا باختصاصها بموارد الشک بعد الفراغ ولم نقل بجریأنها فی شی‌ءٍ من موارد الشک فی موارد قاعدة التجاوز، لکنّ الأدلّة الخاصّة دلّت علی اعتبارها فی موارد الشک فی الأجزاء أیضاً فهی دالّة بالحکومة علی لحاظ الجزء سابقاً علی لحاظ الترکیب أمراً مستقلًا بنفسه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والحاصل 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الروایات لیس هو العمل وأجزاؤه حتّی یرد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الجمع بین</w:t>
      </w:r>
      <w:bookmarkStart w:id="180" w:name="pg2935_29202"/>
    </w:p>
    <w:p>
      <w:pPr>
        <w:pStyle w:val="BookText"/>
        <w:rPr/>
      </w:pPr>
      <w:bookmarkEnd w:id="180"/>
      <w:r>
        <w:rPr>
          <w:rFonts w:ascii="IRNazanin" w:hAnsi="IRNazanin" w:eastAsia="IRNazanin"/>
          <w:color w:val="111111"/>
          <w:sz w:val="28"/>
          <w:sz w:val="28"/>
          <w:szCs w:val="28"/>
          <w:rtl w:val="true"/>
          <w:lang w:bidi="fa-IR"/>
        </w:rPr>
        <w:t>اللحاظین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80786_2749589250"/>
      <w:bookmarkStart w:id="182" w:name="_Toc72"/>
      <w:bookmarkEnd w:id="181"/>
      <w:r>
        <w:rPr>
          <w:rtl w:val="true"/>
        </w:rPr>
        <w:t>الإشکال علی نظریة المحقق النائینی</w:t>
      </w:r>
      <w:r>
        <w:rPr>
          <w:rtl w:val="true"/>
        </w:rPr>
        <w:t>:</w:t>
      </w:r>
      <w:bookmarkEnd w:id="182"/>
    </w:p>
    <w:p>
      <w:pPr>
        <w:pStyle w:val="BookText"/>
        <w:rPr/>
      </w:pPr>
      <w:r>
        <w:rPr>
          <w:rFonts w:ascii="IRNazanin" w:hAnsi="IRNazanin" w:eastAsia="IRNazanin"/>
          <w:color w:val="111111"/>
          <w:sz w:val="28"/>
          <w:sz w:val="28"/>
          <w:szCs w:val="28"/>
          <w:rtl w:val="true"/>
          <w:lang w:bidi="fa-IR"/>
        </w:rPr>
        <w:t>ظهر مما سبق أنّ رد المیرزا النائینی لا یشکلّ جواباً عن الإشکال بل هو إقرار وقبول الإشکال، وذلک أنّه أقرّ بأنّ التعبیر الواحد لا یمکنه أن یبیّن الشک فی المرکّب والشک فی الجزء معاً بل لابد من إثبات قاعدة الفراغ أولًا ثمّ یستفاد قاعدة التجاوز من الأدلّة الحاکمة، وعلیه فإنّه یرکز فی جوابه عن الإشکال، علی عدم کون القاعدتین فی عرض واحدٍ وهذا قبول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إنّ المحقق النائینی لو کان یردّ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لحاظین متغایرین علی ملحوظ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بالاعتماد علی فرض القاعدتین فی عرضٍ واحد لم یردْ علی ردّه إشکال لکنّه غیّر صورة فرض المسألة فی مقام الإجابة، وهذا اعتراف وتسلیم للإشکال لا جواب عنه</w:t>
      </w:r>
      <w:r>
        <w:rPr>
          <w:rFonts w:eastAsia="IRNazanin" w:cs="IRNazanin"/>
          <w:color w:val="111111"/>
          <w:sz w:val="28"/>
          <w:szCs w:val="28"/>
          <w:rtl w:val="true"/>
          <w:lang w:bidi="fa-IR"/>
        </w:rPr>
        <w:t>.</w:t>
      </w:r>
    </w:p>
    <w:p>
      <w:pPr>
        <w:pStyle w:val="Heading6"/>
        <w:numPr>
          <w:ilvl w:val="5"/>
          <w:numId w:val="1"/>
        </w:numPr>
        <w:rPr/>
      </w:pPr>
      <w:bookmarkStart w:id="183" w:name="__RefHeading___Toc80788_2749589250"/>
      <w:bookmarkStart w:id="184" w:name="_Toc73"/>
      <w:bookmarkEnd w:id="183"/>
      <w:r>
        <w:rPr/>
        <w:t>2</w:t>
      </w:r>
      <w:r>
        <w:rPr>
          <w:rtl w:val="true"/>
        </w:rPr>
        <w:t xml:space="preserve">- </w:t>
      </w:r>
      <w:r>
        <w:rPr>
          <w:rtl w:val="true"/>
        </w:rPr>
        <w:t>نظریة المحقق الخوئی</w:t>
      </w:r>
      <w:r>
        <w:rPr>
          <w:rtl w:val="true"/>
        </w:rPr>
        <w:t>:</w:t>
      </w:r>
      <w:bookmarkEnd w:id="184"/>
    </w:p>
    <w:p>
      <w:pPr>
        <w:pStyle w:val="BookText"/>
        <w:rPr/>
      </w:pPr>
      <w:r>
        <w:rPr>
          <w:rFonts w:ascii="IRNazanin" w:hAnsi="IRNazanin" w:eastAsia="IRNazanin"/>
          <w:color w:val="111111"/>
          <w:sz w:val="28"/>
          <w:sz w:val="28"/>
          <w:szCs w:val="28"/>
          <w:rtl w:val="true"/>
          <w:lang w:bidi="fa-IR"/>
        </w:rPr>
        <w:t>ذکر السید الخوئی فی مقام الإجابة عن الدلیل الثانی للمحقق النائینی ثلاثة أجوبة، وها نحن نذکرها بغرض مناقشتها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لا اختصاص لقاعدة الفراغ بالشک فی صحّة الکلّ بل تجری عند الشک فی صحّة الجزء أیضاً ولعله المشهور، فعلی تقدیر تعدد القاعدتین أیضاً یلزم تعلّق اللحاظ الاستقلالی والتبعی بالجزء فی جعل نفس قاعدة الفراغ فما به الجواب علی تقدیر التعدّد یجاب به علی تقدیر الاتحاد أیضاً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185" w:name="pg2935_29203"/>
    </w:p>
    <w:p>
      <w:pPr>
        <w:pStyle w:val="BookText"/>
        <w:rPr/>
      </w:pPr>
      <w:bookmarkEnd w:id="185"/>
      <w:r>
        <w:rPr>
          <w:rFonts w:ascii="IRNazanin" w:hAnsi="IRNazanin" w:eastAsia="IRNazanin"/>
          <w:color w:val="111111"/>
          <w:sz w:val="28"/>
          <w:sz w:val="28"/>
          <w:szCs w:val="28"/>
          <w:rtl w:val="true"/>
          <w:lang w:bidi="fa-IR"/>
        </w:rPr>
        <w:t>إنّ الجواب الأوّل للسید الخوئی فی الواقع جواب نقضی علی الدلیل الثانی حیث إنّ إشکال اجتماع لحاظین متغایرین علی ملحوظٍ واحد یرد فی قاعدة الفراغ أیضاً علی مبنی قاعدة تعدّد القاعدتین، لأنّ قاعدة الفراغ کما تجری فی موارد الشک بعد إتمام العمل، کذلک تجری فی موارد الشک فی صحة الجزء فإنّ من شکّ حالة السجود فی صحّة رکوعه المأتی به جرت فی حقّه قاعدة الفراغ فی هذا الجزء المفروغ منه وعلیه یُستشکل فی مجری قاعدة الفراغ أنّ الشارع المقدّس یجب أنْ یلاحظ الجزء استقلالًا وتبعاً فی مقام جعل القاعدة</w:t>
      </w:r>
      <w:r>
        <w:rPr>
          <w:rFonts w:eastAsia="IRNazanin" w:cs="IRNazanin"/>
          <w:color w:val="111111"/>
          <w:sz w:val="28"/>
          <w:szCs w:val="28"/>
          <w:rtl w:val="true"/>
          <w:lang w:bidi="fa-IR"/>
        </w:rPr>
        <w:t>.</w:t>
      </w:r>
    </w:p>
    <w:p>
      <w:pPr>
        <w:pStyle w:val="Heading5"/>
        <w:numPr>
          <w:ilvl w:val="4"/>
          <w:numId w:val="1"/>
        </w:numPr>
        <w:rPr/>
      </w:pPr>
      <w:bookmarkStart w:id="186" w:name="__RefHeading___Toc80790_2749589250"/>
      <w:bookmarkStart w:id="187" w:name="_Toc74"/>
      <w:bookmarkEnd w:id="186"/>
      <w:r>
        <w:rPr>
          <w:rtl w:val="true"/>
        </w:rPr>
        <w:t>الإشکال علی جواب السید الخوئی الأوّل</w:t>
      </w:r>
      <w:r>
        <w:rPr>
          <w:rtl w:val="true"/>
        </w:rPr>
        <w:t>:</w:t>
      </w:r>
      <w:bookmarkEnd w:id="187"/>
    </w:p>
    <w:p>
      <w:pPr>
        <w:pStyle w:val="BookText"/>
        <w:rPr/>
      </w:pPr>
      <w:r>
        <w:rPr>
          <w:rFonts w:ascii="IRNazanin" w:hAnsi="IRNazanin" w:eastAsia="IRNazanin"/>
          <w:color w:val="111111"/>
          <w:sz w:val="28"/>
          <w:sz w:val="28"/>
          <w:szCs w:val="28"/>
          <w:rtl w:val="true"/>
          <w:lang w:bidi="fa-IR"/>
        </w:rPr>
        <w:t>الظاهر أنّ جواب السید الخوئی غیر تامّ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سابقاً وسیأتی فی فروع المسألة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لا تجری فی الشک فی الأجزاء بل هی مختصّة بالفراغ من مجموع العمل أمّا فی الشک فی الأجزاء فتجری قاعدة التجاوز فقط، فلو شک فی أصل وجود الجزء دلّ منطوق قاعدة التجاوز علی عدم الاعتناء بالشک، أمّا لو شک فی صحّة الجزء المأتی به فإنّ قاعدة التجاوز تدلّ بمفهوم الأوّلویة علی عدم الاعتناء بالشک إذ لو لم یجب الاعتناء بالشک فی أصل وجود الشی‌ء لم یجب الاعتناء بالشک فی صحّته بطریق أولی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القاعدتین ممکن بإلغاء الخصوصیّات علی ما ذکرناه فإنّ لحاظ الکلّ والجزء بما هما کلّ یستلزم اجتماع اللحاظ الاستقلالی والتبعی فی الجزء بخلاف لحاظهما مع إلغاء خصوصیّة الجزئیة والکلّیة بأنْ یلاحظ لفظ عام شامل لهما کلفظ الشی‌ء ویحکم بعدم الاعتناء بالشک فیه بعد الخروج عن محله فإنّه لا محذور فیه أصلًا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یذکر المحقق الخوئی فی هذا الجواب أنّه کما بیّنا فی الجواب عن الدلیل الأوّل أنّ متعلّق الشک هو عنوان الشی‌ء بعد المضیّ الشامل للصحة والوجود فإنّ هنا أیضاً لا یلزم إشکال اجتماع لحاظین متغایرین علی ملحوظ واحد فیما لو ألغینا خصوصیة الکلّیة والجزئیة بجعل لفظ عام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الجواب تامّ وصحیح</w:t>
      </w:r>
      <w:r>
        <w:rPr>
          <w:rStyle w:val="FootnoteAnchor"/>
          <w:rtl w:val="true"/>
        </w:rPr>
        <w:footnoteReference w:id="176"/>
      </w:r>
      <w:r>
        <w:rPr>
          <w:rFonts w:ascii="IRNazanin" w:hAnsi="IRNazanin" w:eastAsia="IRNazanin"/>
          <w:color w:val="111111"/>
          <w:sz w:val="28"/>
          <w:sz w:val="28"/>
          <w:szCs w:val="28"/>
          <w:rtl w:val="true"/>
          <w:lang w:bidi="fa-IR"/>
        </w:rPr>
        <w:t>لأنّ اجتماع اللحاظین المتغایرین إنّما یلزم فیما لو لاحظ الشارع المقدّس فی الکبری الکلّیة الجزء والکلّ بخصوصیاتها أمّا لو الغیت الخصوصیة عنهما واستعمل فی الکبری عنوان عام کلّی بحیث یشمل الجزء والکلّ معاً فلا یلزم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ما ذکرناه أخیراً من أنّ الشک فی صحة الصلاة مثلًا بعد الفراغ منها یکون ناشئاً من الشک فی وجود الجزء أو الشرط فیکون مورداً لقاعدة التجاوز ویحکم بوجود المشکوک فیه فلا حاجة إلی جعل قاعدة الفراغ مستقلًا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 للسید الخوئی یعاکس جواب المحقق النائینی وذلک أنّ المیرزا النائینی کان یری أنّ هناک مجعولًا شرعیاً واحداً یسمّی بقاعدة الفراغ، أمّا</w:t>
      </w:r>
      <w:bookmarkStart w:id="188" w:name="pg2935_29205"/>
    </w:p>
    <w:p>
      <w:pPr>
        <w:pStyle w:val="BookText"/>
        <w:rPr/>
      </w:pPr>
      <w:bookmarkEnd w:id="188"/>
      <w:r>
        <w:rPr>
          <w:rFonts w:ascii="IRNazanin" w:hAnsi="IRNazanin" w:eastAsia="IRNazanin"/>
          <w:color w:val="111111"/>
          <w:sz w:val="28"/>
          <w:sz w:val="28"/>
          <w:szCs w:val="28"/>
          <w:rtl w:val="true"/>
          <w:lang w:bidi="fa-IR"/>
        </w:rPr>
        <w:t>المحقق الخوئی فیری أنّ الشک فی الصحّة راجع إلی الشک فی الوجود وبالتالی یکون من مصادیق قاعدة التجاوز ویُحکم فیه بوجود الجزء المشکوک فیه، ومن هنا فلا حاجة إلی جعل مستقل لقاعدة الفراغ حتی یُستشکل بأنّ فی جعل قاعدة الفراغ لابد من لحاظ الأجزاء علی نحو التبعیة والاندکاک، وفی قاعدة التجاوز علی نحو الاستقلالیة، وعلیه فلا یمکن جعلهما بخطاب وتعبیر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الجواب غیر تام لأنّه قبولٌ وإقرار بالإشکال ولیس ردّاً علیه کما سبق ذلک فی جواب المحقق النائینی</w:t>
      </w:r>
      <w:r>
        <w:rPr>
          <w:rFonts w:eastAsia="IRNazanin" w:cs="IRNazanin"/>
          <w:color w:val="111111"/>
          <w:sz w:val="28"/>
          <w:szCs w:val="28"/>
          <w:rtl w:val="true"/>
          <w:lang w:bidi="fa-IR"/>
        </w:rPr>
        <w:t>.</w:t>
      </w:r>
    </w:p>
    <w:p>
      <w:pPr>
        <w:pStyle w:val="Heading4"/>
        <w:numPr>
          <w:ilvl w:val="3"/>
          <w:numId w:val="1"/>
        </w:numPr>
        <w:rPr/>
      </w:pPr>
      <w:bookmarkStart w:id="189" w:name="__RefHeading___Toc80792_2749589250"/>
      <w:bookmarkStart w:id="190" w:name="_Toc75"/>
      <w:bookmarkEnd w:id="189"/>
      <w:r>
        <w:rPr>
          <w:rtl w:val="true"/>
        </w:rPr>
        <w:t>الدلیل الثالث</w:t>
      </w:r>
      <w:r>
        <w:rPr>
          <w:rtl w:val="true"/>
        </w:rPr>
        <w:t xml:space="preserve">: </w:t>
      </w:r>
      <w:r>
        <w:rPr>
          <w:rtl w:val="true"/>
        </w:rPr>
        <w:t>محذور الجمع بین المعنی الحقیقی والمعنی المجازی</w:t>
      </w:r>
      <w:r>
        <w:rPr>
          <w:rtl w:val="true"/>
        </w:rPr>
        <w:t>:</w:t>
      </w:r>
      <w:bookmarkEnd w:id="190"/>
    </w:p>
    <w:p>
      <w:pPr>
        <w:pStyle w:val="Heading5"/>
        <w:numPr>
          <w:ilvl w:val="4"/>
          <w:numId w:val="1"/>
        </w:numPr>
        <w:rPr/>
      </w:pPr>
      <w:bookmarkStart w:id="191" w:name="__RefHeading___Toc80794_2749589250"/>
      <w:bookmarkStart w:id="192" w:name="_Toc76"/>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المحذور الثالث هو أنّه لو تضمّنت الکبری الکلّیة الواحدة علی بیان قاعدتی الفراغ والتجاوز أدّی ذلک إلی لزوم استعمال لفظ واحد فی کلا معنییه الحقیقی والمجازی واستعمال اللفظ فی المعنی الحقیقی والمجازی معاً مشکل ومحال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مجری قاعدة التجاوز هو التجاوز عن محل الجزء المشکوک بینما مجری قاعدة الفراغ هو التجاوز عن نفس العمل المرکّب والتجاوز عن الشی‌ء نفسه، والجمع بینهما فی التعبیر والخطاب الواحد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النائینی فی هذا المجال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المیزان فی جریان قاعدة التجاوز هو التجاوز عن محلّ الجزء المشکوک کما إذا دخل فی التشهّد وشکّ فی وجود الجزء السابق علیه کالسجدة والمیزان فی جریان قاعدة الفراغ هو التجاوز عن نفس المرکب فکیف یمکن إرادة التجاوز عن المحل والتجاوز عن نفس الشی‌ء من لفظ التجاوز الوارد فی</w:t>
      </w:r>
      <w:bookmarkStart w:id="193" w:name="pg2935_29206"/>
    </w:p>
    <w:p>
      <w:pPr>
        <w:pStyle w:val="BookText"/>
        <w:rPr/>
      </w:pPr>
      <w:bookmarkEnd w:id="193"/>
      <w:r>
        <w:rPr>
          <w:rFonts w:ascii="IRNazanin" w:hAnsi="IRNazanin" w:eastAsia="IRNazanin"/>
          <w:color w:val="111111"/>
          <w:sz w:val="28"/>
          <w:sz w:val="28"/>
          <w:szCs w:val="28"/>
          <w:rtl w:val="true"/>
          <w:lang w:bidi="fa-IR"/>
        </w:rPr>
        <w:t>الروایة معاً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80796_2749589250"/>
      <w:bookmarkStart w:id="195" w:name="_Toc77"/>
      <w:bookmarkEnd w:id="194"/>
      <w:r>
        <w:rPr>
          <w:rtl w:val="true"/>
        </w:rPr>
        <w:t>یقول المحقق السید الخوئی فی توضیح هذا الدلیل</w:t>
      </w:r>
      <w:r>
        <w:rPr>
          <w:rtl w:val="true"/>
        </w:rPr>
        <w:t>:</w:t>
      </w:r>
      <w:bookmarkEnd w:id="195"/>
    </w:p>
    <w:p>
      <w:pPr>
        <w:pStyle w:val="BookText"/>
        <w:rPr/>
      </w:pPr>
      <w:r>
        <w:rPr>
          <w:rFonts w:ascii="IRNazanin" w:hAnsi="IRNazanin" w:eastAsia="IRNazanin"/>
          <w:color w:val="111111"/>
          <w:sz w:val="28"/>
          <w:sz w:val="28"/>
          <w:szCs w:val="28"/>
          <w:rtl w:val="true"/>
          <w:lang w:bidi="fa-IR"/>
        </w:rPr>
        <w:t>الوجه الثالث أنّ الجمع بین القاعدتین یستلزم استعمال اللفظ فی المعنی الحقیقی والمعنی العنائی وهو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التجاوز عن الشی‌ء فی مورد قاعدة الفراغ هو التجاوز الحقیقی إذ الشک متعلق بصحّته مع العلم بوجوده فیصدق التجاوز عنه حقیقة بخلاف التجاوز فی مورد قاعدة التجاوز فإنّه لا یصدق التجاوز الحقیقی عن الشی‌ء مع الشک فی وجوده، فلابدّ من إعمال عنایة بأنْ یکون المراد من التجاوز عن الشی‌ء هو التجاوز عن محلّه علی طریقة المجاز فی الکلّمة أو فی الإسناد أو فی الحذف، بأن یراد من الشی‌ءِ محلّه أو یُسند التجاوز إلیه بالإسناد المجازی أو یقدّر المضاف وهو لفظ المحلّ فالجمع بین القاعدتین فی جعل واحد یستلزم الجمع بین المعنی الحقیقی والعنائی وهو لا یجوز</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80798_2749589250"/>
      <w:bookmarkStart w:id="197" w:name="_Toc78"/>
      <w:bookmarkEnd w:id="196"/>
      <w:r>
        <w:rPr>
          <w:rtl w:val="true"/>
        </w:rPr>
        <w:t>الإشکالات علی الدلیل الثالث</w:t>
      </w:r>
      <w:r>
        <w:rPr>
          <w:rtl w:val="true"/>
        </w:rPr>
        <w:t>:</w:t>
      </w:r>
      <w:bookmarkEnd w:id="197"/>
    </w:p>
    <w:p>
      <w:pPr>
        <w:pStyle w:val="Heading6"/>
        <w:numPr>
          <w:ilvl w:val="5"/>
          <w:numId w:val="1"/>
        </w:numPr>
        <w:rPr/>
      </w:pPr>
      <w:bookmarkStart w:id="198" w:name="__RefHeading___Toc80800_2749589250"/>
      <w:bookmarkStart w:id="199" w:name="_Toc79"/>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 xml:space="preserve">أجیب عن الدلیل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الجمع بین المعنی الحقیقی والمعنی المجازی بجوابین أحدهما للمحقق النائینی والآخر للسید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المحقق النائینی عن الدلیل الثالث</w:t>
      </w:r>
      <w:r>
        <w:rPr>
          <w:rFonts w:eastAsia="IRNazanin" w:cs="IRNazanin"/>
          <w:color w:val="111111"/>
          <w:sz w:val="28"/>
          <w:szCs w:val="28"/>
          <w:rtl w:val="true"/>
          <w:lang w:bidi="fa-IR"/>
        </w:rPr>
        <w:t>:</w:t>
      </w:r>
    </w:p>
    <w:p>
      <w:pPr>
        <w:pStyle w:val="Heading6"/>
        <w:numPr>
          <w:ilvl w:val="5"/>
          <w:numId w:val="1"/>
        </w:numPr>
        <w:rPr/>
      </w:pPr>
      <w:bookmarkStart w:id="200" w:name="__RefHeading___Toc80802_2749589250"/>
      <w:bookmarkStart w:id="201" w:name="_Toc80"/>
      <w:bookmarkEnd w:id="200"/>
      <w:r>
        <w:rPr/>
        <w:t>1</w:t>
      </w:r>
      <w:r>
        <w:rPr>
          <w:rtl w:val="true"/>
        </w:rPr>
        <w:t xml:space="preserve">- </w:t>
      </w:r>
      <w:r>
        <w:rPr>
          <w:rtl w:val="true"/>
        </w:rPr>
        <w:t>نظریة المحقق النائینی</w:t>
      </w:r>
      <w:r>
        <w:rPr>
          <w:rtl w:val="true"/>
        </w:rPr>
        <w:t>:</w:t>
      </w:r>
      <w:bookmarkEnd w:id="2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هناک عنواناً عاماً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مصادیق مختلفة أی أنّ</w:t>
      </w:r>
      <w:bookmarkStart w:id="202" w:name="pg2935_29207"/>
    </w:p>
    <w:p>
      <w:pPr>
        <w:pStyle w:val="BookText"/>
        <w:rPr/>
      </w:pPr>
      <w:bookmarkEnd w:id="202"/>
      <w:r>
        <w:rPr>
          <w:rFonts w:ascii="IRNazanin" w:hAnsi="IRNazanin" w:eastAsia="IRNazanin"/>
          <w:color w:val="111111"/>
          <w:sz w:val="28"/>
          <w:sz w:val="28"/>
          <w:szCs w:val="28"/>
          <w:rtl w:val="true"/>
          <w:lang w:bidi="fa-IR"/>
        </w:rPr>
        <w:t>هناک أمرین یوجبان تحقق ذلک العنوان أحدهما الفراغ من العمل، والمصداق الآخر هو التجاوز عن المحلّ المعیّن وعلیه فلا یلزم إشکال الجمع بین المعنیین الحقیقی والمجازی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التجاوز الوارد فیها هو التجاوز عن نفس الشی‌ءِ مطلقاً غایة الأمر أنّ التجاوز عن محلّ المشکوک بعد تعیّن وقوعه فیه یوجب صدق التجاوز عن المشکوک، فمحقق التجاوز عن الشی‌ء أمران أحدهما التجاوز عنه بالفراغ عنه والثانی التجاوز عنه بتجاوز محلّه المتعیّن وقوعه فیه کما فی موارد التجاوز</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80804_2749589250"/>
      <w:bookmarkStart w:id="204" w:name="_Toc81"/>
      <w:bookmarkEnd w:id="203"/>
      <w:r>
        <w:rPr/>
        <w:t>2</w:t>
      </w:r>
      <w:r>
        <w:rPr>
          <w:rtl w:val="true"/>
        </w:rPr>
        <w:t xml:space="preserve">- </w:t>
      </w:r>
      <w:r>
        <w:rPr>
          <w:rtl w:val="true"/>
        </w:rPr>
        <w:t>نظریة المحقق الخوئی</w:t>
      </w:r>
      <w:r>
        <w:rPr>
          <w:rtl w:val="true"/>
        </w:rPr>
        <w:t>:</w:t>
      </w:r>
      <w:bookmarkEnd w:id="204"/>
    </w:p>
    <w:p>
      <w:pPr>
        <w:pStyle w:val="BookText"/>
        <w:rPr/>
      </w:pPr>
      <w:r>
        <w:rPr>
          <w:rFonts w:ascii="IRNazanin" w:hAnsi="IRNazanin" w:eastAsia="IRNazanin"/>
          <w:color w:val="111111"/>
          <w:sz w:val="28"/>
          <w:sz w:val="28"/>
          <w:szCs w:val="28"/>
          <w:rtl w:val="true"/>
          <w:lang w:bidi="fa-IR"/>
        </w:rPr>
        <w:t>أجاب المرحوم السید الخوئی عن هذا الإشکال بما یُشبه جوابه عن الإشکال الثانی وهو أنّ الشک فی الصحة ناشئ عن الشک فی الوجود ومتی أمکن إجراء قاعدة التجاوز لم یبق مجال لقاعدة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الجواب عن هذا الاستدلال مما ذکرناه من أنّ الشک فی الصحة دائماً ناشئٌ من الشک فی وجود الجزء أو الشرط فالتجاوز فی مورد قاعدة الفراغ أیضاً هو التجاوز عن محلّ الشی‌ء المشکوک فیه سواء کان جزءاً أو شرطاً فلا فرق بین قاعدة الفراغ والتجاوز عن هذه الجهة ولا یلزم بین المعنی الحقیقی والعنائی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80806_2749589250"/>
      <w:bookmarkStart w:id="206" w:name="_Toc82"/>
      <w:bookmarkEnd w:id="205"/>
      <w:r>
        <w:rPr>
          <w:rtl w:val="true"/>
        </w:rPr>
        <w:t>الدلیل الرابع محذور التدافع</w:t>
      </w:r>
      <w:r>
        <w:rPr>
          <w:rtl w:val="true"/>
        </w:rPr>
        <w:t>:</w:t>
      </w:r>
      <w:bookmarkEnd w:id="206"/>
    </w:p>
    <w:p>
      <w:pPr>
        <w:pStyle w:val="Heading5"/>
        <w:numPr>
          <w:ilvl w:val="4"/>
          <w:numId w:val="1"/>
        </w:numPr>
        <w:rPr/>
      </w:pPr>
      <w:bookmarkStart w:id="207" w:name="__RefHeading___Toc80808_2749589250"/>
      <w:bookmarkStart w:id="208" w:name="_Toc83"/>
      <w:bookmarkEnd w:id="207"/>
      <w:r>
        <w:rPr>
          <w:rtl w:val="true"/>
        </w:rPr>
        <w:t>اشارة</w:t>
      </w:r>
      <w:bookmarkEnd w:id="2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الأخیر علی اتحاد قاعدة الفراغ والتجاوز هو محذور التدافع الذی</w:t>
      </w:r>
      <w:bookmarkStart w:id="209" w:name="pg2935_29208"/>
    </w:p>
    <w:p>
      <w:pPr>
        <w:pStyle w:val="BookText"/>
        <w:rPr/>
      </w:pPr>
      <w:bookmarkEnd w:id="209"/>
      <w:r>
        <w:rPr>
          <w:rFonts w:ascii="IRNazanin" w:hAnsi="IRNazanin" w:eastAsia="IRNazanin"/>
          <w:color w:val="111111"/>
          <w:sz w:val="28"/>
          <w:sz w:val="28"/>
          <w:szCs w:val="28"/>
          <w:rtl w:val="true"/>
          <w:lang w:bidi="fa-IR"/>
        </w:rPr>
        <w:t>ذکر أصله الشیخ الأعظم الأنصاری فی الرسائل إلّا أنّ المحقق النائینی ذکره ببیان أوضح ودقّة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دلّت الکبری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الاعتناء بالشک بعد المضیّ، علی القاعدتین لزم التناقض والتدافع، مثلًا لو شک المصلّی حالة السجود فی أنّه هل رکع أو لا؟ دلّ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الاعتناء بالشک بعد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اعتنائه بشکه لأنه قد تجاوز عن محل الجزء المشکوک، وبهذا یکون المنطوق مفیداً لقاعدة التجاوز، أمّا بالنسبة إلی جمیع الصلاة فلم یحصل المضیّ فیها لأنّ العمل لم تکتمل بعدُ، ومن هنا دلّ مفهوم القاعدة علی وجوب الاعتناء بهذا الشک، وبالتالی یکون المفهوم مفیداً لقاعدة الفراغ، وعلی هذا کلّه لا یمکن للکبری الکلّیة الواحدة أن تبیّن الشک فی الکلّ والجزء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فإنّ التعبیر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دلّت علی القاعدتین فإنّ فی الشک فی الجزء قبل انتهاء العمل تحکم قاعدة الفراغ بعدم الاعتناء بالشک، أمّا قاعدة الفراغ فتحکم بوجوب الاعتناء بالشک وهذا لیس بصحیح، لأنّ ذلک یعنی تدافع القاعدتین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80810_2749589250"/>
      <w:bookmarkStart w:id="211" w:name="_Toc84"/>
      <w:bookmarkEnd w:id="210"/>
      <w:r>
        <w:rPr>
          <w:rtl w:val="true"/>
        </w:rPr>
        <w:t>الإشکالات علی الدلیل الرابع</w:t>
      </w:r>
      <w:r>
        <w:rPr>
          <w:rtl w:val="true"/>
        </w:rPr>
        <w:t>:</w:t>
      </w:r>
      <w:bookmarkEnd w:id="21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الدلیل بعدّة أجوبة وقد أوردت علیها إیرادات متعدّدة ونحن بدورنا نناقشها ونبحث حولها</w:t>
      </w:r>
      <w:r>
        <w:rPr>
          <w:rFonts w:eastAsia="IRNazanin" w:cs="IRNazanin"/>
          <w:color w:val="111111"/>
          <w:sz w:val="28"/>
          <w:szCs w:val="28"/>
          <w:rtl w:val="true"/>
          <w:lang w:bidi="fa-IR"/>
        </w:rPr>
        <w:t>:</w:t>
      </w:r>
      <w:bookmarkStart w:id="212" w:name="pg2935_29209"/>
    </w:p>
    <w:p>
      <w:pPr>
        <w:pStyle w:val="Heading5"/>
        <w:numPr>
          <w:ilvl w:val="4"/>
          <w:numId w:val="1"/>
        </w:numPr>
        <w:rPr/>
      </w:pPr>
      <w:bookmarkStart w:id="213" w:name="__RefHeading___Toc80812_2749589250"/>
      <w:bookmarkStart w:id="214" w:name="_Toc85"/>
      <w:bookmarkEnd w:id="212"/>
      <w:bookmarkEnd w:id="213"/>
      <w:r>
        <w:rPr>
          <w:rtl w:val="true"/>
        </w:rPr>
        <w:t>نظریة المحقق النائینی</w:t>
      </w:r>
      <w:r>
        <w:rPr>
          <w:rtl w:val="true"/>
        </w:rPr>
        <w:t>:</w:t>
      </w:r>
      <w:bookmarkEnd w:id="214"/>
    </w:p>
    <w:p>
      <w:pPr>
        <w:pStyle w:val="BookText"/>
        <w:rPr/>
      </w:pPr>
      <w:r>
        <w:rPr>
          <w:rFonts w:ascii="IRNazanin" w:hAnsi="IRNazanin" w:eastAsia="IRNazanin"/>
          <w:color w:val="111111"/>
          <w:sz w:val="28"/>
          <w:sz w:val="28"/>
          <w:szCs w:val="28"/>
          <w:rtl w:val="true"/>
          <w:lang w:bidi="fa-IR"/>
        </w:rPr>
        <w:t>إنّ المحقق النائینی بعد أن بیّن أصل الدلیل ذکر الإشکالین علیه ثمّ أجاب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محذور التدافع لیس مختصّاً بما إذا أفادت الکبری الکلّیة الواحدة کلتا القاعدتین بل التدافع یبقی حاضراً حتّی لو کانت القاعدتان قاعدتین مستقلّتین لأنّ قاعدة التجاوز تحکم بوجوب عدم الاعتناء بالشک فی الجزء قبل الفراغ من العمل کلّه بینما یحکم مفهوم قاعدة الفراغ بلزوم الاعتناء بذلک الشک وذلک لأنّ العمل لم ینته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المحقق النائینی عن هذا الإشکال انطلاقاً من رؤیته فی حکومة قاعدة التجاوز علی قاعدة الفراغ بأنّا لو جعلنا القاعدتین مستقلّتین فإنّ قاعدة التجاوز بما أنّها حاکمة علی قاعدة الفراغ فلا یلزم محذور التدافع بخلاف ما لو جعلناهما قاعدة واحدة معنونة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 قاعدتی التجاوز والفراغ مغایرة للأخری یلزم التدافع أیضاً إذ بمقتضی قاعدة التجاوز قد تجاوز عن محل الجزء المشکوک وبمقتضی قاعدة الفراغ لم یتجاوز عن المرکب فلزوم التدافع من آثار جعل القاعدتین سواء کان بجعل واحد أو بجعلین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جعل قاعدة التجاوز مغایراً لجعل قاعدة الفراغ فلا محالة تکون قاعدة التجاوز حاکمة علی قاعدة الفراغ فإنّ الشک فی صحة العمل وفساده فی مفروض الکلام مسبّب عن الشک فی وجود الجزء المشکوک وعدمه فإذا حکم بمقتضی قاعدة التجاوز بوجود الجزء فلا یبقی شک فی صحة العمل وفساده فالتدافع بوحدة الجعل لیس إلّا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حکومة أحد الدلیلین علی الدلیل الآخرین أن یکون الدلیلان مجعولین بجعل واحد أو بجعلین مختلفین، ومّما یشهد علی ذلک ما قلنا فی مبحث الاستصحاب من أنّ الاستصحاب السببی حاکمٌ علی الاستصحاب المسبّبی مع أنّ دلیل حجیّتها أمر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الحکومة آتیة حتّی فیما لو کانت القاعدتان مجعولتین بجعل واحدٍ وبالتالی لا یلزم التدافع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المحقّق النائینی بأنّ قیاس قاعدتی الفراغ والتجاوز علی الأصل السببی والمسببی قیاس مع الفارق، وذلک إذ لابدّ فی باب الحکومة من وجود المقتضی لجریان کلا الدلیلین، ومع جریان أحدهما لم یبق مجال لجریان الآخر، لوجود المانع أمامه کما هو الحال فی الأصل السببی والأصل المسبّبی، ولیس الأمر کذلک فیما نحن فیه إذ مع جریان قاعدة التجاوز لا یبقی مورد لقاعدة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قاعدة الفراغ لا تجری فی الشک فی الجزء قبل الفراغ من العمل بوجهٍ من الوجوه سواء کانت قاعدة التجاوز حاکمة علیها أم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ففی قاعدة الفراغ والتجاوز لو تکفلّت الکبری الواحدة لبیان کلتا القاعدتین لم یکن ذلک من باب حکومة أحد الدلیلین علی الآخر بل یکون اعتباران فی مورد واحد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حکومة أحد الأصلین علی الآخرین ما إذا کانا مجعولین بجعل کحکومة الاستصحاب علی البراءة وبین ما إذا کانا مجعولین بجعل واحد کما فی حکومة أحد الاستصحابین علی الآخر فإذا کان شمول</w:t>
      </w:r>
    </w:p>
    <w:p>
      <w:pPr>
        <w:pStyle w:val="BookText"/>
        <w:rPr/>
      </w:pPr>
      <w:r>
        <w:rPr>
          <w:rFonts w:ascii="IRNazanin" w:hAnsi="IRNazanin" w:eastAsia="IRNazanin"/>
          <w:color w:val="111111"/>
          <w:sz w:val="28"/>
          <w:sz w:val="28"/>
          <w:szCs w:val="28"/>
          <w:rtl w:val="true"/>
          <w:lang w:bidi="fa-IR"/>
        </w:rPr>
        <w:t>القاعدة لمورد التجاوز عن الجزء موجباً لعدم التدافع من جهة حکومتها علی قاعدة الفراغ فلا یفرق بین الجعل الواحد والجعلین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أحد الأصلین المجعولین بجعل واحد علی الآخر تتوقّف علی کون المورد فی حدّ ذاته قابلًا لجریان کلّ منهما وکون فعلیّة الجریان فی أحدهما مانعةً عن الجریان فی الآخر لارتفاع موضوعه به کما فی موارد الأصل السببی والمسبّبی ولو کانا من سنخٍ واحدٍ، ومحلّ الکلام لیس من هذا القبیل إذ جریان قاعدة الفراغ فرع الفراغ عن العمل وهو غیر متحقّق فی مفروض المثال فقبل الفراغ لا موضوع لجریان القاعدة حتّی یتکلّم فی حکومة قاعدة التجاوز علیها بل المتحقّق فیه هو عکس القاعدة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أنّه مع اتّحاد الکبری المجعولة ولحاظ الجزء أمراً مستقلًا عند لحاظ المرکّب بما هو، یندرج مفروض المثال فی القاعدة وعکسها باعتبارین وأین هذا من حکومة أحد الأصلین علی الآخر؟ وبالجملة حکومة بعض أفراد الأصل علی البعض الآخر وإن کان مّما لا ینکر إلّا أنّه لیس فی المقام فردان من الأصل بل اعتباران فی مورد واحد یکون المورد داخلًا فی نفس القاعدة باعتبار وفی عکسه باعتبار آخر، ولا معنی لدعوی حکومة أحد الاعتبارین علی الآخر، وهذا بخلاف ما إذا کان هناک قاعدتان مجعولتان علی نحو الاستقلال فإنّ الشک فی مفروض المثال داخل فی کلّ من القاعدتین فی حد ذاته لکن شمول قاعدة التجاوز له یمنع عن شمول القاعدة الأخری له باعتبار عکسه بالحکومة فدعوی الحکومة تنحصر بصورة تعدد القاعدتین لیس إلّا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215" w:name="pg2935_29212"/>
    </w:p>
    <w:p>
      <w:pPr>
        <w:pStyle w:val="Heading5"/>
        <w:numPr>
          <w:ilvl w:val="4"/>
          <w:numId w:val="1"/>
        </w:numPr>
        <w:rPr/>
      </w:pPr>
      <w:bookmarkStart w:id="216" w:name="__RefHeading___Toc80814_2749589250"/>
      <w:bookmarkStart w:id="217" w:name="_Toc86"/>
      <w:bookmarkEnd w:id="215"/>
      <w:bookmarkEnd w:id="216"/>
      <w:r>
        <w:rPr>
          <w:rtl w:val="true"/>
        </w:rPr>
        <w:t>جواب المحقق النائینی عن محذور التدافع</w:t>
      </w:r>
      <w:r>
        <w:rPr>
          <w:rtl w:val="true"/>
        </w:rPr>
        <w:t>:</w:t>
      </w:r>
      <w:bookmarkEnd w:id="217"/>
    </w:p>
    <w:p>
      <w:pPr>
        <w:pStyle w:val="BookText"/>
        <w:rPr/>
      </w:pPr>
      <w:r>
        <w:rPr>
          <w:rFonts w:ascii="IRNazanin" w:hAnsi="IRNazanin" w:eastAsia="IRNazanin"/>
          <w:color w:val="111111"/>
          <w:sz w:val="28"/>
          <w:sz w:val="28"/>
          <w:szCs w:val="28"/>
          <w:rtl w:val="true"/>
          <w:lang w:bidi="fa-IR"/>
        </w:rPr>
        <w:t>أجاب المیرزا النائینی بنفسه عن محذور التدافع بعد ذکره للإشکالین والجواب عنهما، وجوابه هذا هو نفس الجواب الذی أجاب به عن محذور اجتماع اللحاظین المتغایرین فیما سبق، وذلک أنّ المستفاد ابتداءاً ولأوّل وهلة من الروایات الواردة فی هذا الباب هی قاعدة الفراغ، أمّا بعض الروایات الدالة علی قاعدة التجاوز فأنّها لیست فی عرض الروایات بل هی حاکمة علیها، ومن هنا فلا تجری القاعدتان فی زمان واحد فی عرض بعضهما لیلزم محذور التدافع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أنّ کلامه هذا إنّما هو إقرار وقبول للإشکال ولیس جواباً عنه کما أسلفنا ذلک فی بحث محذور اجتماع اللحاظین المتغایرین</w:t>
      </w:r>
      <w:r>
        <w:rPr>
          <w:rFonts w:eastAsia="IRNazanin" w:cs="IRNazanin"/>
          <w:color w:val="111111"/>
          <w:sz w:val="28"/>
          <w:szCs w:val="28"/>
          <w:rtl w:val="true"/>
          <w:lang w:bidi="fa-IR"/>
        </w:rPr>
        <w:t>.</w:t>
      </w:r>
    </w:p>
    <w:p>
      <w:pPr>
        <w:pStyle w:val="Heading5"/>
        <w:numPr>
          <w:ilvl w:val="4"/>
          <w:numId w:val="1"/>
        </w:numPr>
        <w:rPr/>
      </w:pPr>
      <w:bookmarkStart w:id="218" w:name="__RefHeading___Toc80816_2749589250"/>
      <w:bookmarkStart w:id="219" w:name="_Toc87"/>
      <w:bookmarkEnd w:id="218"/>
      <w:r>
        <w:rPr>
          <w:rtl w:val="true"/>
        </w:rPr>
        <w:t>نظریة المحقق الخوئی</w:t>
      </w:r>
      <w:r>
        <w:rPr>
          <w:rtl w:val="true"/>
        </w:rPr>
        <w:t>:</w:t>
      </w:r>
      <w:bookmarkEnd w:id="219"/>
    </w:p>
    <w:p>
      <w:pPr>
        <w:pStyle w:val="BookText"/>
        <w:rPr/>
      </w:pPr>
      <w:r>
        <w:rPr>
          <w:rFonts w:ascii="IRNazanin" w:hAnsi="IRNazanin" w:eastAsia="IRNazanin"/>
          <w:color w:val="111111"/>
          <w:sz w:val="28"/>
          <w:sz w:val="28"/>
          <w:szCs w:val="28"/>
          <w:rtl w:val="true"/>
          <w:lang w:bidi="fa-IR"/>
        </w:rPr>
        <w:t>ذکر المرحوم المحقق السید الخوئی فی مقام الإجابة عن هذا الدلیل ما أجاب به عن الدلیل الثانی والثالث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الشک فی الصحة راجعاً إلی الشک فی الوجود فمع جریان قاعدة التجاوز لم یبق هناک شکّ لنحتاج إلی جریان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أثبتنا وجود الصحیح بإجراء قاعدة التجاوز لم یبق مجال للشک فی الصحّة لنحتاج إلی إجراء قاعدة الفراغ حتی یلزم التدافع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البیان یُرفع محذور التدافع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أنّ الشک فی صحّة الصلاة فی مفروض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الشک فی الرکوع بعد الدخول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عن الشک فی وجود الرکوع لما ذکرناه من أنّ الشک فی الصحة دائماً ناشئ من الشک فی وجود أو الشرط فبعد الحکم بوجود الرکوع لقاعدة التجاوز لا یبقی شک فی صحة الصلاة حتی یکون مورداً</w:t>
      </w:r>
      <w:bookmarkStart w:id="220" w:name="pg2935_29213"/>
    </w:p>
    <w:p>
      <w:pPr>
        <w:pStyle w:val="BookText"/>
        <w:rPr/>
      </w:pPr>
      <w:bookmarkEnd w:id="220"/>
      <w:r>
        <w:rPr>
          <w:rFonts w:ascii="IRNazanin" w:hAnsi="IRNazanin" w:eastAsia="IRNazanin"/>
          <w:color w:val="111111"/>
          <w:sz w:val="28"/>
          <w:sz w:val="28"/>
          <w:szCs w:val="28"/>
          <w:rtl w:val="true"/>
          <w:lang w:bidi="fa-IR"/>
        </w:rPr>
        <w:t>لمفهوم قاعدة الفراغ ویقع التدافع بینه وبین منطوق قاعدة التجاوز</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80818_2749589250"/>
      <w:bookmarkStart w:id="222" w:name="_Toc88"/>
      <w:bookmarkEnd w:id="221"/>
      <w:r>
        <w:rPr>
          <w:rtl w:val="true"/>
        </w:rPr>
        <w:t>مناقشة نظریة المحقق الخوئی</w:t>
      </w:r>
      <w:r>
        <w:rPr>
          <w:rtl w:val="true"/>
        </w:rPr>
        <w:t>:</w:t>
      </w:r>
      <w:bookmarkEnd w:id="222"/>
    </w:p>
    <w:p>
      <w:pPr>
        <w:pStyle w:val="BookText"/>
        <w:rPr/>
      </w:pPr>
      <w:r>
        <w:rPr>
          <w:rFonts w:ascii="IRNazanin" w:hAnsi="IRNazanin" w:eastAsia="IRNazanin"/>
          <w:color w:val="111111"/>
          <w:sz w:val="28"/>
          <w:sz w:val="28"/>
          <w:szCs w:val="28"/>
          <w:rtl w:val="true"/>
          <w:lang w:bidi="fa-IR"/>
        </w:rPr>
        <w:t>ذکرنا فی الأبحاث السابقة إشکالین علی القول بأنّ الشک فی الصحة إنّما ینشأ دائماً من الشک فی وجود الجزء أو الشرط وسنبحث فی ذلک مفصّلًا فی نهایة البحث عن مقام الثبوت، ونتجنّب عن الخوض فی ذلک هنا</w:t>
      </w:r>
      <w:r>
        <w:rPr>
          <w:rFonts w:eastAsia="IRNazanin" w:cs="IRNazanin"/>
          <w:color w:val="111111"/>
          <w:sz w:val="28"/>
          <w:szCs w:val="28"/>
          <w:rtl w:val="true"/>
          <w:lang w:bidi="fa-IR"/>
        </w:rPr>
        <w:t>:</w:t>
      </w:r>
    </w:p>
    <w:p>
      <w:pPr>
        <w:pStyle w:val="Heading5"/>
        <w:numPr>
          <w:ilvl w:val="4"/>
          <w:numId w:val="1"/>
        </w:numPr>
        <w:rPr/>
      </w:pPr>
      <w:bookmarkStart w:id="223" w:name="__RefHeading___Toc80820_2749589250"/>
      <w:bookmarkStart w:id="224" w:name="_Toc89"/>
      <w:bookmarkEnd w:id="223"/>
      <w:r>
        <w:rPr>
          <w:rtl w:val="true"/>
        </w:rPr>
        <w:t>الرأی المختار فی الدلیل الرابع</w:t>
      </w:r>
      <w:r>
        <w:rPr>
          <w:rtl w:val="true"/>
        </w:rPr>
        <w:t>:</w:t>
      </w:r>
      <w:bookmarkEnd w:id="224"/>
    </w:p>
    <w:p>
      <w:pPr>
        <w:pStyle w:val="BookText"/>
        <w:rPr/>
      </w:pPr>
      <w:r>
        <w:rPr>
          <w:rFonts w:ascii="IRNazanin" w:hAnsi="IRNazanin" w:eastAsia="IRNazanin"/>
          <w:color w:val="111111"/>
          <w:sz w:val="28"/>
          <w:sz w:val="28"/>
          <w:szCs w:val="28"/>
          <w:rtl w:val="true"/>
          <w:lang w:bidi="fa-IR"/>
        </w:rPr>
        <w:t>الظاهر أنّ الجواب الصحیح هو الجواب الرابع الذی ذُکر فی الدلیل الثانی المتعلّق بمحذور اجتماع اللحاظین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تصوّرنا من البدایة نوعین من التصوّر أحدهما التجاوز عن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التجاوز عن مجموع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هو التجاوز من الجزء إلی الجزء الآخر حصل التدافع بین قاعدتی الفراغ والتجاوز حیث إنّ فی مورد الشک فی الرکوع حین السجدة یدلّ منطوق قاعدة التجاوز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فی التجاوز من الجزء إلی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الاعتناء بهذا الشک، لکن مفهوم قاعدة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فی التجاوز من مجموع الشی‌ء وکلّ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الاعتناء بهذا الشکّ فیحصل التدافع بین منطوق قاعدة التجاوز ومفهوم قاعدة الفراغ فیتدافعان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جعلنا کبری کلّیة واحدة بحیث لا تعیّن متعلّق التجاوز کأن یکون ذلک التعبیر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الاعتناء بالشک بعد المضیّ أو التجاوز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الکبری الکلّیة مطلق التجاوز سواء عن مجموع العمل أو من جزءٍ إلی جزءٍ آخر</w:t>
      </w:r>
      <w:bookmarkStart w:id="225" w:name="pg2935_29214"/>
    </w:p>
    <w:p>
      <w:pPr>
        <w:pStyle w:val="BookText"/>
        <w:rPr/>
      </w:pPr>
      <w:bookmarkEnd w:id="225"/>
      <w:r>
        <w:rPr>
          <w:rFonts w:ascii="IRNazanin" w:hAnsi="IRNazanin" w:eastAsia="IRNazanin"/>
          <w:color w:val="111111"/>
          <w:sz w:val="28"/>
          <w:sz w:val="28"/>
          <w:szCs w:val="28"/>
          <w:rtl w:val="true"/>
          <w:lang w:bidi="fa-IR"/>
        </w:rPr>
        <w:t>فلا یتحقق التدافع بین منطوق قاعدة التجاوز ومفهوم قاعدة الفراغ</w:t>
      </w:r>
      <w:r>
        <w:rPr>
          <w:rFonts w:eastAsia="IRNazanin" w:cs="IRNazanin"/>
          <w:color w:val="111111"/>
          <w:sz w:val="28"/>
          <w:szCs w:val="28"/>
          <w:rtl w:val="true"/>
          <w:lang w:bidi="fa-IR"/>
        </w:rPr>
        <w:t>.</w:t>
      </w:r>
    </w:p>
    <w:p>
      <w:pPr>
        <w:pStyle w:val="Heading5"/>
        <w:numPr>
          <w:ilvl w:val="4"/>
          <w:numId w:val="1"/>
        </w:numPr>
        <w:rPr/>
      </w:pPr>
      <w:bookmarkStart w:id="226" w:name="__RefHeading___Toc80822_2749589250"/>
      <w:bookmarkStart w:id="227" w:name="_Toc90"/>
      <w:bookmarkEnd w:id="226"/>
      <w:r>
        <w:rPr>
          <w:rtl w:val="true"/>
        </w:rPr>
        <w:t>نتیجة البحث فی مقام الثبوت</w:t>
      </w:r>
      <w:r>
        <w:rPr>
          <w:rtl w:val="true"/>
        </w:rPr>
        <w:t>:</w:t>
      </w:r>
      <w:bookmarkEnd w:id="227"/>
    </w:p>
    <w:p>
      <w:pPr>
        <w:pStyle w:val="BookText"/>
        <w:rPr/>
      </w:pPr>
      <w:r>
        <w:rPr>
          <w:rFonts w:ascii="IRNazanin" w:hAnsi="IRNazanin" w:eastAsia="IRNazanin"/>
          <w:color w:val="111111"/>
          <w:sz w:val="28"/>
          <w:sz w:val="28"/>
          <w:szCs w:val="28"/>
          <w:rtl w:val="true"/>
          <w:lang w:bidi="fa-IR"/>
        </w:rPr>
        <w:t>نتیجة ما بحثنا عنه فی مقام الثبوت إلی الآن هی أنّ جعل قاعدتی الفراغ والتجاوز بالجعل الواحد أمر ممکن حیث یمکن للشارع أن یبیّن کلتا القاعدتین ضمن کبری کلیّة واحدة، هذا وقد أجبنا فیما سبق</w:t>
      </w:r>
      <w:r>
        <w:rPr>
          <w:rStyle w:val="FootnoteAnchor"/>
          <w:rtl w:val="true"/>
        </w:rPr>
        <w:footnoteReference w:id="186"/>
      </w:r>
      <w:r>
        <w:rPr>
          <w:rFonts w:ascii="IRNazanin" w:hAnsi="IRNazanin" w:eastAsia="IRNazanin"/>
          <w:color w:val="111111"/>
          <w:sz w:val="28"/>
          <w:sz w:val="28"/>
          <w:szCs w:val="28"/>
          <w:rtl w:val="true"/>
          <w:lang w:bidi="fa-IR"/>
        </w:rPr>
        <w:t>عن جمیع المحاذیر الواردة علی اتّحاد القاعدتین، هذا وإن کان جعلهما علی نحو الاستقلال أمراً ممکناً خالیاً من الإشکال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البحث عن مقام الثبوت تصل النوبة للبحث عن مقام الإثبات وهو أنّ الشارع هل قام بتشریع القاعدتین فی کلامه بجعل واحدٍ أو بجعلین مستقلین أو أنّ تعابیر الروایات مختلفة فی ذلک؟</w:t>
      </w:r>
    </w:p>
    <w:p>
      <w:pPr>
        <w:pStyle w:val="BookText"/>
        <w:rPr/>
      </w:pPr>
      <w:r>
        <w:rPr>
          <w:rFonts w:ascii="IRNazanin" w:hAnsi="IRNazanin" w:eastAsia="IRNazanin"/>
          <w:color w:val="111111"/>
          <w:sz w:val="28"/>
          <w:sz w:val="28"/>
          <w:szCs w:val="28"/>
          <w:rtl w:val="true"/>
          <w:lang w:bidi="fa-IR"/>
        </w:rPr>
        <w:t>ولابد قبل الخوض فی البحث عن مقام الإثبات، من بیان أنّ الشک فی الصحة راجع إلی الشک فی الوجود أم لا؟ ذلک أنّ هذا المطلب قد ذکر فی کلمات کثیر من الأعاظم فإنْ سلّمنا بهذه الکبری کان لابدّ لنا عند الحدیث عن الروایات فی المباحث الآتیة من الالتزام بأنّ المراد من الروایات الدالة علی الشک فی الصحة هو الشکّ فی الوجود، وبالتالی تکون الروایات کلّها دالة علی قاعدة التجاوز</w:t>
      </w:r>
      <w:r>
        <w:rPr>
          <w:rFonts w:eastAsia="IRNazanin" w:cs="IRNazanin"/>
          <w:color w:val="111111"/>
          <w:sz w:val="28"/>
          <w:szCs w:val="28"/>
          <w:rtl w:val="true"/>
          <w:lang w:bidi="fa-IR"/>
        </w:rPr>
        <w:t>.</w:t>
      </w:r>
    </w:p>
    <w:p>
      <w:pPr>
        <w:pStyle w:val="Heading5"/>
        <w:numPr>
          <w:ilvl w:val="4"/>
          <w:numId w:val="1"/>
        </w:numPr>
        <w:rPr/>
      </w:pPr>
      <w:bookmarkStart w:id="228" w:name="__RefHeading___Toc80824_2749589250"/>
      <w:bookmarkStart w:id="229" w:name="_Toc91"/>
      <w:bookmarkEnd w:id="228"/>
      <w:r>
        <w:rPr>
          <w:rtl w:val="true"/>
        </w:rPr>
        <w:t>تحلیل نظریة رجوع الشک فی الصحة إلی الشک فی الوجود</w:t>
      </w:r>
      <w:r>
        <w:rPr>
          <w:rtl w:val="true"/>
        </w:rPr>
        <w:t>:</w:t>
      </w:r>
      <w:bookmarkEnd w:id="2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فی البحث السابق إشکالین علی هذه الکبری القائلة برجوع الشک فی الصحة إلی الشک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کیفیّة جریان هذه الکبری فی الموانع فإنّ الشک فی صحّة المانع لو رجع إلی الشک فی وجود المانع کان العمل باطلًا مع أنّ القاعدة تفید صحّة العمل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أنّنا لو سلّمنا بصحّة هذه الکبری کان لابدّ لنا من التعبّد بوجود الطهارة فیما لو شککنا فی الطهارة بعد الفراغ من صلاة الظهر فندخل فی صلاة العصر بهذه الطهارة التعبّدیة وهذا ما لم یُفتِ به أحدٌ من الأعاظم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نضیف إلی هذین الإشکالین ثلاثة إشکالات أخری نتم ونتم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هذا الإشکال من کلمات المحقق العراقی</w:t>
      </w:r>
      <w:r>
        <w:rPr>
          <w:rStyle w:val="FootnoteAnchor"/>
          <w:rtl w:val="true"/>
        </w:rPr>
        <w:footnoteReference w:id="187"/>
      </w:r>
      <w:r>
        <w:rPr>
          <w:rFonts w:ascii="IRNazanin" w:hAnsi="IRNazanin" w:eastAsia="IRNazanin"/>
          <w:color w:val="111111"/>
          <w:sz w:val="28"/>
          <w:sz w:val="28"/>
          <w:szCs w:val="28"/>
          <w:rtl w:val="true"/>
          <w:lang w:bidi="fa-IR"/>
        </w:rPr>
        <w:t>فهو وإن لم یکن فی مقام الإیراد علی هذه الکبری بل کان غرضه بیان مطلب آخر إلّا أنّه یمکن عدّه إشکالًا علی 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وهو أنّه لو شک بعد الصلاة فی وجود شروط لیس لها ما بإزاء خارجی مستقلّ کالترتیب والموالاة لم تجر فیها قاعدة التجاوز لأنّها منصرفة إلی الشک فی أشیاء لها وجود استقلالی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قاعدة الفراغ وإن جرتْ هنا وحکمتْ بصحّة صلاة هذا الشخص إلّا أنّها</w:t>
      </w:r>
    </w:p>
    <w:p>
      <w:pPr>
        <w:pStyle w:val="BookText"/>
        <w:rPr/>
      </w:pPr>
      <w:r>
        <w:rPr>
          <w:rFonts w:ascii="IRNazanin" w:hAnsi="IRNazanin" w:eastAsia="IRNazanin"/>
          <w:color w:val="111111"/>
          <w:sz w:val="28"/>
          <w:sz w:val="28"/>
          <w:szCs w:val="28"/>
          <w:rtl w:val="true"/>
          <w:lang w:bidi="fa-IR"/>
        </w:rPr>
        <w:t>لا یمکنها إثبات وجود الترتیب والموالاة لعدم استقلالیة هذه الأشیاء، وعدم احتسابها أجزاء مستقلّة کی یتعبّد المکلّف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فلا معنی لجریان قاعدة التجاوز فی الأجزاء والشرائط من هذا القبیل لأنّها تجری فی تلک الأجزاء والشرائط التی تتصوّر فیهما الدخول والخروج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موارد تکون مجری قاعدة الفراغ فقط دون قاعدة التجاوز وهی موارد الشک فی الجزء الأخیر من المرکّب، وذلک لأنّ جمیع الفقهاء إنّما یعتبرون فی جریان قاعدة التجاوز الدخول فی الآخر والتالی، وعلیه فلا تجری قاعدة التجاوز فی موارد الشک فی الجزء الأخیر، أمّا فی قاعدة الفراغ فلم یعتبر فیها بعض المحققین الدخول والانتقال إلی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انتهی المکلّف من صلاته وشک فی أنّه هل أتی بالتسلیم أولا مع أنه یدخل فی أی عمل آخر بعد الفراغ من صلاته فإنّه لا مجال لجریان قاعدة التجاوز هنا لأنّ التعبّد بوجود الشی‌ء بقاعدة التجاوز إنّما یتمّ فیما لو انتقل المکلّف إلی الجزء التالی، وفی فرضنا لم ینشغل المکلّف بأی عمل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الشک فی الصحة والشک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المحقق العراقی</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مستقلان ولکلّ منهما آثار خاصّة به فإنّ قاعدة التجاوز تعبّد المکلّف بالوجود عند الشک فی الوجود ولا یمکن إثبات الصحة من خلال التعبّد بالوجود إذ لا تکون الصحة علی هذا مجعولة للشارع بمعنی أنّ الشارع لم یحکم بصحة العمل بل أمر بها العقل فیکون عنوان الصحّة أمراً انتزاعیاً عقلیّاً، فلو تعبّدنا بوجود</w:t>
      </w:r>
      <w:bookmarkStart w:id="230" w:name="pg2935_29217"/>
    </w:p>
    <w:p>
      <w:pPr>
        <w:pStyle w:val="BookText"/>
        <w:rPr/>
      </w:pPr>
      <w:bookmarkEnd w:id="230"/>
      <w:r>
        <w:rPr>
          <w:rFonts w:ascii="IRNazanin" w:hAnsi="IRNazanin" w:eastAsia="IRNazanin"/>
          <w:color w:val="111111"/>
          <w:sz w:val="28"/>
          <w:sz w:val="28"/>
          <w:szCs w:val="28"/>
          <w:rtl w:val="true"/>
          <w:lang w:bidi="fa-IR"/>
        </w:rPr>
        <w:t>الشی‌ء بواسطة جریان قاعدة التجاوز لم یمکن لنا إثبات الصحة إلّا عن طریق الأصل المثبت، والعکس صحیح إذ لو تعبّدنا بالصحة لم یجزْ لنا إثبات الوجود 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الصحة والوجود أثران مستقلان لا یمکن إثبات الآخر بوجود أحدهما إلّا علی القول بالأصل المثبّت، ومن هنا فلابدّ لکلّ من یقول بإرجاع الشک فی الصحة إلی الشک فی الوجود أن یلتزم بأصله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بیّنا انجزام الکبری الکلّیة القائلة بإرجاع الشک فی الصحة إلی الشک فی الوجود وأنّ من الممکن فی مقام الثبوت جعل قاعدتی الفراغ والتجاوز بالجعل الواحد وصل بنا البحث عن مقام الإثبات وعمّا هو المستفاد من کلام الشارع فی الروایات الواردة فی جعل قاعدة الفراغ والتجاوز</w:t>
      </w:r>
      <w:r>
        <w:rPr>
          <w:rFonts w:eastAsia="IRNazanin" w:cs="IRNazanin"/>
          <w:color w:val="111111"/>
          <w:sz w:val="28"/>
          <w:szCs w:val="28"/>
          <w:rtl w:val="true"/>
          <w:lang w:bidi="fa-IR"/>
        </w:rPr>
        <w:t>.</w:t>
      </w:r>
    </w:p>
    <w:p>
      <w:pPr>
        <w:pStyle w:val="Heading2"/>
        <w:numPr>
          <w:ilvl w:val="1"/>
          <w:numId w:val="1"/>
        </w:numPr>
        <w:rPr/>
      </w:pPr>
      <w:bookmarkStart w:id="231" w:name="__RefHeading___Toc80826_2749589250"/>
      <w:bookmarkStart w:id="232" w:name="_Toc92"/>
      <w:bookmarkEnd w:id="231"/>
      <w:r>
        <w:rPr>
          <w:rtl w:val="true"/>
        </w:rPr>
        <w:t>مقام الإثبات</w:t>
      </w:r>
      <w:bookmarkEnd w:id="232"/>
    </w:p>
    <w:p>
      <w:pPr>
        <w:pStyle w:val="Heading3"/>
        <w:numPr>
          <w:ilvl w:val="2"/>
          <w:numId w:val="1"/>
        </w:numPr>
        <w:rPr/>
      </w:pPr>
      <w:bookmarkStart w:id="233" w:name="__RefHeading___Toc80828_2749589250"/>
      <w:bookmarkStart w:id="234" w:name="_Toc93"/>
      <w:bookmarkEnd w:id="233"/>
      <w:r>
        <w:rPr>
          <w:rtl w:val="true"/>
        </w:rPr>
        <w:t>البحث فی مقام الإثبات فی تعدّد قاعدتی الفراغ والتجاوز</w:t>
      </w:r>
      <w:bookmarkEnd w:id="234"/>
    </w:p>
    <w:p>
      <w:pPr>
        <w:pStyle w:val="BookText"/>
        <w:rPr/>
      </w:pPr>
      <w:r>
        <w:rPr>
          <w:rFonts w:ascii="IRNazanin" w:hAnsi="IRNazanin" w:eastAsia="IRNazanin"/>
          <w:color w:val="111111"/>
          <w:sz w:val="28"/>
          <w:sz w:val="28"/>
          <w:szCs w:val="28"/>
          <w:rtl w:val="true"/>
          <w:lang w:bidi="fa-IR"/>
        </w:rPr>
        <w:t>قبل البحث عن الروایات الواردة حول هذا الموضوع رأینا من الأنسب أن نذکر أولًا رأی المحقق النائینی فی باب جعل قاعدة الفراغ والتجاوز</w:t>
      </w:r>
      <w:r>
        <w:rPr>
          <w:rFonts w:eastAsia="IRNazanin" w:cs="IRNazanin"/>
          <w:color w:val="111111"/>
          <w:sz w:val="28"/>
          <w:szCs w:val="28"/>
          <w:rtl w:val="true"/>
          <w:lang w:bidi="fa-IR"/>
        </w:rPr>
        <w:t>.</w:t>
      </w:r>
    </w:p>
    <w:p>
      <w:pPr>
        <w:pStyle w:val="Heading3"/>
        <w:numPr>
          <w:ilvl w:val="2"/>
          <w:numId w:val="1"/>
        </w:numPr>
        <w:rPr/>
      </w:pPr>
      <w:bookmarkStart w:id="235" w:name="__RefHeading___Toc80830_2749589250"/>
      <w:bookmarkStart w:id="236" w:name="_Toc94"/>
      <w:bookmarkEnd w:id="235"/>
      <w:r>
        <w:rPr>
          <w:rtl w:val="true"/>
        </w:rPr>
        <w:t>نظریة المحقق النائینی فی جعل قاعدة الفراغ والتجاوز</w:t>
      </w:r>
      <w:r>
        <w:rPr>
          <w:rtl w:val="true"/>
        </w:rPr>
        <w:t>:</w:t>
      </w:r>
      <w:bookmarkEnd w:id="236"/>
    </w:p>
    <w:p>
      <w:pPr>
        <w:pStyle w:val="BookText"/>
        <w:rPr/>
      </w:pPr>
      <w:r>
        <w:rPr>
          <w:rFonts w:ascii="IRNazanin" w:hAnsi="IRNazanin" w:eastAsia="IRNazanin"/>
          <w:color w:val="111111"/>
          <w:sz w:val="28"/>
          <w:sz w:val="28"/>
          <w:szCs w:val="28"/>
          <w:rtl w:val="true"/>
          <w:lang w:bidi="fa-IR"/>
        </w:rPr>
        <w:t>ذکرنا کلامه فیما سبق من الأبحاث وفی الردّ علی بعض المحاذیر ویبتنی کلامه علی أنّ المستفاد من أکثر الروایات هو قاعدة الفراغ أی عدم الاعتناء بالشک بعد الانتهاء من جمیع العمل بمعنی أنّه لو شک بعد الفراغ من کلّ المرکّب لم یجب الاعتناء بذلک الشک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یتابع کلامه بأنّ من بین الروایات روایتین تدلّان علی قاعدة التجاوز وهما</w:t>
      </w:r>
      <w:bookmarkStart w:id="237" w:name="pg2935_29218"/>
    </w:p>
    <w:p>
      <w:pPr>
        <w:pStyle w:val="BookText"/>
        <w:rPr/>
      </w:pPr>
      <w:bookmarkEnd w:id="237"/>
      <w:r>
        <w:rPr>
          <w:rFonts w:ascii="IRNazanin" w:hAnsi="IRNazanin" w:eastAsia="IRNazanin"/>
          <w:color w:val="111111"/>
          <w:sz w:val="28"/>
          <w:sz w:val="28"/>
          <w:szCs w:val="28"/>
          <w:rtl w:val="true"/>
          <w:lang w:bidi="fa-IR"/>
        </w:rPr>
        <w:t>حاکمتان علی قاعدة الفراغ بحیث توسّعان موضوع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قاعدة الفراغ تدلّ علی عدم الاعتناء بالشک بعد الفراغ من العمل المرکّب أمّا صحیحة زرارة وموثقة إسماعیل بن جابر فتدلّان علی عدم الاعتناء بالشک فی أجزاء الصلاة فی أثناء الصلاة فأنّها تلحقان الشک فی أجزاء الصلاة بالشک فی صحّة المرکّب فتکون لهما الحکومة علی تلک الروایات وتوسّعان موضوعها الذی هو خصوص الشک فی کلّ المرکب بعد إنّها العمل وتبیّنان بأنّ عدم الاعتناء بالشک من قبل المکلّف له موردان أحدهما فی صحة العمل المرکّب والآخر فی أجزاء الصلاة فیُلحَق الشک فی الجزء بالشک فی الکلّ فی حکم عدم الاعتناء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المحقق النائینی هو أنّه لدینا قاعدة واحدة تسمّی قاعدة الفراغ وهی تجری فی الشک فی الکلّ وتجری فی الشک فی الأجزاء أیضاً إلّا أنّ الشک فی الأجزاء مختص بأجزاء الصلاة لأنّا نتبّع الدلیل الحاکم وهو مختص بمورد أجزاء الصلاة فقط</w:t>
      </w:r>
      <w:r>
        <w:rPr>
          <w:rFonts w:eastAsia="IRNazanin" w:cs="IRNazanin"/>
          <w:color w:val="111111"/>
          <w:sz w:val="28"/>
          <w:szCs w:val="28"/>
          <w:rtl w:val="true"/>
          <w:lang w:bidi="fa-IR"/>
        </w:rPr>
        <w:t>.</w:t>
      </w:r>
    </w:p>
    <w:p>
      <w:pPr>
        <w:pStyle w:val="Heading3"/>
        <w:numPr>
          <w:ilvl w:val="2"/>
          <w:numId w:val="1"/>
        </w:numPr>
        <w:rPr/>
      </w:pPr>
      <w:bookmarkStart w:id="238" w:name="__RefHeading___Toc80832_2749589250"/>
      <w:bookmarkStart w:id="239" w:name="_Toc95"/>
      <w:bookmarkEnd w:id="238"/>
      <w:r>
        <w:rPr>
          <w:rtl w:val="true"/>
        </w:rPr>
        <w:t>الإشکالات علی نظریة المحقق النائینی</w:t>
      </w:r>
      <w:r>
        <w:rPr>
          <w:rtl w:val="true"/>
        </w:rPr>
        <w:t>:</w:t>
      </w:r>
      <w:bookmarkEnd w:id="239"/>
    </w:p>
    <w:p>
      <w:pPr>
        <w:pStyle w:val="BookText"/>
        <w:rPr/>
      </w:pPr>
      <w:r>
        <w:rPr>
          <w:rFonts w:ascii="IRNazanin" w:hAnsi="IRNazanin" w:eastAsia="IRNazanin"/>
          <w:color w:val="111111"/>
          <w:sz w:val="28"/>
          <w:sz w:val="28"/>
          <w:szCs w:val="28"/>
          <w:rtl w:val="true"/>
          <w:lang w:bidi="fa-IR"/>
        </w:rPr>
        <w:t>الظاهر أنّ کلام المحقق النائینی مخدوش من عدة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صحیحة زرارة وموثّقة إسماعیل بن جابر یمکن دعوی التعمیم لروایات قاعدة الفراغ أنفسها بحیث تجری فی الشک فی الکلّ والشک فی الأجزاء، وعلیه فتشمل قاعدة الفراغ بنفسها الشک فی الأجزاء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اختصاص قاعدة التجاوز بأجزاء الصلاة غیر قطعی بل هو مدار نقاش ومحلّ نزاع فإنّ بعض الأعاظم کالشیخ الأنصاری یری أنّ قاعدة التجاوز غیر مختصّة بالصّلاة وإن کان من المسلّم عدم جریأنها فی الوضوء</w:t>
      </w:r>
      <w:r>
        <w:rPr>
          <w:rFonts w:eastAsia="IRNazanin" w:cs="IRNazanin"/>
          <w:color w:val="111111"/>
          <w:sz w:val="28"/>
          <w:szCs w:val="28"/>
          <w:rtl w:val="true"/>
          <w:lang w:bidi="fa-IR"/>
        </w:rPr>
        <w:t>.</w:t>
      </w:r>
      <w:bookmarkStart w:id="240" w:name="pg2935_29219"/>
    </w:p>
    <w:p>
      <w:pPr>
        <w:pStyle w:val="BookText"/>
        <w:rPr/>
      </w:pPr>
      <w:bookmarkEnd w:id="24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أغمضنا النظر عن الإشکالین السابقین فإنّ أصل کلام المحقق النائینی القائل بحکومة صحیحة زرارة وموثقة إسماعیل بن جابر علی روایات قاعدة الفراغ غیر تام إذ یُعتبر فی باب الحکومة أن یکون الدلیل الحاکم ناظراً عرفاً إلی الدلیل المحکوم وینزّل شیئاً منزلة موضوع الدلیل المحکوم مع أنّ العرف لو لاحظ روایات قاعدة الفراغ التی تقول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فامضه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جانب صحیحة زرارة وموثقة إسماعیل بن جابر التی تقولان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قراءة الصلاة أو تکبیرها فلا تعتن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یجد أیّ ارتباط بینهما فلیس فی هاتین الروایتین ما یفهم منه العرف أنهما ناظرتان إلی الروایات الواردة فی باب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ناظریة عرفاً لیُحکم بحکومة هاتین الروایتین علی روایات قاعدة الفراغ، وهذا الإشکال إنّما یتمّ فیما لو اعتبرنا فی تعریف الحکومة ناظریة الدلیل الحاکم علی الدلیل المحکوم</w:t>
      </w:r>
      <w:r>
        <w:rPr>
          <w:rFonts w:eastAsia="IRNazanin" w:cs="IRNazanin"/>
          <w:color w:val="111111"/>
          <w:sz w:val="28"/>
          <w:szCs w:val="28"/>
          <w:rtl w:val="true"/>
          <w:lang w:bidi="fa-IR"/>
        </w:rPr>
        <w:t>.</w:t>
      </w:r>
    </w:p>
    <w:p>
      <w:pPr>
        <w:pStyle w:val="Heading3"/>
        <w:numPr>
          <w:ilvl w:val="2"/>
          <w:numId w:val="1"/>
        </w:numPr>
        <w:rPr/>
      </w:pPr>
      <w:bookmarkStart w:id="241" w:name="__RefHeading___Toc80834_2749589250"/>
      <w:bookmarkStart w:id="242" w:name="_Toc96"/>
      <w:bookmarkEnd w:id="241"/>
      <w:r>
        <w:rPr>
          <w:rtl w:val="true"/>
        </w:rPr>
        <w:t>مقدمات بحث مقام الإثبات</w:t>
      </w:r>
      <w:r>
        <w:rPr>
          <w:rtl w:val="true"/>
        </w:rPr>
        <w:t>:</w:t>
      </w:r>
      <w:bookmarkEnd w:id="242"/>
    </w:p>
    <w:p>
      <w:pPr>
        <w:pStyle w:val="BookText"/>
        <w:rPr/>
      </w:pPr>
      <w:r>
        <w:rPr>
          <w:rFonts w:ascii="IRNazanin" w:hAnsi="IRNazanin" w:eastAsia="IRNazanin"/>
          <w:color w:val="111111"/>
          <w:sz w:val="28"/>
          <w:sz w:val="28"/>
          <w:szCs w:val="28"/>
          <w:rtl w:val="true"/>
          <w:lang w:bidi="fa-IR"/>
        </w:rPr>
        <w:t>قبل الخوض فی البحث مفصّلًا عمّا یستفاد من الروایات من القاعدتین أو القاعدة الواحدة لابدّ من تقدیم أمور کمقدّماتٍ للبحث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الروایات تعبیران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للخروج عن الشی‌ء له إطلاق بحیث یشمل الخروج من الجزء کما یشمل الخروج من الکلّ أو أنّه یدلّ علی الخروج من کلّ المرکّب فقط؟</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 الأعاظم کالمحقق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إلی أنّ التعبیر المذکور له</w:t>
      </w:r>
    </w:p>
    <w:p>
      <w:pPr>
        <w:pStyle w:val="BookText"/>
        <w:rPr/>
      </w:pPr>
      <w:r>
        <w:rPr>
          <w:rFonts w:ascii="IRNazanin" w:hAnsi="IRNazanin" w:eastAsia="IRNazanin"/>
          <w:color w:val="111111"/>
          <w:sz w:val="28"/>
          <w:sz w:val="28"/>
          <w:szCs w:val="28"/>
          <w:rtl w:val="true"/>
          <w:lang w:bidi="fa-IR"/>
        </w:rPr>
        <w:t>إطلاق وأنّ المستفاد من جمیع الروایات عنوان واحد هو عدم الاعتناء بالشک بعد الخروج من الشی‌ء ولمّا کان الشی‌ء یصدق علی الجزء أیضاً، فلا فرق بین أن یکون الشک شکّاً فی کلّ الشی‌ء أوشکّا فی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یظهر فی الرأی عدم صحّة هذا الرأی لأنّ الخروج من الشی‌ء تعبیر له ظهور واضح فی أنّ الإنسان قد أتمّ العمل، فالمتبادر إلی الأذهان من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الخروج من تمام الشی‌ء أمّا إرادة الخروج من الجزء فهی بحاجة إلی القرینة، لأنّ العرف یعتبر المرکّب شیئاً واحداً سواء فی ذلک المرکّب الخارجی کالمعجون أم المرکّب الاعتباری کالصلاة، فلو تقرّر إطلاق الشی‌ء علی الجزء أیضاً للزم أن یمکن إطلاق عنوان الأشیاء علی ذلک المرکّب مع أنّ العرف یأبی ذلک الإطلاق، وهکذا عند الشارع حیث اعتبر الوحدة فی المرکّبات الاعتباریة فُیطلق الشی‌ء علی کلّ الصلاة، وعلیه فإنّ الخروج من الشی‌ء وإنْ جاز إطلاقه لأول وهلة علی الانتقال من أحد أجزاء المرکّب إلی الجزء الآخر إلّا أنّ إرادة الجزء من الشی‌ء تحتاج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روایات هذا البحث تعبیراً آخر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سابقاً أن الشک هنا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الوجود وشک فی الصحة، ویری الشیخ الأعظم الأنصاری فی کتاب الرسائل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الشک فی الوجود فعندما یقال بأنّ المکلّف قد شکّ فی الشی‌ء یراد به الشک فی أصل وجوده أمّا استفادة الشک فی الصحة من هذه العبارة فمحتاجة إلی القرینة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لکنّ الذی یبدو فی النظر أنّ لهذه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 بحیث تشمل الشک فی الوجود والشک فی الصحة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أرید منها خصوص الشک فی الصحة لکان ذلک مفتقراً إلی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فکلّما أرید فی هذه الروایات الشک فی الصحة جی‌ء فیها بالقرینة علی فهم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سبیل المثال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الإتیان وهو تعبیر یستخدم فیما لو کان أصل وجود الشی‌ء مفروغاً عنه وإنّما کان الشک فی صحّته وإلّا فإن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یتأتی فیما لو کان الشک فی أصل وجود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الأخری التی لابدّ من الالتفات إلیها هی أنّه عند دراستنا لهذه الروایات علینا أن لا نتوهّم بمجرد وقوع نظرنا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مرتبطة بقاعدة الفراغ کما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توهمنا بأن الروایة ناظرة إلی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أعتقده أنّ الروایات علی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الأولی روایات ظاهرة بل هی صریحة ونصّ فی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الثانیة روایات لها ظهور فی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الثالثة روایات یحتمل فیها کلا الاحتمالین، ومن هنا فلو أمکن لنا استخراج القدر الجامع کانت دالة علی کلتا قاعدتی الفراغ والتجاوز وإلّا فإنّ هذه الروایات کانت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 مقام الإثبات من دراسة جمیع الروایات بدقّة وإمعان ونحن نقسّم هذه الروایات إلی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قاعدة التجاوز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 الروایات الدالة علی قاعدة التجاوز فقط من دون أن تستفاد</w:t>
      </w:r>
    </w:p>
    <w:p>
      <w:pPr>
        <w:pStyle w:val="BookText"/>
        <w:rPr/>
      </w:pPr>
      <w:r>
        <w:rPr>
          <w:rFonts w:ascii="IRNazanin" w:hAnsi="IRNazanin" w:eastAsia="IRNazanin"/>
          <w:color w:val="111111"/>
          <w:sz w:val="28"/>
          <w:sz w:val="28"/>
          <w:szCs w:val="28"/>
          <w:rtl w:val="true"/>
          <w:lang w:bidi="fa-IR"/>
        </w:rPr>
        <w:t>منها قاعدة الفراغ ولمّا سبق البحث السندی لهذه الروایات فی المباحث السابقة فإنّنا نرکّز فی هذا المجال علی البحث الدلالی للروایات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یشکّ بعدما سجد أنّه لم یرکع،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الروایة یُسأل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حکم من شکّ بعدما سجد فی أنّه هل رکع أولا؟ وقد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صلاته صحیحة ولا 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فإنّ هذه الروایة نصٌّ فی الشک فی وجود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وجود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مجری قاعدة التجاوز ولا یمکن أن تستفاد منها قاعدة الفراغ بوجه من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الثانیة شبیهة بالروایة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شکّ بعدما سجد أنّه یرکع،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 حتی یستقین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وهی أیضاً صریحة فی الشک فی وجود الرکوع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الاعتناء بهذا الشک حتّی یتیقّن بعدم إتیانه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الذی یذکر أنّه لم یکبّر فی أول صلاته،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استیقن أنّه لم یکبّر فَلیُعِدْ ولکن کیف یستیقن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الأولی فی هذه الروایة هی أنّ مراد السائل من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یذکر أنّه لم یکبّر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الإتیان بتکبیرة الإحرام بمعنی أن یخطر فی ذهن المکلّف سؤال بأنّه هل کبّر أولا؟ ولیس المراد أنّ المکلّف متیقّن من أنّه لم یکبّر لتجب علیه إعادة الصلاة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کما یصرّح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الثانیة فی الروایة أنّ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کیف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w:t>
      </w:r>
    </w:p>
    <w:p>
      <w:pPr>
        <w:pStyle w:val="BookText"/>
        <w:rPr/>
      </w:pPr>
      <w:r>
        <w:rPr>
          <w:rFonts w:ascii="IRNazanin" w:hAnsi="IRNazanin" w:eastAsia="IRNazanin"/>
          <w:color w:val="111111"/>
          <w:sz w:val="28"/>
          <w:sz w:val="28"/>
          <w:szCs w:val="28"/>
          <w:rtl w:val="true"/>
          <w:lang w:bidi="fa-IR"/>
        </w:rPr>
        <w:t>المکلّف الشاکّ کیف یمکنه الوصول إلی حالة الیقین بهذه السرعة أی لا یمکن الاستیقان بهذه السرعة بالنسبة لمن شکّ فی إتیان عملٍ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الرابعة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شکّ فی الأذان وقد دخل فی الإقامة؟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والإقامة وقد کبّر؟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التکبیر وقد قرأ؟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الرکوع وقد سجد؟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هذه الروایة نصٌّ فی قاعدة التجاوز وقد بیّنت خمسة من موارد قاعدة التجاوز إلّا أنّ ذیلها فی مقام بیان کبری کلّیة مبتنیة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فی المقدمة الأولی من مباحث مقام الإثبات أنّ الخروج عن الشی‌ء ظاهر فی الخروج عن کلّ الشی‌ء وجمیع المرکّب بمعنی أنّ هذه العبارة من الروایة إذا خرجت من الشی‌ء ثمّ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لها الانصراف فی الشک فی الصحة حیث لو أکمل عملًا ثمّ دخل فی غیره لم یجب الاعتناء بذلک الشک حصل التعارض حینئذٍ بین صدر الروایة وذیلها فکیف یمکن حلّ هذا التعارض؟</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الخمینی</w:t>
      </w:r>
      <w:r>
        <w:rPr>
          <w:rStyle w:val="FootnoteAnchor"/>
          <w:rtl w:val="true"/>
        </w:rPr>
        <w:footnoteReference w:id="194"/>
      </w:r>
      <w:r>
        <w:rPr>
          <w:rFonts w:ascii="IRNazanin" w:hAnsi="IRNazanin" w:eastAsia="IRNazanin"/>
          <w:color w:val="111111"/>
          <w:sz w:val="28"/>
          <w:sz w:val="28"/>
          <w:szCs w:val="28"/>
          <w:rtl w:val="true"/>
          <w:lang w:bidi="fa-IR"/>
        </w:rPr>
        <w:t>فی حلّ هذا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ذیل الروایة منفصل عن صدرها تماماً فإنّ صدر الروایة یدلّ علی الشک فی الوجود بینما یدلّ ذیلها علی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أولًا بأنّه من غیر المستبعد أن نجعل صدر الروایة قرینة علی التصرف فی ذیلها ونحکم بأنّ المراد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الروایة هو الخروج من جزء الشی‌ء والتجاوز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ذکر فی الأدلّة بأنّ هذه التوجیه لا یخلو من مناقشة وإشکال یتمثّل فی أنّ صدر الروایة وذیلها لکلّ منها ظهور غیر ظهور الآخر والظهوران یتعارضان ثمّ یتساقطان فلا یمکن الاستدلال بأیّ واحدٍ من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أعتقده هو أنّ ظهور الصدر والذیل إذا تساویا وتکافا صارت الروایة مجملةً، هذا ویمکن جعل کلّ من صدر الروایة وذیلها قرینة علی الآخر حیث إنّ صدر الروایة نصٌ فی الشک فی الصحّة بینما ذیل الروایة ظاهرٌ فی الشک فی الوجود فیُقدّم الصدر علی الذیل لکونه نصّاً أو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یمکن القول بأنّ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کلامه حول ذیل الروایة فی مقام إفادة قاعدة کلّیة، ومن هنا ذکر عدّة موارد علی سبیل المثال مما یکون ذلک قرینة علی التصرف فی صدر الروایة إذ کلّما ذُکر فی الکلام أمران أحدهما علی نحو التمثیل والآخر علی نحو القاعدة الکلّیّة فإنّ العرف یحکم بأنّ القاعدة قرینة علی الأمثلة قطعاً ولا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ذکر المتکلّم مثالًا ثمّ بیّن القاعدة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القاعدة منحصرة فی هذا المثال بل یری أنّ القاعدة تجاوزت عن حدود هذا المثال بحیث سرتْ إلی سائر الموارد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وبهذین التقریرین یمکن إخراج الروایة من إجمالها ولکنّ الإنصاف أن التقریر الأوّل هو الأولی والأرجح إذ أنّ فی صدر هذه الروایة ذکرت ثلاثة موارد علی سبیل المثال ثمّ ذکرت القاعدة الکلّیّة مما یدل ذلک علی أنّ هذه الموارد قرینة علی انحصار القاعدة فی هذه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ندّعیه هو أنّه لو ورد فی الکلام مثال واحد لم تکن القاعدة منحصرة به بل تتعدّی إلی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وردت فی صدر الروایة موارد عدیدة علی سبیل المثال ثمّ ذکرت فی ذیل الروایة قاعدة کلّیّة فإنّ الکلام یکون ظاهراً فی أنّ القاعدة مطابقة للأمثلة ومنحصرة فیها وتکون کثرة الموارد المذکورة فی صدر الروایة قرینة عند العرف علی هذا الانحصار والاختصاص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نحن فیه لمّا کانت الأمثلة المذکورة فی صدر الروایة متعلّقة بالشک فی الوجود وقاعدة التجاوز فإنّ القاعدة الکلّیة المذکورة فی ذیلها یجب حملها علی قاعدة التجاوز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ثلاثاً من هذه الروایات الخمس تدلّ علی جریان قاعدة التجاوز فی خصوص الصلاة والروایة الرابعة ظاهرة فی جریان قاعدة التجاوز فی الوضوء، والروایة الخامسة لها سعة وشمولیة ولیست مختصّة بالصلاة وذلک بملاحظة القاعدة المذکورة فی ذیل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هی الروایات الظاهرة فی قاعدة الفراغ ولا یستفاد منها 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الأولی الدالة علی قاعدة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یشک بعدما ینصرف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ولا شی‌ء علیه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والسؤال فیها عمّن فرغ من صلاته ثمّ شکّ فی صحّتها وعلیه یکون مورداً لقاعدة الفراغ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بصحّة صلاته وعدم الاعتناء بشکّه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بعدما تفرغ من صلاتک فامض ولا تعد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قد سبق</w:t>
      </w:r>
    </w:p>
    <w:p>
      <w:pPr>
        <w:pStyle w:val="BookText"/>
        <w:rPr/>
      </w:pPr>
      <w:r>
        <w:rPr>
          <w:rFonts w:ascii="IRNazanin" w:hAnsi="IRNazanin" w:eastAsia="IRNazanin"/>
          <w:color w:val="111111"/>
          <w:sz w:val="28"/>
          <w:sz w:val="28"/>
          <w:szCs w:val="28"/>
          <w:rtl w:val="true"/>
          <w:lang w:bidi="fa-IR"/>
        </w:rPr>
        <w:t xml:space="preserve">الکلام فی هذه الروایة فی المباحث السابقة وقلنا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ما شککت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إطلاق یشمل الشک فی إتیان الجزء کما یشمل الشک فی کلّ المرکّب، ولما ذکر فی تتمة الروایة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ما تفرغ من صلاتک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لنا أنّ المراد من الشک هو الشک فی مجموع المرکّب بعد الفراغ من العمل 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شک فی صحة الصلاة بعد الفراغ منها لا یعتنی بالشک وتکون صلاته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من مصادیق قاعدة التجاوز وتدلّ علی أنّ المکلّف إذا شک فی العمل المأتی به بعد الفراغ منه سواء کان الشک فی الأجزاء أو الشرائط أم کان الشک فی الوجود والصحة لابد من عدم الاعتناء بذلک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التجاوز عن مجموع العمل هو الملاک طبقاً لهذه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ولکنّ الظاهر أنّ هذا الاستنتاج خلاف الظاهر لظهور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تفرغ من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قاعدة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الروایة تکون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بالشک هو الشک فی صحة الکلّ والمجموع، وعلیه یکون ذیل الروایة قرینة علی اختصاص الروایة بقاعدة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شک فی الوضوء بعدما فرغ من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 ولا یعید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شکّ المکلّف بعد أن فرغ من صلاته فی أنّه هل توضّأ أولا، أجاب</w:t>
      </w:r>
      <w:bookmarkStart w:id="243" w:name="pg2935_29227"/>
    </w:p>
    <w:p>
      <w:pPr>
        <w:pStyle w:val="BookText"/>
        <w:rPr/>
      </w:pPr>
      <w:bookmarkEnd w:id="243"/>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یعتنی بشکّه وصلاته صحیحة ولا حاجة إلی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أیضاً صریحة فی قاعدة الفراغ لحصول الشک بعد الفراغ من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قاعداً علی وضوئک فلم تدر أغسلتَ ذراعیک أم لا فأعدْ علیهما، فإذا قمت من الوضوء وفرغت منه وقد صرت فی حال أخری من الصلاة أو غیرها فشککت فلا شی‌ء علیک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الراویة یبدو لأوّل وهلة أنّها من روایات باب قاعدة الفراغ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ذلک من أکثر الأعاظم لکنّ الذی یقتضیه دقیق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ذلک فی مقدّمات البحث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استعمال کلّمتی الفراغ والتجاوز فی الروایة لا یکون دلیلًا علی حمل الروایة علی تلک القاعدة بل لابّد من ملاحظة الملاک الموجود فی الروایة فإن کان متعلّقاً بالشک فی صحة کلّ المرکّب کانت الروایة مختصّة بقاعدة الفراغ وإن کان الملاک شاملًا للشک فی إتیان الجزء کانت الروایة مبنیّة لقاعدة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فی قاعدة الفراغ أنّها تجری عند الشک فی الصحة بعد إکمال العمل إلّا أنّ فی صحیحة زرارة یقع البحث فی أنّ المکلّف قد شکّ فی وجود غسل الیدین لیکون المراد بالشک الوارد فی صدر الروایة هو الشک فی وجود الجزء ویکون ذلک قرینة علی ذیل الروایة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وفرغت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الذیل تفریعاً علی الصدر</w:t>
      </w:r>
      <w:r>
        <w:rPr>
          <w:rFonts w:eastAsia="IRNazanin" w:cs="IRNazanin"/>
          <w:color w:val="111111"/>
          <w:sz w:val="28"/>
          <w:szCs w:val="28"/>
          <w:rtl w:val="true"/>
          <w:lang w:bidi="fa-IR"/>
        </w:rPr>
        <w:t>.</w:t>
      </w:r>
    </w:p>
    <w:p>
      <w:pPr>
        <w:pStyle w:val="Heading3"/>
        <w:numPr>
          <w:ilvl w:val="2"/>
          <w:numId w:val="1"/>
        </w:numPr>
        <w:rPr/>
      </w:pPr>
      <w:bookmarkStart w:id="244" w:name="__RefHeading___Toc80836_2749589250"/>
      <w:bookmarkStart w:id="245" w:name="_Toc97"/>
      <w:bookmarkEnd w:id="244"/>
      <w:r>
        <w:rPr>
          <w:rtl w:val="true"/>
        </w:rPr>
        <w:t>نقد مبنی الإمام الخمینی فی تعدد القاعدتین</w:t>
      </w:r>
      <w:bookmarkEnd w:id="2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المطروح هنا هو أن هذه الصحیحة مختصّة بقاعدة الفراغ أو التجاوز؟ وکیف یمکن توجیه ذلک؟</w:t>
      </w:r>
      <w:bookmarkStart w:id="246" w:name="pg2935_29228"/>
    </w:p>
    <w:p>
      <w:pPr>
        <w:pStyle w:val="BookText"/>
        <w:rPr/>
      </w:pPr>
      <w:bookmarkEnd w:id="246"/>
      <w:r>
        <w:rPr>
          <w:rFonts w:ascii="IRNazanin" w:hAnsi="IRNazanin" w:eastAsia="IRNazanin"/>
          <w:color w:val="111111"/>
          <w:sz w:val="28"/>
          <w:sz w:val="28"/>
          <w:szCs w:val="28"/>
          <w:rtl w:val="true"/>
          <w:lang w:bidi="fa-IR"/>
        </w:rPr>
        <w:t xml:space="preserve">یمکن القول بأنّ مجری قاعدة الفراغ هو الشک فی الوجود سواء کان هذا الشک بعد تمامیة العمل أم فی أثناء العمل کما ذهب إلی ذلک المرحوم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من أنّ القاعدتین فی أصل المسألة قاعدة واحدة وهی قاعدة التجاوز الجاریة فی الشک فی الوجود والشک فی الصحّة، أثناء العمل وبعد الانتهاء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التزمنا بهذا المبنی أمکن لنا استفادة قاعدة التجاوز من التعبیر بالفراغ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الذی أراه هو أنّ هذا المبنی ورأی المرحوم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یتلاءم مع مجموع الروایة، لأنّ قاعدة الفراغ التی تتعلّق بالشک فی صحّة مجموع العمل تشمل ما لو کان الشک فی مجموع العمل ناشئاً من الشک فی الجزء أو الشرط المعیّن وما لم یکن ناشئاً من الشک فی الجزء المعیّن بل شکّ بعد الفراغ من العمل فی أنّ العمل المأتی به هل کان صحیحاً أولا؟ ویستفاد هذا المطلب من صحیحة زرارة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وجود روایة أخری یستفاد منها أیضاً هذا المطلب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شک فی الوضوء بعدما فرغ من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 ولا یعید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فعلی ما یستفاد من هاتین الروایتین یکون مورد قاعدة الفراغ أعمّ من الشک فی الصحة والشک فی إتیان جزءٍ معین وعدمه وبالتالی تکون صحیحة زرارة مختصّة بقاعدة الفراغ دون قاعدة التجاوز خلافاً لما ذهب إلیه المرحوم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مختصّة بقاعدة التجاوز</w:t>
      </w:r>
      <w:r>
        <w:rPr>
          <w:rFonts w:eastAsia="IRNazanin" w:cs="IRNazanin"/>
          <w:color w:val="111111"/>
          <w:sz w:val="28"/>
          <w:szCs w:val="28"/>
          <w:rtl w:val="true"/>
          <w:lang w:bidi="fa-IR"/>
        </w:rPr>
        <w:t>.</w:t>
      </w:r>
    </w:p>
    <w:p>
      <w:pPr>
        <w:pStyle w:val="Heading3"/>
        <w:numPr>
          <w:ilvl w:val="2"/>
          <w:numId w:val="1"/>
        </w:numPr>
        <w:rPr/>
      </w:pPr>
      <w:bookmarkStart w:id="247" w:name="__RefHeading___Toc80838_2749589250"/>
      <w:bookmarkStart w:id="248" w:name="_Toc98"/>
      <w:bookmarkEnd w:id="247"/>
      <w:r>
        <w:rPr>
          <w:rtl w:val="true"/>
        </w:rPr>
        <w:t>الفرق بین قاعدتی الفراغ والتجاوز</w:t>
      </w:r>
      <w:r>
        <w:rPr>
          <w:rtl w:val="true"/>
        </w:rPr>
        <w:t>:</w:t>
      </w:r>
      <w:bookmarkEnd w:id="24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فالأنسب هنا بیان الفارق بین قاعدتی الفراغ والتجاوز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القائلین بتغایر</w:t>
      </w:r>
    </w:p>
    <w:p>
      <w:pPr>
        <w:pStyle w:val="BookText"/>
        <w:rPr/>
      </w:pPr>
      <w:r>
        <w:rPr>
          <w:rFonts w:ascii="IRNazanin" w:hAnsi="IRNazanin" w:eastAsia="IRNazanin"/>
          <w:color w:val="111111"/>
          <w:sz w:val="28"/>
          <w:sz w:val="28"/>
          <w:szCs w:val="28"/>
          <w:rtl w:val="true"/>
          <w:lang w:bidi="fa-IR"/>
        </w:rPr>
        <w:t>القاعدتین کالمرحوم المحقق الهمدانی والمرحوم المحقق العراقی والمرحوم الأخوند الخراسانی یرون الفارق من جهة متعلّق الشک ویوجّهون التغایر بین القاعدتین عن طریق التغایر بین الشک فی الوجود والشک فی الصحة بمعنی أنّ قاعدة التجاوز تختص بمورد الشک فی الوجود والإتیان، بینما تختص قاعدة الفراغ بالشک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مبنی هؤلاء الأعاظم تکون النسبة بین قاعدتی الفراغ والتجاوز عموماً من وجه، مادّة الافتراق من جهة قاعدة التجاوز ما إذا شک المکلّف حالة الصلاة فی أنّه هل أتی بالجزء السابق أولا؟ ففی هذا المورد تجری قاعدة التجاوز دون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مادّة الافتراق من جهة قاعدة الفراغ ففیما لو شک المکلّف بعد الانتهاء من الصلاة فی صحّتها من جهة فوات الموالاة أو الإخلال بالترتیب حیث تجری هنا قاعدة الفراغ دون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مادّة الاجتماع فهی فیما لو شک المکلّف بعد الفراغ من العمل فی إتیان جزءٍ معیّن حیث تجری هنا قاعدة التجاوز من جهة الشک فی الوجود کما تجری قاعدة الفراغ من جهة الشک فی وجود ذلک الجزء یؤدّی إلی الشک فی صحّة مجموع المرکّب وعدم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هذا المبنی لا یستفاد من الروایات، والّذی یستفاد منها بعد المزید من التأمّل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بأنّ الفرق بین هاتین القاعدتین إنّما یتجسّد فی حصول الشک بعد الانتهاء من العمل أو فی أثنائه بمعنی أنّ الشک بعد انتهاء العمل موردٌ لجریان قاعدة الفراغ سواء کان الشک فی صحّة العمل أم فی وجود الجزء المعیّن، أمّا لو حصل</w:t>
      </w:r>
    </w:p>
    <w:p>
      <w:pPr>
        <w:pStyle w:val="BookText"/>
        <w:rPr/>
      </w:pPr>
      <w:r>
        <w:rPr>
          <w:rFonts w:ascii="IRNazanin" w:hAnsi="IRNazanin" w:eastAsia="IRNazanin"/>
          <w:color w:val="111111"/>
          <w:sz w:val="28"/>
          <w:sz w:val="28"/>
          <w:szCs w:val="28"/>
          <w:rtl w:val="true"/>
          <w:lang w:bidi="fa-IR"/>
        </w:rPr>
        <w:t>الشکّ أثناء العمل جرت قاعدة التجاوز، ومن هنا فلو لم تکن روایات قاعدة التجاوز لکان الواجب بمفاد روایات قاعدة الفراغ أن یُرتّب الأثر علی الشک حین العمل ویجب 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بین القاعدتین نسبة التباین ولا تجمعهما مادّة الاجتماع أبداً، لأنّ القاعدتین حینئذٍ متغایرتان تماماً، مضافاً إلی أنّ الفراغ من العمل فی قاعدة الفراغ یُعتبر ملاکاً عرفیاً وعقلائیاً حیث لو شکّ فی العمل بعد الانتهاء منه لا یعتنی بالشک، أمّا فی قاعدة التجاوز فهی مجرّد تعبّد من الشارع حیث حکم بعدم الاعتناء تعبداً بالشک فیما لو تجاوز محلّ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مفاد الروایات فإنّ قاعدة الفراغ تجری فی الشک فی الصحة کما تجری فی الشک فی الوجود، أمّا قاعدة التجاوز فالظاهر اختصاص مدلول روایات التجاوز المطابقی بالشک فی الوجود ولا تجری قاعدة الفراغ فی هذه الموارد لاختصاص الشک بما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فی مثل هذه الموارد نتمسّک بمفهوم الأولویة لقاعدة التجاوز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جرت قاعدة التجاوز عند الشک فی أصل وجود جزءٍ فی أثناء العمل فأنّها تجری بطریق أولی عند الشک فی صحّة ذلک الجزء فالمدلول المطابقی لقاعدة التجاوز یختص بالشک حین العمل فی وجود الجزء لا فی صحّة الجزء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موارد الشک فی الصحة فیستفاد حکمها من مفهوم الأولویة لهذه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التجاوز لا تجری فی جمیع أنواع الأجزاء فإنّ هناک نوعین من الأجزاء لا تشملها هذه القاعدة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غیر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ما کان کالترتیب والموالاة فی الصلاة، فلو شککنا أثناء الصلاة فی أنّه هل روعی الترتیب أو الموالاة فی الصلاة أولا، لم</w:t>
      </w:r>
      <w:bookmarkStart w:id="249" w:name="pg2935_29231"/>
    </w:p>
    <w:p>
      <w:pPr>
        <w:pStyle w:val="BookText"/>
        <w:rPr/>
      </w:pPr>
      <w:bookmarkEnd w:id="249"/>
      <w:r>
        <w:rPr>
          <w:rFonts w:ascii="IRNazanin" w:hAnsi="IRNazanin" w:eastAsia="IRNazanin"/>
          <w:color w:val="111111"/>
          <w:sz w:val="28"/>
          <w:sz w:val="28"/>
          <w:szCs w:val="28"/>
          <w:rtl w:val="true"/>
          <w:lang w:bidi="fa-IR"/>
        </w:rPr>
        <w:t>یمکن لنا إثبات صحة الصلاة بقاعدة التجاوز، نعم لو وقع هذا الشک بعد الانتهاء من الصلاة جرت قاعدة الفراغ وصحّت الصلاة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عدم جریان قاعدة التجاوز فی الأجزاء غیر المستقلّة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منه ودخل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ظهور واضح فی الأجزاء المستقلّة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الأخیر للمرکب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الأجزاء التی لا تجری فیها قاعدة التجاوز کالتسلیم فی الصلاة، فلو شکّ المکلّف فی أصل تسلیم صلاته لم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منه ودخل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یدخل فی عمل آخر</w:t>
      </w:r>
      <w:r>
        <w:rPr>
          <w:rFonts w:eastAsia="IRNazanin" w:cs="IRNazanin"/>
          <w:color w:val="111111"/>
          <w:sz w:val="28"/>
          <w:szCs w:val="28"/>
          <w:rtl w:val="true"/>
          <w:lang w:bidi="fa-IR"/>
        </w:rPr>
        <w:t>.</w:t>
      </w:r>
    </w:p>
    <w:p>
      <w:pPr>
        <w:pStyle w:val="Heading2"/>
        <w:numPr>
          <w:ilvl w:val="1"/>
          <w:numId w:val="1"/>
        </w:numPr>
        <w:rPr/>
      </w:pPr>
      <w:bookmarkStart w:id="250" w:name="__RefHeading___Toc80840_2749589250"/>
      <w:bookmarkStart w:id="251" w:name="_Toc99"/>
      <w:bookmarkEnd w:id="250"/>
      <w:r>
        <w:rPr>
          <w:rtl w:val="true"/>
        </w:rPr>
        <w:t xml:space="preserve">دراسة وتحلیل رأی الإمام الخمینی </w:t>
      </w:r>
      <w:r>
        <w:rPr>
          <w:rtl w:val="true"/>
        </w:rPr>
        <w:t>(</w:t>
      </w:r>
      <w:r>
        <w:rPr>
          <w:rtl w:val="true"/>
        </w:rPr>
        <w:t>رحمه الله</w:t>
      </w:r>
      <w:r>
        <w:rPr>
          <w:rtl w:val="true"/>
        </w:rPr>
        <w:t xml:space="preserve">) </w:t>
      </w:r>
      <w:r>
        <w:rPr>
          <w:rtl w:val="true"/>
        </w:rPr>
        <w:t>فی استفادة قاعدة التجاوز من الروایات</w:t>
      </w:r>
      <w:bookmarkEnd w:id="251"/>
    </w:p>
    <w:p>
      <w:pPr>
        <w:pStyle w:val="Heading3"/>
        <w:numPr>
          <w:ilvl w:val="2"/>
          <w:numId w:val="1"/>
        </w:numPr>
        <w:rPr/>
      </w:pPr>
      <w:bookmarkStart w:id="252" w:name="__RefHeading___Toc80842_2749589250"/>
      <w:bookmarkStart w:id="253" w:name="_Toc100"/>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المسألة الاخری تحلیل رأی المرحوم الإمام حول استفادة قاعدة التجاوز من خلال الروایات وأنّ التجاوز أعمّ مطلق من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أنّ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صحیحة زرارة</w:t>
      </w:r>
      <w:r>
        <w:rPr>
          <w:rStyle w:val="FootnoteAnchor"/>
          <w:rtl w:val="true"/>
        </w:rPr>
        <w:footnoteReference w:id="202"/>
      </w:r>
      <w:r>
        <w:rPr>
          <w:rFonts w:ascii="IRNazanin" w:hAnsi="IRNazanin" w:eastAsia="IRNazanin"/>
          <w:color w:val="111111"/>
          <w:sz w:val="28"/>
          <w:sz w:val="28"/>
          <w:szCs w:val="28"/>
          <w:rtl w:val="true"/>
          <w:lang w:bidi="fa-IR"/>
        </w:rPr>
        <w:t>علی قاعدة التجاوز وصرّح بأنّ التجاوز عن المحل والفراغ من العمل لا مدخلیة لهما کملاک للقاعدتین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أراه أن نظریة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للاستفادة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هذه الروایات وعمدتها التی یمکن التمسّک بها موثقة إسماعیل بن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شکّ فی الرکوع بعدما سجد فلیمض وإن شک فی السجود بعدما قام فلیمض، 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یری بمقتضی هذه الروایة أنّ قاعدة التجاوز أعمّ مطلق باعتبار شمولها</w:t>
      </w:r>
      <w:bookmarkStart w:id="254" w:name="pg2935_29232"/>
    </w:p>
    <w:p>
      <w:pPr>
        <w:pStyle w:val="BookText"/>
        <w:rPr/>
      </w:pPr>
      <w:bookmarkEnd w:id="254"/>
      <w:r>
        <w:rPr>
          <w:rFonts w:ascii="IRNazanin" w:hAnsi="IRNazanin" w:eastAsia="IRNazanin"/>
          <w:color w:val="111111"/>
          <w:sz w:val="28"/>
          <w:sz w:val="28"/>
          <w:szCs w:val="28"/>
          <w:rtl w:val="true"/>
          <w:lang w:bidi="fa-IR"/>
        </w:rPr>
        <w:t>للشک فی الصحة والشک فی الوجود، کما تشمل الشک فی أثناء العمل والشک بعد العمل، وهذا المعنی العام یستوعب مدلول قاعدة الفراغ ومن هنا فلا حاجة إلی جعل قاعدة مستقلّة بعنوان قاعدة الفراغ</w:t>
      </w:r>
      <w:r>
        <w:rPr>
          <w:rFonts w:eastAsia="IRNazanin" w:cs="IRNazanin"/>
          <w:color w:val="111111"/>
          <w:sz w:val="28"/>
          <w:szCs w:val="28"/>
          <w:rtl w:val="true"/>
          <w:lang w:bidi="fa-IR"/>
        </w:rPr>
        <w:t>.</w:t>
      </w:r>
    </w:p>
    <w:p>
      <w:pPr>
        <w:pStyle w:val="Heading3"/>
        <w:numPr>
          <w:ilvl w:val="2"/>
          <w:numId w:val="1"/>
        </w:numPr>
        <w:rPr/>
      </w:pPr>
      <w:bookmarkStart w:id="255" w:name="__RefHeading___Toc80844_2749589250"/>
      <w:bookmarkStart w:id="256" w:name="_Toc101"/>
      <w:bookmarkEnd w:id="255"/>
      <w:r>
        <w:rPr>
          <w:rtl w:val="true"/>
        </w:rPr>
        <w:t xml:space="preserve">مناقشة نظریة الإمام الخمینی </w:t>
      </w:r>
      <w:r>
        <w:rPr>
          <w:rtl w:val="true"/>
        </w:rPr>
        <w:t>(</w:t>
      </w:r>
      <w:r>
        <w:rPr>
          <w:rtl w:val="true"/>
        </w:rPr>
        <w:t>رحمه الله</w:t>
      </w:r>
      <w:r>
        <w:rPr>
          <w:rtl w:val="true"/>
        </w:rPr>
        <w:t>):</w:t>
      </w:r>
      <w:bookmarkEnd w:id="256"/>
    </w:p>
    <w:p>
      <w:pPr>
        <w:pStyle w:val="BookText"/>
        <w:rPr/>
      </w:pPr>
      <w:r>
        <w:rPr>
          <w:rFonts w:ascii="IRNazanin" w:hAnsi="IRNazanin" w:eastAsia="IRNazanin"/>
          <w:color w:val="111111"/>
          <w:sz w:val="28"/>
          <w:sz w:val="28"/>
          <w:szCs w:val="28"/>
          <w:rtl w:val="true"/>
          <w:lang w:bidi="fa-IR"/>
        </w:rPr>
        <w:t xml:space="preserve">والظاهر أنّ استفادة هذا المطلب من موثقة إسماعیل بن جابر غیر تام لأنّ صدر الروایة إنّما بیّن موردین من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الرکوع بعد إکمال السجود والشک فی السجود بعد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یعودان إلی الشک فی أثناء العمل وهاذان الموردان قرینة علی أنّ المراد من ذیل الروایة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فیراد به أیضاً الشک فی أثناء العمل وإن کان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ملاحظة تتمة الروایة شاملًا للشک بعد العمل والشک فی الصحة الذی هو مجری قاعدة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جاوزه ودخل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ظاهرة فی الشک حین العمل ومن أنکر هذا الظهور فإنّ أقصی ما یمکن أن یدّعیه هو أنّ الروایة مجملة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فیما سبق أنّ المتکلّم إذا ذکر مثالًا واحداً قبل بیان الکبری الکلّیّة فإنّ ذکر الکبری یکون قرینةً علی تعدّی الحکم عن ذلک المثال الواحد أمّا لو ذکر أمثلة متعددة ولها محور واحد کانت الأمثلة قرینة علی الکبری وانحصرت القاعدة الکلّیّة فی تلک الأمثلة، وفی هذه الروایة ذکر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بیان القاعدة الکلّیّة مثالین لهما محور واحد وهو الشک حین العمل فلابدّ من أن تختص الکبری المذکورة فی الروایة بالشک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التی تمسّک بها الإمام الخمینی هی موثقة محمد بن مسلم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w:t>
      </w:r>
      <w:bookmarkStart w:id="257" w:name="pg2935_29233"/>
    </w:p>
    <w:p>
      <w:pPr>
        <w:pStyle w:val="BookText"/>
        <w:rPr/>
      </w:pPr>
      <w:bookmarkEnd w:id="257"/>
      <w:r>
        <w:rPr>
          <w:rFonts w:ascii="IRNazanin" w:hAnsi="IRNazanin" w:eastAsia="IRNazanin"/>
          <w:color w:val="111111"/>
          <w:sz w:val="28"/>
          <w:sz w:val="28"/>
          <w:szCs w:val="28"/>
          <w:rtl w:val="true"/>
          <w:lang w:bidi="fa-IR"/>
        </w:rPr>
        <w:t>شککت فیه مما قد مضی فامضه کما هو</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معناه کلّما شککت فی صحّته بعد الفراغ منه بل معناه أنّه کلّما شککت فی وجوده جزءاً کان أو شرطاً أو نفس العمل ممّا قد مضی محلّه المقرّر الشرعی فأمضه کما هو فیکون مفاده إعطاء قاعدة التجاوز</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الروایة یعود إلی وجود العمل سواء کان نفس العمل أو جزئه أو شرطه ولا یعود الضمیر إلی صحة العمل</w:t>
      </w:r>
      <w:r>
        <w:rPr>
          <w:rFonts w:eastAsia="IRNazanin" w:cs="IRNazanin"/>
          <w:color w:val="111111"/>
          <w:sz w:val="28"/>
          <w:szCs w:val="28"/>
          <w:rtl w:val="true"/>
          <w:lang w:bidi="fa-IR"/>
        </w:rPr>
        <w:t>.</w:t>
      </w:r>
    </w:p>
    <w:p>
      <w:pPr>
        <w:pStyle w:val="Heading3"/>
        <w:numPr>
          <w:ilvl w:val="2"/>
          <w:numId w:val="1"/>
        </w:numPr>
        <w:rPr/>
      </w:pPr>
      <w:bookmarkStart w:id="258" w:name="__RefHeading___Toc80846_2749589250"/>
      <w:bookmarkStart w:id="259" w:name="_Toc102"/>
      <w:bookmarkEnd w:id="258"/>
      <w:r>
        <w:rPr>
          <w:rtl w:val="true"/>
        </w:rPr>
        <w:t xml:space="preserve">مناقشة رأی الإمام الخمینی </w:t>
      </w:r>
      <w:r>
        <w:rPr>
          <w:rtl w:val="true"/>
        </w:rPr>
        <w:t>(</w:t>
      </w:r>
      <w:r>
        <w:rPr>
          <w:rtl w:val="true"/>
        </w:rPr>
        <w:t>رحمه الله</w:t>
      </w:r>
      <w:r>
        <w:rPr>
          <w:rtl w:val="true"/>
        </w:rPr>
        <w:t>):</w:t>
      </w:r>
      <w:bookmarkEnd w:id="259"/>
    </w:p>
    <w:p>
      <w:pPr>
        <w:pStyle w:val="BookText"/>
        <w:rPr/>
      </w:pPr>
      <w:r>
        <w:rPr>
          <w:rFonts w:ascii="IRNazanin" w:hAnsi="IRNazanin" w:eastAsia="IRNazanin"/>
          <w:color w:val="111111"/>
          <w:sz w:val="28"/>
          <w:sz w:val="28"/>
          <w:szCs w:val="28"/>
          <w:rtl w:val="true"/>
          <w:lang w:bidi="fa-IR"/>
        </w:rPr>
        <w:t>الظاهر أنّ رأی المرحوم فی هذه الروایة یمکن الإشکال علیه من جهات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منه یحتاج إلی تقدیر کثیر من الألفاظ لکونه خلاف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الروایة بیانیّة لا تبعیضیة فتکون الروایة ظاهرة فی کلّ العمل فیکون المراد بالشک الشک بعد العمل، وعلیه تختصّ الروایة بقاعدة الفراغ دون قاعدة التجاوز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تفضّل به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الروایة من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مضی محلّه المقرّر الشرعی فهل یصدق تجاوز محل العمل علی تجاوز العمل نفسه أولا؟ ذلک أنّ المحلّ أمر تعبّدی ولا یمکننا أن نعرف متی یتحقق التجاوز عن المحل ولابد للشارع من أن یوضّح لنا ذلک، فمثلًا یستفاد من</w:t>
      </w:r>
    </w:p>
    <w:p>
      <w:pPr>
        <w:pStyle w:val="BookText"/>
        <w:rPr/>
      </w:pPr>
      <w:r>
        <w:rPr>
          <w:rFonts w:ascii="IRNazanin" w:hAnsi="IRNazanin" w:eastAsia="IRNazanin"/>
          <w:color w:val="111111"/>
          <w:sz w:val="28"/>
          <w:sz w:val="28"/>
          <w:szCs w:val="28"/>
          <w:rtl w:val="true"/>
          <w:lang w:bidi="fa-IR"/>
        </w:rPr>
        <w:t>کلمات الشارع أنّ محلّ الرکوع قد تجاوز عند تحقق السجود، أمّا العرف فلا یفهم ذلک کما لا یدرک العرف الفرق بین الجزء الرکنی وغیر الرکنی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 مضیّ المحل أمراً تعبّدیاً فإنّ العرف لا یری صدق تجاوز المحلّ علی ما لو فرغ المکلّف من العمل فلا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محلّه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أصله 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للإشکالات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المشهور إلی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کلّما شککت فی نفس العمل لا فی جزئه أو شرطه، ولعلّ هذا هو السر فی أن یحتمل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أسطر من کلامه السابق أنّ الروایة مختصّة بالشک فی العمل فلا تشمل الشک فی الجزء أو الشرط فهو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احتمال آخر فی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أنّه بصدد بیان موردٍ من موارد قاعدة التجاوز أی الشک الحادث بعد مضی العمل المتعلّق بکلّ ما اعتبر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الحادث بعد العمل کالحادث بینه بعد مضیّ المحلّ لا اعتبار به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فی کلماته هذا یری أنّ الموثّقة مختصّة بالشک بعد مضی العمل، وعلیه تکون الروایة فی صدد بیان أحد موارد التجاوز وهو الشک بعد الانتهاء من العمل، وحینئذٍ فلا دلالة لها علی الشک فی أثناء العمل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الخامس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بأنّ لها معنی عاماً یشمل مضیّ الجزء کما یشمل مضیّ کلّ العمل ونحن نقول بأنّ التعبیرات المختلفة قد وردت فی الروایات من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ینصرف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یصلّی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یفرغ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قابلة للحمل علی معنی التجاوز بل لها ظهور فی</w:t>
      </w:r>
    </w:p>
    <w:p>
      <w:pPr>
        <w:pStyle w:val="BookText"/>
        <w:rPr/>
      </w:pPr>
      <w:r>
        <w:rPr>
          <w:rFonts w:ascii="IRNazanin" w:hAnsi="IRNazanin" w:eastAsia="IRNazanin"/>
          <w:color w:val="111111"/>
          <w:sz w:val="28"/>
          <w:sz w:val="28"/>
          <w:szCs w:val="28"/>
          <w:rtl w:val="true"/>
          <w:lang w:bidi="fa-IR"/>
        </w:rPr>
        <w:t>قاعدة الفراغ، ومن البعید جدّاً أن یستفاد عنوان التجاوز عن المحلّ من هذه التعبیرات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التی استند إلیها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المفید، عن أحمد بن محمّد، عن أبیه، عن سعد بن عبدالله، عن أحمد بن محمد بن عیسی، عن أحمد بن محمد بن أبی نصر، عن عبدالکریم بن عمرو، عن عبد الله 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بأنّک کلّما شککت فی جزءٍ من الوضوء ولم تدخل فی غیره فشکّک لا یعتنی به ثمّ یبیّن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الشک إنّما یعتنی به فیما لو لم یتجاوز محل المشکوک ولم یدخل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بحثان لابدّ من التدقیق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الضمیر الغائب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فی القاعدة الکلّیّة التی بیّنها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البحث الأوّل فیتمثّل فی السؤال عن مرجع الضمیر الغائب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مرجعه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مفاد الروایة قاعدة التجاوز وحینئذٍ یرد الإشکال علی هذا الاحتمال بأنّه مخالف للفتاوی والنصوص لقیام الإجماع القطعی علی عدم جریان قاعدة التجاوز فی الوضوء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والاحتمال الثانی أن یکون مرجع الضمیر الغائب کلمة الوضوء بمعنی أنّ</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مفاد الروایة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الذی ینبغی أن یذکر هو أنّ الروایة الظاهرة فی معنی لا یمکن رفع الید عن ظهورها بسبب مخالفة هذا الظهور للفتاوی، ولا یمکن التصرّف فی ظاهر الروایة بواسطة الإجماع فالإجماع أو الفتاوی لا یکون قرینة علی التصرف فی المراد الاستعمالی والمراد الجدّی بل یمکن الالتزام بطرح الروایة المخالفة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ینطبق علی هذه الروایة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 هو أنّ ذیل الروایة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یؤیّد رأی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الروایات ناظرة إلی قاعدة التجاوز والملاک الوحید هو التجاوز عن المحلّ، لأن ذیل الروایة بقرینة کلمة إنّما الظاهرة فی الحصر عند مشهور الأدباء یحصر الشک المعتنی به فی الشک فیما لم یتجاوز عن الشی‌ء، ولاسیما إذا التزمنا فی البحث الأوّل بأنّ مرجع الضمیر الغائب هو الوضوء لیکون مفاد الروایة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ملاک قاعدة الفراغ هو التجاوز عن المحل بحسب الروایة فی هذه الصورة دون الفراغ منه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الالتفات إلی ما ذکرناه فی البحث الأوّل من أنّ مخالفة روایة للفتاوی والإجماع لا توجب رفع الید عن ظهورها فلا یمکن التصرّف فی مدلول الروایة بسبب الإجماع والفتاوی والطریق الوحید الذی یمکن التصرف به فی مدلول الاستعمالی هو وجود روایة أخری ناظرة إلی هذه الروایة وطالما أنّ هکذا روایة مفقودة فی المقام فإنّ موثقة ابن أبی یعفور تکون مؤیدة لرأی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یؤکّد علیه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لم نجد جواباً عن ذلک کانت نظریة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راسخة صحیحة إلّا أنّ التحقیق یقتضی عدم قدرة الروایة علی</w:t>
      </w:r>
    </w:p>
    <w:p>
      <w:pPr>
        <w:pStyle w:val="BookText"/>
        <w:rPr/>
      </w:pPr>
      <w:r>
        <w:rPr>
          <w:rFonts w:ascii="IRNazanin" w:hAnsi="IRNazanin" w:eastAsia="IRNazanin"/>
          <w:color w:val="111111"/>
          <w:sz w:val="28"/>
          <w:sz w:val="28"/>
          <w:szCs w:val="28"/>
          <w:rtl w:val="true"/>
          <w:lang w:bidi="fa-IR"/>
        </w:rPr>
        <w:t xml:space="preserve">إثبات رأی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صدر الروایة ناظراً إلی قاعدة التجاوز لوجب بحسب ظاهرها جریان هذه القاعدة فی الوضوء أیضاً مع أن صحیحة زرارة نفت جریان قاعدة التجاوز فی الوضوء، کما أنّ إجماع الفقهاء علی خلاف هذا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أن یکون هذا الإجماع سبباً للتصرّف فی المدلول الاستعمالی للروایة إلّا أنّه یُسقطها عن الحجیة فإذا صار صدر الروایة مختصّاً بقاعدة التجاوز وجب اختصاص ذیلها الوارد لبیان القاعدة الکلّیة بقاعدة التجاوز بقرینة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ذیل الروایة هی نفس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صدرها فإذا کانت هذه اللفظة فی صدر الروایة بمعنی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الوضوء أی جزء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کذلک فی ذیل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قیل فی الاحتمال الثانی بأن صدر الروایة ذو احتمالین حیث یحتمل أن یکون ناظراً إلی قاعدة التجاوز وکذلک إلی قاعدة الفراغ فإنّ الروایة علی هذا تصبح مجملة لقابلیة حملها علی کلا الاحتمالین علی حدّ سواء فلابد من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مبنی صحة التفکیک فی حجیة الروایات</w:t>
      </w:r>
      <w:r>
        <w:rPr>
          <w:rStyle w:val="FootnoteAnchor"/>
          <w:rtl w:val="true"/>
        </w:rPr>
        <w:footnoteReference w:id="209"/>
      </w:r>
      <w:r>
        <w:rPr>
          <w:rFonts w:ascii="IRNazanin" w:hAnsi="IRNazanin" w:eastAsia="IRNazanin"/>
          <w:color w:val="111111"/>
          <w:sz w:val="28"/>
          <w:sz w:val="28"/>
          <w:szCs w:val="28"/>
          <w:rtl w:val="true"/>
          <w:lang w:bidi="fa-IR"/>
        </w:rPr>
        <w:t xml:space="preserve">کما نذهب إلیه فإنّنا نوضّح المراد من ذیل الروایة ولا علاقة لنا بصدرها فإنّ المدّعی 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فی نفسه فی أجزاء المرکب ویشمل مجموع المرکب فیختص ذیل الروایة بقاعدة التجاوز ولا علاقة له بقاعدة الفراغ، إذ لو عمّت الروایة لقاعدة الفراغ التی تتعلّق بصحة العمل بعد الانتهاء منه کان مفاد</w:t>
      </w:r>
      <w:bookmarkStart w:id="260" w:name="pg2935_29238"/>
    </w:p>
    <w:p>
      <w:pPr>
        <w:pStyle w:val="BookText"/>
        <w:rPr/>
      </w:pPr>
      <w:bookmarkEnd w:id="260"/>
      <w:r>
        <w:rPr>
          <w:rFonts w:ascii="IRNazanin" w:hAnsi="IRNazanin" w:eastAsia="IRNazanin"/>
          <w:color w:val="111111"/>
          <w:sz w:val="28"/>
          <w:sz w:val="28"/>
          <w:szCs w:val="28"/>
          <w:rtl w:val="true"/>
          <w:lang w:bidi="fa-IR"/>
        </w:rPr>
        <w:t>الروایة حینئذٍ أنّه لو تجاوزتْ العمل فلا تعتن بشکّک وإلّا فاعتن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ملاک التجاوز هو الدخول فی الجزء الآخر 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لم تدخل فی غیره، فلو أنّ المکلّف شکّ فی صحّة صلاته بعد الانتهاء من صلاته وقبل الدخول فی أی عمل مناف آخر وهو جالس علی مصلاه فلابدّ من الحکم بعدم الاعتناء بشکّه بمفاد هذا الروایة مع أنّ أحداً من الفقهاء لم یلتزم بذلک ولم یُفت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بموافقة موثقة ابن أبی یعفور لما ذهب إلیه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کلمة الشی‌ء الواردة فی الروایة تشمل کلّ العمل وجزأه وإن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التجاوز عن المحل والتجاوز من نفس الشی‌ء کانت موثقة ابن أبی بکیر دالة حینئذٍ علی القدر الجامع بین القاعدتین لا أنّها دالة علی قاعدة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الروایات الواردة فی باب قاعدتی الفراغ والتجاوز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بقاعدة الفراغ والشک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بقاعدة التجاوز والشک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تعمّ کلّتا القاعدتین بمعنی أنّ مفادها یشمل الشک بعد العمل وکذلک الشک حین العمل، ومن هذا القسم الثالث موثقة ابن أبی یعفور</w:t>
      </w:r>
      <w:r>
        <w:rPr>
          <w:rFonts w:eastAsia="IRNazanin" w:cs="IRNazanin"/>
          <w:color w:val="111111"/>
          <w:sz w:val="28"/>
          <w:szCs w:val="28"/>
          <w:rtl w:val="true"/>
          <w:lang w:bidi="fa-IR"/>
        </w:rPr>
        <w:t>.</w:t>
      </w:r>
    </w:p>
    <w:p>
      <w:pPr>
        <w:pStyle w:val="Heading2"/>
        <w:numPr>
          <w:ilvl w:val="1"/>
          <w:numId w:val="1"/>
        </w:numPr>
        <w:rPr/>
      </w:pPr>
      <w:bookmarkStart w:id="261" w:name="__RefHeading___Toc80848_2749589250"/>
      <w:bookmarkStart w:id="262" w:name="_Toc103"/>
      <w:bookmarkEnd w:id="261"/>
      <w:r>
        <w:rPr>
          <w:rtl w:val="true"/>
        </w:rPr>
        <w:t>دراسة روایة موثقة بکیر بن أعین</w:t>
      </w:r>
      <w:r>
        <w:rPr>
          <w:rtl w:val="true"/>
        </w:rPr>
        <w:t>:</w:t>
      </w:r>
      <w:bookmarkEnd w:id="262"/>
    </w:p>
    <w:p>
      <w:pPr>
        <w:pStyle w:val="BookText"/>
        <w:rPr/>
      </w:pPr>
      <w:r>
        <w:rPr>
          <w:rFonts w:ascii="IRNazanin" w:hAnsi="IRNazanin" w:eastAsia="IRNazanin"/>
          <w:color w:val="111111"/>
          <w:sz w:val="28"/>
          <w:sz w:val="28"/>
          <w:szCs w:val="28"/>
          <w:rtl w:val="true"/>
          <w:lang w:bidi="fa-IR"/>
        </w:rPr>
        <w:t>بقیت روایة أخری وهی موثقة بکیر بن أعین التی لابدّ من دراستها بدقّة وإمعان لعل المستفاد منها الملاک الواحد علی کلتا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بعدما یتوضّأ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من البحث فی عدة نقاط من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متعلّق الشک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بعدما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شک المکلّف فی صحة مجموع العمل بمعنی أنّه یعلم بإتیانه جمیع أجزاء الوضوء إلّا أنّه یشک فی صحّتها أو أنّه قد شک فی وجود جزءٍ من أجزاء الوضوء أو أنّه یشمل الأعم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وجود الجزء والشک فی صحّة مجموع العمل؟ الظاهر أنّ الاحتمال الثالث هو الصحیح من بین هذه الاحتمالات الثلاثة، وعلیه یمکن أن یکون متعلّق الشک صحة مجموع المرکّب، وکذا الجزء المعیّن من أجزاء العمل، وعلیه فإنّ مورد الروایة هو الشک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 أو فی صحّة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مجری قاعدة الفراغ لأنّ ملاک قاعدة الفراغ کما ذکرنا سابقاً هو الشک بعد الانتهاء من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الثانیة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الأذکریة هل یوجد فی قاعدة الفراغ وقاعدة التجاوز؟</w:t>
      </w:r>
    </w:p>
    <w:p>
      <w:pPr>
        <w:pStyle w:val="BookText"/>
        <w:rPr/>
      </w:pPr>
      <w:r>
        <w:rPr>
          <w:rFonts w:ascii="IRNazanin" w:hAnsi="IRNazanin" w:eastAsia="IRNazanin"/>
          <w:color w:val="111111"/>
          <w:sz w:val="28"/>
          <w:sz w:val="28"/>
          <w:szCs w:val="28"/>
          <w:rtl w:val="true"/>
          <w:lang w:bidi="fa-IR"/>
        </w:rPr>
        <w:t xml:space="preserve">للإجابة عن هذا السؤال لابدّ من القول بأنّ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تعبّداً شرعیاً ولیس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بصدد بیان الملاک الشرعی، بل فی هذا التعبیر إشارة إلی أمر واقعی عقلائی، وعلیه فلابد من الرجوع إلی العقلاء لمعرفة أنّ الأذکریة عندهم هل هی معتبرة بعد العمل فقط بمعنی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صحة العمل أو فی وجود جزء من أجزاء العمل بعد الانتهاء من العمل فلا تعتن بشکّک لأنّک حین العمل کنت أذکر، أو أنّ العقلاء یلتزمون بهذا المقال فی الشک فی أثناء العمل أیضاً فیقولون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سجد المکلّف ثمّ شک فی أنّه رکع لم یعتن بشکّه لأنّه حین الرکوع کان أذکر؟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نعتقده هو أنّ الأذکریة تامّة قطعاً فی الشک بعد العمل إذ کلّ عامل</w:t>
      </w:r>
    </w:p>
    <w:p>
      <w:pPr>
        <w:pStyle w:val="BookText"/>
        <w:rPr/>
      </w:pPr>
      <w:r>
        <w:rPr>
          <w:rFonts w:ascii="IRNazanin" w:hAnsi="IRNazanin" w:eastAsia="IRNazanin"/>
          <w:color w:val="111111"/>
          <w:sz w:val="28"/>
          <w:sz w:val="28"/>
          <w:szCs w:val="28"/>
          <w:rtl w:val="true"/>
          <w:lang w:bidi="fa-IR"/>
        </w:rPr>
        <w:t>حین اشتغاله بالعمل أذکر من زمن الفراغ من العمل، ذلک أنّ المکلّف حین العمل یرکز کلّ اهتمامه علی إتیان العمل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أثناء العمل فإنّ الأذکریة بالنسبة إلی الجزء السابق فمحل تأمّل، إذ لو وجب القبول بالأذکریة هنا لوجب القبول بها قبل الدخول فی المحل والجزء الآخر أیضاً، فمن هوی إلی السجود مثلًا وشک فی الرکوع قبل أن یضع جبهته علی ما یصحّ السجود علیه فلابد من الالتزام بأنّه فی حالة الرکوع کان أذکر وعلیه فلو جرت الأذکریة فی قاعدة التجاوز وجب الالتزام بجریأنها قبل الدخول فی الجزء الآخر أیضاً، وهو محلّ تأمل وغیر قابل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سلّمنا جریان ملاک الأذکریة فی قاعدة التجاوز أیضاً فهل یمکن أن تکون وحدة الملاک فی القاعدتین سبباً لاتّحاد القاعدتین؟ وهل یتوقّف تغایر القاعدتین علی تغایر الملاک فیهما؟</w:t>
      </w:r>
    </w:p>
    <w:p>
      <w:pPr>
        <w:pStyle w:val="BookText"/>
        <w:rPr/>
      </w:pPr>
      <w:r>
        <w:rPr>
          <w:rFonts w:ascii="IRNazanin" w:hAnsi="IRNazanin" w:eastAsia="IRNazanin"/>
          <w:color w:val="111111"/>
          <w:sz w:val="28"/>
          <w:sz w:val="28"/>
          <w:szCs w:val="28"/>
          <w:rtl w:val="true"/>
          <w:lang w:bidi="fa-IR"/>
        </w:rPr>
        <w:t xml:space="preserve">الجواب بالنفی ولیست وحدة الملاک دلیلًا علی وحدة القاعدتین لوجود موارد کثیرة فی الفقه یجمعها ملاک واحد مع بقاء التعدّد والتغایر علی حاله، فمثلًا فی باب الخیارات فإنّ الملاک فی خیار الغبن وخیار العیب وخیار تخلّف الشرط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الخیارات المتعدّدة ملاکها واحد وهی متغایرة ومتعدّدة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فالحاصل أنّ الأذکریة إنّما تجری فی قاعدة الفراغ فقط ولو جرت فی قاعدة التجاوز أیضاً لزم التالی الفاسد مضافاً إلی أنّ ذلک لا یوجب وحدة قاعدة التجاوز وقاعدة الفراغ، ومن هنا فإنّ موثقة بکیر بن أعین لا یمکن إثبات وحدة القاعدتین بها أیضاً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فإنّ المستفاد من الروایات أیضاً هو وجود قاعدتین مستقلتین لهما</w:t>
      </w:r>
    </w:p>
    <w:p>
      <w:pPr>
        <w:pStyle w:val="BookText"/>
        <w:rPr/>
      </w:pPr>
      <w:r>
        <w:rPr>
          <w:rFonts w:ascii="IRNazanin" w:hAnsi="IRNazanin" w:eastAsia="IRNazanin"/>
          <w:color w:val="111111"/>
          <w:sz w:val="28"/>
          <w:sz w:val="28"/>
          <w:szCs w:val="28"/>
          <w:rtl w:val="true"/>
          <w:lang w:bidi="fa-IR"/>
        </w:rPr>
        <w:t>ملاکان مختلفان وهما الشک بعد العمل والشک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لابد هنا من التعرض لإشکالین تکملة للبحث وإثباتاً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کلمات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الأعلام</w:t>
      </w:r>
      <w:r>
        <w:rPr>
          <w:rStyle w:val="FootnoteAnchor"/>
          <w:rtl w:val="true"/>
        </w:rPr>
        <w:footnoteReference w:id="211"/>
      </w:r>
      <w:r>
        <w:rPr>
          <w:rFonts w:ascii="IRNazanin" w:hAnsi="IRNazanin" w:eastAsia="IRNazanin"/>
          <w:color w:val="111111"/>
          <w:sz w:val="28"/>
          <w:sz w:val="28"/>
          <w:szCs w:val="28"/>
          <w:rtl w:val="true"/>
          <w:lang w:bidi="fa-IR"/>
        </w:rPr>
        <w:t>تبعاً له وهو أنّ فی خمس عشرة روایة من روایات هذا الباب تکون وحدة السیاق والتعبیر، ومن المعلوم أنّ السیاق قرینة عرفیة علی جعل الشارع المقدس حکماً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الإشکال غیر 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قرینیة السیاق محلّ تأمل وإشکال فمثلًا فی القرآن الکریم وردت قبل آیة التطهیر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آیات عدیدة تتحدّث عن أمور تتعلق بنساء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سلّمنا قرینیة السیاق لزم القول بشمول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التطهیر لجمیع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یقتضی خلاف ذلک وأنّ آیة التطهیر لا تشمل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قرینیة السیاق فأنّها فی کلام المتکلّم الواحد بحیث تکون الجمل متّصلة لا فی الجمل المنفصلة کما هو الشأن فیما نحن فیه حیث إنّ الروایة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الروایات الواصلة من الإمام الواحد کالإمام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رواتها مختلفون فلا یمکن</w:t>
      </w:r>
    </w:p>
    <w:p>
      <w:pPr>
        <w:pStyle w:val="BookText"/>
        <w:rPr/>
      </w:pPr>
      <w:r>
        <w:rPr>
          <w:rFonts w:ascii="IRNazanin" w:hAnsi="IRNazanin" w:eastAsia="IRNazanin"/>
          <w:color w:val="111111"/>
          <w:sz w:val="28"/>
          <w:sz w:val="28"/>
          <w:szCs w:val="28"/>
          <w:rtl w:val="true"/>
          <w:lang w:bidi="fa-IR"/>
        </w:rPr>
        <w:t>للسیاق أن یکون قرینة مع وجود 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 من الجوابین السابقین هو أنّه لا وجود لوحدة التعبیر فی روایات الباب فإنّ البحث فی روایات قاعدة التجاوز إنّما هو عن التجاوز عن المحل المقرّر الشرعی حیث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 فی السجدة حینما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حینما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فی روایات قاعدة الفراغ فهو إتمام العمل والانتهاء منه فمثلًا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ینصرف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یفرغ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التعبیرات واحدة؟ کلّا لیس کذلک بل الموجود فی صحیحة زرارة کلمتان مختلفتان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 قاعداً علی وضوئک فلم تدر أغسلت ذراعیک أم لا؟ فأعد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قمت من الوضوء وفرغت منه وقد صرت فی حال أخری فی الصلاة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علیک فیه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حیث ذُکر فیها تعبیران مختلفان کلّ منهما موضوع لحکم مختلف عن الآخر، وعلیه فلا مصداقیة لوحدة السیاق والتعبیر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کلمات بعض أهل النظر وهو أنّ الملاک فی قاعدة التجاوز هو الشک فی الوجود، والتحقیق أنّ الشک فی الوجود راجع إلی الشک فی الصحة عکس ما ذهب إلیه الشیخ الأنصاری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الإشکال هو أنّه عندما یُشک فی وجود جزءٍ معیّن والمفروض وجود سائر الأجزاء، وعلیه فإنّ الشک فی إتیان ذلک الجزء یوجب الشک فی صحّة سائر الأجزاء فیرجع الشک فی الوجود إلی الشک فی الصحّة، وبعبارة أخری أنّ التعبّد بوجود الجزء عند الشک فی وجوده إنّما هو فی الواقع تعبّد بصحّة سائر الأجزاء</w:t>
      </w:r>
      <w:r>
        <w:rPr>
          <w:rFonts w:eastAsia="IRNazanin" w:cs="IRNazanin"/>
          <w:color w:val="111111"/>
          <w:sz w:val="28"/>
          <w:szCs w:val="28"/>
          <w:rtl w:val="true"/>
          <w:lang w:bidi="fa-IR"/>
        </w:rPr>
        <w:t>.</w:t>
      </w:r>
      <w:bookmarkStart w:id="263" w:name="pg2935_29243"/>
    </w:p>
    <w:p>
      <w:pPr>
        <w:pStyle w:val="BookText"/>
        <w:rPr/>
      </w:pPr>
      <w:bookmarkEnd w:id="263"/>
      <w:r>
        <w:rPr>
          <w:rFonts w:ascii="IRNazanin" w:hAnsi="IRNazanin" w:eastAsia="IRNazanin"/>
          <w:color w:val="111111"/>
          <w:sz w:val="28"/>
          <w:sz w:val="28"/>
          <w:szCs w:val="28"/>
          <w:rtl w:val="true"/>
          <w:lang w:bidi="fa-IR"/>
        </w:rPr>
        <w:t>جواب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سابقاً بأنّ الشک فی الصحة لا یرجع إلی الشکّ فی الوجود ولا العکس بل هما عنوانان مستقلّان لکلّ منهما آثاره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الإشکال لا یتوافق مع ظاهر روایات قاعدة التجاوز ففی روایةٍ من باب المثال حیث یسأل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أثناء السجود فی أنّی هل رکعت أولا؟ ویجیب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إنّک قد رکعت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لم یلاحظ سائر الأجزاء بل تعبّدنا بأنّ نبنی علی إتیان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أثبتنا أنّ قاعدة الفراغ وقاعدة التجاوز قاعدتان مستقلّتان متغایرتان ونحن نعتقد بتعدد القاعدتین</w:t>
      </w:r>
      <w:r>
        <w:rPr>
          <w:rFonts w:eastAsia="IRNazanin" w:cs="IRNazanin"/>
          <w:color w:val="111111"/>
          <w:sz w:val="28"/>
          <w:szCs w:val="28"/>
          <w:rtl w:val="true"/>
          <w:lang w:bidi="fa-IR"/>
        </w:rPr>
        <w:t>.</w:t>
      </w:r>
    </w:p>
    <w:p>
      <w:pPr>
        <w:pStyle w:val="Heading2"/>
        <w:numPr>
          <w:ilvl w:val="1"/>
          <w:numId w:val="1"/>
        </w:numPr>
        <w:rPr/>
      </w:pPr>
      <w:bookmarkStart w:id="264" w:name="__RefHeading___Toc80850_2749589250"/>
      <w:bookmarkStart w:id="265" w:name="_Toc104"/>
      <w:bookmarkEnd w:id="264"/>
      <w:r>
        <w:rPr>
          <w:rtl w:val="true"/>
        </w:rPr>
        <w:t>ثمرة بحث تعدّد القاعدتین أو وحدتهما</w:t>
      </w:r>
      <w:r>
        <w:rPr>
          <w:rtl w:val="true"/>
        </w:rPr>
        <w:t>:</w:t>
      </w:r>
      <w:bookmarkEnd w:id="265"/>
    </w:p>
    <w:p>
      <w:pPr>
        <w:pStyle w:val="BookText"/>
        <w:rPr/>
      </w:pPr>
      <w:r>
        <w:rPr>
          <w:rFonts w:ascii="IRNazanin" w:hAnsi="IRNazanin" w:eastAsia="IRNazanin"/>
          <w:color w:val="111111"/>
          <w:sz w:val="28"/>
          <w:sz w:val="28"/>
          <w:szCs w:val="28"/>
          <w:rtl w:val="true"/>
          <w:lang w:bidi="fa-IR"/>
        </w:rPr>
        <w:t>ثمّ أنّه بعد أن اتّضح لنا بأنّ قاعدة الفراغ والتجاوز قاعدتان مستقلتان بحسب مقام الإثبات بقی أن نتساءل عن ثمرة هذا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فی المباحث الآتیة ثمراتٍ لهذا البحث من قبیل أن یقال بأنّ الدخول فی الغیر شرط فی قاعدة التجاوز دون قاعدة الفراغ أو یقال بأنّ قاعدة الفراغ تجری فی جمیع أبواب الفقه أمّا قاعدة التجاوز فهی مختصّة بالعبادات وتجری فی باب الصلاة بالخصوص وغیر ذلک من الثمرات التی سنذکرها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وبغض النظر عن هذه الثمرات فإنّ المحقق العراقی ذکر فی کتابه نهایة الأفکار ثمرة جیّدة لهذا البحث نذکرها هنا 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تیقّن المکلّف بأنّه ترک سجدة واحدة أو التشهّد من صلاته مّما جعله یشکّ فی الإخلال بالترتیب أو الموالاة فی صلاته فإن جعلنا الفراغ والتجاوز قاعدتین مستقلّتین أجرینا قاعدة</w:t>
      </w:r>
    </w:p>
    <w:p>
      <w:pPr>
        <w:pStyle w:val="BookText"/>
        <w:rPr/>
      </w:pPr>
      <w:r>
        <w:rPr>
          <w:rFonts w:ascii="IRNazanin" w:hAnsi="IRNazanin" w:eastAsia="IRNazanin"/>
          <w:color w:val="111111"/>
          <w:sz w:val="28"/>
          <w:sz w:val="28"/>
          <w:szCs w:val="28"/>
          <w:rtl w:val="true"/>
          <w:lang w:bidi="fa-IR"/>
        </w:rPr>
        <w:t>الفراغ هنا وحکمنا بصحّة الصلاة، ثمّ حکمنا بوجوب قضاء السجدة الفائتة أو التشهد الفائت بواسطة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المکلّف بعد علمه بعدم إتیان السجدة الواحدة یشک فی صحة باقی الأجزاء من جهة الإخلال بالترتیب فنحکم حینئذٍ بصحّة باقی الأجزاء بمقتضی قاعدة الفراغ ومن آثار الصحة وجوب قضاء السجدة المنسیّة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التزمنا بوحدة القاعدتین فإنّ إثبات وجوب قضاء السجدة أو التشهّد فمحل إشکال إذ علی القول بوحدة القاعدتین فإنّ هناک عنواناً واحداً مشترکاً وهو عدم الاعتناء بالشک فی الشی‌ء بعد التجاوز عنه کما أشار إلی ذلک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إلّا أنّ المذکور فی کلام المحقق البروجردی أنّ العنوان الواحد هو عدم الاعتناء بالشک فی الشی‌ء بعد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یصدق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 والموالاة لتجری فیها القاعدة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یتنازل المحقق العراقی فی استمرار کلامه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بجریان القاعدة علی القول بوحدة القاعدتین واجهنا إشکالًا آخر وهو أنّ المکلّف إذا أراد أن لا یعتنی بشکّه وجب أن یبنی علی وجود الصحیح أی یجب أن یتعبّد أنّ ما أتی به من الصلاة مصداق لوجود الصلاة الصحیحة، وعلیه فلا حاجة إلی قضاء السجدة المنسیة أو التشهد الفائت لعدم وجود الخلل هنا، لأنّ قضاء السجدة والتشهّد إنّما یجب فیما لو ترتبت الصحة علی العمل علی نحو کان الناقصة لا علی نحو کان التامة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هنا بأنّ قضاء السجدة أو التشهّد إنّما ثبت هنا بدلیل خاص ولا علاقة لا بمسألة وحدة قاعدتی الفراغ والتجاوز أو 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المکلّف مثلًا لو تیقّن بعد الفراغ من الصلاة بأنّه ترک القراءة لم یُفتِ أحد بوجوب قضاء القراءة بعد الصلاة ولا دلیل علی وجوب قضائها هنا بخلاف السجدة والتشهّد حیث یوجد دلیل خاص علی وجوب قضائهما، وعلیه فلا علاقة لتعدّد قاعدتی الفراغ والتجاوز ووحدتهما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یقال فی مقام الردّ عن هذا الإشکال بأنّ الدلیل الخاص موجود هنا لکنّ الکلام إنّما هو فیما لو لم نقبل بهذا الدلیل وأشکلنا علی صحة سنده أو دلالته فنحن نتکلّم عما هو مقتضی القاعدة بغض النظر عن وجود دلیل خاص، ولهذا قال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لو التزمنا بتعدد قاعدتی الفراغ والتجاوز فإنّ قاعدة الفراغ تثبت الصحّة بمفاد کان الناقصة وأثر هذه الصحة وجوب قضاء السجدة والتشهد المنسییّن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التزمنا بوحدة القاعدتین تثبت بها الصحة بمفاد کان التامّة ولا حاجة حینئذٍ إلی قضاء السجدة أو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هذه الثمرة التی ذکرها المحقق العراقی ثمرة دقیقة ولا غبار علیها</w:t>
      </w:r>
      <w:r>
        <w:rPr>
          <w:rFonts w:eastAsia="IRNazanin" w:cs="IRNazanin"/>
          <w:color w:val="111111"/>
          <w:sz w:val="28"/>
          <w:szCs w:val="28"/>
          <w:rtl w:val="true"/>
          <w:lang w:bidi="fa-IR"/>
        </w:rPr>
        <w:t>.</w:t>
      </w:r>
      <w:bookmarkStart w:id="266" w:name="pg2935_29246"/>
    </w:p>
    <w:p>
      <w:pPr>
        <w:pStyle w:val="Heading2"/>
        <w:numPr>
          <w:ilvl w:val="1"/>
          <w:numId w:val="1"/>
        </w:numPr>
        <w:rPr/>
      </w:pPr>
      <w:bookmarkStart w:id="267" w:name="__RefHeading___Toc80852_2749589250"/>
      <w:bookmarkStart w:id="268" w:name="_Toc105"/>
      <w:bookmarkEnd w:id="266"/>
      <w:bookmarkEnd w:id="267"/>
      <w:r>
        <w:rPr>
          <w:rtl w:val="true"/>
        </w:rPr>
        <w:t>جریان قاعدة الفراغ والتجاوز فی جمیع أبواب الفقه</w:t>
      </w:r>
      <w:r>
        <w:rPr>
          <w:rtl w:val="true"/>
        </w:rPr>
        <w:t>:</w:t>
      </w:r>
      <w:bookmarkEnd w:id="268"/>
    </w:p>
    <w:p>
      <w:pPr>
        <w:pStyle w:val="BookText"/>
        <w:rPr/>
      </w:pPr>
      <w:r>
        <w:rPr>
          <w:rFonts w:ascii="IRNazanin" w:hAnsi="IRNazanin" w:eastAsia="IRNazanin"/>
          <w:color w:val="111111"/>
          <w:sz w:val="28"/>
          <w:sz w:val="28"/>
          <w:szCs w:val="28"/>
          <w:rtl w:val="true"/>
          <w:lang w:bidi="fa-IR"/>
        </w:rPr>
        <w:t>لا شک فی أن مجری قاعدة التجاوز هو الشک فی وجود أجزاء العمل المرکب الواحد کالصلاة ومجری قاعدة الفراغ هو الشک فی صحة العمل بعد الفراغ من مجموع ذلک العمل إنّما الکلام هنا فی أنّ قاعدة الفراغ والتجاوز هل هی مختصّة بباب الطهارة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هل هی مختصّة بالعبادات حیث تکون ذمّة المکلّف مشغولة بها والشارع إنّما یحکم بعدم الاعتناء بالشک من باب الامتنان لیری المکلّف ذمتّه بریئةً، أو أنّها تجری فی جمیع أبواب الفقه من العبادات والمعاملات ومن العقود والایقاعات؟</w:t>
      </w:r>
    </w:p>
    <w:p>
      <w:pPr>
        <w:pStyle w:val="BookText"/>
        <w:rPr/>
      </w:pPr>
      <w:r>
        <w:rPr>
          <w:rFonts w:ascii="IRNazanin" w:hAnsi="IRNazanin" w:eastAsia="IRNazanin"/>
          <w:color w:val="111111"/>
          <w:sz w:val="28"/>
          <w:sz w:val="28"/>
          <w:szCs w:val="28"/>
          <w:rtl w:val="true"/>
          <w:lang w:bidi="fa-IR"/>
        </w:rPr>
        <w:t>مَن ذهب إلی وحدة قاعدة الفراغ والتجاوز یستفاد من کلماتهم أنّها عامّة لجمیع أبواب الفقه حیث یقولون بأنّ مورد قاعدة الفراغ والتجاوز وإن کان الغالب فی الروایات هو باب الطهارة والصلاة إلا أنّ إطلاق تلک الروایات والحکم الکلی المستفاد منها إنّما یشمل الطهارة والصلاة وسائر أبواب الفقه من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فلو شک فی صحة عقدٍ أو إیقاع بعد الفراغ منه حُکم بصحّته، وکذا لو شُک فی صحّة غسل المیت وتکفینه ودفنه حکمنا بصحتها بسبب تلک الإطلاقات والعمومات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وجه لاختصاص هذه القاعدة ببابی الطهارة والصلاة ولهذا یقول صاحب الجواهر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القاعدة محکّمة فی الصلاة وغیرها من الحجّ والعمرة وغیرهما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مبنی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قاعدة التجاوز مختلفة تماماً عن قاعدة الفراغ وأدلّتهما متغایرة فلابدّ من دراسة کلّ من القاعدتین علی نحو الاستقلال لیتضّح لنا هل یستفاد منها العمومیة لجمیع أبواب الفقه أولا؟</w:t>
      </w:r>
    </w:p>
    <w:p>
      <w:pPr>
        <w:pStyle w:val="BookText"/>
        <w:rPr/>
      </w:pPr>
      <w:r>
        <w:rPr>
          <w:rFonts w:ascii="IRNazanin" w:hAnsi="IRNazanin" w:eastAsia="IRNazanin"/>
          <w:color w:val="111111"/>
          <w:sz w:val="28"/>
          <w:sz w:val="28"/>
          <w:szCs w:val="28"/>
          <w:rtl w:val="true"/>
          <w:lang w:bidi="fa-IR"/>
        </w:rPr>
        <w:t>فبالنظر إلی قاعدة الفراغ قامت الشهرة بل نفی الخلاف بل الإجماع علی عدم اختصاصها بباب خاصّ وأنّها تجری فی جمیع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ولإثبات هذا التعمیم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قاعدة الفراغ وردت فیها ثلاثة تعابیر یستفاد منها التعمیم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الأوّل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کلّما شککت فیه مّما قد مضی فأمضه کما هو</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ذکرنا سابقاً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فتکون العبارة عامّة تشمل أیّ عمل من الأعمال مضافاً إلی عدم وجود السؤال فی الروایة عن الصلاة أو عبادة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یورد علی دلالة هذه العبارة علی التعمیم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السؤال عن الصلاة وإن لم یرد فی هذه الروایة إلّا أنّ هناک ثلاث روایات أخری متعلقّة بقاعدة الفراغ وقد ذکر فیها بحث الصلاة بقوله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فامضه ولا تُعد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عدم شمولیة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مرکّب، بل یراد به المرکبّات الاعتباریة الشرعیة المأمور بها المشتغل بها ذمّة المکلّف وهذه لا تتأتی إلّا فی باب العبادات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روایات باب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ولا تعد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یمکنها أن تقیّد موثقة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مثبتتان وتشملان علی حکمین مستقلین فالتعبیر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الروایات الأخری لن یکون صالحاً للقرینیّة، هذا کلّه مضافاً إلی أنّ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باب الصلاة لیس من القیود الدخیلة فی الموضوع بل له عنوان الحکم، والقید إنّما یکون مقیّداً فیما لو کان دخیلًا فی الموضوع فلا یمکن لهذا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یقیّد الروایات العامة، فالإشکال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علی الاستدلال بهذه الروایة هو إنّ فی صدر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شککت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مبهم وکلّما استعمل فی الکلام لفظ مبهم لزم تقدیر کلمة کی یُرفع بها الإبهام فقوله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کلّما شککت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فیحتاج إلی تقدیر شی‌ء، وهذا المقدّر مردّ بین الأقل والأکثر إذ لا نعلم أن ما یجب تقدیره هو خصوص المرکبّات العبادیة أو هو الأعمّ من المرکبات العبادیة وغیر العبادیة؟ وقد ذُکر فی علم الأصول أنّ فی موارد إبهام اللفظ لمردّد بین الأقل والأکثر لا یمکن التمسّک بإطلاق اللفظ واستفادة المعنی الأعم منه لأنّ عدم التقیید من مقدمات الحکمة فی إثبات الإطلاق، والإطلاق المستفاد من مقدّمات الحکمة لا یمکنه أن ینفی القید الذی یدلّ علیه 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مفهوم الإطلاق والعموم فلا یستفاد من حاقّ اللفظ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لا یمکن استفادة المعنی العام والمطلق من لفظ ما الموصول المبهم فلابدّ من تقدیر المقدار اللازم تقدیره وهو المرکبات العبادیة، وبالتالی یجب حمل الروایة علی المرکّبات العبادیة من غیر التعمیم والشمولیة لغیرها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الأوّل عن هذا الإشکال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لا ننکر القاعدة الأصولیة المذکورة فی علم الأصول إلّا أنّنا فی مورد</w:t>
      </w:r>
    </w:p>
    <w:p>
      <w:pPr>
        <w:pStyle w:val="BookText"/>
        <w:rPr/>
      </w:pPr>
      <w:r>
        <w:rPr>
          <w:rFonts w:ascii="IRNazanin" w:hAnsi="IRNazanin" w:eastAsia="IRNazanin"/>
          <w:color w:val="111111"/>
          <w:sz w:val="28"/>
          <w:sz w:val="28"/>
          <w:szCs w:val="28"/>
          <w:rtl w:val="true"/>
          <w:lang w:bidi="fa-IR"/>
        </w:rPr>
        <w:t xml:space="preserve">الروایة لو کنّا نحن وعبارة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شککت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وجود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الإشکال الثانی وارداً 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یفید للمکلّف الملاک ویفهمه بأنّ المراد من هذا المبهم هو الشی‌ء الذی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للإبهام عن ما الموصولة والأصولیون یتّفقون علی أن تعلیق الحکم مشعرٌ بالعلیّة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إبهام مع وجود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المورد من دوران الأمر بین الأقل والأکثر لیُستفاد من تلک القاعدة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الشک من أصله لیس منحصراً فی المرکبّات بل قد یشمل الأمور البسیطة أیضاً مثلًا فی باب الإحرام علی القول بأنّ الإحرام أمرٌ بسیط فإنّ المکلّف لو خرج من المیقات وشکّ فی أنّه هل أحرم علی النحو الصحیح أولا تمسّکنا بقاعدة الفراغ فی الحکم بصحّة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المستفاد من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کلّما مضی محلّه لا ینبغی أن یُشکَّ فی صحّته فلا اختصاص لقاعدة الفراغ بالمرکبات بل تجری فی البسائط أیضاً، فالحاصل أنّ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عامّ یشمل جمیع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التعبیر الثانی فی روایات قاعدة الفراغ الذی یستفاد منه التعمیم هو التعلیل الوارد فی ذیل موثقة بکیر بن أعین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حین یتوضأ أذکر منه حین یشک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بإلغاء الخصوصیة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ملاک</w:t>
      </w:r>
    </w:p>
    <w:p>
      <w:pPr>
        <w:pStyle w:val="BookText"/>
        <w:rPr/>
      </w:pPr>
      <w:r>
        <w:rPr>
          <w:rFonts w:ascii="IRNazanin" w:hAnsi="IRNazanin" w:eastAsia="IRNazanin"/>
          <w:color w:val="111111"/>
          <w:sz w:val="28"/>
          <w:sz w:val="28"/>
          <w:szCs w:val="28"/>
          <w:rtl w:val="true"/>
          <w:lang w:bidi="fa-IR"/>
        </w:rPr>
        <w:t xml:space="preserve">الأذکریة المذکورة فی الروایة ساریاً إلی جمیع موارد الشکّ ولا اختصاص له بمرکّب دون مرکّب آخر، فلو شک المکلّف بعد الصلاة قلنا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حین یصلّی أذکر منه حین یشکّ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شک فی المعاملة بعد الانتهاء منها أو شک فی النکاح بعد الفراغ منه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وقوع البیع أو حین النکاح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إلغاء الخصوصیة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العمل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تکون قاعدة الفراغ عامّة تجری فی جمیع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الوارد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 التعمیم من هذا التعبیر مشروطة بأن یکون هذا التعبیر وارداً علی نحو العلّة لا بعنوان الحکمة، والفرق بین العلّة والحکمة هو أنّ الحکم فی العلّة یدور مدار الموضوع المعنون وجوداً وعدماً ولیس کذلک فی الحکمة فإنّ الحکم متوقّف علیها وجوداً ولیس عدم الحکم متوقفاً علی عدم الحکمة ولو ذُکرتْ بلسان التعلیل فلو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الإسکار هنا وإن ذکر بلسان التعلیل لکنّه لیس بعلّة بدلیل إنّ الخمر حرام وإن لم یتحقّق فیه الإسکار فهو من باب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آخر هو مما ذکره الفقهاء فی لزوم عدة الطلاق من أنّ الحکمة فی اتّخاذ العدّة هی عدم اختلاط المیاه، ومن المعلوم أنّنا لو تیقّنا بعدم اختلاط المیاه کما لو کان الزوجان منفصلین کلّ منهما بعید عن الآخر سنوات عدیدة فإنّ العدّة بعد الطلاق واجبة علی المرأة ومّما یدلّ ذلک علی أنّ عنوان عدم اختلاط المیاه حکمة 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باب الخیارات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ملاک الخیار هو وجود العیب والحکم الوضعی أی الخیار وجواز الفسخ دائر مدار العیب وعدمه فإنّ العیب علّة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فإنّ مجرّد ورود التعبیر لا یمکن أن یکون دلیلًا علی کونه علّة أو حکمة ففی هذه الروایة لا یُحرز من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الأذکریة علّة أو</w:t>
      </w:r>
    </w:p>
    <w:p>
      <w:pPr>
        <w:pStyle w:val="BookText"/>
        <w:rPr/>
      </w:pP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قاعدة عامة نمیّز من خلالها الحکمة عن العلّة بل لابدّ من معرفة ذلک من خلال القرائن الموجودة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إراءة طریقین لتمییز العلّة عن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دوران الأمر بین العلّة والحکمة لابدّ من حمل العنوان علی الحکمة لغلبتها علی العلّة حیث إنّ الغالب فی الأحکام أنّ العنوان فیها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الطریق غیر تام إذ مضافاً إلی عدم صحّة الصغری فیه فإنّ الکبری أی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 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العلّة منحصرة والحکمة غیر منحصرة ففی الصلاة مثلًا هی ذکر الله وهی تنهی عن الفحشاء والمنکر وهی المعراج وهی عمود الدین فإنّ هذه العناوین من باب الحکمة لا من باب العلّة، فلو أتی المکلّف بصلاة لیست مصداقاً لأحد هذه العناوین فإنّ الواجب یؤدّی بهذا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باب الصوم لو صام المکلّف من غیر حصول التقوی له لم یمکن القول بأنّ صومه لم یکن مصداقاً للصوم الواجب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عدم تمامیة هذا الطریق أیضاً إذ قد یکون العنوان حکمة ومع ذلک یکون منحصراً کالخمر الذی لم یرد فی حرمته سوی لأنّه مسکر ومع ذلک فإنّ الإسکار حکمة لا علة، وکذلک العکس صحیح حیث قد یکون العنوان علّة ومع ذلک لا یکون منحصراً فی الفرد الواحد کالخیارات حیث یمکن القول بأنّ خیار العیب له علّتان العیب والضرر، فلا تکون العلّة منحصرة، وعلیه فلا صحة لملاک الانحصار وعدمه فی التفریق بین العلّة والحکمة فلابد لنا من الرجوع إلی القرائن لمعرفة أنّ العنوان المذکور علّة أو حکمة ومتی لم نحرز ذلک من القرائن صار الکلام مجملًا غیر قابل للتعدّی إلی الموارد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فإنّ استفدنا العلّیة من العنوان کان قابلًا للتعمیم والتعدّی إلی سائر الموارد المماثلة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العنوان حکمة، فعلی سبیل المثال فی حرمة الربا لو سلّمنا بأنّ الحرمة ناشئة من کون الربا معنون بعنوان الظلم وکان هذا العنوان علّة جاز لنا أن نعمّم حکم الحرمة حتی فی الروایات الدالة علی جواز التحیّل فی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عنوان الظلم حکمة لم یکن له هذا الأثر، وقد اشتهر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والحکمة لا 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المناقشة فی هذه القاعدة بأنّ الحکمة لم لا تکون معمّمة؟ فلابد من التفریق بین العلّة والحکمة من جهة العدم أی یلزم من عدم العلّة عدم الحکم ولا یلزم من عدم الحکمة عدم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قرینة فی التعبیر الوارد فی موثّقة بکیر بن أعین علی علیة هذا التعبیر مضافاً إلی إمکان دعوی أنّ العلّة فی عدم الاعتناء بالشک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الأذکریة کما سبق آنفاً فی التعبیر الأوّل أو یمکن القول بأنّ کلیهما معاً علةً لا لوحده، وعلیه یمکن أن یکون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حین یتوضأ أذکر منه حین یشکّ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مجاری قاعدة الفراغ علی جمیع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روایات قاعدة الفراغ الذی یستفاد منه تعمیم جریان القاعدة فی جمیع أبواب الفقه هو عموم التعلیل الوارد فی ذیل روایة محمد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حین انصرف أقرب إلی الحقّ منه بعد ذلک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ascii="IRNazanin" w:hAnsi="IRNazanin" w:eastAsia="IRNazanin"/>
          <w:color w:val="111111"/>
          <w:sz w:val="28"/>
          <w:sz w:val="28"/>
          <w:szCs w:val="28"/>
          <w:rtl w:val="true"/>
          <w:lang w:bidi="fa-IR"/>
        </w:rPr>
        <w:t>وهذه العبارة کنایة عن أنّ المکلّف قد أنهی عمله کاملًا ولها عنوان التعلیل فتجری فی جمیع أبواب الفقه من باب أنّ العلّة تعمّم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هذا التعبیر والإشکال علیه جمیع ما سبق فی التعبیر السابق من أنّ</w:t>
      </w:r>
      <w:bookmarkStart w:id="269" w:name="pg2935_29253"/>
    </w:p>
    <w:p>
      <w:pPr>
        <w:pStyle w:val="BookText"/>
        <w:rPr/>
      </w:pPr>
      <w:bookmarkEnd w:id="269"/>
      <w:r>
        <w:rPr>
          <w:rFonts w:ascii="IRNazanin" w:hAnsi="IRNazanin" w:eastAsia="IRNazanin"/>
          <w:color w:val="111111"/>
          <w:sz w:val="28"/>
          <w:sz w:val="28"/>
          <w:szCs w:val="28"/>
          <w:rtl w:val="true"/>
          <w:lang w:bidi="fa-IR"/>
        </w:rPr>
        <w:t>العلیّة التامّة إنّما هی لمضیّ العمل والفراغ منه ولا علیّة تامّة للأذکریة فلا یمکن استفادة العموم من روایة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لمّا کان التعبیر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شککت فیه مّما قد مضی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 عاماً استنتجنا من ذلک أنّ قاعدة الفراغ عامة تجری فی جمیع أبواب الفقه ولیست مختصّة بباب الصّلاة</w:t>
      </w:r>
      <w:r>
        <w:rPr>
          <w:rFonts w:eastAsia="IRNazanin" w:cs="IRNazanin"/>
          <w:color w:val="111111"/>
          <w:sz w:val="28"/>
          <w:szCs w:val="28"/>
          <w:rtl w:val="true"/>
          <w:lang w:bidi="fa-IR"/>
        </w:rPr>
        <w:t>.</w:t>
      </w:r>
    </w:p>
    <w:p>
      <w:pPr>
        <w:pStyle w:val="Heading2"/>
        <w:numPr>
          <w:ilvl w:val="1"/>
          <w:numId w:val="1"/>
        </w:numPr>
        <w:rPr/>
      </w:pPr>
      <w:bookmarkStart w:id="270" w:name="__RefHeading___Toc80854_2749589250"/>
      <w:bookmarkStart w:id="271" w:name="_Toc106"/>
      <w:bookmarkEnd w:id="270"/>
      <w:r>
        <w:rPr>
          <w:rtl w:val="true"/>
        </w:rPr>
        <w:t>دراسة عموم قاعدة التجاوز</w:t>
      </w:r>
      <w:r>
        <w:rPr>
          <w:rtl w:val="true"/>
        </w:rPr>
        <w:t>:</w:t>
      </w:r>
      <w:bookmarkEnd w:id="271"/>
    </w:p>
    <w:p>
      <w:pPr>
        <w:pStyle w:val="BookText"/>
        <w:rPr/>
      </w:pPr>
      <w:r>
        <w:rPr>
          <w:rFonts w:ascii="IRNazanin" w:hAnsi="IRNazanin" w:eastAsia="IRNazanin"/>
          <w:color w:val="111111"/>
          <w:sz w:val="28"/>
          <w:sz w:val="28"/>
          <w:szCs w:val="28"/>
          <w:rtl w:val="true"/>
          <w:lang w:bidi="fa-IR"/>
        </w:rPr>
        <w:t>والمهمّ أن نبحث حول قاعدة التجاوز التی دلّت الأدلّة عندها علی أنّها غیر قاعدة الفراغ وهی تجری فی أثناء العمل هل هی أیضاً عامة تجری فی جمیع أبواب الفقه من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المحقّق النائینی</w:t>
      </w:r>
      <w:r>
        <w:rPr>
          <w:rStyle w:val="FootnoteAnchor"/>
          <w:rtl w:val="true"/>
        </w:rPr>
        <w:footnoteReference w:id="221"/>
      </w:r>
      <w:r>
        <w:rPr>
          <w:rFonts w:ascii="IRNazanin" w:hAnsi="IRNazanin" w:eastAsia="IRNazanin"/>
          <w:color w:val="111111"/>
          <w:sz w:val="28"/>
          <w:sz w:val="28"/>
          <w:szCs w:val="28"/>
          <w:rtl w:val="true"/>
          <w:lang w:bidi="fa-IR"/>
        </w:rPr>
        <w:t>بأنّ قاعدة التجاوز مختصّة بباب الصلاة واستدلّ علی رأیه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أشرنا إلیه فی الأبحاث السابقة من أنّ أکثر روایات قاعدة الفراغ ظاهرة فی الشک فی کلّ العمل والروایات المعدودة المتعلّقة بقاعدة التجاوز حاکمة علی روایات قاعدة الفراغ وألحقت الشک فی الجزء بالشک فی الکلّ وحکمت بوجوب عدم الاعتناء بالشک فی الجزء کما هو الشأن فی الشک فی کلّ العمل بعد الفراغ منه، وعلیه فلو شک فی الجزء السابق بعد الدخول فی الجزء اللاحق لا یعتنی به وإلحاق الشک فی الجزء بالشک فی الکلّ یوجب التوسعة التی لابدّ فیها من الاکتفاء علی ما دلّت علیه الروایات لأنّ الحکومة عنوان تعبّدی لابدّ فیه من</w:t>
      </w:r>
    </w:p>
    <w:p>
      <w:pPr>
        <w:pStyle w:val="BookText"/>
        <w:rPr/>
      </w:pPr>
      <w:r>
        <w:rPr>
          <w:rFonts w:ascii="IRNazanin" w:hAnsi="IRNazanin" w:eastAsia="IRNazanin"/>
          <w:color w:val="111111"/>
          <w:sz w:val="28"/>
          <w:sz w:val="28"/>
          <w:szCs w:val="28"/>
          <w:rtl w:val="true"/>
          <w:lang w:bidi="fa-IR"/>
        </w:rPr>
        <w:t>الاکتفاء علی القدر المتیقّن الذی هو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القاعدة الأولیة فی المرکّبات هی أنّ مجموع العمل المرکب شی‌ء واحد ولا یلاحظ الأجزاء لحاظاً استقلالیاً، فمثلًا أنّ أجزاء الوضوء من حیث المجموع تعتبر عملًا واحداً ولم یلاحظ الشارع کل جزءٍ من أجزائه علی 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والمورد الوحید الذی خرج من هذه القاعدة حیث لاحظ الشارع أجزاء المرکّب مستقلّة هو الصلاة، وعلیه فإنّ قاعدة التجاوز یمکن إجراؤها فی الصلاة فقط أمّا سائر المرکبّات حیث لا لحاظ استقلالی لأجزائها فلا تجری فیها هذه القاعدة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کلا الدلیلین قابلٌ للمناقشة، أمّا الدلیل الأول فقد ذکرنا سابقاً بأنّ فی باب الحکومة یعتبر فی حکومة أحد الدلیلین علی الآخر أن یکون الدلیل الحاکم ناظراً عرفاً إلی الدلیل المحکوم أمّا بتوسعة موضوعه أو بتضییقه مع أنّ روایات قاعدة التجاوز لیست ناظرة عرفاً إلی روایات قاعدة الفراغ وعلیه فلا حکومة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الثانی فنقول فیه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الدلیل علی أنّ الشارع لاحظ الأجزاء فی الصلاة فقط علی نحو الاستقلالیة؟ إنّ الروایات الواردة فی قاعدة التجاوز هی ثلاث روایات یستفاد من جمیعها عموم جریانها فی جمیع أبواب الفقه، وقد استند إلیها القائلون بعموم هذه القاعدة کالإمام الخمینی</w:t>
      </w:r>
      <w:r>
        <w:rPr>
          <w:rStyle w:val="FootnoteAnchor"/>
          <w:rtl w:val="true"/>
        </w:rPr>
        <w:footnoteReference w:id="223"/>
      </w:r>
      <w:r>
        <w:rPr>
          <w:rFonts w:ascii="IRNazanin" w:hAnsi="IRNazanin" w:eastAsia="IRNazanin"/>
          <w:color w:val="111111"/>
          <w:sz w:val="28"/>
          <w:sz w:val="28"/>
          <w:szCs w:val="28"/>
          <w:rtl w:val="true"/>
          <w:lang w:bidi="fa-IR"/>
        </w:rPr>
        <w:t>وصاحب الجواهر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التی یستفاد من إطلاقها العموم حیث جاء فی ذیل الروایة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زرارة إذا خرجت من شی‌ء ثمّ دخلت فی غیره فشکّک لیس بشی‌ء</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ascii="IRNazanin" w:hAnsi="IRNazanin" w:eastAsia="IRNazanin"/>
          <w:color w:val="111111"/>
          <w:sz w:val="28"/>
          <w:sz w:val="28"/>
          <w:szCs w:val="28"/>
          <w:rtl w:val="true"/>
          <w:lang w:bidi="fa-IR"/>
        </w:rPr>
        <w:t xml:space="preserve">فإنّ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 یشمل جمیع المرکبّات من العبادات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بأنّ الإطلاق یتوقف علی تمامیة مقدّمات الحکمة التی من جملتها عدم وجود القدر المتیقّن فی مقام التخاطب حیث لو کان موجوداً بین المتکلّم والمخاطب لم یجز التمسّک بالإطلاق وهذه المقدّمة مفقودة فی المقام حیث إنّ القدر المتیقن موجود فی الروایة وهو سؤال زرارة المتعلّق بالصلاة فیکون هذا السؤال قرینة علی أنّ المراد بلفظ شی‌ء فی ذیل الروایة هو أجزاء الصلاة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أجزاء الصلاة لاشی‌ء من أجزاء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الإشکال مبنائی أی أنّه یتمّ علی قول من یری أنّ وجود القدر المتیقّن فی مقام التخاطب مضرٌّ بالإطلاق لکنّ کثیراً من المحقّقین لم یرتضوا هذا المبنی ولا یرون أنّ القدر المتیقّن فی مقام التخاطب مخلّ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سؤال زرارة وإن کان عن الصلاة لکنّه لیس بعنوان القدر المتیقّن فی مقام التخاطب، لأنّ القدر المتیقّن فی مقام التخاطب أمر یحتاج إلی طرفین، مثلًا لو تحدّث اثنان عن الطعام ثم قال أحدهما للآخر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الطعام ولا قدر متیقّن، کذلک فی الروایة فإنّ اختصاص سؤال زرارة بباب الصلاة محلّ تأمّل وتردید، إذ لو استمر الکلام لاحتمل أن تتکرّر أسئلة زرارة حول سائر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إسماعیل بن جابر والعموم یستفاد من ذیلها الذی جاء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شکّ فیه مّما قد جاوزه ودخل فی غیره فلیمض علیه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272" w:name="pg2935_29256"/>
    </w:p>
    <w:p>
      <w:pPr>
        <w:pStyle w:val="BookText"/>
        <w:rPr/>
      </w:pPr>
      <w:bookmarkEnd w:id="272"/>
      <w:r>
        <w:rPr>
          <w:rFonts w:ascii="IRNazanin" w:hAnsi="IRNazanin" w:eastAsia="IRNazanin"/>
          <w:color w:val="111111"/>
          <w:sz w:val="28"/>
          <w:sz w:val="28"/>
          <w:szCs w:val="28"/>
          <w:rtl w:val="true"/>
          <w:lang w:bidi="fa-IR"/>
        </w:rPr>
        <w:t xml:space="preserve">تقریب الاستدلال هو أنّ هذه العبارة تضمّنت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أدوات العموم وهی تدلّ علی العموم من دون الحاجة إلی الإطلاق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التی یستفاد منها عموم جریان قاعدة التجاوز فی جمیع أبواب الفقه موثقة ابن أبی یعفور وقد جاء فی ذیلها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 مفصّلًا فیما سبق حول هذه الروایة وقلنا بأنّ هذه العبارة إن تعلّقت بالشک حین العمل کانت الروایة عامة غیر مختصة بباب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قاعدة التجاوز کقاعدة الفراغ لیست مختصة بباب الصلاة والطهارة بل تجری فی جمیع أبواب الفقه من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وقع النزاع فی کلمات الفقهاء فی أنّ قاعدة التجاوز هل تجری فی الطهارات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والغسل والتیمّم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مثلًا لو شک المکلّف حین غسل یده الیمنی فی أنّه هل غسل وجهه أولا؟ فهل تجری قاعدة التجاوز ویحکم بصحّة الوضوء؟ هذا السؤال ما سنجیب علیه فیما یلی من البحث</w:t>
      </w:r>
      <w:r>
        <w:rPr>
          <w:rFonts w:eastAsia="IRNazanin" w:cs="IRNazanin"/>
          <w:color w:val="111111"/>
          <w:sz w:val="28"/>
          <w:szCs w:val="28"/>
          <w:rtl w:val="true"/>
          <w:lang w:bidi="fa-IR"/>
        </w:rPr>
        <w:t>.</w:t>
      </w:r>
    </w:p>
    <w:p>
      <w:pPr>
        <w:pStyle w:val="Heading2"/>
        <w:numPr>
          <w:ilvl w:val="1"/>
          <w:numId w:val="1"/>
        </w:numPr>
        <w:rPr/>
      </w:pPr>
      <w:bookmarkStart w:id="273" w:name="__RefHeading___Toc80856_2749589250"/>
      <w:bookmarkStart w:id="274" w:name="_Toc107"/>
      <w:bookmarkEnd w:id="273"/>
      <w:r>
        <w:rPr>
          <w:rtl w:val="true"/>
        </w:rPr>
        <w:t>البحث فی جریان قاعدة التجاوز فی الطهارات الثلاث</w:t>
      </w:r>
      <w:r>
        <w:rPr>
          <w:rtl w:val="true"/>
        </w:rPr>
        <w:t>:</w:t>
      </w:r>
      <w:bookmarkEnd w:id="27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الإجماع علی عدم جریان قاعدة التجاوز فی باب الوضوء وقد ألحق الفقهاء به الغسل والتیمّم ولا مجال لهذا البحث من أساسه علی مبنی بعض الأعاظم کالمحقق النائینی الذی ذهب إلی اختصاص قاعدة التجاوز بباب الصلاة حیث یکون خروج بحث الوضوء والغسل والتیمّم من جریان قاعدة التجاوز من</w:t>
      </w:r>
      <w:bookmarkStart w:id="275" w:name="pg2935_29257"/>
    </w:p>
    <w:p>
      <w:pPr>
        <w:pStyle w:val="BookText"/>
        <w:rPr/>
      </w:pPr>
      <w:bookmarkEnd w:id="275"/>
      <w:r>
        <w:rPr>
          <w:rFonts w:ascii="Amiri" w:hAnsi="Amiri" w:eastAsia="Amiri" w:cs="Amiri"/>
          <w:color w:val="111111"/>
          <w:sz w:val="28"/>
          <w:sz w:val="28"/>
          <w:szCs w:val="28"/>
          <w:rtl w:val="true"/>
          <w:lang w:bidi="ar-SA"/>
        </w:rPr>
        <w:t>باب التخصّص فلا تشملها هذه القاعدة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مذهب القائلین بعموم جریان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ثبت ذلک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خروج هذه الأبواب الثلاثة من جریان قاعدة التجاوز من باب التخصیص فالأولی أن نبحث کلًا من الوضوء والغسل والتیمم علی نحو الاستقلال لتتّضح لنا المسألة بوضوح أکثر</w:t>
      </w:r>
      <w:r>
        <w:rPr>
          <w:rFonts w:eastAsia="IRNazanin" w:cs="IRNazanin"/>
          <w:color w:val="111111"/>
          <w:sz w:val="28"/>
          <w:szCs w:val="28"/>
          <w:rtl w:val="true"/>
          <w:lang w:bidi="fa-IR"/>
        </w:rPr>
        <w:t>:</w:t>
      </w:r>
    </w:p>
    <w:p>
      <w:pPr>
        <w:pStyle w:val="Heading2"/>
        <w:numPr>
          <w:ilvl w:val="1"/>
          <w:numId w:val="1"/>
        </w:numPr>
        <w:rPr/>
      </w:pPr>
      <w:bookmarkStart w:id="276" w:name="__RefHeading___Toc80858_2749589250"/>
      <w:bookmarkStart w:id="277" w:name="_Toc108"/>
      <w:bookmarkEnd w:id="276"/>
      <w:r>
        <w:rPr>
          <w:rtl w:val="true"/>
        </w:rPr>
        <w:t>عدم جریان قاعدة التجاوز فی الوضوء</w:t>
      </w:r>
      <w:r>
        <w:rPr>
          <w:rtl w:val="true"/>
        </w:rPr>
        <w:t>:</w:t>
      </w:r>
      <w:bookmarkEnd w:id="277"/>
    </w:p>
    <w:p>
      <w:pPr>
        <w:pStyle w:val="Heading3"/>
        <w:numPr>
          <w:ilvl w:val="2"/>
          <w:numId w:val="1"/>
        </w:numPr>
        <w:rPr/>
      </w:pPr>
      <w:bookmarkStart w:id="278" w:name="__RefHeading___Toc80860_2749589250"/>
      <w:bookmarkStart w:id="279" w:name="_Toc109"/>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ذُکر فی الکتب الفقهیة وکلمات الفقهاء ثلاثة أدلّة استدلّوا بها علی خروج الوضوء من قاعدة التجاوز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الفقهاء أنّ الإجماع قائم علی أنّ قاعدة التجاوز غیر جاریة فی الوضوء</w:t>
      </w:r>
      <w:r>
        <w:rPr>
          <w:rStyle w:val="FootnoteAnchor"/>
          <w:rtl w:val="true"/>
        </w:rPr>
        <w:footnoteReference w:id="229"/>
      </w:r>
      <w:r>
        <w:rPr>
          <w:rFonts w:ascii="IRNazanin" w:hAnsi="IRNazanin" w:eastAsia="IRNazanin"/>
          <w:color w:val="111111"/>
          <w:sz w:val="28"/>
          <w:sz w:val="28"/>
          <w:szCs w:val="28"/>
          <w:rtl w:val="true"/>
          <w:lang w:bidi="fa-IR"/>
        </w:rPr>
        <w:t>ومن هنا أفتوا بوجوب إعادة غسل الوجه فیما لو شک المکلّف حین غسل الیدین فی أنّه هل غسل وجهه أولا، وعلیه لابدّ من إعادة الوضوء</w:t>
      </w:r>
      <w:r>
        <w:rPr>
          <w:rStyle w:val="FootnoteAnchor"/>
          <w:rtl w:val="true"/>
        </w:rPr>
        <w:footnoteReference w:id="230"/>
      </w:r>
      <w:r>
        <w:rPr>
          <w:rFonts w:ascii="IRNazanin" w:hAnsi="IRNazanin" w:eastAsia="IRNazanin"/>
          <w:color w:val="111111"/>
          <w:sz w:val="28"/>
          <w:sz w:val="28"/>
          <w:szCs w:val="28"/>
          <w:rtl w:val="true"/>
          <w:lang w:bidi="fa-IR"/>
        </w:rPr>
        <w:t>وهذا من المواضع التی نُقل فیها الإجماع علی نحو الاستفاضة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مضافاً إلی الإجماع بعدّة روایات فی هذا المجال وها نحن نبدأ بدراستها وتحلیلها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کنت قاعداً علی وضوئک فلم تدر أغسلت ذراعیک أم لا، فأعدّ علیهما وعلی جمیع ما شککت فیه أنّک لم تغسله تمسحه، ممّا سمّی الله ما دمت فی حال الوضوء، فإذا قمت عن الوضوء وفرغت منه، وقد صرت فی حال أخری فی الصلاة أو فی غیرها فشککت فی بعض ما سمّی الله مما أوجب الله علیک فیه وضوئه، لا شی‌ء علیک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 إلی صدر هذه الروایة لا تجری قاعدة التجاوز فی الوضوء وبالنظر إلی ذیلها تجری قاعدة الفراغ فی الوضوء، وعلیه یمکن تخصیص العمومات التی مفادها جریان قاعدة التجاوز فی جمیع أبواب الفقه بواسطة صدر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یدّعی هنا بأنّ الإجماع المدّعی من قبل المجمعین قد یکون مستنداً إلی هذه الصحیحة وبالتالی یکون الإجماع مدرکیاً فلا حجیّة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أبی یعفور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أنّ مرجع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أن یکون مرجعه الوضوء، والآخر أن یکون الضمیر راجعاً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بهذه الروایة علی عدم جریان قاعدة التجاوز فی الوضوء إنّما یتمّ فیما لو رجع الضمیر إلی الوضوء حیث یکون مفهوم الحدیث علی هذا الاحتمال أنّه إن لم تدخل فی غیر الوضوء کان شکّک معتبراً لابدّ من 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عاد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مفاد الحدیث جریان قاعدة التجاوز فی الوضوء أیضاً وعلیه تتعارض موثقة ابن أبی یعفور مع صحیحة زرارة فتتساقطان ثمّ یجب الرجوع إلی عمومات روایات التجاوز الحاکمة بجریان قاعدة التجاوز فی الوضوء أیضاً، ومن هنا فلابدّ من إیجاد حلٍّ لهذا التعارض، فقد ذهب الشیخ الأعظم إلی طریق لحلّ هذا التعارض سنذکره فی حدیثنا تحت عنوان 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أفعال الوضوء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سلک الشیخ الأنصاری لإخراج أفعال الوضوء من مفاد قاعدة التجاوز ولحلّ التعارض بین موثقة ابن أبی یعفور وصحیحة زرارة مسلکاً آخر مفاده أنّ الوضوء بجمیع أجزاءه من المسحتین والغسلتین إنّما هو فعل واحد فی نظر الشارع لأنّ مسبّبه وأثره واحد وهو الطهارة، وعلیه فلیست أجزاء الوضوء عند الشارع کأجزاء الصلاة التی لها لحاظات استقلالیة فلم یلاحظ أجزاء الوضوء علی أنّها أفعال مستقلّة کأجزاء الصلاة حتّی یُتصوّر لکلّ واحد منها محلّ خاص بحیث یکمن تصوّر التجاوز منه کما یتصور مجموع القراءة فی الصلاة فعلًا واحداً لا أنّ کلّ أیة تعتبر جزءاً مستقلًا کما سنتحدّث عن ذلک فیما سیأتی تحت عنوان جزء الجزء، وهل تجری قاعدة التجاوز فی جزء الجزء أولا؟ فقد ذهب المشهور إلی عدم الجریان ومن هنا یمکن القول بانّ الشارع المقدّس کما اعتبر مجموع القراءة جزءاً واحداً کذلک جعل مجموع أفعال الوضوء جزءاً واحداً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فطالما لم ینته المکلّف من الوضوء لم یصدق فی حقّه التجاوز عن المحل فلا تعارض هنا بین الروایتین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280" w:name="pg2935_29260"/>
    </w:p>
    <w:p>
      <w:pPr>
        <w:pStyle w:val="Heading3"/>
        <w:numPr>
          <w:ilvl w:val="2"/>
          <w:numId w:val="1"/>
        </w:numPr>
        <w:rPr/>
      </w:pPr>
      <w:bookmarkStart w:id="281" w:name="__RefHeading___Toc80862_2749589250"/>
      <w:bookmarkStart w:id="282" w:name="_Toc110"/>
      <w:bookmarkEnd w:id="280"/>
      <w:bookmarkEnd w:id="281"/>
      <w:r>
        <w:rPr>
          <w:rtl w:val="true"/>
        </w:rPr>
        <w:t>إشکالات المحقق العراقی علی مسلک الشیخ الأنصاری</w:t>
      </w:r>
      <w:r>
        <w:rPr>
          <w:rtl w:val="true"/>
        </w:rPr>
        <w:t>:</w:t>
      </w:r>
      <w:bookmarkEnd w:id="282"/>
    </w:p>
    <w:p>
      <w:pPr>
        <w:pStyle w:val="BookText"/>
        <w:rPr/>
      </w:pPr>
      <w:r>
        <w:rPr>
          <w:rFonts w:ascii="IRNazanin" w:hAnsi="IRNazanin" w:eastAsia="IRNazanin"/>
          <w:color w:val="111111"/>
          <w:sz w:val="28"/>
          <w:sz w:val="28"/>
          <w:szCs w:val="28"/>
          <w:rtl w:val="true"/>
          <w:lang w:bidi="fa-IR"/>
        </w:rPr>
        <w:t>أورد المحقق العراقی علی کلام الشیخ الانصاری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الشیخ بأنّ الشارع قد لاحظ الوضوء بمنزلة شی‌ء واحد لا ینسجم مع ظاهر الموثقة حیث جاء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شککت فی شی‌ءٍ من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فیها من تبعیضیّةً لبیان أجزاء الوضوء فیکون الشارع هنا قد لاحظ أجزاء الوضوء کلحاظ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العراقی هو إنّ استدلال الشیخ الأعظم بوحدة المسبب وهو الطهارة علی وحدة الوضوء غیر تام، لأنّ وحدة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دلیلًا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وحدة السبب أبداً وإلّا لقلنا بذلک فی کثیر من العبادات کالصلاة والحجّ لوحدة المسبّب فی الصلاة وهو النهی عن الفحشاء والمنکر والتقرب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مسبّب الحج کذلک واحد وهو کونه ذکر الله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أیّد المحقق العراقی بعض تلامذته کالمحقق البجنوردی</w:t>
      </w:r>
      <w:r>
        <w:rPr>
          <w:rStyle w:val="FootnoteAnchor"/>
          <w:rtl w:val="true"/>
        </w:rPr>
        <w:footnoteReference w:id="235"/>
      </w:r>
      <w:r>
        <w:rPr>
          <w:rFonts w:ascii="Amiri" w:hAnsi="Amiri" w:eastAsia="Amiri" w:cs="Amiri"/>
          <w:color w:val="111111"/>
          <w:sz w:val="28"/>
          <w:sz w:val="28"/>
          <w:szCs w:val="28"/>
          <w:rtl w:val="true"/>
          <w:lang w:bidi="ar-SA"/>
        </w:rPr>
        <w:t>حیث أقرّ</w:t>
      </w:r>
      <w:bookmarkStart w:id="283" w:name="pg2935_29261"/>
    </w:p>
    <w:p>
      <w:pPr>
        <w:pStyle w:val="BookText"/>
        <w:rPr/>
      </w:pPr>
      <w:bookmarkEnd w:id="283"/>
      <w:r>
        <w:rPr>
          <w:rFonts w:ascii="IRNazanin" w:hAnsi="IRNazanin" w:eastAsia="IRNazanin"/>
          <w:color w:val="111111"/>
          <w:sz w:val="28"/>
          <w:sz w:val="28"/>
          <w:szCs w:val="28"/>
          <w:rtl w:val="true"/>
          <w:lang w:bidi="fa-IR"/>
        </w:rPr>
        <w:t>بتمامیة هذین الإشکالین</w:t>
      </w:r>
      <w:r>
        <w:rPr>
          <w:rFonts w:eastAsia="IRNazanin" w:cs="IRNazanin"/>
          <w:color w:val="111111"/>
          <w:sz w:val="28"/>
          <w:szCs w:val="28"/>
          <w:rtl w:val="true"/>
          <w:lang w:bidi="fa-IR"/>
        </w:rPr>
        <w:t>.</w:t>
      </w:r>
    </w:p>
    <w:p>
      <w:pPr>
        <w:pStyle w:val="Heading3"/>
        <w:numPr>
          <w:ilvl w:val="2"/>
          <w:numId w:val="1"/>
        </w:numPr>
        <w:rPr/>
      </w:pPr>
      <w:bookmarkStart w:id="284" w:name="__RefHeading___Toc80864_2749589250"/>
      <w:bookmarkStart w:id="285" w:name="_Toc111"/>
      <w:bookmarkEnd w:id="284"/>
      <w:r>
        <w:rPr>
          <w:rtl w:val="true"/>
        </w:rPr>
        <w:t>إشکالات نظریة المحقق العراقی</w:t>
      </w:r>
      <w:r>
        <w:rPr>
          <w:rtl w:val="true"/>
        </w:rPr>
        <w:t>:</w:t>
      </w:r>
      <w:bookmarkEnd w:id="285"/>
    </w:p>
    <w:p>
      <w:pPr>
        <w:pStyle w:val="BookText"/>
        <w:rPr/>
      </w:pPr>
      <w:r>
        <w:rPr>
          <w:rFonts w:ascii="IRNazanin" w:hAnsi="IRNazanin" w:eastAsia="IRNazanin"/>
          <w:color w:val="111111"/>
          <w:sz w:val="28"/>
          <w:sz w:val="28"/>
          <w:szCs w:val="28"/>
          <w:rtl w:val="true"/>
          <w:lang w:bidi="fa-IR"/>
        </w:rPr>
        <w:t>أجاب بعض الأعاظم</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وأمّا الثانی فلأنّ الأثر التی یترتّب علی العمل تارةً یکون تکوینیاً وأخری یکون جعلیاً والآخر المترتّب علی الوضوء وأخویه أثر شرعی نسبته إلی ذیه نسبة المسبّب إلی السبب فملاکیة وحدة السبب لاعتبار وحدة الوضوء إنّما تقتضی اطراد ذلک فی کل أمر یترتب علیه أثر نسبته إلیه نسبة المسبّب إلی السبب دون کلّ أمر یترتب علیه أثر ما، وهذا إنّما یکون فی العقود لأنها سبب فی ترتب آثار علیها أمّا الصلاة ونحوها من العبادات فآثارها تکوینیة لا جعلیة فلا تصلح مادّة النقض علی الاطراد لعدم اعتبار الوحدة فیها بل النقض إنّما یتوجّه بباب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مقام الردّ علی المحقق العراقی أمّا عن إشکاله الأوّل فبأنّ مراد الشیخ الأنصاری هو أنّ الشارع قد لاحظ للوضوء المرکّب من الأجزاء المتعدّدة وحدة اعتباریة وهی فرع لکون العمل فی الظاهر مرکبّاً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ینفی الترکیب للوضوء فلا تنافی بین کلام الشیخ الأنصاری وبین ما قاله العراقی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مفادها أنّ الوضوء ذو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الجواب فی غیر محلّه إذ لیس البحث فی أنّ الوضوء فی الخارج عمل مرکب أولا؟ فإنّ الشیخ الأنصاری یری أنّ الشارع یلاحظ مجموع الوضوء جزءاً واحداً ویعتبر له حکماً واحداً وعلیه یکون إشکال المحقق العراقی فی محلّه حیث إنّ الشارع بیّن فی صدر الموثّقة الحکم للجزء المشکوک من الوضوء ممّا یدلّ بوضوح علی أنّ الشارع قد لاحظ أجزاء الوضوء لحاظاً استقلالیاً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جوابهم عن الإشکال الثانی للمحقق العراقی فهو أنّ الأثر فی باب الوضوء یختلف عن أثر الصلاة کلّیّاً ذلک أنّ هناک قسمین من الآثار أحدهما هو الأثر</w:t>
      </w:r>
      <w:bookmarkStart w:id="286" w:name="pg2935_29262"/>
    </w:p>
    <w:p>
      <w:pPr>
        <w:pStyle w:val="BookText"/>
        <w:rPr/>
      </w:pPr>
      <w:bookmarkEnd w:id="286"/>
      <w:r>
        <w:rPr>
          <w:rFonts w:ascii="IRNazanin" w:hAnsi="IRNazanin" w:eastAsia="IRNazanin"/>
          <w:color w:val="111111"/>
          <w:sz w:val="28"/>
          <w:sz w:val="28"/>
          <w:szCs w:val="28"/>
          <w:rtl w:val="true"/>
          <w:lang w:bidi="fa-IR"/>
        </w:rPr>
        <w:t>الشرعی الذی یُعبّر عنه بالأثر الجعلی، والآخر هو الأثر التکوینی وما هو موجود فی باب الوضوء هو الأثر الشرعی والنسبة بین هذا الأثر ومؤثره نسبة المسبّب إلی السبب بمعنی أنّ الشارع قد جعل أفعال الوضوء من الغسلتین والمسحتین سبباً لأثر یعبّر عنه بالطهارة أمّا الأثر الموجود فی الصلاة فهو أثر تکوینی کالنهی عن الفحشاء والمنکر والتقریب إلی الله فالأثر أن مختلفان ولا یمکن قیاس أثر الوضوء علی آثار سائر العبادات التی منها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فی هذا الجواب تأمّلًا واضحاً وتکلّفاً ظاهراً، أولًا لعدم وجود قرینة فی کلمات الشیخ الأنصاری تدلّ علی أنّ المراد من الأثر هو خصوص الأثر الشرعی الوضعی دون الأثر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لو سلّمنا وجود القرینة علی ذلک وأنّ الشیخ قد لاحظ الفرق إلّا أنّ هناک إشکالًا آخر یرد علی هذا المجیب وهو أنّه کیف فرّق بین الأثر الشرعی والأثر التکوینی؟ فإنّ الأثر التکوینی أیضاً بمقتضی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إلّا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یکون فیه المسبّب الواحد کاشفاً عن وحدة السبب فلا وجه للفرق بین الأثر الشرعی والأثر التکوینی بأیّ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فالمحقق العراقی إنّما أورد علی الشیخ الأنصاری بانّ ما استدلّ به لیس فی الواقع دلیلًا وبالتالی یبقی کلام الشیخ ادّعاءً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إشکالی المحقق العراقی علی کلام الشیخ الأنصاری لا غبار علیهما، وبالتالی لا یکون دلیل الشیخ الأنصاری تامّاً، ومن هنا لابدّ من التعرّض فیما یأتی للوجوه الأخری للجمع بین الصحیحة والموثقة</w:t>
      </w:r>
      <w:r>
        <w:rPr>
          <w:rFonts w:eastAsia="IRNazanin" w:cs="IRNazanin"/>
          <w:color w:val="111111"/>
          <w:sz w:val="28"/>
          <w:szCs w:val="28"/>
          <w:rtl w:val="true"/>
          <w:lang w:bidi="fa-IR"/>
        </w:rPr>
        <w:t>.</w:t>
      </w:r>
    </w:p>
    <w:p>
      <w:pPr>
        <w:pStyle w:val="Heading2"/>
        <w:numPr>
          <w:ilvl w:val="1"/>
          <w:numId w:val="1"/>
        </w:numPr>
        <w:rPr/>
      </w:pPr>
      <w:bookmarkStart w:id="287" w:name="__RefHeading___Toc80866_2749589250"/>
      <w:bookmarkStart w:id="288" w:name="_Toc112"/>
      <w:bookmarkEnd w:id="287"/>
      <w:r>
        <w:rPr>
          <w:rtl w:val="true"/>
        </w:rPr>
        <w:t>دراسة الوجوه الأخری للجمع بین الصحیحة والموثّقة</w:t>
      </w:r>
      <w:r>
        <w:rPr>
          <w:rtl w:val="true"/>
        </w:rPr>
        <w:t>:</w:t>
      </w:r>
      <w:bookmarkEnd w:id="2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للجمع بین صحیحة زرارة وموثقة ابن أبی یعفور هو أنّ الجمع الدلالی بینهما غیر متیّسر فیما نحن فیه ومن هنا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الموثقة مخالفة للعامّة بینما الروایة الصحیحة موافقة لهم فیکون صدورها علی وجه التقیّة فلابدّ من الأخذ بالموثّقة وطرح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لا صحّة له إذ لو کانت العامة متّفقةً علی القول الواحد لصحّ هذا الوجه إلّا أنّ العامة مختلفة علی أقوال متعدّدة فلا یجوز علی هذا حملُ الصحیحة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للجمع علی ما قیل هو أنّ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صحیحة زرارة لابدّ من حمله علی الاستحباب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ودخلت فی غیره فلیس شکّک بشی‌ءٍ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والإشکال الوارد علی هذا الوجه هو أنّ الحمل علی الاستحباب إنّما یتم فیما لو أحرزنا أنّ الحکم من الأحکام التکلیفیّة، أمّا لو احتملنا کون الحکم إرشادیاً فلا مجال للحمل علی الاستحباب فإنّ الحکم الموجود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بأنّ المکلّف طالماً لم یفرغ من الوضوء بل هو منشغل به وجب علیه الاعتناء بشکّه ولابدّ من إعادة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إلی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من أنّ موثقة ابن أبی یعفور تسقط عن الحجّیة والاعتبار بسبب وجود الإجماع المستفیض فی هذه المسألة فلابدّ من الأخذ بالحکم الوارد فی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إعراض المشهور عن العمل بمضمون الموثّقة یوجب کسرها وتضعیفها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هذا الوجه لابدّ من القول بأنّ المسألة مبنائیة حیث إنّ مبنی المشهور أنّ إعراض المشهور یؤدّی إلی ضعف الروایة، هذا مضافاً إلی أنّ الإجماع هنا یحتمل استناده إلی صحیحة زرارة فیکون إجماعاً مدرکیاً کما</w:t>
      </w:r>
    </w:p>
    <w:p>
      <w:pPr>
        <w:pStyle w:val="BookText"/>
        <w:rPr/>
      </w:pPr>
      <w:r>
        <w:rPr>
          <w:rFonts w:ascii="IRNazanin" w:hAnsi="IRNazanin" w:eastAsia="IRNazanin"/>
          <w:color w:val="111111"/>
          <w:sz w:val="28"/>
          <w:sz w:val="28"/>
          <w:szCs w:val="28"/>
          <w:rtl w:val="true"/>
          <w:lang w:bidi="fa-IR"/>
        </w:rPr>
        <w:t>ذکرنا ذلک فیما سبق، ومن المعلوم أنّ الإجماع المدرکی والشهرة المذکورة لا یقدحان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إنّ الشهرة إنمّا تکون قادحة فیما لو لم یُعلَمْ مستند المشهور والمجمعین أمّا لو أحرزنا مستندهم فلا یکون الإجماع هو الأساس والعمدة بل یرتکز البحث حینئذٍ علی صحة مدرک عمل المشهور ومستنده وعلی هذا فلا صحة لهذا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 للجمع ما ذکره الشیخ الأعظم</w:t>
      </w:r>
      <w:r>
        <w:rPr>
          <w:rStyle w:val="FootnoteAnchor"/>
          <w:rtl w:val="true"/>
        </w:rPr>
        <w:footnoteReference w:id="237"/>
      </w:r>
      <w:r>
        <w:rPr>
          <w:rFonts w:ascii="IRNazanin" w:hAnsi="IRNazanin" w:eastAsia="IRNazanin"/>
          <w:color w:val="111111"/>
          <w:sz w:val="28"/>
          <w:sz w:val="28"/>
          <w:szCs w:val="28"/>
          <w:rtl w:val="true"/>
          <w:lang w:bidi="fa-IR"/>
        </w:rPr>
        <w:t>وأقرّه المحقق العراقی</w:t>
      </w:r>
      <w:r>
        <w:rPr>
          <w:rStyle w:val="FootnoteAnchor"/>
          <w:rtl w:val="true"/>
        </w:rPr>
        <w:footnoteReference w:id="238"/>
      </w:r>
      <w:r>
        <w:rPr>
          <w:rFonts w:ascii="IRNazanin" w:hAnsi="IRNazanin" w:eastAsia="IRNazanin"/>
          <w:color w:val="111111"/>
          <w:sz w:val="28"/>
          <w:sz w:val="28"/>
          <w:szCs w:val="28"/>
          <w:rtl w:val="true"/>
          <w:lang w:bidi="fa-IR"/>
        </w:rPr>
        <w:t xml:space="preserve">وهو أن نلتزم بإرجاع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الموثقة إلی الوضوء لا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أنّ الأقرب یمنع الأبعد، وعلیه فیکون مفاد الروایة أنّک لو لم تدخل فی غیر الوضوء کان شکّک معتبراً ویجب 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اختلاف بسیط بین الشیخ والمحقق العراقی فی المقام وهو أنّ الشیخ یری أنّ المراد بالتجاوز فی الوضوء هو التجاوز عن جمیع أفعال الوضوء، وذلک بقرینة أنّ مجموع الوضوء عنده یعتبر عملًا واحداً ولم یلاحظ فیه الأجزاء علی نحو الاستقلالیة، أمّا العراقی فإنه یتمسّک علی کلامه بقرینة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لکلام الشیخ الأنصاری والمحقق العراقی یمکن أن یجاب عن إشکالات عدیدة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أن یُقیّد المصداق مع إبقاء الکبری الواردة فی الروایة علی إطلاقها، فیما لو ذُکر المصداق لکبری کلّیّة فإنّ المصداق المذکور فی هذه الروایة هو التجاوز عن الوضوء المقیّد بالتجاوز الخاصّ وهو التجاوز عن</w:t>
      </w:r>
    </w:p>
    <w:p>
      <w:pPr>
        <w:pStyle w:val="BookText"/>
        <w:rPr/>
      </w:pPr>
      <w:r>
        <w:rPr>
          <w:rFonts w:ascii="IRNazanin" w:hAnsi="IRNazanin" w:eastAsia="IRNazanin"/>
          <w:color w:val="111111"/>
          <w:sz w:val="28"/>
          <w:sz w:val="28"/>
          <w:szCs w:val="28"/>
          <w:rtl w:val="true"/>
          <w:lang w:bidi="fa-IR"/>
        </w:rPr>
        <w:t>مجموع أفعال الوضوء مع أنّ الکبری تبیّن مطلق التجاوز الشامل للتجاوز عن الجزء والتجاوز عن الکلّ؟</w:t>
      </w:r>
    </w:p>
    <w:p>
      <w:pPr>
        <w:pStyle w:val="BookText"/>
        <w:rPr/>
      </w:pPr>
      <w:r>
        <w:rPr>
          <w:rFonts w:ascii="Amiri" w:hAnsi="Amiri" w:eastAsia="Amiri" w:cs="Amiri"/>
          <w:color w:val="111111"/>
          <w:sz w:val="28"/>
          <w:sz w:val="28"/>
          <w:szCs w:val="28"/>
          <w:rtl w:val="true"/>
          <w:lang w:bidi="ar-SA"/>
        </w:rPr>
        <w:t xml:space="preserve">أجاب المحقق العراقی عن هذا الإشکال بأنّه لا مانع من تقیید المصداق مع إبقاء الکبری علی إطلاقها وقد وردت أمثال ذلک فی موارد من الفقه منها آیة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بِنَبَأٍ فَتَبَیَّنُوا</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حیث یدلّ مفهومها علی عدم وجوب التبیّن فیما لو جاء العادل بنبأ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هذا المفهوم الذی هو کبری کلّیة أنّ خبر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إنّ مورد الآیة ومصداقها هو الإخبار فی الموضوعات الخارجیة لا فی الأحکام مع أنّ الثابت من خلال الأدلّة التی بین أیدینا عدم کفایة خبر العادل الواحد فی الموضوعات الخارجیة بل لابدّ من وجود شاهدین 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یجب تقیید مورد الآیة فی الموضوعات الخارجیة بانضمام عادل آخر لیتمّ قبول خبر العادل مع أنّ الکبری باقیة علی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الحال فیما نحن فیه فإنّ الکبری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الشکّ فی شی‌ءٍ لم تجزه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باقیة علی إطلاقها بینما أنّ موردها وهو الوضوء قد قُیّد بمجموع الوضوء، وبهذا البیان ینحل إشکال خروج المورد من الکبری الکلّیّة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ینحلّ إشکال التهافت والتعارض بین موثقة ابن أبی یعفور وصحیحة زرارة، وقد سبق بیان ذلک آنفاً</w:t>
      </w:r>
      <w:r>
        <w:rPr>
          <w:rFonts w:eastAsia="IRNazanin" w:cs="IRNazanin"/>
          <w:color w:val="111111"/>
          <w:sz w:val="28"/>
          <w:szCs w:val="28"/>
          <w:rtl w:val="true"/>
          <w:lang w:bidi="fa-IR"/>
        </w:rPr>
        <w:t>.</w:t>
      </w:r>
      <w:bookmarkStart w:id="289" w:name="pg2935_29266"/>
    </w:p>
    <w:p>
      <w:pPr>
        <w:pStyle w:val="BookText"/>
        <w:rPr/>
      </w:pPr>
      <w:bookmarkEnd w:id="289"/>
      <w:r>
        <w:rPr>
          <w:rFonts w:ascii="IRNazanin" w:hAnsi="IRNazanin" w:eastAsia="IRNazanin"/>
          <w:color w:val="111111"/>
          <w:sz w:val="28"/>
          <w:sz w:val="28"/>
          <w:szCs w:val="28"/>
          <w:rtl w:val="true"/>
          <w:lang w:bidi="fa-IR"/>
        </w:rPr>
        <w:t>وبهذا الجواب ینحلّ عند المحقق العراقی إشکال ثالث أیضاً وهو أنّ بین منطوق صدر الموثّقة ومفهوم ذیلها تعارضاً حیث یدلّ منطوق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وقد دخلت فی غیره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الاعتناء بالشک فیما لو خرج المکلّف من جزء ودخل فی جزء آخر وشک فی صحّة ذلک الجزء السابق قبل الفراغ من العمل کلّه، مع أنّ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الشکّ فی شی‌ءٍ لم تجزه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الاعتناء بالشک فیما لو لم یفرغ المکلّف من العمل، وعلیه یحصل التعارض بین منطوق هذه الموثقة ومفهومها فیما لو شک قبل الفراغ من العمل فی صحّة الجزء لا فی أصل وجود الجزء</w:t>
      </w:r>
      <w:r>
        <w:rPr>
          <w:rFonts w:eastAsia="IRNazanin" w:cs="IRNazanin"/>
          <w:color w:val="111111"/>
          <w:sz w:val="28"/>
          <w:szCs w:val="28"/>
          <w:rtl w:val="true"/>
          <w:lang w:bidi="fa-IR"/>
        </w:rPr>
        <w:t>.</w:t>
      </w:r>
    </w:p>
    <w:p>
      <w:pPr>
        <w:pStyle w:val="Heading2"/>
        <w:numPr>
          <w:ilvl w:val="1"/>
          <w:numId w:val="1"/>
        </w:numPr>
        <w:rPr/>
      </w:pPr>
      <w:bookmarkStart w:id="290" w:name="__RefHeading___Toc80868_2749589250"/>
      <w:bookmarkStart w:id="291" w:name="_Toc113"/>
      <w:bookmarkEnd w:id="290"/>
      <w:r>
        <w:rPr>
          <w:rtl w:val="true"/>
        </w:rPr>
        <w:t>الإشکالات علی الوجه الخامس</w:t>
      </w:r>
      <w:bookmarkEnd w:id="291"/>
    </w:p>
    <w:p>
      <w:pPr>
        <w:pStyle w:val="BookText"/>
        <w:rPr/>
      </w:pPr>
      <w:r>
        <w:rPr>
          <w:rFonts w:ascii="IRNazanin" w:hAnsi="IRNazanin" w:eastAsia="IRNazanin"/>
          <w:color w:val="111111"/>
          <w:sz w:val="28"/>
          <w:sz w:val="28"/>
          <w:szCs w:val="28"/>
          <w:rtl w:val="true"/>
          <w:lang w:bidi="fa-IR"/>
        </w:rPr>
        <w:t>للجمع بین صحیحة زرارة وموثقة ابن أبی یعفور المذکور فی کلمات الشیخ الأنصاری والمحقق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الوضوء فی موثقة ابن أبی یعفور أقرب من لفظ الشی‌ء الوارد فیها والأقرب یمنع الأبعد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إنمّا هو فی مقام بیان حکم الشی‌ء لا بیان حکم نفس الوضوء، وهذا أقوی من قرینة الأقربیة لإرجاع الضمیر إلی نفس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أوضح فإنّ کون الإمام فی مقام بیان حکم ما شُکّ فی صحّته قرینة أقوی من قرینة الأقربیة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 إنّما یرد علی کلام المحقّق العراقی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تقیید المورد والمصداق مع بقاء الکبری علی إطلاقها أمر شائع وکثیر فإنّ هذا الادّعاء منه مجرّد دعوی لا دلیل علیها ولا صحّة لها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 قلة وقوع ذلک، مضافاً إلی أنّه لو سلّمنا کثرته إلّا أنّ وقوع ذلک</w:t>
      </w:r>
    </w:p>
    <w:p>
      <w:pPr>
        <w:pStyle w:val="BookText"/>
        <w:rPr/>
      </w:pPr>
      <w:r>
        <w:rPr>
          <w:rFonts w:ascii="IRNazanin" w:hAnsi="IRNazanin" w:eastAsia="IRNazanin"/>
          <w:color w:val="111111"/>
          <w:sz w:val="28"/>
          <w:sz w:val="28"/>
          <w:szCs w:val="28"/>
          <w:rtl w:val="true"/>
          <w:lang w:bidi="fa-IR"/>
        </w:rPr>
        <w:t>فیما لو کان المولی فی مقام البیان أمر مستهجن وقبیح ویستنکف العرف أن یکون المورد المبیّن مقیّداً بینما تکون الکبری الکلّیّة غیر مقیدة وهذا نظیر 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یشترط فی المصداق الذی هو إکرام زید خصوصیة العدالة بینما لا وجود لهذه الخصوصیة فی الکبری، فإنّ العرف لا یقبل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قیاس ما نحن فیه بمفهوم آیة النبأ قیاس مع الفارق إذ مفهوم آیة النبأ أجنبی عن مسألة البیّنة والشهادة، بل مفهومها أنّ خبر غیر الفاسق واجب القبول، أمّا ضمیمة خبر عادل آخر فی باب البیّنة فلیست من جهة أنّ حجیّة خبر العادل مقیّدة بانضمام خبر عادل آخر بل لأنّ الأدلّة فی باب الشهادة تدلّ علی عدم کفایة إخبار العادل الواحد ولابدّ من شهادة عادلین اثنین أی أنّ خبر العادل حجة فی نفسه إلّا أنّ الشهادة تحتاج إلی عادلین ولا یکفی فیها العادل الواحد، وعلی هذا فالظاهر أنّ القیاس فی کلام المحقق العراقی فی غیر محلّه، لأنّه قیاس مع الفارق، وبالجملة فوجه الجمع المذکور فی کلمات الشیخ الأنصاری والمحقق الأنصاری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بین الصحیحة والوثقة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المراد بالشک فی موثقة ابن أبی یعفور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الشکّ إذا کنت فی شی‌ءٍ لم تجزه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فی الصحة،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 العمل، وعلیه فیکون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الروایة فی صدد بیان حکم الشکّ فی صحة مجموع العمل بعد الفراغ منه فیکون هذا قرینة علی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الوضوء، وبالتالی تکون الروایة دالة علی قاعدة الفراغ لا علی قاعدة التجاوز ویکون مضمونها أنّک إذا شککت فی جزءٍ من أجزاء الوضوء وأنت قد دخلت فی غیر الوضوء فلا تعتن</w:t>
      </w:r>
    </w:p>
    <w:p>
      <w:pPr>
        <w:pStyle w:val="BookText"/>
        <w:rPr/>
      </w:pPr>
      <w:r>
        <w:rPr>
          <w:rFonts w:ascii="IRNazanin" w:hAnsi="IRNazanin" w:eastAsia="IRNazanin"/>
          <w:color w:val="111111"/>
          <w:sz w:val="28"/>
          <w:sz w:val="28"/>
          <w:szCs w:val="28"/>
          <w:rtl w:val="true"/>
          <w:lang w:bidi="fa-IR"/>
        </w:rPr>
        <w:t>بشکک وبهذا یتمّ التوفیق بین هذه الموثقة وبین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الوارد علی هذا الوجه هو أن الشکّ فی شی‌ءٍ ظاهر أولًا وبالذات إلی الشکّ فی وجود ذلک الشی‌ء لا الشکّ فی صحته هذا مضافاً إلی أنّ استعمال لفظة من للبیان إنما هو علی خلاف الأصل حیث إنّ الأصل الأوّلی فی معنی من هو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 للجمع بین الموثقة والصحیحة أن یقال بأنّ المراد من الشکّ فی الموثقة هو الشکّ بعد الفراغ من العمل، لکنّه فی جزءٍ من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یکون مفاد الروایة مفاد کان التامّة وعلیه فإنّ صدر الروایة ظاهر فی أنّ للشی‌ء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وقد دخلت فی غیره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قد تجاوز المکلّف عنه ثمّ شک فیه بعد تجاوز محلّه لا أنّه قد شکّ بعد الانتهاء من کلّ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علی هذا الوجه أیضاً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فی الجمع بین الموثّقة وصحیحة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نختاره هو أن ذیل الموثقة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کلّیّة تبیّن قاعدة التجاوز أمّا صدر الروایة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نلتزم أنّ مجموع أفعال الوضوء یُعتبر عملًا واحداً ولم یلاحظ الشارع أجزاءها علی نحو الاستقلال لکن لمّا سبق وأنْ بیّنا بأنّ الإجماع لا یمکن أن یصبح دلیلًا علی التصرف فی مدلول الروایة الاستعمالی فلابدّ من التفکیک فی الحجّیة بأن یُطرح صدر الروایة لمخالفته مع الإجماع فتثبت الحجیة لذیل الروایة المفید لقاعدة التجاوز ویؤخذ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بیانه فیما یتعلق بالموثقة</w:t>
      </w:r>
      <w:r>
        <w:rPr>
          <w:rFonts w:eastAsia="IRNazanin" w:cs="IRNazanin"/>
          <w:color w:val="111111"/>
          <w:sz w:val="28"/>
          <w:szCs w:val="28"/>
          <w:rtl w:val="true"/>
          <w:lang w:bidi="fa-IR"/>
        </w:rPr>
        <w:t>.</w:t>
      </w:r>
      <w:bookmarkStart w:id="292" w:name="pg2935_29269"/>
    </w:p>
    <w:p>
      <w:pPr>
        <w:pStyle w:val="BookText"/>
        <w:rPr/>
      </w:pPr>
      <w:bookmarkEnd w:id="292"/>
      <w:r>
        <w:rPr>
          <w:rFonts w:ascii="IRNazanin" w:hAnsi="IRNazanin" w:eastAsia="IRNazanin"/>
          <w:color w:val="111111"/>
          <w:sz w:val="28"/>
          <w:sz w:val="28"/>
          <w:szCs w:val="28"/>
          <w:rtl w:val="true"/>
          <w:lang w:bidi="fa-IR"/>
        </w:rPr>
        <w:t>نعم قد یقال بأنّ هذا الإجماع یحتمل أن یکون مدرکیاً فلا یمکن التمسّک به ولا یجوز الاستناد إلیه لکنّنا نقول بأنّ صدر الروایة لابدّ من طرحه لإعراض المشهور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إعراض المشهور إنّما نشأ من صحیحة زرارة والمشهور باستناده إلیها قد أعرض عن صدر الموثقة فلا فائدة من هذا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کلّه تصبح الموثقة مجملة ولا یمکن الاستناد إلیها ولا بد من التمسّک بالصحیحة لأنّ المجمل لا یقاوم المبیّن ولا یعارضه</w:t>
      </w:r>
      <w:r>
        <w:rPr>
          <w:rFonts w:eastAsia="IRNazanin" w:cs="IRNazanin"/>
          <w:color w:val="111111"/>
          <w:sz w:val="28"/>
          <w:szCs w:val="28"/>
          <w:rtl w:val="true"/>
          <w:lang w:bidi="fa-IR"/>
        </w:rPr>
        <w:t>.</w:t>
      </w:r>
    </w:p>
    <w:p>
      <w:pPr>
        <w:pStyle w:val="Heading2"/>
        <w:numPr>
          <w:ilvl w:val="1"/>
          <w:numId w:val="1"/>
        </w:numPr>
        <w:rPr/>
      </w:pPr>
      <w:bookmarkStart w:id="293" w:name="__RefHeading___Toc80870_2749589250"/>
      <w:bookmarkStart w:id="294" w:name="_Toc114"/>
      <w:bookmarkEnd w:id="293"/>
      <w:r>
        <w:rPr>
          <w:rtl w:val="true"/>
        </w:rPr>
        <w:t>بحث حول جریان قاعدة التجاوز فی الغُسل والتیمّم</w:t>
      </w:r>
      <w:r>
        <w:rPr>
          <w:rtl w:val="true"/>
        </w:rPr>
        <w:t>:</w:t>
      </w:r>
      <w:bookmarkEnd w:id="294"/>
    </w:p>
    <w:p>
      <w:pPr>
        <w:pStyle w:val="BookText"/>
        <w:rPr/>
      </w:pPr>
      <w:r>
        <w:rPr>
          <w:rFonts w:ascii="IRNazanin" w:hAnsi="IRNazanin" w:eastAsia="IRNazanin"/>
          <w:color w:val="111111"/>
          <w:sz w:val="28"/>
          <w:sz w:val="28"/>
          <w:szCs w:val="28"/>
          <w:rtl w:val="true"/>
          <w:lang w:bidi="fa-IR"/>
        </w:rPr>
        <w:t>اختلف الفقهاء فی إلحاق الغسل والتیمم بالوضوء فی عدم جریان قاعدة التجاوز أو أنّهما لا یُلحقان به فتجری فیهما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الشیخ الأنصاری فی کتاب الطهارة</w:t>
      </w:r>
      <w:r>
        <w:rPr>
          <w:rStyle w:val="FootnoteAnchor"/>
          <w:rtl w:val="true"/>
        </w:rPr>
        <w:footnoteReference w:id="241"/>
      </w:r>
      <w:r>
        <w:rPr>
          <w:rFonts w:ascii="IRNazanin" w:hAnsi="IRNazanin" w:eastAsia="IRNazanin"/>
          <w:color w:val="111111"/>
          <w:sz w:val="28"/>
          <w:sz w:val="28"/>
          <w:szCs w:val="28"/>
          <w:rtl w:val="true"/>
          <w:lang w:bidi="fa-IR"/>
        </w:rPr>
        <w:t>بأنّ المشهور إلحاق الغسل والتیمم بالوضوء وعلیه فلا تجری قاعدة التجاوز فیهما کما لا تجری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کبار المعاصرین أمثال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فقد ذهبوا إلی عدم إلحاق الغسل والتیمم بالوضوء فتجری قاعدة التجاوز فیهما وعلیه فلو شک المکلّف أثناء الغُسل حین غَسل الطرف الأیمن من جسمه فی أنّه هل غسل رأسه وعنقه أولا؟ جرت فی حقّه قاعدة التجاوز وحُکِمَ بأنّه قد غسلهما، وهکذا الحال فی التیمّم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یمکن إجراء قاعدة التجاوز هنا علی مذهب من لا یری الترتیب واجباً</w:t>
      </w:r>
    </w:p>
    <w:p>
      <w:pPr>
        <w:pStyle w:val="BookText"/>
        <w:rPr/>
      </w:pPr>
      <w:r>
        <w:rPr>
          <w:rFonts w:ascii="IRNazanin" w:hAnsi="IRNazanin" w:eastAsia="IRNazanin"/>
          <w:color w:val="111111"/>
          <w:sz w:val="28"/>
          <w:sz w:val="28"/>
          <w:szCs w:val="28"/>
          <w:rtl w:val="true"/>
          <w:lang w:bidi="fa-IR"/>
        </w:rPr>
        <w:t xml:space="preserve">بین غَسْل الطرف الأیمن والطرف الأیسر کما ذهب إلیه بعض الأعاظم مثل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فعلی مبنی هؤلاء الأعاظم لو شک المکلّف أثناء غَسل الطرف الأیسر من الجسم فی أنّه هل غسل طرفه الأیمن أولا؟ وجب علیه أن یعید غسل الطرف الأیمن لعدم تحقق التجاوز عن المحل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دلیل المسألة وأنّ الدلیل ماذا یقتضی؟ فإنّ ما یدلّ علی عدم جریان قاعدة التجاوز فی باب الوضوء أمران أحدهما الإجماع، والآخر صحیحة زرارة ولا شک فی اختصاص مورد هذین الدلیلین بالوضوء ولا وجه فیهما لإلحاق الغسل والتیمم بباب الوضوء فی عدم جریان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إلغاء الخصوصیة فی التعبّدیات أمر مشکل جدّاً ولا وجه له فی هذا البحث کما أنّ تنقیح المناط هنا غیر ممکن لعدم إحراز وحدة المناط فی الوضوء والمناط فی الغسل والتیمّم فإنّ اختلاف الأحکام والخصوصیات بین الوضوء من جهة والغسل والتیمم من جهة أخری دلیل علی عدم الیقین بتنقیح المناط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کلّه فإنّ هناک دلیلین علی الإلحاق لابد من دراستهما والبحث حولهما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المختصّ بالتیمّم هو أنّ التیمّم بدل الوضوء له عنوان البدلیة ولا استقلالیة له والبدلیّة تقتضی عدم جریان قاعدة التجاوز فی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لم تجز فی المبدل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الدلیل إشکالان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أنّه لا دلیل یدل علی أنّ التیمم لمّا کان بدلًا عن الوضوء فلابدّ من أنْ</w:t>
      </w:r>
    </w:p>
    <w:p>
      <w:pPr>
        <w:pStyle w:val="BookText"/>
        <w:rPr/>
      </w:pPr>
      <w:r>
        <w:rPr>
          <w:rFonts w:ascii="IRNazanin" w:hAnsi="IRNazanin" w:eastAsia="IRNazanin"/>
          <w:color w:val="111111"/>
          <w:sz w:val="28"/>
          <w:sz w:val="28"/>
          <w:szCs w:val="28"/>
          <w:rtl w:val="true"/>
          <w:lang w:bidi="fa-IR"/>
        </w:rPr>
        <w:t>یتصف بجمیع أحکام الوضوء بل البدلیة معناها أنّ التیمم کالوضوء فی أنّه مبیح للدخول فی الصلاة فالتیمّم یحمل عنوان البدلیة عن الوضوء فی هذا المقدار من الإباحة، ومن هنا تختلف أحکام التیمم عن أحکام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بعضهم علی نحو الاحتمال من أنّ التیمّم کالوضوء فلا تجری فیه قاعدة التجاوز أمّا الغسل فتجری فیه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یُتساءل هنا علی هذا المبنی فی التیمم بدل الغسل حیث لا یمکن القول بالتفصیل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قاعدة التجاوز فی التیمم بدل الوضوء بینما تجری فی التیمم بدل الغسل لأنّ التیمّم فعل واحد ولا یجوز فیه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وهو ما ذکره واستند إلیه الشیخ الأنصاری فإنّه ذکر لإثبات أنّ قاعدة التجاوز لا تجری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الشارع إنّما لاحظ جمیع أفعال الوضوء فعلًا واحداً ولم یلاحظها علی نحو الاستقلال لأنّ الوضوء له أثر واحد یسمّی بالطهارة ومع وحدة الأثر فإنّ المؤثّر واحد وهذا کلّه جارٍ فی الغسل والتیمم أیضاً إذ لهما أثر واحد هو الطهارة فیکون الشارع قد لاحظ کلّاً منهما عملًا واحداً ولا تجری قاعدة التجاوز فی کلّ ما اعتبره الشارع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أورد المحقق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علی هذا الدلیل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متعلّق التکلّیف فی الوضوء علی ما یستفاد من ظاهر الآیات والروایات فی باب الوضوء هو أفعال الوضوء من الغسلات والمسحات لا الطهارة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فإنّ المأمور به فی باب الوضوء نفس الغسلات والمسحات لا</w:t>
      </w:r>
    </w:p>
    <w:p>
      <w:pPr>
        <w:pStyle w:val="BookText"/>
        <w:rPr/>
      </w:pPr>
      <w:r>
        <w:rPr>
          <w:rFonts w:ascii="IRNazanin" w:hAnsi="IRNazanin" w:eastAsia="IRNazanin"/>
          <w:color w:val="111111"/>
          <w:sz w:val="28"/>
          <w:sz w:val="28"/>
          <w:szCs w:val="28"/>
          <w:rtl w:val="true"/>
          <w:lang w:bidi="fa-IR"/>
        </w:rPr>
        <w:t>الطهارة التی هی أثر تلک الغسلات والمسحات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بالذکر هنا فی إشکال السید الخوئی أنّ بعض تلامذة السید قد صرّحوا بأنّ هذا الإشکال منه إنّما نشأ من عدم ذکره نظریة الشیخ الأنصاری علی وجهها الصحیح فی تقریراته، فإنّ السید الخوئی قال فی تقریره لدلیل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شیخنا الأنصاری وهو أنّ التکلّیف إنّما تعلق بالطهارة وإنّما الغسل والمسح مقدّمة لحصولها فالشک فی تحقق شی‌ءٍ من الغسل والمسح یرجع إلی الشکّ فی حصول الطهارة وهی أمر بسیط فلا تجری فیه قاعدة التجاوز</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بالرجوع إلی کلام الشیخ الأنصاری الذی ذکرناه فی الأبحاث السابقة یتّضح لنا أنّ الشیخ لم یرکّز نظره علی أنّ المأمور به فی باب الوضوء هل هو أفعال الوضوء أو الطهارة بل نظر إلی أنّ الوضوء فی الخارج وإن اعتبر عملًا مرکباً إلّا أنّ الشارع لاحظه شیئاً واحداً واعتبر لأفعاله وحدة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إشکال المحقق الخوئی الأوّل غیر وارد علی نظریة الشیخ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بأنّ المأمور به فی باب الوضوء هو الطهارة وأنّ أفعال الوضوء من الغسلات والمسحات مقدمة للمأمور به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لابدّ من الالتزام بأنّ قاعدة التجاوز إنّما لا تجری فی هذه المقدمات فیما لو کانت مقدمات عقلیة خارجیة کما لو أمر المولی عبده بقتل رجلٍ وکان قتله</w:t>
      </w:r>
    </w:p>
    <w:p>
      <w:pPr>
        <w:pStyle w:val="BookText"/>
        <w:rPr/>
      </w:pPr>
      <w:r>
        <w:rPr>
          <w:rFonts w:ascii="IRNazanin" w:hAnsi="IRNazanin" w:eastAsia="IRNazanin"/>
          <w:color w:val="111111"/>
          <w:sz w:val="28"/>
          <w:sz w:val="28"/>
          <w:szCs w:val="28"/>
          <w:rtl w:val="true"/>
          <w:lang w:bidi="fa-IR"/>
        </w:rPr>
        <w:t>متوقّفاً علی مقدمات فإنّه لو شک فی هذه المقدمات لم تجر قاعدة التجاوز لأنّ ذا المقدمة أی القتل عنوان بسیط والشک فی المقدمات یکون من قبیل الشکّ فی محصّل العنوان وهو مجری الاحتیاط، لکن الغسلات والمسحات التی هی مقدمة للطهارة فی باب الوضوء تعتبر مقدّمات شرعیة لأنّ الشارع هو الذی أمر بها، ومن الواضح جریان قاعدة التجاوز فی الأجزاء والمقدمات الشرعیة المرکبّة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یمکن القول فی هذا الإشکال هو أن صحّة هذا الإشکال مبتنیة علی القول بأنّ قاعدة التجاوز قاعدة تعبّدیة محضة وعلی هذا یکون من وجوه التفریق بین قاعدتی الفراغ والتجاوز أنّ قاعدة الفراغ أمر عقلائی دون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یرد هذا الإشکال علی قول من یری قاعدة الفراغ والتجاوز قاعدة واحدة ترجعان إلی عنوان واحد هو عدم الاعتناء بالشک بعد تجاوز المحل وهو عنوان عقلائی کما هو مذهب الإمام الخمینی والمحقق البجنوردی، لأنّ التفریق بین المقدمات العقلیة والمقدمات الشرعیة إنّما یتمّ فیما لو کانت هاتان القاعدتان قاعدتین مستقلتین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سبق فی الإشکال السابق من أنّ إشکالات السید الخوئی إنّما نشأت من تفسیره الخاطئ لنظریة الشیخ الأنصاری فلو فُسِّرتْ نظریته علی الوجه الصحیح لم ترد علیه هذه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ننکر تلک الإشکالات</w:t>
      </w:r>
      <w:bookmarkStart w:id="295" w:name="pg2935_29274"/>
    </w:p>
    <w:p>
      <w:pPr>
        <w:pStyle w:val="BookText"/>
        <w:rPr/>
      </w:pPr>
      <w:bookmarkEnd w:id="295"/>
      <w:r>
        <w:rPr>
          <w:rFonts w:ascii="IRNazanin" w:hAnsi="IRNazanin" w:eastAsia="IRNazanin"/>
          <w:color w:val="111111"/>
          <w:sz w:val="28"/>
          <w:sz w:val="28"/>
          <w:szCs w:val="28"/>
          <w:rtl w:val="true"/>
          <w:lang w:bidi="fa-IR"/>
        </w:rPr>
        <w:t>السابقة التی أوردها المحقق العراقی علی نظریة الشیخ الأنصاری فأنّها تامة مقبولة ولا داعی إلی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ذکرنا إلی هنا عدم إلحاق الغسل والتیمم بالوضوء وأنّ قاعدة التجاوز تجری فی هذه الأبواب الفقهیة، وقد خرج منها باب الوضوء بالدلیل الخاصّ الدال علی عدم جریان قاعدة التجاوز فی الوضوء خاصة</w:t>
      </w:r>
      <w:r>
        <w:rPr>
          <w:rFonts w:eastAsia="IRNazanin" w:cs="IRNazanin"/>
          <w:color w:val="111111"/>
          <w:sz w:val="28"/>
          <w:szCs w:val="28"/>
          <w:rtl w:val="true"/>
          <w:lang w:bidi="fa-IR"/>
        </w:rPr>
        <w:t>.</w:t>
      </w:r>
    </w:p>
    <w:p>
      <w:pPr>
        <w:pStyle w:val="Heading2"/>
        <w:numPr>
          <w:ilvl w:val="1"/>
          <w:numId w:val="1"/>
        </w:numPr>
        <w:rPr/>
      </w:pPr>
      <w:bookmarkStart w:id="296" w:name="__RefHeading___Toc80872_2749589250"/>
      <w:bookmarkStart w:id="297" w:name="_Toc115"/>
      <w:bookmarkEnd w:id="296"/>
      <w:r>
        <w:rPr>
          <w:rtl w:val="true"/>
        </w:rPr>
        <w:t>المؤیّد لجریان قاعدة التجاوز فی الغُسل</w:t>
      </w:r>
      <w:r>
        <w:rPr>
          <w:rtl w:val="true"/>
        </w:rPr>
        <w:t>:</w:t>
      </w:r>
      <w:bookmarkEnd w:id="297"/>
    </w:p>
    <w:p>
      <w:pPr>
        <w:pStyle w:val="BookText"/>
        <w:rPr/>
      </w:pPr>
      <w:r>
        <w:rPr>
          <w:rFonts w:ascii="IRNazanin" w:hAnsi="IRNazanin" w:eastAsia="IRNazanin"/>
          <w:color w:val="111111"/>
          <w:sz w:val="28"/>
          <w:sz w:val="28"/>
          <w:szCs w:val="28"/>
          <w:rtl w:val="true"/>
          <w:lang w:bidi="fa-IR"/>
        </w:rPr>
        <w:t>یذکر الإمام الخمینی بعد هذا الکلام بعض الروایات التی یستفاد منها جریان قاعدة التجاوز فی الغسل کصحیحة زرارة التی ذکرناها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بعض ذراعه أو بعض جسده فی غسل الجنابة؟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 ثمّ کانت به بلّة وهو فی صلاته مسح بها علیه، وإن کان استیقن رجع وأعاد علیه الماء ما لم یُصب بلّةً فإنْ دخله الشکّ وقد دخل فی حال أخری فلیمض فی صلاته ولا شی‌ء علیه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الإمام الخمینی یری أنّ المستفاد من إطلاق عبارة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دخله الشکّ وقد دخل فی حال أخری فلیمض فی صلاته ولا شی‌ء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التجاوز تجری من دون أیّ مانع فیما لو کان المکلّف منشغلًا بغسل الجنابة قبل الصلاة وقد دخل من جزءٍ إلی جزءٍ آخر ثمّ شک فی الجزء السابق</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عبارة أخری فی صحیحة زرارة هذه عدا تلک العبارة السابقة یستفاد منها أن الشکّ بعد تجاوز المحلّ لا اعتبار به فی غسل الجنابة</w:t>
      </w:r>
      <w:r>
        <w:rPr>
          <w:rFonts w:eastAsia="IRNazanin" w:cs="IRNazanin"/>
          <w:color w:val="111111"/>
          <w:sz w:val="28"/>
          <w:szCs w:val="28"/>
          <w:rtl w:val="true"/>
          <w:lang w:bidi="fa-IR"/>
        </w:rPr>
        <w:t>.</w:t>
      </w:r>
      <w:bookmarkStart w:id="298" w:name="pg2935_29275"/>
    </w:p>
    <w:p>
      <w:pPr>
        <w:pStyle w:val="Heading2"/>
        <w:numPr>
          <w:ilvl w:val="1"/>
          <w:numId w:val="1"/>
        </w:numPr>
        <w:rPr/>
      </w:pPr>
      <w:bookmarkStart w:id="299" w:name="__RefHeading___Toc80874_2749589250"/>
      <w:bookmarkStart w:id="300" w:name="_Toc116"/>
      <w:bookmarkEnd w:id="298"/>
      <w:bookmarkEnd w:id="299"/>
      <w:r>
        <w:rPr>
          <w:rtl w:val="true"/>
        </w:rPr>
        <w:t>بحث جریان قاعدة التجاوز فی جزء الجزء</w:t>
      </w:r>
      <w:r>
        <w:rPr>
          <w:rtl w:val="true"/>
        </w:rPr>
        <w:t>:</w:t>
      </w:r>
      <w:bookmarkEnd w:id="300"/>
    </w:p>
    <w:p>
      <w:pPr>
        <w:pStyle w:val="Heading3"/>
        <w:numPr>
          <w:ilvl w:val="2"/>
          <w:numId w:val="1"/>
        </w:numPr>
        <w:rPr/>
      </w:pPr>
      <w:bookmarkStart w:id="301" w:name="__RefHeading___Toc80876_2749589250"/>
      <w:bookmarkStart w:id="302" w:name="_Toc117"/>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من جملة ما یُبحَث عنه فی قاعدة التجاوز هو أنّ قاعدة التجاوز هل هی مختصّة بالأجزاء الأصلیة للعمل أو أنّها تجری فی أجزاء الأجزاء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الأجزاء الأصلیة بعد تجاوز المحلّ کما لو شکّ المکلّف حین السجود فی إتیان الرکوع، أمّا الشکّ فی جزء الجزء فکما لو شک أثناء قراءة السورة فی الصلاة فی أنّه هل قرأ الآیة السابقة أولا؟ فی هذا البحث آراء مختلفة فی کلمات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کلمات الأعاظم وتضاربت آراؤهم فی هذه المسألة</w:t>
      </w:r>
    </w:p>
    <w:p>
      <w:pPr>
        <w:pStyle w:val="Heading3"/>
        <w:numPr>
          <w:ilvl w:val="2"/>
          <w:numId w:val="1"/>
        </w:numPr>
        <w:rPr/>
      </w:pPr>
      <w:bookmarkStart w:id="303" w:name="__RefHeading___Toc80878_2749589250"/>
      <w:bookmarkStart w:id="304" w:name="_Toc118"/>
      <w:bookmarkEnd w:id="303"/>
      <w:r>
        <w:rPr>
          <w:rtl w:val="true"/>
        </w:rPr>
        <w:t>نظریة المحقق النائینی</w:t>
      </w:r>
      <w:r>
        <w:rPr>
          <w:rtl w:val="true"/>
        </w:rPr>
        <w:t>:</w:t>
      </w:r>
      <w:bookmarkEnd w:id="304"/>
    </w:p>
    <w:p>
      <w:pPr>
        <w:pStyle w:val="BookText"/>
        <w:rPr/>
      </w:pPr>
      <w:r>
        <w:rPr>
          <w:rFonts w:ascii="IRNazanin" w:hAnsi="IRNazanin" w:eastAsia="IRNazanin"/>
          <w:color w:val="111111"/>
          <w:sz w:val="28"/>
          <w:sz w:val="28"/>
          <w:szCs w:val="28"/>
          <w:rtl w:val="true"/>
          <w:lang w:bidi="fa-IR"/>
        </w:rPr>
        <w:t>ذهب المحقق النائینی ومن تبعه من الأعاظم إلی أنّ قاعدة التجاوز مختصّة بالشک فی أجزاء العمل الأصلیة ولا تجری فی جزء الجزء کالشک فی الآیة السابقة بعد الدخول فی غیرها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هذا المنع کما یستفاد من کلماته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التجاوز حاکمة علی روایات الفراغ وهی أی روایات التجاوز تلحق الشکّ فی الجزء بالشک فی الجزء فإنّ الشارع أمر بعدم الاعتناء بالشک فی أجزاء الصلاة أثناء الصلاة کما لا اعتناء بالشک فی کلّ الصلاة بعد الفراغ منها ولم یجعل الشارع جزء الجزء بمنزلة کلّ العمل فلا تجری قاعدة التجاوز فی جزء الجزء، وبعبارة أخری فإنّ أدلّة التنزیل لا تشمل الشکّ فی جزء الجزء</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وأمّا فی مرتبة التألیف والترکیب فلا یکون الجزء شیئاً مستقلًا فی مقابل الکلّ بل شیئیة الجزء تندکّ فی شیئیة الکلّ کما تقدم فدخول الأجزاء فی عموم الشی‌ء فی عرض دخول الکلّ لا یمکن إلّا بعنایة التعبّد والتنزیل وحینئذٍ لابدّ من الاقتصار علی مورد التنزیل والمقدار الذی قام الدلیل فیه علی التنزیل هو الأجزاء المستقلّة بالتبویب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أوردنا فیما سبق علی هذا الدلیل وذکرنا أنّ قاعدة الفراغ والتجاوز إنّما یستفاد کلّ منهما علی نحو الاستقلال من الروایات ولا ناظریة لإحداهما إلی الأخری وقد ناقشنا مسألة التنزیل وعلیه فلابدّ من طرح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روایات قاعدة التجاوز إنّا لو دخلنا من الجزء إلی الجزء الآخر فلابدّ من استفادة عنوان الخروج من المحل والدخول فی غیره، والمراد بالمحل هو المحل الذی حدّده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إن لرکوع الصلاة 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مأمور 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محلًا معیّناً من قبل الشارع، ففی مثل هذه الأجزاء التی لها محلّ معین شرعاً مضافاً إلی کونها مأموراً بها تجری قاعدة التجاوز بحیث أن یکون هذا المحل المعیّن من قبل الشارع دخیلًا فی کونها مأموراً بها بمعنی أنّ المکلّف لو أتی بالرکوع بعد السجود کان آتیاً بجزء المأمور به لکنّه قد أخلّ بترتیب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تجری قاعدة التجاوز فی الأجزاء التی لیس لها محل معیّن شرعاً، کما لو قدّم وأخرّ المکلّف ألفاظ السورة وقال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الله، لم یمکن الالتزام بأنّه قد أتی بالمأمور به لکنّه أخلّ بالترتیب، لأنه لم یأت بالمأمور به هنا علی الإطلاق فإن الترتیب بین الکلمات له مدخلیة فی ماهیة السورة والکلام فلا تجری فی هذه الموارد قاعدة التجاوز لأنّ الشکّ فیها یساوی الشکّ فی أصل إتیان المأمور به ووجوده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الدلیل أیضاً غیر تام إذ سیأتی فی الأبحاث اللاحقة أنّ المراد بالمحل</w:t>
      </w:r>
      <w:bookmarkStart w:id="305" w:name="pg2935_29277"/>
    </w:p>
    <w:p>
      <w:pPr>
        <w:pStyle w:val="BookText"/>
        <w:rPr/>
      </w:pPr>
      <w:bookmarkEnd w:id="305"/>
      <w:r>
        <w:rPr>
          <w:rFonts w:ascii="IRNazanin" w:hAnsi="IRNazanin" w:eastAsia="IRNazanin"/>
          <w:color w:val="111111"/>
          <w:sz w:val="28"/>
          <w:sz w:val="28"/>
          <w:szCs w:val="28"/>
          <w:rtl w:val="true"/>
          <w:lang w:bidi="fa-IR"/>
        </w:rPr>
        <w:t>فی قاعدة التجاوز لیس خصوص المحل المقرر شرعاً بل المراد به مطلق التجاوز عن محل جزءٍ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وسنبحث فی الأبحاث القادمة مفصّلًا عما هو المراد بالمحلّ فی قاعدة التجاوز إن شاء الله</w:t>
      </w:r>
      <w:r>
        <w:rPr>
          <w:rFonts w:eastAsia="IRNazanin" w:cs="IRNazanin"/>
          <w:color w:val="111111"/>
          <w:sz w:val="28"/>
          <w:szCs w:val="28"/>
          <w:rtl w:val="true"/>
          <w:lang w:bidi="fa-IR"/>
        </w:rPr>
        <w:t>.</w:t>
      </w:r>
    </w:p>
    <w:p>
      <w:pPr>
        <w:pStyle w:val="Heading3"/>
        <w:numPr>
          <w:ilvl w:val="2"/>
          <w:numId w:val="1"/>
        </w:numPr>
        <w:rPr/>
      </w:pPr>
      <w:bookmarkStart w:id="306" w:name="__RefHeading___Toc80880_2749589250"/>
      <w:bookmarkStart w:id="307" w:name="_Toc119"/>
      <w:bookmarkEnd w:id="306"/>
      <w:r>
        <w:rPr>
          <w:rtl w:val="true"/>
        </w:rPr>
        <w:t>نظریة المحقق الأصفهانی</w:t>
      </w:r>
      <w:r>
        <w:rPr>
          <w:rtl w:val="true"/>
        </w:rPr>
        <w:t>:</w:t>
      </w:r>
      <w:bookmarkEnd w:id="307"/>
    </w:p>
    <w:p>
      <w:pPr>
        <w:pStyle w:val="BookText"/>
        <w:rPr/>
      </w:pPr>
      <w:r>
        <w:rPr>
          <w:rFonts w:ascii="IRNazanin" w:hAnsi="IRNazanin" w:eastAsia="IRNazanin"/>
          <w:color w:val="111111"/>
          <w:sz w:val="28"/>
          <w:sz w:val="28"/>
          <w:szCs w:val="28"/>
          <w:rtl w:val="true"/>
          <w:lang w:bidi="fa-IR"/>
        </w:rPr>
        <w:t xml:space="preserve">الدلیل الثالث ما ذکره المحقق الأصفهانی کدلیل علی عدم جریان قاعدة التجاوز فی جزء الجزء حیث قال بأن کلمة الشی‌ء الواردة فی روایة قاعدة التجاوز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منصرفة إلی الجزء نفسه الشامل للأجزاء الأوّلیة المبوّبة کالشک فی التکبیر والقراءة والرکوع والسجود ولا یشمل جزء الجزء الذی هو من الأجزاء الثانویة فالشی‌ء کنایة عن أجزاء الصلاة ویشمل أجزاء الصلاة الأصلیة المبوّبة دون أجزاء الصلاة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هذا الدلیل حسن لا بأس به وإن وقع مخدوشاً فیه من قبل بعض الأعاظم لأنّ الانصراف لیس ممّا یمکن للمرء إنکاره أو قبوله بسهولة بحیث یدّعی أحدٌ الانصراف وینکره الآخر فإنّ الانصراف أمر وجدانی، والذی یبدو هنا أنّ الحق مع المحقق الأصفهانی فی عدم شمول لفظ الشی‌ء لجزء الجزء</w:t>
      </w:r>
      <w:r>
        <w:rPr>
          <w:rFonts w:eastAsia="IRNazanin" w:cs="IRNazanin"/>
          <w:color w:val="111111"/>
          <w:sz w:val="28"/>
          <w:szCs w:val="28"/>
          <w:rtl w:val="true"/>
          <w:lang w:bidi="fa-IR"/>
        </w:rPr>
        <w:t>.</w:t>
      </w:r>
      <w:bookmarkStart w:id="308" w:name="pg2935_29278"/>
    </w:p>
    <w:p>
      <w:pPr>
        <w:pStyle w:val="BookText"/>
        <w:rPr/>
      </w:pPr>
      <w:bookmarkEnd w:id="308"/>
      <w:r>
        <w:rPr>
          <w:rFonts w:ascii="IRNazanin" w:hAnsi="IRNazanin" w:eastAsia="IRNazanin"/>
          <w:color w:val="111111"/>
          <w:sz w:val="28"/>
          <w:sz w:val="28"/>
          <w:szCs w:val="28"/>
          <w:rtl w:val="true"/>
          <w:lang w:bidi="fa-IR"/>
        </w:rPr>
        <w:t xml:space="preserve">والذی یؤیّد هذا الانصراف تعبیر الدخول فی غیره الذی لا ینطبق عرفاً علی التجاوز من جزء الجزء وبعبارة أخری فإنّ جزء الجزء عند العرف شی‌ء واحد لا شیئان والعرف یری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واحداً ولا یفکّک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یشکّ المکلّف حین التلفظ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تلفّظ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ولو شک کذلک وجب الاعتناء بشکه ولابدّ من إعادة مجموعة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القول بانفصال کلّ آیة عن الأخری فی القرآن فیصحّ التفکیک فیها عرفاً، وعلیه فلو شک حین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جرتْ فی حقه قاعدة التجاوز لأنّ العرف یری هاتین الآیتین شیئین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رأینا هو أنّه لا یلزم فی جریان قاعدة التجاوز أن یلاحظ المحل مقرراً شرعاً بل المحل مطلق وإنما تجری قاعدة التجاوز فی الأجزاء التی یلاحظها العرف علی نحو الاستقلال من حیث الدخول والخروج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یمکن أن یتساءل المرء بأنّه هل یمکن أن یستفاد من عنوان الأذکریة الوارد فی الروایات جریان قاعدة التجاوز فی جزء الجزء أیضاً؟</w:t>
      </w:r>
    </w:p>
    <w:p>
      <w:pPr>
        <w:pStyle w:val="BookText"/>
        <w:rPr/>
      </w:pPr>
      <w:r>
        <w:rPr>
          <w:rFonts w:ascii="IRNazanin" w:hAnsi="IRNazanin" w:eastAsia="IRNazanin"/>
          <w:color w:val="111111"/>
          <w:sz w:val="28"/>
          <w:sz w:val="28"/>
          <w:szCs w:val="28"/>
          <w:rtl w:val="true"/>
          <w:lang w:bidi="fa-IR"/>
        </w:rPr>
        <w:t>ویمکن الإجابة عن هذا التساؤل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سابقاً فی الأبحاث الماضیة أنّ الأذکریة تتعلّق بروایات قاعدة الفراغ ولا تجری فی قاعدة التجاوز، وهذا هو أحد الفروق بین هاتین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الأذکریة لها عنوان الحکمة لا عنوان العلیّة</w:t>
      </w:r>
      <w:r>
        <w:rPr>
          <w:rFonts w:eastAsia="IRNazanin" w:cs="IRNazanin"/>
          <w:color w:val="111111"/>
          <w:sz w:val="28"/>
          <w:szCs w:val="28"/>
          <w:rtl w:val="true"/>
          <w:lang w:bidi="fa-IR"/>
        </w:rPr>
        <w:t>.</w:t>
      </w:r>
    </w:p>
    <w:p>
      <w:pPr>
        <w:pStyle w:val="Heading2"/>
        <w:numPr>
          <w:ilvl w:val="1"/>
          <w:numId w:val="1"/>
        </w:numPr>
        <w:rPr/>
      </w:pPr>
      <w:bookmarkStart w:id="309" w:name="__RefHeading___Toc80882_2749589250"/>
      <w:bookmarkStart w:id="310" w:name="_Toc120"/>
      <w:bookmarkEnd w:id="309"/>
      <w:r>
        <w:rPr>
          <w:rtl w:val="true"/>
        </w:rPr>
        <w:t>جریان قاعدة الفراغ والتجاوز فی الجزء الأخیر من المرکّب</w:t>
      </w:r>
      <w:bookmarkEnd w:id="31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الأبحاث الهامّة فی هاتین القاعدتین أنّ قاعدة التجاوز والفراغ هل</w:t>
      </w:r>
    </w:p>
    <w:p>
      <w:pPr>
        <w:pStyle w:val="BookText"/>
        <w:rPr/>
      </w:pPr>
      <w:r>
        <w:rPr>
          <w:rFonts w:ascii="IRNazanin" w:hAnsi="IRNazanin" w:eastAsia="IRNazanin"/>
          <w:color w:val="111111"/>
          <w:sz w:val="28"/>
          <w:sz w:val="28"/>
          <w:szCs w:val="28"/>
          <w:rtl w:val="true"/>
          <w:lang w:bidi="fa-IR"/>
        </w:rPr>
        <w:t>تجریان فی الجزء الأخیر من المرکب أولا؟ مثلًا لو شک المصلّی بعد الفراغ من الصلاة فی أنّه هل سلّم أولا؟ أو أنّه هل جاء بالتسلیم علی الوجه الصحیح أولا؟ وکذا لو شک الحاج فی باب الحج فی أنّه هل جاء بطواف النساء وصلاته اللذی هو الجزء الأخیر من واجبات الحجّ؟ وکما لو غلب النعاس علی المصلّی فی السجود بحیث لا یعلم هل هذا هو سجود صلاته الأخیر أو کان سجود الشکر؟ فهل تجری قاعدة الفراغ والتجاوز فی هذه الموارد؟</w:t>
      </w:r>
    </w:p>
    <w:p>
      <w:pPr>
        <w:pStyle w:val="BookText"/>
        <w:rPr/>
      </w:pPr>
      <w:r>
        <w:rPr>
          <w:rFonts w:ascii="IRNazanin" w:hAnsi="IRNazanin" w:eastAsia="IRNazanin"/>
          <w:color w:val="111111"/>
          <w:sz w:val="28"/>
          <w:sz w:val="28"/>
          <w:szCs w:val="28"/>
          <w:rtl w:val="true"/>
          <w:lang w:bidi="fa-IR"/>
        </w:rPr>
        <w:t xml:space="preserve">الحق فی الإجابة عن هذا السؤال هو عدم إمکان جریان قاعدة الفراغ بمقتضی التعبیرات الواردة فی روایات هذه القاعدة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ما تفرغ من صلاتک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ینصرف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یصلی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التردید والشک فی تحقق عنوان الفراغ أو الانصراف فی الموارد السابقة فلا مجال لجریان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حملنا الدخول فی الغیر الوارد فی قاعدة التجاوز بالمعنی الأعمّ وحملنا المحلّ علی الأعم من المحل الشرعی والعادی وکان المصلی قد خرج من محلّ صلاته ودخل فی عمل آخر أو کان الحاج قد خرج من مکة جاز لنا إجراء قاعدة التجاوز إلّا أن نلتزم باختصاص قاعدة التجاوز بأثناء العمل فلا یکون للعمل بعد الفراغ منه محل کما استفدنا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فصّل بعض المحققین</w:t>
      </w:r>
      <w:r>
        <w:rPr>
          <w:rStyle w:val="FootnoteAnchor"/>
          <w:rtl w:val="true"/>
        </w:rPr>
        <w:footnoteReference w:id="254"/>
      </w:r>
      <w:r>
        <w:rPr>
          <w:rFonts w:ascii="IRNazanin" w:hAnsi="IRNazanin" w:eastAsia="IRNazanin"/>
          <w:color w:val="111111"/>
          <w:sz w:val="28"/>
          <w:sz w:val="28"/>
          <w:szCs w:val="28"/>
          <w:rtl w:val="true"/>
          <w:lang w:bidi="fa-IR"/>
        </w:rPr>
        <w:t>فی هذه المسألة وذکر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تدارک العمل المشکوک فیه فیما لو شک فی الجزء الأخیر ولما یدخل المکلّف فی العمل الآخر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دخل المکلّف فی العمل الآخر فللمسألة صور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التسلیم بعد الدخول فی تعقیبات الصلاة أو فی سجدتی السهو أو صلاة الاحتیاط مما شرعه الشارع بعد الفراغ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هنا فی جریان قاعدة الفراغ لأنّ الشکّ هنا من مصادیق الشکّ فی الشی‌ء وبعد الدخول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هذا الکلام تام بالنسبة إلی قاعدة التجاوز، وقد ذکرنا سابقاً أنّ أحد وجوه الفرق بین قاعدتی التجاوز والفراغ أنّ الدخول فی الغیر غیر معتبر فی قاعدة التجاوز خلافاً لقاعدة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یرد هذا الإشکال علی من یعتبر فی قاعدة الفراغ الدخول فی الغیر کالمحقق النائینی</w:t>
      </w:r>
      <w:r>
        <w:rPr>
          <w:rStyle w:val="FootnoteAnchor"/>
          <w:rtl w:val="true"/>
        </w:rPr>
        <w:footnoteReference w:id="255"/>
      </w:r>
      <w:r>
        <w:rPr>
          <w:rFonts w:ascii="IRNazanin" w:hAnsi="IRNazanin" w:eastAsia="IRNazanin"/>
          <w:color w:val="111111"/>
          <w:sz w:val="28"/>
          <w:sz w:val="28"/>
          <w:szCs w:val="28"/>
          <w:rtl w:val="true"/>
          <w:lang w:bidi="fa-IR"/>
        </w:rPr>
        <w:t>الذی یعتقد بأنّ هذا الاشتراط یستفاد من أدلّة قاعدة الفراغ بغض النظر عن اتّحاد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یمکن أن یکون منشأ لهذه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أدلّة قاعدة الفراغ طائفتان فقد ورد هذا القید فی بعضها کصحیحة زرارة حیث یقول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خرجت من شی‌ءٍ ثمّ دخلت فی غیره فشکک لیس بشی‌ءٍ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لا وجود لهذا القید فی بعضها الآخر کموثقة ابن بکیر حیث جاء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کلّما شککت فیه مما قد مضی فامضه کما 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موثقة ابن أبی یعفور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الشکّ إذا کنت فی شی‌ءٍ لم تجزه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هنا إمّا من حمل المطلق علی المقیّد أو جعل القید من القیود الواردة فی مقام الغالب، وبالتالی لا یکون مقیّداً للإطلاقات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هو الأوّل لا لأجل وجود المفهوم فی القید ولا لأجل حمل المطلق علی المقید بل إنّ هذا المطلّق ینصرف إلی الفرد الغالب لقصوره الذاتی بالنسبة إلی الفرد غیر الغالب، بمعنی أن التجاوز عن الشی‌ء غالباً ما یصدق مع الدخول</w:t>
      </w:r>
    </w:p>
    <w:p>
      <w:pPr>
        <w:pStyle w:val="BookText"/>
        <w:rPr/>
      </w:pPr>
      <w:r>
        <w:rPr>
          <w:rFonts w:ascii="IRNazanin" w:hAnsi="IRNazanin" w:eastAsia="IRNazanin"/>
          <w:color w:val="111111"/>
          <w:sz w:val="28"/>
          <w:sz w:val="28"/>
          <w:szCs w:val="28"/>
          <w:rtl w:val="true"/>
          <w:lang w:bidi="fa-IR"/>
        </w:rPr>
        <w:t>فی الشی‌ء الآخر، ونادراً ما یحصل مع عدم الدخول فی الشی‌ء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الواضح أنّ مجرد الغلبة فی الوجود الخارجی لا یکون سبباً للانصراف إلّا أنّنا ندّعی أن المطلق فی حقیقته وماهیته له قصور عن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القول هو أنّنا ذکرنا فی دراستنا لروایات قاعدة التجاوز أنّ صحیحة زرارة هی من الروایات الدالة علی قاعدة التجاوز فقط ولا تستفاد منها قاعدة الفراغ کما أنّ الأمثلة الواردة فی صدر الروایة هی من مصادیق قاعدة التجاوز والشک فی أثناء العمل، وهذه الأمثلة قرینة جلیّة علی أنّ القاعدة الکلّیّة المذکورة فی ذیل الروایة أیضاً محمولة علی قاعدة التجاوز وعلیه فلا یمکن الالتزام بأنّ من روایات قاعدة الفراغ ما یدل علی اعتبار الدخول فی الغیر بل إنّ روایات قاعدة الفراغ أمّا صریحة فی الانصراف عن أصل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ینصرف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صریحة فی الفراغ من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تفرغ من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 الوارد فیها مجرد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صحیحة أخری لزرارة تقول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کنت قاعداً علی وضوئک فلم تدر أغسلتَ ذراعیک أم لا؟ فأعد علیهما فإذا قمت من الوضوء وفرغت منه وقد صرت فی حال أخری فی الصلاة أو غیرها فشککت فلا شی‌ء علیک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کما ذکرنا سابقاً تدلّ علی قاعدة الفراغ وقد جاء فیها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صرت فی حال أخری فی الصلاة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یمکن اعتبار الدخول فی الغیر فی قاعدة الفراغ بناءً علی هذه الروایة فلا تفترق عن قاعدة التجاوز من هذه الناحیة إلّا من جهة أنّ الغیر فی قاعدة التجاوز هو العمل المترتّب شرعاً علی الجزء السابق بینما فی قاعدة الفراغ هو الفعل المباین للعمل المشکوک فبحسب هذه الروایة</w:t>
      </w:r>
      <w:bookmarkStart w:id="311" w:name="pg2935_29282"/>
    </w:p>
    <w:p>
      <w:pPr>
        <w:pStyle w:val="BookText"/>
        <w:rPr/>
      </w:pPr>
      <w:bookmarkEnd w:id="311"/>
      <w:r>
        <w:rPr>
          <w:rFonts w:ascii="IRNazanin" w:hAnsi="IRNazanin" w:eastAsia="IRNazanin"/>
          <w:color w:val="111111"/>
          <w:sz w:val="28"/>
          <w:sz w:val="28"/>
          <w:szCs w:val="28"/>
          <w:rtl w:val="true"/>
          <w:lang w:bidi="fa-IR"/>
        </w:rPr>
        <w:t>یمکن إجراء قاعدة الفراغ لمن کان منشغلًا بالتعقیبات وشک فی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ذهب المیرزا النائینی إلی جریان قاعدة التجاوز فی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انشغال المکلّف بتعقیبات الصلاة مع الشکّ فی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علی ما جاء فی کتاب أجود التقریرات</w:t>
      </w:r>
      <w:r>
        <w:rPr>
          <w:rStyle w:val="FootnoteAnchor"/>
          <w:rtl w:val="true"/>
        </w:rPr>
        <w:footnoteReference w:id="257"/>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التجاوز قد ألحق الأذان والإقامة بأجزاء الصلاة مما یجعل الفقیه یقطع بعدم خصوصیة للأذان والإقامة بل کلّما ألحق بالصلاة من المقدمات والتوابع کالتعقیبات المترتبة علی الصلاة شرعاً یصدق علیها الدخول فی الغیر وهو قد صرّح فی فوائد الأصول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الدخول فی الإقامة والدخول فی التعقیب کلّیهما عن حقیقة الصلاة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تمامیة هذه النظریة إذ کما بیّنا مراراً بأن روایات قاعدة التجاوز لها عنوان تعبّدی ولا یمکن لنا تحصیل ذلک القطع الذی ادّعاه المیرزا وکیف یمکن إلحاق توابع الصلاة بمقدماتها مع أنّ المقدمات لها عنوان الدخول فی الصلاة بینما تقع التعقیبات بعد الفراغ من الصلاة؟</w:t>
      </w:r>
    </w:p>
    <w:p>
      <w:pPr>
        <w:pStyle w:val="BookText"/>
        <w:rPr/>
      </w:pPr>
      <w:r>
        <w:rPr>
          <w:rFonts w:ascii="IRNazanin" w:hAnsi="IRNazanin" w:eastAsia="IRNazanin"/>
          <w:color w:val="111111"/>
          <w:sz w:val="28"/>
          <w:sz w:val="28"/>
          <w:szCs w:val="28"/>
          <w:rtl w:val="true"/>
          <w:lang w:bidi="fa-IR"/>
        </w:rPr>
        <w:t>وعلیه فاالظاهر هنا عدم جریان قاعدة التجاوز نعم یمکن إجراء قاعدة الفراغ بمقتضی صحیحة زرارة الثانیة الواردة فی الشکّ فی الذراعین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صرت فی حال أخری من الصلاة أو غیرها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هذا المورد من دون شک وتردید</w:t>
      </w:r>
      <w:r>
        <w:rPr>
          <w:rFonts w:eastAsia="IRNazanin" w:cs="IRNazanin"/>
          <w:color w:val="111111"/>
          <w:sz w:val="28"/>
          <w:szCs w:val="28"/>
          <w:rtl w:val="true"/>
          <w:lang w:bidi="fa-IR"/>
        </w:rPr>
        <w:t>.</w:t>
      </w:r>
    </w:p>
    <w:p>
      <w:pPr>
        <w:pStyle w:val="Heading2"/>
        <w:numPr>
          <w:ilvl w:val="1"/>
          <w:numId w:val="1"/>
        </w:numPr>
        <w:rPr/>
      </w:pPr>
      <w:bookmarkStart w:id="312" w:name="__RefHeading___Toc80884_2749589250"/>
      <w:bookmarkStart w:id="313" w:name="_Toc121"/>
      <w:bookmarkEnd w:id="312"/>
      <w:r>
        <w:rPr>
          <w:rtl w:val="true"/>
        </w:rPr>
        <w:t>وقد أورد المحقق الخوئی أیضاً إشکالین علی رأی أستاذه هنا</w:t>
      </w:r>
      <w:r>
        <w:rPr>
          <w:rtl w:val="true"/>
        </w:rPr>
        <w:t>:</w:t>
      </w:r>
      <w:bookmarkEnd w:id="313"/>
    </w:p>
    <w:p>
      <w:pPr>
        <w:pStyle w:val="BookText"/>
        <w:rPr/>
      </w:pPr>
      <w:r>
        <w:rPr>
          <w:rFonts w:ascii="IRNazanin" w:hAnsi="IRNazanin" w:eastAsia="IRNazanin"/>
          <w:color w:val="111111"/>
          <w:sz w:val="28"/>
          <w:sz w:val="28"/>
          <w:szCs w:val="28"/>
          <w:rtl w:val="true"/>
          <w:lang w:bidi="fa-IR"/>
        </w:rPr>
        <w:t>وقد أورد المحقق الخوئی</w:t>
      </w:r>
      <w:r>
        <w:rPr>
          <w:rStyle w:val="FootnoteAnchor"/>
          <w:rtl w:val="true"/>
        </w:rPr>
        <w:footnoteReference w:id="259"/>
      </w:r>
      <w:r>
        <w:rPr>
          <w:rFonts w:ascii="IRNazanin" w:hAnsi="IRNazanin" w:eastAsia="IRNazanin"/>
          <w:color w:val="111111"/>
          <w:sz w:val="28"/>
          <w:sz w:val="28"/>
          <w:szCs w:val="28"/>
          <w:rtl w:val="true"/>
          <w:lang w:bidi="fa-IR"/>
        </w:rPr>
        <w:t>أیضاً إشکالین علی رأی أستاذه هنا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نقضی بأنّ المکلّف لو شک أثناء الانشغال بالتعقیبات</w:t>
      </w:r>
    </w:p>
    <w:p>
      <w:pPr>
        <w:pStyle w:val="BookText"/>
        <w:rPr/>
      </w:pPr>
      <w:r>
        <w:rPr>
          <w:rFonts w:ascii="IRNazanin" w:hAnsi="IRNazanin" w:eastAsia="IRNazanin"/>
          <w:color w:val="111111"/>
          <w:sz w:val="28"/>
          <w:sz w:val="28"/>
          <w:szCs w:val="28"/>
          <w:rtl w:val="true"/>
          <w:lang w:bidi="fa-IR"/>
        </w:rPr>
        <w:t>فی أنّه هل أتی بأصل الصلاة أولا؟ فإنّ أحداً من الفقهاء لم یلتزم بجریان قاعدة التجاوز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الذبّ عن هذا الإشکال أولًا بأنّه لا علاقة لهذا النقض بالإلحاق وعدم الإلحاق بل إنّ الإشکال وارد علی کلّ من یجری قاعدة التجاوز فی الشکّ فی إتیان أصل العمل سواء ألحقنا التوابع بالمقدمات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المحقق النائینی یلتزم بحکومة روایات قاعدة التجاوز علی روایات قاعدة الفراغ ولابد فی باب الحکومة من التعبّد بمقدار دائرة الدلیل الحاکم والدلیل الحاکم لا یشمل ذلک الفرض الذی ذکره السید الخوئی تحت عنوان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قاعدة التجاوز تجری فی الأجزاء المشکوکة المترتب علیها جزء آخر ولا تجری فی أصل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التزم المحقق النائینی بأنّ ملاک التجاوز عن الشی‌ء شامل للتجاوز عن محلّ الشی‌ء وعن أصل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فی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القول بجریان قاعدة التجاوز فی هذه الصورة أیضاً لصدق التجاوز عن الشی‌ء مع الانشغال بالتعقیبات، وعلیه فلا استبعاد لجریان القاعدة فی هذا الفرض أیضاً وإن کان لابدّ من الإتیان بالصلاة هنا من سائر الجهات ومع وجود سائر الأدلّة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حلّی ویتّضح بالفرق بین المقدمات والتوابع فإنّ الإقامة مترتبة علی الأذان شرعاً وتقع بعده ویکون الشکّ فی الأذان بعد الدخول فی الإقامة من صغریات قاعدة التجاوز بخلاف التعقیبات حیث یعتبر تقدیم التسلیم علیها دون تأخر التعقیبات عن التسلیم وعلیه فإنّ التعقیب لیس له محل معیّن مترتب علی التسلیم فی نظر الشارع فلا تجری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لم یحرز عنوان الفراغ وبالتالی لا تجری قاعدة الفراغ ویجب علی المکلّف أن یتدارک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للمحقق النائینی أن یجیب عن هذا الإشکال بأنّ الغرض من الإلحاق هو هذا المطلب بمعنی أنّنا نلحق الجزء غیر المترتب علی الجزء السابق شرعاً کالتعقیب بالمقدمات التی یتوفّر فیها الترتب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فالأوّلی فی النظر هو الإشکال الذی قدمنّاه نحن وهو أنّ لروایات التجاوز عنواناً تعبّدیاً فلا یمکننا التعدّی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التی ذکرها هی أنْ یشکّ المکلّف فی تسلیم الصلاة بعد إتیان الفعل المنافی المبطل للصلاة سواء کان ذلک الفعل عن عمد أم سهواً کالحدث أو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المحقق الخوئی والمحقق العراقی بعدم جریان القاعدة فی هذه الصورة أمّا المحقق النائینی فقد التزم بجریان هذه القاعدة فی هذه الصورة فی الدورة الأوّلی من الأصول لکنّه عدل عن ذلک فی الدورة الثانیة وهو قد ذکر وجهین علی جریان القاعدة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لجریان قاعدة التجاوز أنّ ترتّب الفعل المنافی علی التسلیم إنّما هو من أجل أنّ التسلیم له عنوان المحلّل ویکون ترتب المحلّل من باب ترتب المحلّل بالمحلّل، وبالتالی یصدق هنا التجاوز عن الشی‌ء والدخول فی غیره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المحقق النائینی إشکالًا علی هذا الوجه وهو أنّ القدر المتیقّن من أدلّة قاعدة التجاوز هو الدخول فی الغیر الذی یعتبر أحد أجزاء المرکّب أو ملحقاته فلا تشمل قاعدة التجاوز الدخول فی الغیر مطلقاً وبعبارة أخری أنّه لا یحصل لنا الظن فضلًا عن القطع بکفایة الدخول فی الغیر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لجریان قاعدة التجاوز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المبطل أثناء الصلاة لمّا کان موجباً لفسادها بل الأحوط وجوباً حرمته فلابدّ من أن یکون محلّه بعد التسلیم ویکون من الأجزاء ویکون من الأجزاء المترتبة علی الجزء الأخیر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جی‌ء بالمبطل وشک فی الجزء الأخیر صدق حینئذٍ العنوان الکلّی للشک فی الشی‌ء بعد الدخول فی غیره وجرتْ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جریان قاعدة التجاوز فهو أنّ المبطلیّة أثناء العمل أو حرمته مستلزمة لأن یکون المحل الشرعی للمبطل بعد الجزء الأخیر ولا یمکن أن یکون المبطل کالتعقیبات بحیث یکون محلّه الشرعی بعد الجزء الأخیر، وبینها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استقرب بعضهم الوجه الأوّل إذ لو فرضنا وقوع الفعل المبطل قبل التسلیم لم یمکن للمصلّی الإتیان بالتسلیم ولا بدّ من أن یکون محلّ التسلیم قبل المبطل، فلو شکّ فی التسلیم بعد إتیان الفعل المبطل کان ذلک من مصادیق الشکّ فی الشی‌ء بعد الدخول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هو أنّ القول بعدم الجریان هو الأقوی، إذ لا ملازمة بین عدم صحّة التسلیم بعد المبطل وبین کون محلّ التسلیم قبل المبطل ولا یمکن الالتزام بأنّ ما کان مبطلًا لشی‌ءٍ لابدّ أن یکون محلّ ذلک الشی‌ء شرعاً قبل المبطل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أنّه لو جاء المکلّف فی أثناء الصلاة بما یُبطل الصلاة کما لو جاء به قبل رکوعها فإنّ أحداً لم یلتزم هنا بأنّ محلّ الرکوع شرعاً هو قبل المبطل، هذا مع أنّ المبطل لا اختصاص له بالجزء الأخیر بل له عنوان المبطلیة بالنسبة لمجموع العمل، مع أنّ قاعدة التجاوز إنّما تجری فی الجزء المعیّن</w:t>
      </w:r>
    </w:p>
    <w:p>
      <w:pPr>
        <w:pStyle w:val="BookText"/>
        <w:rPr/>
      </w:pPr>
      <w:r>
        <w:rPr>
          <w:rFonts w:ascii="IRNazanin" w:hAnsi="IRNazanin" w:eastAsia="IRNazanin"/>
          <w:color w:val="111111"/>
          <w:sz w:val="28"/>
          <w:sz w:val="28"/>
          <w:szCs w:val="28"/>
          <w:rtl w:val="true"/>
          <w:lang w:bidi="fa-IR"/>
        </w:rPr>
        <w:t>المشکوک، وعلیه فالظاهر أنّ قاعدة التجاوز غیر جاریة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السید الخوئی</w:t>
      </w:r>
      <w:r>
        <w:rPr>
          <w:rStyle w:val="FootnoteAnchor"/>
          <w:rtl w:val="true"/>
        </w:rPr>
        <w:footnoteReference w:id="260"/>
      </w:r>
      <w:r>
        <w:rPr>
          <w:rFonts w:ascii="IRNazanin" w:hAnsi="IRNazanin" w:eastAsia="IRNazanin"/>
          <w:color w:val="111111"/>
          <w:sz w:val="28"/>
          <w:sz w:val="28"/>
          <w:szCs w:val="28"/>
          <w:rtl w:val="true"/>
          <w:lang w:bidi="fa-IR"/>
        </w:rPr>
        <w:t>إلی هذا الرأی إذ یعتبر فی جریان هذه القاعدة أن یکون الجزء المشکوک قبل الجزء الآخر من وجهة نظر الشارع مع أنّ تسلیم الصلاة لا یعتبر فیه أن یقع قبل إتیان المبطل عمداً کان أم سهواً وإن اعتبر فی صحّته عدم وقوع الفعل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تجری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وقوع الحدث قبل التسلیم یوجب فساد الصلاة کما یراه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قاعدة الفراغ هنا أمّا لو لم نلتزم بإبطاله للصلاة لم تبق لجریان قاعدة الفراغ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النائینی بعد أن التزم بعدم جریان قاعدة التجاوز فی هذا المورد بأنّ قاعدة الفراغ هی الجاریة هنا إذ یُعتبر فی جریان قاعدة الفراغ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عن الشی‌ء والفراغ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غیره المباین مع ذلک الشی‌ء وکلا الأمرین متوفر فیما نحن فیه فإنّ عنوان الدخول فی الغیر ثابت من أنّه لو أتی بفعل مستحب أو مباح وإن کان غیر مناف صدق عنوان الدخول فی الغیر فضلًا عن إتیان الفعل المنافی فإن عنوان التجاوز عن الشی‌ء صادق معه أیضاً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تحقق معظم الأجزاء کافٍ فی إحرازه ولا أثر لإحراز الجزء الأخیر کما یقول فی استمرار حدیثه بأنّه لا فرق فی جریان قاعدة الفراغ بین أن یکون الشکّ فی الجزء الأخیر إلی الشکّ فی بطلان العمل، کما لو شک فی الجزء الأخیر من الوضوء مع فوات شرط الموالاة أو لم یؤدِّ الشکّ فی الجزء الأخیر إلی الشکّ فی بطلان مجموع العمل کالشک فی غسل الطرف الأیسر فی الغُسل فیما لو کانت</w:t>
      </w:r>
    </w:p>
    <w:p>
      <w:pPr>
        <w:pStyle w:val="BookText"/>
        <w:rPr/>
      </w:pPr>
      <w:r>
        <w:rPr>
          <w:rFonts w:ascii="IRNazanin" w:hAnsi="IRNazanin" w:eastAsia="IRNazanin"/>
          <w:color w:val="111111"/>
          <w:sz w:val="28"/>
          <w:sz w:val="28"/>
          <w:szCs w:val="28"/>
          <w:rtl w:val="true"/>
          <w:lang w:bidi="fa-IR"/>
        </w:rPr>
        <w:t>عادة المکلّف أن یغسل جمیع الأعضاء فی الغسل دفعة واحدة ممّا توجب هذه العادة صدقَ عنوان التجاوز عن العمل ولمّا کان القطع بإتیان معظم الأجزاء حاصلًا جرت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یلاحظ علی نظریة المحقق النائینی هو أنّه ما الدلیل علی کفایة تحقق معظم الأجزاء فی جریان قاعدة الفراغ؟ بل الظاهر من أدلّة هذه القاعدة انصرافها إلی 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جریان قاعدة الفراغ الوارد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ملاک جریان قاعدة الفراغ هو إحراز الفراغ وعنوان المضیّ من العمل ولا یحرز هذا العنوان مع الشکّ فی تحقق الجزء الأخیر، یتابع السید الخوئی کلامه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لا نعتبر عنوان الدخول فی الغیر فی جریان قاعدة الفراغ، والمعتبر هو إحراز المضیّ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احتمل بعضهم أنّ المراد لیس المضیّ واقعاً وحقیقة، إذ لو اعتبرنا هذا العنوان لزم أن تکون هذه القاعدة لغواً وعبثاً ولا یکون لها أیّ مصداق إذ بمجرّد الشکّ فی صحّة العمل لا یکون عنوان المضی الواقعی قابلًا للإحراز، وعلیه فإنّ المراد بالمضیّ فی هذه القاعدة هو المضیّ بحسب الاعتقاد بمعنی أن یعتقد المصلّی بالفراغ من الصلاة حین اشتغاله بالتعقیب أو العمل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یری السید الحکیم</w:t>
      </w:r>
      <w:r>
        <w:rPr>
          <w:rStyle w:val="FootnoteAnchor"/>
          <w:rtl w:val="true"/>
        </w:rPr>
        <w:footnoteReference w:id="261"/>
      </w:r>
      <w:r>
        <w:rPr>
          <w:rFonts w:ascii="IRNazanin" w:hAnsi="IRNazanin" w:eastAsia="IRNazanin"/>
          <w:color w:val="111111"/>
          <w:sz w:val="28"/>
          <w:sz w:val="28"/>
          <w:szCs w:val="28"/>
          <w:rtl w:val="true"/>
          <w:lang w:bidi="fa-IR"/>
        </w:rPr>
        <w:t>بأنّ المضی الواقعی غیر مقصود فی المقام لأنّه بمعنی الفراغ من العمل الصحیح ومع هذا الوصف فلا معنی للشک أبداً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التحقیق أن المراد بالمضیّ هو مضیّ ذات العمل سواء علی نحو التام أو الناقص وسواء وقع صحیحاً أم فاسداً، وعلیه فإنّ المصلی یکون متیقّناً من الفراغ</w:t>
      </w:r>
      <w:bookmarkStart w:id="314" w:name="pg2935_29288"/>
    </w:p>
    <w:p>
      <w:pPr>
        <w:pStyle w:val="BookText"/>
        <w:rPr/>
      </w:pPr>
      <w:bookmarkEnd w:id="314"/>
      <w:r>
        <w:rPr>
          <w:rFonts w:ascii="IRNazanin" w:hAnsi="IRNazanin" w:eastAsia="IRNazanin"/>
          <w:color w:val="111111"/>
          <w:sz w:val="28"/>
          <w:sz w:val="28"/>
          <w:szCs w:val="28"/>
          <w:rtl w:val="true"/>
          <w:lang w:bidi="fa-IR"/>
        </w:rPr>
        <w:t>من ذات العمل فلا یمکن لنا أن نفسّر لفظ المضیّ بالمضیّ بحسب الاعتقاد</w:t>
      </w:r>
      <w:r>
        <w:rPr>
          <w:rFonts w:eastAsia="IRNazanin" w:cs="IRNazanin"/>
          <w:color w:val="111111"/>
          <w:sz w:val="28"/>
          <w:szCs w:val="28"/>
          <w:rtl w:val="true"/>
          <w:lang w:bidi="fa-IR"/>
        </w:rPr>
        <w:t>.</w:t>
      </w:r>
    </w:p>
    <w:p>
      <w:pPr>
        <w:pStyle w:val="Heading2"/>
        <w:numPr>
          <w:ilvl w:val="1"/>
          <w:numId w:val="1"/>
        </w:numPr>
        <w:rPr/>
      </w:pPr>
      <w:bookmarkStart w:id="315" w:name="__RefHeading___Toc80886_2749589250"/>
      <w:bookmarkStart w:id="316" w:name="_Toc122"/>
      <w:bookmarkEnd w:id="315"/>
      <w:r>
        <w:rPr>
          <w:rtl w:val="true"/>
        </w:rPr>
        <w:t>تحلیل نظریة صاحب منتقی الأصول</w:t>
      </w:r>
      <w:r>
        <w:rPr>
          <w:rtl w:val="true"/>
        </w:rPr>
        <w:t>:</w:t>
      </w:r>
      <w:bookmarkEnd w:id="316"/>
    </w:p>
    <w:p>
      <w:pPr>
        <w:pStyle w:val="Heading3"/>
        <w:numPr>
          <w:ilvl w:val="2"/>
          <w:numId w:val="1"/>
        </w:numPr>
        <w:rPr/>
      </w:pPr>
      <w:bookmarkStart w:id="317" w:name="__RefHeading___Toc80888_2749589250"/>
      <w:bookmarkStart w:id="318" w:name="_Toc123"/>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سلک بعض المحققین</w:t>
      </w:r>
      <w:r>
        <w:rPr>
          <w:rStyle w:val="FootnoteAnchor"/>
          <w:rtl w:val="true"/>
        </w:rPr>
        <w:footnoteReference w:id="262"/>
      </w:r>
      <w:r>
        <w:rPr>
          <w:rFonts w:ascii="IRNazanin" w:hAnsi="IRNazanin" w:eastAsia="IRNazanin"/>
          <w:color w:val="111111"/>
          <w:sz w:val="28"/>
          <w:sz w:val="28"/>
          <w:szCs w:val="28"/>
          <w:rtl w:val="true"/>
          <w:lang w:bidi="fa-IR"/>
        </w:rPr>
        <w:t>فی جریان القاعدة مسلکاً آخر یتوقف علی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المراد من الفراغ من الصلاة هو الاشتغال بغیرها لا إتمامها والانتهاء منها إذ هما مدلولان التزامیان للفراغ ولا یدلّان علیه بالمطابقة کما أنّ التعبیر بالفراغ لم یرد إلّا فی روایة زرارة المفصّلة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تفسیر الفراغ بأنْ لیس المراد من الفراغ إتمام العمل وأنهاءَه إذ أولًا هذا العنوان مدلول التزامی للفراغ ولیس مدلولًا مطابقیاً لأنّ الفراغ بمعنی الخلوّ یرادف إنهاء العمل وإتمامه، فی مقابل أثناء العمل وبینه، وعلیه فإنّ الفراغ إنّما یصدق علی الإتمام من جهة استلزامه للخلوّ وعدم الاشتغال بمعنی أنّ بعد إتمام العمل یکون المکلّف خالیاً من الاشتغال بالعمل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فإنّ عنوان الفراغ إنّما ورد فی روایة زرارة التی فرّقت بین الشکّ فی أثناء الوضوء والشک بعد الوضوء، ومن الواضح أنّ المقصود من الفراغ فی هذه الروایة هو الاشتغال بغیر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ویتابع المحقق المذکور کلامه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أغمضنا النظر عن هذا المطلب وفسرّنا الفراغ بمعنی الإتمام والإنهاء إلّا أنّ الإتمام حسبما نراه إنّما یتحقّق بإتیان معظم الأجزاء لأنّ المراد من الفراغ عن العمل هو الفراغ من العمل الصحیح أو الفاسد، ومن هنا صحّ کلّام المحقق النائینی حیث فسّر العمل بمعظم الأجزاء، ذلک لأنّ عنوان الإتمام والانتهاء عامّ یشمل ما لو تحقق معظم الأجزاء، وعلیه فلو دخل المصلّی فی قاطع الصلاة ثمّ</w:t>
      </w:r>
      <w:bookmarkStart w:id="319" w:name="pg2935_29289"/>
    </w:p>
    <w:p>
      <w:pPr>
        <w:pStyle w:val="BookText"/>
        <w:rPr/>
      </w:pPr>
      <w:bookmarkEnd w:id="319"/>
      <w:r>
        <w:rPr>
          <w:rFonts w:ascii="IRNazanin" w:hAnsi="IRNazanin" w:eastAsia="IRNazanin"/>
          <w:color w:val="111111"/>
          <w:sz w:val="28"/>
          <w:sz w:val="28"/>
          <w:szCs w:val="28"/>
          <w:rtl w:val="true"/>
          <w:lang w:bidi="fa-IR"/>
        </w:rPr>
        <w:t>شک فی صحتها جرت قاعدة الفراغ فیما لو أتی بمعظم الأجزاء ولیس هذا إلّا لأجل أنّ الإتمام بالمعنی الأعم من الصحیح والفاسد یصدق مع تحقق معظم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ما ذکره السید الخوئی فی تفسیر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فإنّ المحقق الخوئی فسرّ المضی من العمل بالفوت وعدم التدارک مع أنّ المضی معناه تحقق الفعل فی الزمان السابق ولذا لو دخل المکلّف فی الفعل المنافی بعد إتیان معظم الأجزاء لا یُفرّق بین أن یکون المنافی عمداً أم سهواً لصدق المعنیّ حین الانشغال بالعمل المنافی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لو سلّمنا بأنّ الفراغ من العمل هو الاشتغال بغیره استنتجنا بأنّ المراد من الفراغ هو الفراغ البنائی لا الفراغ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للفراغ أی الاشتغال بالغیر لا یمکن أن یتحقّق إلّا إذا بنی المکلّف علی تمامیة العمل، وبتعبیر أوضح فإنّ الفراغ الحقیقی بالمعنی المذکور آنفاً لا یتحقق إلّا مع البناء علی تمامیة العمل فطالما یکون المکلّف منشغلًا بالعمل نفسه وینوی ذلک فهو مشغول بذلک ولم یحصل له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یتّضح لنا أنّ لفظ الفراغ قد استعمل فی الفراغ الحقیقی ولیس هذا الاستعمال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هنا البحث أنّ الفراغ الحقیقی إنّما یتحقق بالفراغ البنائی</w:t>
      </w:r>
      <w:r>
        <w:rPr>
          <w:rFonts w:eastAsia="IRNazanin" w:cs="IRNazanin"/>
          <w:color w:val="111111"/>
          <w:sz w:val="28"/>
          <w:szCs w:val="28"/>
          <w:rtl w:val="true"/>
          <w:lang w:bidi="fa-IR"/>
        </w:rPr>
        <w:t>.</w:t>
      </w:r>
    </w:p>
    <w:p>
      <w:pPr>
        <w:pStyle w:val="Heading3"/>
        <w:numPr>
          <w:ilvl w:val="2"/>
          <w:numId w:val="1"/>
        </w:numPr>
        <w:rPr/>
      </w:pPr>
      <w:bookmarkStart w:id="320" w:name="__RefHeading___Toc80890_2749589250"/>
      <w:bookmarkStart w:id="321" w:name="_Toc124"/>
      <w:bookmarkEnd w:id="320"/>
      <w:r>
        <w:rPr>
          <w:rtl w:val="true"/>
        </w:rPr>
        <w:t>الإشکالات الواردة علی رأی صاحب منتقی الأصول</w:t>
      </w:r>
      <w:r>
        <w:rPr>
          <w:rtl w:val="true"/>
        </w:rPr>
        <w:t>:</w:t>
      </w:r>
      <w:bookmarkEnd w:id="321"/>
    </w:p>
    <w:p>
      <w:pPr>
        <w:pStyle w:val="BookText"/>
        <w:rPr/>
      </w:pPr>
      <w:r>
        <w:rPr>
          <w:rFonts w:ascii="IRNazanin" w:hAnsi="IRNazanin" w:eastAsia="IRNazanin"/>
          <w:color w:val="111111"/>
          <w:sz w:val="28"/>
          <w:sz w:val="28"/>
          <w:szCs w:val="28"/>
          <w:rtl w:val="true"/>
          <w:lang w:bidi="fa-IR"/>
        </w:rPr>
        <w:t>والظاهر أنّ هناک عدّة ملاحظات علی کلام صاحب منتقی الأصول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بالأمر الأوّل من الأمور الثلاثة المذکورة فی کلماته وهی أنّ</w:t>
      </w:r>
    </w:p>
    <w:p>
      <w:pPr>
        <w:pStyle w:val="BookText"/>
        <w:rPr/>
      </w:pPr>
      <w:r>
        <w:rPr>
          <w:rFonts w:ascii="IRNazanin" w:hAnsi="IRNazanin" w:eastAsia="IRNazanin"/>
          <w:color w:val="111111"/>
          <w:sz w:val="28"/>
          <w:sz w:val="28"/>
          <w:szCs w:val="28"/>
          <w:rtl w:val="true"/>
          <w:lang w:bidi="fa-IR"/>
        </w:rPr>
        <w:t>الاشتغال بغیر العمل لا علاقة له فی معنی الفراغ، وهناک موارد کثیرة یحصل فیها الفراغ من العمل من غیر أن ینشغل المکلّف بعمل آخر، فمثلًا من جاء بتسلیم الصلاة ثمّ شکّ مباشرة فی صحة الرکوع أو السجود فإنّ قاعدة الفراغ جاریة فی حقّه من دون أی محذور مع أنّ المکلّف لم یشتغل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عرفاً من الفراغ المذکور فی الروایات هو تمامیة العمل ولا بد من حمل لفظ الفراغ علی هذا المعنی وإن کان هذا المعنی مدلولًا التزامیاً للمعنی الأوّلی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فی جریان قاعدة الفراغ هو أنّ المصلّی لا بدّ له من أن یعتبر عمله تاماً بحیث یفرغ من ذات العمل، وعلیه فلو شک فی صحة بعض الأجزاء جرت فی حقه قاعدة الفراغ وإنْ لم یقطع بإتیان معظم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فلو شکّ فی التشهّد وهو فی الرکعة الأخیرة من الصلاة وقد أتی بمعظم الأجزاء لم یمکنه إجراء قاعدة الفراغ، وعلیه فإنّ ما التزم به تبعاً للمحقق النائینی من کفایة تحقق معظم الأجزاء فی جریان قاعدة الفراغ، أمر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قاله من أنّ تعبیر الفراغ إنمّا ورد فی روایة زرارة فقط من بین جمیع الروایات ولابدّ من أنّ یراد بالفراغ فی هذه الروایة الاشتغال بالغیر محلّ تعجب منه إذ ورد لفظ الفراغ فی عدة روایات أخری کصحیحة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شککت فیه بعدما تفرغ من صلاتک فامض ولا تعد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تسلیم الصلاة مع عدم انشغاله بالمبطل ومن جهة ثانیة لم یصدر منه سکوت طویل یؤدّی إلی فوات الموالاة فإنّ مقتضی قاعدتی</w:t>
      </w:r>
      <w:bookmarkStart w:id="322" w:name="pg2935_29291"/>
    </w:p>
    <w:p>
      <w:pPr>
        <w:pStyle w:val="BookText"/>
        <w:rPr/>
      </w:pPr>
      <w:bookmarkEnd w:id="322"/>
      <w:r>
        <w:rPr>
          <w:rFonts w:ascii="IRNazanin" w:hAnsi="IRNazanin" w:eastAsia="IRNazanin"/>
          <w:color w:val="111111"/>
          <w:sz w:val="28"/>
          <w:sz w:val="28"/>
          <w:szCs w:val="28"/>
          <w:rtl w:val="true"/>
          <w:lang w:bidi="fa-IR"/>
        </w:rPr>
        <w:t>الاشتغال والاستصحاب الإتیان بالتسلیم، ومن الواضح هنا عدم جریان قاعدة التجاوز لعدم تحقق موضوعها وهو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جریان قاعدة الفراغ أو عدم جریانها فقد احتمل بعضهم جریانها لأنّ هذا الشکّ إنمّا یرجع إلی أنّ المصلی هل یجوز له الاکتفاء بصلاة شکّ فی تسلیمها أو لا؟ فإنّ مقتضی قاعدة الفراغ الاکتفاء بصلاة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لیس بتام، لأنّ هذه النتیجة لقاعدة الفراغ إنّما هی فیما لو کان أصل جریان القاعدة أمراً مسلّماً مع احتمال عدم جریانها أمر وارد فی المقام لأنّ المصلّی لو لم یأت بالسّلام فإنّه لا یزال فی أثناء العمل ولا تجری هذه القاعدة فی أثناء العمل، وقد ذکرنا فیما سبق من الأبحاث بأنّ المعتبر فی جریان هذه القاعدة فراغ المکلّف من العمل ولا بد من تحقّق الفراغ العملی مع أنّ هذا العنوان لم یُحرزْ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یشکّ المکلّف فی تسلیم الصلاة ولم یفعل بعدُ ما یبطل الصلاة بل انشغل بما لا یبطلها کما لو بدأ بقراءة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هذه الصورة یظهر من حکم الصورة الثالثة</w:t>
      </w:r>
      <w:r>
        <w:rPr>
          <w:rFonts w:eastAsia="IRNazanin" w:cs="IRNazanin"/>
          <w:color w:val="111111"/>
          <w:sz w:val="28"/>
          <w:szCs w:val="28"/>
          <w:rtl w:val="true"/>
          <w:lang w:bidi="fa-IR"/>
        </w:rPr>
        <w:t>.</w:t>
      </w:r>
    </w:p>
    <w:p>
      <w:pPr>
        <w:pStyle w:val="Heading2"/>
        <w:numPr>
          <w:ilvl w:val="1"/>
          <w:numId w:val="1"/>
        </w:numPr>
        <w:rPr/>
      </w:pPr>
      <w:bookmarkStart w:id="323" w:name="__RefHeading___Toc80892_2749589250"/>
      <w:bookmarkStart w:id="324" w:name="_Toc125"/>
      <w:bookmarkEnd w:id="323"/>
      <w:r>
        <w:rPr>
          <w:rtl w:val="true"/>
        </w:rPr>
        <w:t>جریان قاعدة الفراغ والتجاوز عند الشکّ فی صحّة الأجزاء</w:t>
      </w:r>
      <w:r>
        <w:rPr>
          <w:rtl w:val="true"/>
        </w:rPr>
        <w:t>:</w:t>
      </w:r>
      <w:bookmarkEnd w:id="3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ظهر لنا حکم جریان قاعدة التجاوز عند الشکّ فی أصل وجود الجزء کالشک فی أصل وجود الرکوع بعد الدخول فی السجود أو الشکّ فی أصل وجود القراءة بعد الدخول فی الرکوع ولا إشکال فی ذلک وإنّما النزاع والإشکال فی جریان هذه القاعدة فیما لو شک فی صحّة الجزء بسبب احتمال الخلل فی شروط ذلک الجزء کما لو شک المکلّف أثناء السجود فی أنّه هل کان رکوعه المأتی به صحیحاً أو کان فاسداً بسبب عدم شموله علی الطمأنینة فهل</w:t>
      </w:r>
    </w:p>
    <w:p>
      <w:pPr>
        <w:pStyle w:val="BookText"/>
        <w:rPr/>
      </w:pPr>
      <w:r>
        <w:rPr>
          <w:rFonts w:ascii="IRNazanin" w:hAnsi="IRNazanin" w:eastAsia="IRNazanin"/>
          <w:color w:val="111111"/>
          <w:sz w:val="28"/>
          <w:sz w:val="28"/>
          <w:szCs w:val="28"/>
          <w:rtl w:val="true"/>
          <w:lang w:bidi="fa-IR"/>
        </w:rPr>
        <w:t>یمکن الحکم بالصحّة فی هذه الموارد تمسکاً بقاعدة التجاوز؟</w:t>
      </w:r>
    </w:p>
    <w:p>
      <w:pPr>
        <w:pStyle w:val="BookText"/>
        <w:rPr/>
      </w:pPr>
      <w:r>
        <w:rPr>
          <w:rFonts w:ascii="IRNazanin" w:hAnsi="IRNazanin" w:eastAsia="IRNazanin"/>
          <w:color w:val="111111"/>
          <w:sz w:val="28"/>
          <w:sz w:val="28"/>
          <w:szCs w:val="28"/>
          <w:rtl w:val="true"/>
          <w:lang w:bidi="fa-IR"/>
        </w:rPr>
        <w:t>نجیب عن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لو جعلنا قاعدتی الفراغ والتجاوز قاعدة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 ذلک المحقق البجنوردی والإمام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التزمنا بعدم التفریق بین الشکّ فی صحّة الکلّ والشک فی صحّة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المستفاد من الروایات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الکلّی والقاعدة العامّة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الاعتناء بالشکّ بعد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الکلّی یشمل الأجزاء کما یشمل کلّ العمل أی سواء کان الشکّ بعد الفراغ من العمل أم بعد التجاوز من محل الشی‌ء، وسواء کان الشکّ فی أصل وجود ذلک الجزء أم کان الشکّ فی صحة الجزء المأتی به فإنّ هذه الموارد کلّها مشمولة للحکم الکلّی المستفاد من قاعدة 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نعتبرهما قاعدة واحدة کما ارتأینا ذلک وقلنا بأنّ قاعدة الفراغ متعلّقة بکلّ العمل وبما بعد العمل، بینما تختصّ قاعدة التجاوز بالشک فی الأجزاء وبأثناء العمل فمن المشکل إجراء قاعدة التجاوز عند الشکّ فی صحّة الجزء لأنّ أخبار قاعدة التجاوز ظاهرة فی الشکّ فی أصل وجود الجزء لا فی صحّته بعد الفراغ من أصل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وإن کان لها ظهور بدوی فی الشکّ فی أصل وجود الجزء إلّا أنّنا نحکم من خلال تنقیح المناط بعدم التفریق بین الشکّ فی أصل وجود الجزء والشک فی صحّته، بل ربّما یدّعی الأولویّة هنا، لأنّ الشکّ فی أصل الوجود إذا کان داخلًا فی القاعدة فإنّ الشکّ فی صحة الجزء بعد الفراغ من وجوده یکون داخلًا فی القاعدة بطریق أولی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وقد شکّک بعض الأعاظم فی هذا الدلیل من جهة أنّ هذه الأولویّة لو</w:t>
      </w:r>
    </w:p>
    <w:p>
      <w:pPr>
        <w:pStyle w:val="BookText"/>
        <w:rPr/>
      </w:pPr>
      <w:r>
        <w:rPr>
          <w:rFonts w:ascii="IRNazanin" w:hAnsi="IRNazanin" w:eastAsia="IRNazanin"/>
          <w:color w:val="111111"/>
          <w:sz w:val="28"/>
          <w:sz w:val="28"/>
          <w:szCs w:val="28"/>
          <w:rtl w:val="true"/>
          <w:lang w:bidi="fa-IR"/>
        </w:rPr>
        <w:t>کانت أولویة قطعیة لأمکن قبولها لکن لمّا کانت قاعدة التجاوز أمراً تعبّدیاً شرعیاً ولا یمکن تحصیل القطع بالملاک فی الأمور التعبّدیة فإن الأولویّة المذکورة لا تکون قطعیة ولا یصحّ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 قاعدة الفراغ فی هذا البحث ففیه رأیان فقد ذهب بعض الأعاظم إلی عدم جریان قاعدة الفراغ فی هذا الفرع لأنّها مختصّة بما إذا شک المکلّف فی صحّة مجموع العمل بعد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تمسّک بعض آخر من الأعاظم کالمحقق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وبعض تلامذته بإطلاق موثّقة ابن بکیر فی هذا الفرض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شککت فیه ممّا قد مضی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 یشمل الجزء کما یشمل کلّ العمل ومن هنا فإنّهم صرّحوا بأنّ قاعدة الفراغ کما تجری عند الشک فی صحّة کلّ العمل کذلک تجری عند الشک فی صحّة الجزء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هذا الاستدلال غیر تام أولًا لأنّا قد ذکرنا مراراً بأنّ لفظة 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ولیست تبعیضیة والفاعل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لا إطلاق لهذه الروایة وعلیه فلا تجری قاعدة الفراغ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إطلاق هذه الروایة إلّا أنّ هناک تعبیرات فی الروایات الأخری فی هذا الباب تکون مقیّدة لإطلاق هذه الروایة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تفرغ من صلاتک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ینصرف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صلّی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التعبیر بالأذکریة المذکور فی روایات الفراغ له ظهور فیما بعد العمل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تکون مختصّة بما بعد العمل ولا تجری فی الشک فی صحّة الأجزاء أثناء العمل</w:t>
      </w:r>
      <w:r>
        <w:rPr>
          <w:rFonts w:eastAsia="IRNazanin" w:cs="IRNazanin"/>
          <w:color w:val="111111"/>
          <w:sz w:val="28"/>
          <w:szCs w:val="28"/>
          <w:rtl w:val="true"/>
          <w:lang w:bidi="fa-IR"/>
        </w:rPr>
        <w:t>.</w:t>
      </w:r>
      <w:bookmarkStart w:id="325" w:name="pg2935_29294"/>
    </w:p>
    <w:p>
      <w:pPr>
        <w:pStyle w:val="BookText"/>
        <w:rPr/>
      </w:pPr>
      <w:bookmarkEnd w:id="325"/>
      <w:r>
        <w:rPr>
          <w:rFonts w:ascii="IRNazanin" w:hAnsi="IRNazanin" w:eastAsia="IRNazanin"/>
          <w:color w:val="111111"/>
          <w:sz w:val="28"/>
          <w:sz w:val="28"/>
          <w:szCs w:val="28"/>
          <w:rtl w:val="true"/>
          <w:lang w:bidi="fa-IR"/>
        </w:rPr>
        <w:t>الرأی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استفدناه من روایات قاعدة الفراغ والتجاوز من الفرق بین القاعدتین حیث إنّ قاعدة الفراغ مختصّة بالشک فیما بعد العمل وقاعدة التجاوز بالشک فی أثناء العمل وأنکرنا نظریة المشهور فی الفرق بین القاعدتین من جهة أنّ مورد قاعدة التجاوز هو الشک فی أصل الوجود ومورد قاعدة الفراغ هو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نستنتج أنّ قاعدة التجاوز تجری فی الشک أثناء العمل مطلقاً سواءً کان الشک فی وجود الشی‌ء أم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داعی حینئذٍ إلی تنقیح المناط والأولویة فی البحث</w:t>
      </w:r>
      <w:r>
        <w:rPr>
          <w:rFonts w:eastAsia="IRNazanin" w:cs="IRNazanin"/>
          <w:color w:val="111111"/>
          <w:sz w:val="28"/>
          <w:szCs w:val="28"/>
          <w:rtl w:val="true"/>
          <w:lang w:bidi="fa-IR"/>
        </w:rPr>
        <w:t>.</w:t>
      </w:r>
    </w:p>
    <w:p>
      <w:pPr>
        <w:pStyle w:val="Heading2"/>
        <w:numPr>
          <w:ilvl w:val="1"/>
          <w:numId w:val="1"/>
        </w:numPr>
        <w:rPr/>
      </w:pPr>
      <w:bookmarkStart w:id="326" w:name="__RefHeading___Toc80894_2749589250"/>
      <w:bookmarkStart w:id="327" w:name="_Toc126"/>
      <w:bookmarkEnd w:id="326"/>
      <w:r>
        <w:rPr>
          <w:rtl w:val="true"/>
        </w:rPr>
        <w:t>ما المراد من المحلّ فی قاعدة التجاوز؟</w:t>
      </w:r>
      <w:bookmarkEnd w:id="327"/>
    </w:p>
    <w:p>
      <w:pPr>
        <w:pStyle w:val="BookText"/>
        <w:rPr/>
      </w:pPr>
      <w:r>
        <w:rPr>
          <w:rFonts w:ascii="IRNazanin" w:hAnsi="IRNazanin" w:eastAsia="IRNazanin"/>
          <w:color w:val="111111"/>
          <w:sz w:val="28"/>
          <w:sz w:val="28"/>
          <w:szCs w:val="28"/>
          <w:rtl w:val="true"/>
          <w:lang w:bidi="fa-IR"/>
        </w:rPr>
        <w:t>لابدّ من قاعدة التجاوز من التجاوز عن المحلّ والسؤال هنا هو إنّه ما معنی التجاوز عن المحل؟ وما معنی المحلّ؟</w:t>
      </w:r>
    </w:p>
    <w:p>
      <w:pPr>
        <w:pStyle w:val="BookText"/>
        <w:rPr/>
      </w:pPr>
      <w:r>
        <w:rPr>
          <w:rFonts w:ascii="IRNazanin" w:hAnsi="IRNazanin" w:eastAsia="IRNazanin"/>
          <w:color w:val="111111"/>
          <w:sz w:val="28"/>
          <w:sz w:val="28"/>
          <w:szCs w:val="28"/>
          <w:rtl w:val="true"/>
          <w:lang w:bidi="fa-IR"/>
        </w:rPr>
        <w:t>ذُکِرَ فی الجواب عن هذا السؤال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بالمحل هو المحل الشرعی المقرر الذی حدّده وعیّنه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هو المحلّ العقلی فإنّ العقل یجعل للأشیاء والأشیاء محلًا معیناً عن طریق الملاکات المختلفة فعلی سبیل المثال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الوضع اللغوی لهذه الهیئة الترکیبیة یکون لفظ الجلالة مقدّماً فیها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بالمحلّ العقلی هو المحلّ الذی لم یتعیّن من قبل الشارع بل تعیّن وفقاً لضابطة أخری کالقانون الوضعی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بالمحلّ هو المحلّ العادی وهو ما تحقّق بحسب العادة سواء کانت عادةً شخصیة أم نوعیة، فمثلًا من کانت عادته التوضؤ</w:t>
      </w:r>
    </w:p>
    <w:p>
      <w:pPr>
        <w:pStyle w:val="BookText"/>
        <w:rPr/>
      </w:pPr>
      <w:r>
        <w:rPr>
          <w:rFonts w:ascii="IRNazanin" w:hAnsi="IRNazanin" w:eastAsia="IRNazanin"/>
          <w:color w:val="111111"/>
          <w:sz w:val="28"/>
          <w:sz w:val="28"/>
          <w:szCs w:val="28"/>
          <w:rtl w:val="true"/>
          <w:lang w:bidi="fa-IR"/>
        </w:rPr>
        <w:t>بعد کلّ حدثٍ أصغر، فلو صدر منه الحدث الأصغر ومضی علیه نصف ساعةٍ مثلًا فهل تجری فی حقّه قاعدة التجاوز؟ وبالنسبة إلی هذه الاحتمالات وجریان قاعدة التجاوز فیها لابدّ من القول بأنّ قاعدة التجاوز جاریة من غیر شکّ وتردید فیما تجاوز محلّه الشرعی فإنّ محل الرکوع فی الصلاة قبل السجود، فلو شکّ المصلّی حال السجود فی إتیان الرکوع جرت فی حقّه قاعدة التجاوز لمضیّ محلّ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الاحتمالین الثانی والثالث فهل تجری قاعدة التجاوز مع تجاوز المحلّ العقلی أو العادی أولا؟</w:t>
      </w:r>
    </w:p>
    <w:p>
      <w:pPr>
        <w:pStyle w:val="BookText"/>
        <w:rPr/>
      </w:pPr>
      <w:r>
        <w:rPr>
          <w:rFonts w:ascii="IRNazanin" w:hAnsi="IRNazanin" w:eastAsia="IRNazanin"/>
          <w:color w:val="111111"/>
          <w:sz w:val="28"/>
          <w:sz w:val="28"/>
          <w:szCs w:val="28"/>
          <w:rtl w:val="true"/>
          <w:lang w:bidi="fa-IR"/>
        </w:rPr>
        <w:t xml:space="preserve">فقد بیّنا بالنسبة إلی المحل العقلی بأنّ العقل بنفسه لا یعیّن محلّ الأشیاء والأجزاء بوجه من الوجوه بل یحکم بوجوب مراعاة القانون والضابط الموجود فی المقام، وبالتالی یرجع المحلّ العقلی إلی المحلّ الشرعی فإنّ القانون فی المقام قد یکون هو الشرع کما لو عیّن الشارع محلّ الرکوع فی الصلاة، وقد یکون هو الوضع کما لو حکم الوضع بتقدیم لفظ الجلالة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المحل العادی فقد مثّلنا له بمن کانت عادته التوضؤ بعد الحدث الأصغر فإنّ محلّ الوضوء العادی یکون بعد الحدث الأصغر فلو شک هذا الشخص بعد مضی نصف ساعة علی الحدث الأصغر فی أنّه هل توضأ أو لا فهل تجری فی حقه قاعدة التجاوز من جهة تجاوز محلّ الوضوء العادی عنده؟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أظهر الشیخ الأنصاری</w:t>
      </w:r>
      <w:r>
        <w:rPr>
          <w:rStyle w:val="FootnoteAnchor"/>
          <w:rtl w:val="true"/>
        </w:rPr>
        <w:footnoteReference w:id="264"/>
      </w:r>
      <w:r>
        <w:rPr>
          <w:rFonts w:ascii="IRNazanin" w:hAnsi="IRNazanin" w:eastAsia="IRNazanin"/>
          <w:color w:val="111111"/>
          <w:sz w:val="28"/>
          <w:sz w:val="28"/>
          <w:szCs w:val="28"/>
          <w:rtl w:val="true"/>
          <w:lang w:bidi="fa-IR"/>
        </w:rPr>
        <w:t>تأملّه فی ذلک وذکر أدلّة علی جریان قاعدة التجاوز وأخری علی عدم جریأنّها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دلیلین علی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الإطلاق حیث إنّ إطلاق روایات الباب یشمل التجاوز عن المحلّ العادی أیضاً فإنّ المراد بالشی‌ء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جاوزت عن شی‌ءٍ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التعلیل الوارد فی روایة زرارة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حین یتوضأ أذکر منه حین یشکّ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r>
        <w:rPr>
          <w:rFonts w:ascii="IRNazanin" w:hAnsi="IRNazanin" w:eastAsia="IRNazanin"/>
          <w:color w:val="111111"/>
          <w:sz w:val="28"/>
          <w:sz w:val="28"/>
          <w:szCs w:val="28"/>
          <w:rtl w:val="true"/>
          <w:lang w:bidi="fa-IR"/>
        </w:rPr>
        <w:t>یری الشیخ أنّ هذا التعلیل یدلّ علی أنّ الظاهر هو المقدّم فیما لو دار الأمر بین الظاهر والأصل، فمثلًا من توضأ ثمّ شکّ بعد الانتهاء من الوضوء فی أنّه هل مسح رأسه أولا؟ فإنّ الأصل عدم إتیان المسح فلابدّ له من الإتیان بالمسح ثانیة لکنّ ظاهر حال المکلّف فی مقام امتثال أمر المولی یشهد بأنّ المکلّف قد جاء بجمیع الأجزاء والشرائط، وبعبارة أخری فإن الظاهر علی إتیان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التعلیل یدلّ علی أنّ الظاهر مقدّم علی الأصل فیما لو تعارضا حتی لو کان منشأ هذا الظهور عادة المکلّف</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هذان الدلیلان ذکرهما الشیخ علی جریان قاعدة التجاوز فی التجاوز عن المحل العادی لکنه یذکر دلیلین آخرین علی عدم جریان القاعدة فی المقام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ذلک یستلزم إحداث فقه جدید حیث لم یُفتِ أحدٌ من الفقهاء بأنّ من کانت عادته أن یتوضأ بعد الحدث الأصغر وشک بعد مرور نصف ساعة علی الحدث فی أنّه هل توضأ بعد ذلک الحدث الأصغر أولا حُکِمَ</w:t>
      </w:r>
      <w:bookmarkStart w:id="328" w:name="pg2935_29297"/>
    </w:p>
    <w:p>
      <w:pPr>
        <w:pStyle w:val="BookText"/>
        <w:rPr/>
      </w:pPr>
      <w:bookmarkEnd w:id="328"/>
      <w:r>
        <w:rPr>
          <w:rFonts w:ascii="IRNazanin" w:hAnsi="IRNazanin" w:eastAsia="IRNazanin"/>
          <w:color w:val="111111"/>
          <w:sz w:val="28"/>
          <w:sz w:val="28"/>
          <w:szCs w:val="28"/>
          <w:rtl w:val="true"/>
          <w:lang w:bidi="fa-IR"/>
        </w:rPr>
        <w:t>علی أنه متطهرٌ وجاز له الدخول فی الصلاة</w:t>
      </w:r>
      <w:r>
        <w:rPr>
          <w:rStyle w:val="FootnoteAnchor"/>
          <w:rtl w:val="true"/>
        </w:rPr>
        <w:footnoteReference w:id="267"/>
      </w:r>
      <w:r>
        <w:rPr>
          <w:rFonts w:ascii="IRNazanin" w:hAnsi="IRNazanin" w:eastAsia="IRNazanin"/>
          <w:color w:val="111111"/>
          <w:sz w:val="28"/>
          <w:sz w:val="28"/>
          <w:szCs w:val="28"/>
          <w:rtl w:val="true"/>
          <w:lang w:bidi="fa-IR"/>
        </w:rPr>
        <w:t>، وعلیه فإنّ إجراء قاعدة التجاوز فی التجاوز عن المحل العادی مستلزم لتأسیس فقه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جریان القاعدة فی المقام یخالف الاطلاقات الکثیرة الدالة علی وجوب الإتیان بالوضوء کلّما شک المکلّف قبل الصلاة فی أنّه هل توضأ أولا سواء کانت عادة المکلّف أن یتوضأ بعد کلّ حدث أصغر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الشیخ الأنصاری رأی أنّ الأمر مشکل وأمر بالتأمل فهو متوقف عملیاً ولا بد حینئذٍ من الرجوع إلی أصل الاستصحاب</w:t>
      </w:r>
      <w:r>
        <w:rPr>
          <w:rFonts w:eastAsia="IRNazanin" w:cs="IRNazanin"/>
          <w:color w:val="111111"/>
          <w:sz w:val="28"/>
          <w:szCs w:val="28"/>
          <w:rtl w:val="true"/>
          <w:lang w:bidi="fa-IR"/>
        </w:rPr>
        <w:t>.</w:t>
      </w:r>
    </w:p>
    <w:p>
      <w:pPr>
        <w:pStyle w:val="Heading2"/>
        <w:numPr>
          <w:ilvl w:val="1"/>
          <w:numId w:val="1"/>
        </w:numPr>
        <w:rPr/>
      </w:pPr>
      <w:bookmarkStart w:id="329" w:name="__RefHeading___Toc80896_2749589250"/>
      <w:bookmarkStart w:id="330" w:name="_Toc127"/>
      <w:bookmarkEnd w:id="329"/>
      <w:r>
        <w:rPr>
          <w:rtl w:val="true"/>
        </w:rPr>
        <w:t>أدلة اختصاص القاعدة بالمحل الشرعی</w:t>
      </w:r>
      <w:r>
        <w:rPr>
          <w:rtl w:val="true"/>
        </w:rPr>
        <w:t>:</w:t>
      </w:r>
      <w:bookmarkEnd w:id="330"/>
    </w:p>
    <w:p>
      <w:pPr>
        <w:pStyle w:val="BookText"/>
        <w:rPr/>
      </w:pPr>
      <w:r>
        <w:rPr>
          <w:rFonts w:ascii="IRNazanin" w:hAnsi="IRNazanin" w:eastAsia="IRNazanin"/>
          <w:color w:val="111111"/>
          <w:sz w:val="28"/>
          <w:sz w:val="28"/>
          <w:szCs w:val="28"/>
          <w:rtl w:val="true"/>
          <w:lang w:bidi="fa-IR"/>
        </w:rPr>
        <w:t>وهناک أدلّة أخری یستفاد منها أنّ قاعدة التجاوز مختصّة بالتجاوز عن المحل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فی مسألة تعدّد القاعدتین أنّ المستند الوحید لقاعدة التجاوز هی الروایات، ومن هنا کانت هذه القاعدة أمراً تعبدیّاً شرعیاً، وبالرجوع إلی روایات قاعدة التجاوز یتّضح لنا أنّ المحلّ العادی لم یذکر فی أیة واحدةٍ من تلک الروایات، والمذکور فی جمیع الروایات هو التجاوز عن المحل الشرعی، وقد ذکرنا سابقاً أنّ کثرة الأمثلة توجب تحدید الضابطة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المحقق النائینی القائل بحکومة روایات قاعدة التجاوز علی روایات قاعدة الفراغ وإلحاق الشک فی الجزء بالشک فی الکلّ فإنّ</w:t>
      </w:r>
      <w:bookmarkStart w:id="331" w:name="pg2935_29298"/>
    </w:p>
    <w:p>
      <w:pPr>
        <w:pStyle w:val="BookText"/>
        <w:rPr/>
      </w:pPr>
      <w:bookmarkEnd w:id="331"/>
      <w:r>
        <w:rPr>
          <w:rFonts w:ascii="IRNazanin" w:hAnsi="IRNazanin" w:eastAsia="IRNazanin"/>
          <w:color w:val="111111"/>
          <w:sz w:val="28"/>
          <w:sz w:val="28"/>
          <w:szCs w:val="28"/>
          <w:rtl w:val="true"/>
          <w:lang w:bidi="fa-IR"/>
        </w:rPr>
        <w:t>الحکومة لمّا کانت أمراً تعبّدیاً فلابدّ من الالتزام بدائرة التعبّد الدالة علی المحل الشرعی فقط وإن کنّا قد ناقشنا مبنی المحقق النائینی هذا فی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المشرّع إذا عین محلًا لأفعال قد أوجبها هو ثمّ أعطانا قاعدة کلّیّة بأنّه کلّما تجاوز عن محل تلک الأفعال ثمّ شککتم فیها لم یجب الاعتناء بها فإنّ العرف والعقلاء إنّما یفهمون من هذا المحلّ ذلک الذی ذکره المشرّع نفسه لا المحل العادی بحسب عادة الشخص أو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القول بجریان قاعدة التجاوز فی التجاوز عن المحلّ العادی لإطلاق الأدلة مشکل وغیر قابل للقبول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2" w:name="__RefHeading___Toc80898_2749589250"/>
      <w:bookmarkStart w:id="333" w:name="_Toc128"/>
      <w:bookmarkEnd w:id="332"/>
      <w:r>
        <w:rPr>
          <w:rtl w:val="true"/>
        </w:rPr>
        <w:t>ما المراد بالغیر فی قاعدة التجاوز؟</w:t>
      </w:r>
      <w:bookmarkEnd w:id="333"/>
    </w:p>
    <w:p>
      <w:pPr>
        <w:pStyle w:val="BookText"/>
        <w:rPr/>
      </w:pPr>
      <w:r>
        <w:rPr>
          <w:rFonts w:ascii="IRNazanin" w:hAnsi="IRNazanin" w:eastAsia="IRNazanin"/>
          <w:color w:val="111111"/>
          <w:sz w:val="28"/>
          <w:sz w:val="28"/>
          <w:szCs w:val="28"/>
          <w:rtl w:val="true"/>
          <w:lang w:bidi="fa-IR"/>
        </w:rPr>
        <w:t xml:space="preserve">مما وقع فیه الخلاف فی بحث قاعدة التجاوز هو أنّه ما المراد من الغیر الذی لابدّ من الدخول فیه فی قاعدة التجاوز؟ وهل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بمعنی أن التجاوز عن الشی‌ء إنّما یتحقّق بالدخول فی الغیر ولولا الدخول فی الغیر لما حصل التجاوز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التجاوز عن المحل عنوان مستقل سواء حصل الدخول فی الغیر أم لم یحصل؟</w:t>
      </w:r>
    </w:p>
    <w:p>
      <w:pPr>
        <w:pStyle w:val="BookText"/>
        <w:rPr/>
      </w:pPr>
      <w:r>
        <w:rPr>
          <w:rFonts w:ascii="IRNazanin" w:hAnsi="IRNazanin" w:eastAsia="IRNazanin"/>
          <w:color w:val="111111"/>
          <w:sz w:val="28"/>
          <w:sz w:val="28"/>
          <w:szCs w:val="28"/>
          <w:rtl w:val="true"/>
          <w:lang w:bidi="fa-IR"/>
        </w:rPr>
        <w:t>المستفاد من کلمات الشیخ الأعظم الأنصاری هو أنّ الدخول فی الغیر قد یکون محصّلًا للتجاوز، وقد یحصل التجاوز من غیر أن یحصل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یتّضح هذا البحث لابدّ من توضیح المراد من الغیر، فهل المراد به هو الغیر الذی یترتّب علی الجزء المشکوک شرعاً أو أنّ المراد به مطلق الغیر والجزء التالی وإن لم یترتب شرعاً علی الجزء المشکوک؟ فإنّ السجود فی الصلاة جزءٌ مترتّب شرعاً علی الرکوع مع أنّ العمل الواقع قبل السجود أی الهویّ إلیه جزء آخر غیر مترتّب شرعاً علی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هل یراد بالغیر الأجزاء الأصلیة کالرکوع والسجود والقیام أو أنّه یشمل الأجزاء غیر الأصلیة أیضاً کالهویّ إلی السجود والنهوض للقیام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یری أنّ المراد به هو الأجزاء الأصلیة للعمل وهو ظاهر صحیحة إسماعیل بن جابر إذ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الروایة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شک فی الرکوع بعدما سجد فلیمض وإن شک فی السجود بعدما قام فلیمض</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العبارة مقدّمة للقاعدة الکلّیّة المذکورة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الأعظم بأنّ صدر الروایة فی صدد تشخیص المصادیق بینما یبیّن ذیل الروایة قاعدتها الکلّیّة أی أنّ المراد من الدخول فی الغیر هو الدخول فی الأجزاء الأصلیة یعنی الغیر الذی رتّبه الشارع علی الجزء المشکوک کالرکوع والسجود والقیام لا أیّ جزء وإنْ لم یکن أصلیاً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فمن شک حال الهویّ إلی السجود فی أنّه هل رکع أو لا یجب علیه الاعتناء بشکه ولابد من الإتیان بالرکوع ولا تجری حینئذٍ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الرأی روایة أخری یسأل فیها الراوی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رجل رفع رأسه من السجود فشک قبل أن یستوی جالساً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نهض من سجود فشکّ قبل أن یستوی قائماً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صریحة فی أنّ الدخول فی الأجزاء غیر الأصلیة غیر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المحقق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الأصفهانی فی مقابل الشیخ الأنصاری بأنّ الموارد والأمثلة المذکورة فی صدر الروایة لیست لتحدید القاعدة الکلّیّة المذکورة فی ذیل الروایة بل ذُکرت من باب الأمثلة توطئةً لذکر القاعدة الکلّیة</w:t>
      </w:r>
      <w:r>
        <w:rPr>
          <w:rStyle w:val="FootnoteAnchor"/>
          <w:rtl w:val="true"/>
        </w:rPr>
        <w:footnoteReference w:id="272"/>
      </w:r>
      <w:r>
        <w:rPr>
          <w:rFonts w:ascii="IRNazanin" w:hAnsi="IRNazanin" w:eastAsia="IRNazanin"/>
          <w:color w:val="111111"/>
          <w:sz w:val="28"/>
          <w:sz w:val="28"/>
          <w:szCs w:val="28"/>
          <w:rtl w:val="true"/>
          <w:lang w:bidi="fa-IR"/>
        </w:rPr>
        <w:t>وعلیه فإنّه یری أنّ قاعدة التجاوز تجری فی الأجزاء غیر الأصلیة أیضاً، فلو شک المکلّف حال الهویّ إلی السجود فی أنّه هل رکع أولا یجب علیه الإتیان بالرکوع</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ردّاً علی المحقق الأصفهانی بأنّه لو کان الأمر کما تقولون فلِمَ لم یمثّلْ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بالأجزاء غیر الأصلیة فلا أقلّ من ذکر مثال واحد علی ذلک؟ ألیس عدم ذکره دلیلًا علی عدم جریان القاعدة فی الأجزاء غیر الأصلیة؟</w:t>
      </w:r>
    </w:p>
    <w:p>
      <w:pPr>
        <w:pStyle w:val="BookText"/>
        <w:rPr/>
      </w:pPr>
      <w:r>
        <w:rPr>
          <w:rFonts w:ascii="IRNazanin" w:hAnsi="IRNazanin" w:eastAsia="IRNazanin"/>
          <w:color w:val="111111"/>
          <w:sz w:val="28"/>
          <w:sz w:val="28"/>
          <w:szCs w:val="28"/>
          <w:rtl w:val="true"/>
          <w:lang w:bidi="fa-IR"/>
        </w:rPr>
        <w:t>وقد التفت المحقق الأصفهانی إلی هذا الإشکال 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یذکر هذه الموارد فی صدر الروایة لندرة وجودها فإنّ الشک فی إتیان الرکوع وعدمه عادةً یقع حال السجود ولا یقع لمن هو فی حالة الهویّ إلی السجود وقبل وضع الجبهة علی ما یصحّ السجود لقرب عهده من الجزء المشکوک فهذا الشک الذی منشؤه الغفلة غالباً ما یقع فی السجود والجزء التالی للسجود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فی مقام الإشکال علی الشیخ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قبول کلام الشیخ الأنصاری یوجب الاکتفاء بتلک الموارد والأمثلة المذکورة فی صدر الروایة من غیر إمکانیة التعدّی إلی 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بأنّ ذکر موردی الشک إنّما هو من باب التمثیل ولا اختصاص بهذین الموردین بل لو شککنا حالة القیام بأنّه هل کبّرنا أولا، لابدّ من عدم الاعتناء بهذا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ثانیة لو التزمنا بوجوب حمل الغیر علی التحدید وفکّکنا بالتالی بین موضوع الشک من جهة ومعنی الغیر من جهة أخری فإنّ هذا التفکیک لا دلیل علیه بل هو تحکّم محض</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أخیراً بأنّ هناک روایات تدلّ علی أنّ الدخول فی مقدمات الأفعال والأجزاء غیر الأصلیة کافٍ ویوافق القاعدة کروایة عبد الرحمن حیث یسأل</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اهوی إلی السجود فلم یدر أرکع أم لم 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روایة عبد الرحمن الأخری یسأل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رفع رأسه من السجود فشک قبل أن یستوی جالساً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 هذه الروایة بأنّ المکلّف لو رفع رأسه من السجود وشکّ فی أنّه هل سجد أولا؟ وجب علیه أن یعود ویسجد، ولعلّه لهاتین الروایتین لعبد الرحمن فصّل صاحب المدارک بین الهویّ إلی السجود والنهوض إلی القیام وقال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الاعتناء بشکّه والبناء علی أنّه قد أتی بالرکوع، وأمّا فی الثانی فقد حکم بوجوب الرجوع والإتیان بالسجود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هاتین النظریتین یبدو لأوّل وهلة أنّ الحقّ مع الشیخ الأنصاری وأنّ قاعدة التجاوز لا تجری فی موارد الهویّ إلی السجود والنهوض للقیام والأجزاء غیر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وضّحنا ذلک فی الأبحاث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الأهمیة بمکان والذی ینفعنا فی موارد کثیرة هو أنّ المورد لا یقیّد وأنّه لو سألنا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حکم موردٍ ما 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قاعدة کلّیّة فإنّ مورد السؤال لا یمکن أن یقیّد القاعدة أمّا لو ذُکرت موارد ونماذج عدیدة لها جهة اشتراک واحدة قبل بیان القاعدة الکلّیّة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القاعدة الکلّیّة تتحدّد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المسائل المشترکة فما نحن فیه من هذا القبیل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لما ذکره المحقّق الأصفهانی من لزوم التفکیک 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الإشکال فیما لو علمنا من جهةٍ بأنّ لا خصوصیة لمثال الرکوع والسجود</w:t>
      </w:r>
    </w:p>
    <w:p>
      <w:pPr>
        <w:pStyle w:val="BookText"/>
        <w:rPr/>
      </w:pPr>
      <w:r>
        <w:rPr>
          <w:rFonts w:ascii="IRNazanin" w:hAnsi="IRNazanin" w:eastAsia="IRNazanin"/>
          <w:color w:val="111111"/>
          <w:sz w:val="28"/>
          <w:sz w:val="28"/>
          <w:szCs w:val="28"/>
          <w:rtl w:val="true"/>
          <w:lang w:bidi="fa-IR"/>
        </w:rPr>
        <w:t>وحکمنا بسبب علمنا هذا بأنّ القاعدة المذکور فی الذیل لیست مختصّة بالرکوع والسجود، ومن جهة ثانیة نری أنّ هذه الأمثلة مشترکة فی محور خاص وبینها قدر جامع مشترک والعرف یفهم منها تقیید الکبری الکلّیّة وعلیه فلا بد من ارتکاب هذا التفکیک ولا تحکّم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رأی الشیخ الأعظم الأنصاری قابل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یدّعی أحدهم فی مقام الإشکال بأنّ هناک تعارضاً بین روایة عبد الرحمن فی الهویّ إلی السجود وبین روایة إسماعیل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یجاب بأنّ فی روایة إسماعیل بن جابر إنّما یجب الإتیان بالسجود، لأن الشکّ قد وقع قبل الاستواء والقیام ولم یحصل الغیر بعدُ عرفاً، أمّا الهویّ للسجود فهو من المقدّمات القریبة للسجود عرفاً فلم یحصل الدخول فی غیره، وعلیه فلا تعارض بین 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المحقق النائینی بأنّ الهویّ إلی السجود له مراتب إذ من أوّل الانحناء وحالة التقوّس إلی وضع الجبهة علی ما یصحّ السجود کلّها من مصادیق الهویّ للسجود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عنوان الهویّ فی روایة عبد الرحمن علی المرتبة الأخیرة القریبة إلی فعلیة السجود وعلیه یرتفع التنافی والتعارض</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حصر الهویّ فی المرتبة الأخیرة منه غیر صحیح کما أنّ التفریق بین المرتبة الأولی والأخیرة غیر دقیق عرفاً بل لابد من القول بأنّ ابتداء الهویّ أیضاً له عنوان مقدمیّة السجود وأنّ الأخذ بالاستواء والقیام لا یعتبر مقدمةً للرکوع</w:t>
      </w:r>
      <w:r>
        <w:rPr>
          <w:rFonts w:eastAsia="IRNazanin" w:cs="IRNazanin"/>
          <w:color w:val="111111"/>
          <w:sz w:val="28"/>
          <w:szCs w:val="28"/>
          <w:rtl w:val="true"/>
          <w:lang w:bidi="fa-IR"/>
        </w:rPr>
        <w:t>.</w:t>
      </w:r>
      <w:bookmarkStart w:id="334" w:name="pg2935_29304"/>
    </w:p>
    <w:p>
      <w:pPr>
        <w:pStyle w:val="BookText"/>
        <w:rPr/>
      </w:pPr>
      <w:bookmarkEnd w:id="334"/>
      <w:r>
        <w:rPr>
          <w:rFonts w:ascii="IRNazanin" w:hAnsi="IRNazanin" w:eastAsia="IRNazanin"/>
          <w:color w:val="111111"/>
          <w:sz w:val="28"/>
          <w:sz w:val="28"/>
          <w:szCs w:val="28"/>
          <w:rtl w:val="true"/>
          <w:lang w:bidi="fa-IR"/>
        </w:rPr>
        <w:t>وأخیراً یمکن القول بأنّ ما سُئل عنه فی الروایة هی الموارد التی تحصل غالباً ولا تکون حینئذٍ صالحة لتقیید القاعدة الکلّیة کما لابدّ من القول بأنّ لا خصوصیة فی تحقق معنی الغیر سنشیر إلی ذلک فی مبحث اعتبار الدخول فی الغیر بأنّ للغیر معنی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رأی المحقق الأصفهانی هو الرأی المختار لدینا</w:t>
      </w:r>
      <w:r>
        <w:rPr>
          <w:rFonts w:eastAsia="IRNazanin" w:cs="IRNazanin"/>
          <w:color w:val="111111"/>
          <w:sz w:val="28"/>
          <w:szCs w:val="28"/>
          <w:rtl w:val="true"/>
          <w:lang w:bidi="fa-IR"/>
        </w:rPr>
        <w:t>.</w:t>
      </w:r>
    </w:p>
    <w:p>
      <w:pPr>
        <w:pStyle w:val="Heading2"/>
        <w:numPr>
          <w:ilvl w:val="1"/>
          <w:numId w:val="1"/>
        </w:numPr>
        <w:rPr/>
      </w:pPr>
      <w:bookmarkStart w:id="335" w:name="__RefHeading___Toc80900_2749589250"/>
      <w:bookmarkStart w:id="336" w:name="_Toc129"/>
      <w:bookmarkEnd w:id="335"/>
      <w:r>
        <w:rPr>
          <w:rtl w:val="true"/>
        </w:rPr>
        <w:t>بحث اعتبار الدخول فی الغیر فی قاعدة الفراغ والتجاوز</w:t>
      </w:r>
      <w:r>
        <w:rPr>
          <w:rtl w:val="true"/>
        </w:rPr>
        <w:t>:</w:t>
      </w:r>
      <w:bookmarkEnd w:id="336"/>
    </w:p>
    <w:p>
      <w:pPr>
        <w:pStyle w:val="BookText"/>
        <w:rPr/>
      </w:pPr>
      <w:r>
        <w:rPr>
          <w:rFonts w:ascii="IRNazanin" w:hAnsi="IRNazanin" w:eastAsia="IRNazanin"/>
          <w:color w:val="111111"/>
          <w:sz w:val="28"/>
          <w:sz w:val="28"/>
          <w:szCs w:val="28"/>
          <w:rtl w:val="true"/>
          <w:lang w:bidi="fa-IR"/>
        </w:rPr>
        <w:t>من الأبحاث الهامّة الأخری فی هذه القاعدة هو أنّه هل یعتبر الدخول فی الغیر فی جریان کلٍّ من هاتین القاعدتین مضافاً علی صدق عنوان التجاوز عن الشی‌ء أو الفراغ عنه؟ أو أنّه معتبر فی قاعدة التجاوز دون قاعدة الفراغ؟ أو أنّ هذا العنوان أی عنوان الدخول فی الغیر غیر معتبر فی کلتا القاعدتین؟</w:t>
      </w:r>
    </w:p>
    <w:p>
      <w:pPr>
        <w:pStyle w:val="BookText"/>
        <w:rPr/>
      </w:pPr>
      <w:r>
        <w:rPr>
          <w:rFonts w:ascii="IRNazanin" w:hAnsi="IRNazanin" w:eastAsia="IRNazanin"/>
          <w:color w:val="111111"/>
          <w:sz w:val="28"/>
          <w:sz w:val="28"/>
          <w:szCs w:val="28"/>
          <w:rtl w:val="true"/>
          <w:lang w:bidi="fa-IR"/>
        </w:rPr>
        <w:t>وهل أنّ هذا النزاع نزاع واقعی معنوی أو أنّه مجرّد نزاع لفظی من غیر أثر؟</w:t>
      </w:r>
    </w:p>
    <w:p>
      <w:pPr>
        <w:pStyle w:val="BookText"/>
        <w:rPr/>
      </w:pPr>
      <w:r>
        <w:rPr>
          <w:rFonts w:ascii="IRNazanin" w:hAnsi="IRNazanin" w:eastAsia="IRNazanin"/>
          <w:color w:val="111111"/>
          <w:sz w:val="28"/>
          <w:sz w:val="28"/>
          <w:szCs w:val="28"/>
          <w:rtl w:val="true"/>
          <w:lang w:bidi="fa-IR"/>
        </w:rPr>
        <w:t>لو التزمنا هنا بوحدة قاعدتی الفراغ والتجاوز کان لابدّ من تحلیل جمیع الروایات برؤیة واحدة وأنْ نلاحظ بأنّ قید الدخول فی الغیر هل یستفاد من مجموع هذه الروایات أولا؟</w:t>
      </w:r>
    </w:p>
    <w:p>
      <w:pPr>
        <w:pStyle w:val="BookText"/>
        <w:rPr/>
      </w:pPr>
      <w:r>
        <w:rPr>
          <w:rFonts w:ascii="IRNazanin" w:hAnsi="IRNazanin" w:eastAsia="IRNazanin"/>
          <w:color w:val="111111"/>
          <w:sz w:val="28"/>
          <w:sz w:val="28"/>
          <w:szCs w:val="28"/>
          <w:rtl w:val="true"/>
          <w:lang w:bidi="fa-IR"/>
        </w:rPr>
        <w:t>أمّا لو اعتبرناهما قاعدتین مستقلّتین فلابدّ من دراسة روایات کلٍّ من القاعدتین بدقّة علی نحو الاستقلال، ولو اتّبعنا هذا المسلک الثانی لاستغنینا عن تحلیل الروایات علی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یرد الإشکال علی المحقّق النائینی أنّه کیف فکّک فی هذا البحث بین قاعدتی الفراغ والتجاوز مع أنّه حصل علی کبری کلیّة من مجموع الروایات الواردة فی هذا البحث وهو یعتقد بوحدة هاتین القاعدتین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أنّه لا مانع من الالتزام بوحدة الکبری المجعولة الشرعیة</w:t>
      </w:r>
      <w:bookmarkStart w:id="337" w:name="pg2935_29305"/>
    </w:p>
    <w:p>
      <w:pPr>
        <w:pStyle w:val="BookText"/>
        <w:rPr/>
      </w:pPr>
      <w:bookmarkEnd w:id="337"/>
      <w:r>
        <w:rPr>
          <w:rFonts w:ascii="IRNazanin" w:hAnsi="IRNazanin" w:eastAsia="IRNazanin"/>
          <w:color w:val="111111"/>
          <w:sz w:val="28"/>
          <w:sz w:val="28"/>
          <w:szCs w:val="28"/>
          <w:rtl w:val="true"/>
          <w:lang w:bidi="fa-IR"/>
        </w:rPr>
        <w:t>وربّما تترتب علی ذلک ثمرات مهمّة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کلامه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الإنصاف أنّ القول بتعدّد الکبری المجعولة الشرعیّة بعید الغایة فإنّ ملاحظة مجموع الأخبار الواردة فی الباب یوجب القطع بأنّ الشارع فی مقام ضرب قاعدة کلّیة للشک فی الشی‌ء بعد التجاوز عنه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یمکن الدفاع عن المحقّق النائینی بأنّه قد استفاد من مجموع الروایات أنّ التجاوز عن الجزء منزّل منزلة التجاوز عن الکلّ وهذا تنزیل شرعی فی أصل جریان عدم الاعتناء بالشک لکن لا ضیر فی أن یختص التجاوز عن الجزء بأحکام أخری کما یعتقدون بأنّ قاعدة التجاوز یختصّ جریانها بأجزاء الصلاة فلا تجری فی سائر المرکّبات لاختصاص مورد التعبّد والتنزیل بالصلاة ولهذا تخرج الطهارات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والغسل والتیمّم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قاعدة التجاوز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یعتقد فی النهایة بأنّ الدخول فی الغیر معتبر فی قاعدة الفراغ علی نحو الشرط الشرعی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فإنّ الدخول فی الغیر لیس سبباً لصدق عنوان الفراغ فی قاعدة الفراغ بل یتحقّق هذا العنوان من غیر الدخول فی الغیر أیضاً أمّا فی قاعدة التجاوز فلا یتحقّق عنوان التجاوز من غیر الدخول فی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لنا من البحث حول کلٍّ من القاعدتین علی نحو الاستقلال</w:t>
      </w:r>
      <w:r>
        <w:rPr>
          <w:rFonts w:eastAsia="IRNazanin" w:cs="IRNazanin"/>
          <w:color w:val="111111"/>
          <w:sz w:val="28"/>
          <w:szCs w:val="28"/>
          <w:rtl w:val="true"/>
          <w:lang w:bidi="fa-IR"/>
        </w:rPr>
        <w:t>.</w:t>
      </w:r>
    </w:p>
    <w:p>
      <w:pPr>
        <w:pStyle w:val="Heading2"/>
        <w:numPr>
          <w:ilvl w:val="1"/>
          <w:numId w:val="1"/>
        </w:numPr>
        <w:rPr/>
      </w:pPr>
      <w:bookmarkStart w:id="338" w:name="__RefHeading___Toc80902_2749589250"/>
      <w:bookmarkStart w:id="339" w:name="_Toc130"/>
      <w:bookmarkEnd w:id="338"/>
      <w:r>
        <w:rPr>
          <w:rtl w:val="true"/>
        </w:rPr>
        <w:t>بحث اعتبار الدخول فی الغیر فی مجری قاعدة التجاوز</w:t>
      </w:r>
      <w:r>
        <w:rPr>
          <w:rtl w:val="true"/>
        </w:rPr>
        <w:t>:</w:t>
      </w:r>
      <w:bookmarkEnd w:id="3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الروایات المتعدّدة التی استدلّلنا بها علی قاعدة التجاوز أنّ الدخول فی الغیر معتبر فی جریان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ذکر فی بعض الروایات أنّ المصلّی بعد أن دخل فی السجود قد شکّ فی أنه هل رکع أولا؟ وهذا التعبیر مفاده أنّ مجری قاعدة التجاوز هو الدخول فی الغیر، وکذلک المستفاد من صدر صحیحة زرارة الواردة فی الشک فی الجزء السابق بعد الدخول فی الجزء اللاحق، کما لو شکّ وهو فی الإقامة هل أذّن أولا؟ أو شکّ حال التکبیرة هل أذّن وأقام أولا؟ أو شکّ حال القراءة هل کبّر أولا؟ یستفاد من ذلک أنّ مجری قاعدة التجاوز هو تحقّق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الأهمّ من صدر روایة زرارة تلک القاعدة الکلیّة فی ذیل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الروایات الأخری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خرجت من شی‌ءٍ ثمّ دخلت فی غیره فشکّک لیس بشی‌ء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فی هذه العبارة علی الدخول فی الغیر ویستفاد من ظاهره أنّه جزء الموضوع أی أنّ الموضوع فی قاعدة التجاوز له جزآن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الشی‌ء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غیر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نُصّ فی موثقة إسماعیل بن جابر علی الدخول فی الغیر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شی‌ءٍ شک فیه مّما قد جاوزه ودخل فی غیره فلیمض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موثقة ابن أبی یعفور حیث یقول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وقد دخلتَ فی غیره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فیما سبق بأنّنا یمکن أن نستخرج من هذه الروایة قاعدة التجاوز، کما یمکن استفادة قاعدة الفراغ منها، وبعبارة أخری فإنّ هذه الروایة قابلة للدلالة علی حجّیة کلتا القاعدتین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المستفاد من موارد السؤال فی روایات التجاوز ومن القاعدة الکلیّة المذکورة فیها إنّ الدخول فی الغیر شرط فی قاعدة التجاوز</w:t>
      </w:r>
      <w:r>
        <w:rPr>
          <w:rFonts w:eastAsia="IRNazanin" w:cs="IRNazanin"/>
          <w:color w:val="111111"/>
          <w:sz w:val="28"/>
          <w:szCs w:val="28"/>
          <w:rtl w:val="true"/>
          <w:lang w:bidi="fa-IR"/>
        </w:rPr>
        <w:t>.</w:t>
      </w:r>
      <w:bookmarkStart w:id="340" w:name="pg2935_29307"/>
    </w:p>
    <w:p>
      <w:pPr>
        <w:pStyle w:val="Heading2"/>
        <w:numPr>
          <w:ilvl w:val="1"/>
          <w:numId w:val="1"/>
        </w:numPr>
        <w:rPr/>
      </w:pPr>
      <w:bookmarkStart w:id="341" w:name="__RefHeading___Toc80904_2749589250"/>
      <w:bookmarkStart w:id="342" w:name="_Toc131"/>
      <w:bookmarkEnd w:id="340"/>
      <w:bookmarkEnd w:id="341"/>
      <w:r>
        <w:rPr>
          <w:rtl w:val="true"/>
        </w:rPr>
        <w:t>هل الدخول فی الغیر شرط شرعی أو عقلی؟</w:t>
      </w:r>
      <w:bookmarkEnd w:id="342"/>
    </w:p>
    <w:p>
      <w:pPr>
        <w:pStyle w:val="BookText"/>
        <w:rPr/>
      </w:pPr>
      <w:r>
        <w:rPr>
          <w:rFonts w:ascii="IRNazanin" w:hAnsi="IRNazanin" w:eastAsia="IRNazanin"/>
          <w:color w:val="111111"/>
          <w:sz w:val="28"/>
          <w:sz w:val="28"/>
          <w:szCs w:val="28"/>
          <w:rtl w:val="true"/>
          <w:lang w:bidi="fa-IR"/>
        </w:rPr>
        <w:t>المهم هنا هو أنّ اعتبار الدخول فی الغیر هل هو بعنوان أنّه شرط شرعی تعبّدی أو أنّه شرط عقلی؟ کما ذکرنا سابقاً أنّ قاعدة التجاوز قاعدة تعبّدیة محضة فلابدّ من معرفة أنّ اعتبار هذا الشرط تعبّدی أیضاً أو أنّ لهذا الشرط مدخلیّة فی عنوان التجاوز بحیث لا یصدق عنوان التجاوز عن الشی‌ء من غیر الدخول فی الغیر؟</w:t>
      </w:r>
    </w:p>
    <w:p>
      <w:pPr>
        <w:pStyle w:val="BookText"/>
        <w:rPr/>
      </w:pPr>
      <w:r>
        <w:rPr>
          <w:rFonts w:ascii="IRNazanin" w:hAnsi="IRNazanin" w:eastAsia="IRNazanin"/>
          <w:color w:val="111111"/>
          <w:sz w:val="28"/>
          <w:sz w:val="28"/>
          <w:szCs w:val="28"/>
          <w:rtl w:val="true"/>
          <w:lang w:bidi="fa-IR"/>
        </w:rPr>
        <w:t>ظاهر روایات قاعدة التجاوز أنّ الدخول فی الغیر لیس عنواناً جعلیاً شرعیاً تعبّدیاً وإنّما هو لتحقیق عنوان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أوضح أنّه ما لم یتحقّق الدخول فی الغیر یکون محلّ إتیان الجزء باقیاً ولم یتحقّق التجاوز عنه، ومن هنا لو شککنا فی إتیان ذلک الجزء وجب الإتیان به وبمجرد الدخول فی غیره ینتفی محلّ الجزء السابق ویتحقق التجاوز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المحقق النائینی هذا الرأی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اعتبار الدخول فی الغیر فی قاعدة التجاوز لعدم صدق التجاوز عن الجزء المشکوک فیه بدون الدخول فی الجزء المترتّب علیه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3" w:name="__RefHeading___Toc80906_2749589250"/>
      <w:bookmarkStart w:id="344" w:name="_Toc132"/>
      <w:bookmarkEnd w:id="343"/>
      <w:r>
        <w:rPr>
          <w:rtl w:val="true"/>
        </w:rPr>
        <w:t>البحث فی اعتبار الدخول فی الغیر فی مجری قاعدة الفراغ</w:t>
      </w:r>
      <w:r>
        <w:rPr>
          <w:rtl w:val="true"/>
        </w:rPr>
        <w:t>:</w:t>
      </w:r>
      <w:bookmarkEnd w:id="344"/>
    </w:p>
    <w:p>
      <w:pPr>
        <w:pStyle w:val="Heading3"/>
        <w:numPr>
          <w:ilvl w:val="2"/>
          <w:numId w:val="1"/>
        </w:numPr>
        <w:rPr/>
      </w:pPr>
      <w:bookmarkStart w:id="345" w:name="__RefHeading___Toc80908_2749589250"/>
      <w:bookmarkStart w:id="346" w:name="_Toc133"/>
      <w:bookmarkEnd w:id="345"/>
      <w:r>
        <w:rPr>
          <w:rtl w:val="true"/>
        </w:rPr>
        <w:t>اشارة</w:t>
      </w:r>
      <w:bookmarkEnd w:id="34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المحقق النائینی وجمع آخر من العلماء أنّ الدخول فی الغیر معتبر فی جریان قاعدة الفراغ علی نحو الشرط الشرعی التعبّدی، بینما ذهب آخرون کالمحقق العراقی</w:t>
      </w:r>
      <w:r>
        <w:rPr>
          <w:rStyle w:val="FootnoteAnchor"/>
          <w:rtl w:val="true"/>
        </w:rPr>
        <w:footnoteReference w:id="281"/>
      </w:r>
      <w:r>
        <w:rPr>
          <w:rFonts w:ascii="IRNazanin" w:hAnsi="IRNazanin" w:eastAsia="IRNazanin"/>
          <w:color w:val="111111"/>
          <w:sz w:val="28"/>
          <w:sz w:val="28"/>
          <w:szCs w:val="28"/>
          <w:rtl w:val="true"/>
          <w:lang w:bidi="fa-IR"/>
        </w:rPr>
        <w:t>إلی خلاف هذا الرأی لأنّهم یرون کفایة مجرّد الفراغ من أصل العمل فی جریان قاعدة الفراغ، وعلیه فلا حاجة إلی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ذلک یستدعی تحلیل ودراسة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روایات تدلّ بإطلاقها علی جریان قاعدة الفراغ بحیث لم یُذکر فیها الدخول فی الغیر؟</w:t>
      </w:r>
    </w:p>
    <w:p>
      <w:pPr>
        <w:pStyle w:val="BookText"/>
        <w:rPr/>
      </w:pPr>
      <w:r>
        <w:rPr>
          <w:rFonts w:ascii="IRNazanin" w:hAnsi="IRNazanin" w:eastAsia="IRNazanin"/>
          <w:color w:val="111111"/>
          <w:sz w:val="28"/>
          <w:sz w:val="28"/>
          <w:szCs w:val="28"/>
          <w:rtl w:val="true"/>
          <w:lang w:bidi="fa-IR"/>
        </w:rPr>
        <w:t>وهل هناک مانع کالانصراف أو ما یمنع انعقاد الإطلاق أولا؟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وجود روایات مطلقة فهل بین روایات قاعدة الفراغ ما یدلّ علی التقیید؟</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وجود روایات دالّة علی التقیید فهل هناک ما یدلّ علی رفع الید عن هذا التقیید؟</w:t>
      </w:r>
    </w:p>
    <w:p>
      <w:pPr>
        <w:pStyle w:val="BookText"/>
        <w:rPr/>
      </w:pPr>
      <w:r>
        <w:rPr>
          <w:rFonts w:ascii="IRNazanin" w:hAnsi="IRNazanin" w:eastAsia="IRNazanin"/>
          <w:color w:val="111111"/>
          <w:sz w:val="28"/>
          <w:sz w:val="28"/>
          <w:szCs w:val="28"/>
          <w:rtl w:val="true"/>
          <w:lang w:bidi="fa-IR"/>
        </w:rPr>
        <w:t xml:space="preserve">بحث فی الجهة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 فی وجود روایات مطلقة بین تلک الروایات الواردة فی خصوص قاعدة الفراغ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موثّقة محمد 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 ما شککت فیه مّما قد مضی فامضه کما هو</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الرجل یشکّ بعد ما ینصرف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ولاشی‌ء علیه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ما شککت فیه بعدما تفرغ من صلاتک فامض ولا تعد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مضی من صلاتک</w:t>
      </w:r>
    </w:p>
    <w:p>
      <w:pPr>
        <w:pStyle w:val="BookText"/>
        <w:rPr/>
      </w:pPr>
      <w:r>
        <w:rPr>
          <w:rFonts w:ascii="IRNazanin" w:hAnsi="IRNazanin" w:eastAsia="IRNazanin"/>
          <w:color w:val="111111"/>
          <w:sz w:val="28"/>
          <w:sz w:val="28"/>
          <w:szCs w:val="28"/>
          <w:rtl w:val="true"/>
          <w:lang w:bidi="fa-IR"/>
        </w:rPr>
        <w:t>وطهورک فذکرته تذکّراً فأمضه ولا إعادة علیک فیه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فلا شکّ فی أصل وجود الإطلاق بحسب ظاهر روایات قاعدة الفراغ لکنّ البحث الأهم هو أنّه هل هناک مانع من هذا الإطلاق کالانصراف أو ما أشبهه أولا؟</w:t>
      </w:r>
    </w:p>
    <w:p>
      <w:pPr>
        <w:pStyle w:val="BookText"/>
        <w:rPr/>
      </w:pPr>
      <w:r>
        <w:rPr>
          <w:rFonts w:ascii="IRNazanin" w:hAnsi="IRNazanin" w:eastAsia="IRNazanin"/>
          <w:color w:val="111111"/>
          <w:sz w:val="28"/>
          <w:sz w:val="28"/>
          <w:szCs w:val="28"/>
          <w:rtl w:val="true"/>
          <w:lang w:bidi="fa-IR"/>
        </w:rPr>
        <w:t>قد ذُکر فی کلمات الأعاظم وجود مانع من انعقاد الإطلاق لابدّ من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w:t>
      </w:r>
      <w:r>
        <w:rPr>
          <w:rStyle w:val="FootnoteAnchor"/>
          <w:rtl w:val="true"/>
        </w:rPr>
        <w:footnoteReference w:id="286"/>
      </w:r>
      <w:r>
        <w:rPr>
          <w:rFonts w:ascii="IRNazanin" w:hAnsi="IRNazanin" w:eastAsia="IRNazanin"/>
          <w:color w:val="111111"/>
          <w:sz w:val="28"/>
          <w:sz w:val="28"/>
          <w:szCs w:val="28"/>
          <w:rtl w:val="true"/>
          <w:lang w:bidi="fa-IR"/>
        </w:rPr>
        <w:t>أنّه إن کان صدق العنوان علی جمیع إفراد الطبیعة علی حدّ سواء فلاشک فی شمول ذلک العنوان المطلق لجمیع الأفراد، فمثلًا لفظ الماء شامل لماء البحر وماء المطر وماء البئر علی حدٍّ سواء، فلو ورد فی کلام الشارع أنّ الماء طاهر کان شاملًا لجمیع هذه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یکن شمول العنوان وصدقه علی جمیع الأفراد علی حدّ سواء کعنوان الحیوانیة الذّی لا یصدق علی البقر والغنم والإنسان علی حدّ سواء إذ فی شموله للإنسان نوعٌ من الخفاء بحیث لو قیل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حیواناً وقد أرید به الإنسان لم یتقبّله العرف، ففی مثل هذه الموارد لا یشمل اللفظ جمیع الموارد بل ینصرف إلی غیر الفرد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غلبة الوجود وإن لم توجب الانصراف کما حقّقناه فی محلّه إلّا أنّه فیما إذا کانت الغلبة لأمر خارج</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من جهة قصور الماهیة ونقصها فی الفرد النادر وکانت الماهیة تشکیکیة بحیث کان شمول الطبیعة له خفیاً فی نظر العرف فلا محالة یوجب</w:t>
      </w:r>
    </w:p>
    <w:p>
      <w:pPr>
        <w:pStyle w:val="BookText"/>
        <w:rPr/>
      </w:pPr>
      <w:r>
        <w:rPr>
          <w:rFonts w:ascii="IRNazanin" w:hAnsi="IRNazanin" w:eastAsia="IRNazanin"/>
          <w:color w:val="111111"/>
          <w:sz w:val="28"/>
          <w:sz w:val="28"/>
          <w:szCs w:val="28"/>
          <w:rtl w:val="true"/>
          <w:lang w:bidi="fa-IR"/>
        </w:rPr>
        <w:t>ذلک انصراف المطلق إلیه، ولا أقلّ من کونه القدر المتیقّن فی مقام التخاطب، ومحلّ الکلام من هذا القبیل فإنّ صدق التجاوز عن الشی‌ء مع الدخول فی الغیر أظهر من صدقه مع عدم الدخول فالمطلق فی حدّ ذاته قاصرٌ عن الشمول مع عدم الدخول فی الغیر ولو لم یکن هناک دلیل المقیّد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ننکر أصل کلام المحقق النائینی لکنّنا لا نوافقه فی أنّ ما نحن فیه من هذا القبیل إذ لا شکّ فی صدق عنوان الفراغ عرفاً فیما لو لم یتحقّق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العرف لا یفرّق فی صدق هذه العناوین وشمولها بین ما تحقّق فیه الدخول فی الغیر وما لم یتحقق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عنوان الحیوانیة الذی یری العرف فرقاً واضحاً بین شموله وصدقه علی الغنم والبقر وبین دلالته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الخراسانی</w:t>
      </w:r>
      <w:r>
        <w:rPr>
          <w:rStyle w:val="FootnoteAnchor"/>
          <w:rtl w:val="true"/>
        </w:rPr>
        <w:footnoteReference w:id="287"/>
      </w:r>
      <w:r>
        <w:rPr>
          <w:rFonts w:ascii="IRNazanin" w:hAnsi="IRNazanin" w:eastAsia="IRNazanin"/>
          <w:color w:val="111111"/>
          <w:sz w:val="28"/>
          <w:sz w:val="28"/>
          <w:szCs w:val="28"/>
          <w:rtl w:val="true"/>
          <w:lang w:bidi="fa-IR"/>
        </w:rPr>
        <w:t>قد دخل عن طریق وجود القدر المتیقّن فی مقام التخاطب فیکون ذلک برأیه مانعاً من انعقاد الإطلاق، والقدر المتیقّن فی مقام التخاطب بالنسبة إلی الدخول فی الغیر أمرٌ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فی الأبحاث السابقة أنّ وجود القدر المتیقّن فی مقام التخاطب لا یمنع من انعقاد الإطلاق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الدخول فی الغیر له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واضح لاسیّما أنّ مصطلح الدخول فی الغیر قد جاء فی کلمات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ولا وجود له فی کلمات السائل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ابن بکیر دلالة علی نحو العموم الوضعی حیث استعمل فیها ألفاظ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البحث عن الإطلاق فضلًا عن مسألة القدر المتیقّن فی 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بعض الروایات أمر مسلّم إلّا أنّ الغالب وقوع الشک فی الفراغ مع فرض الدخول فی الغیر، وعلی هذا فإنّ غلبة الوجود الخارجی سببٌ لانصراف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الاستعمالیة إنّما تکون منشأ للإنصراف دون غلبة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کون الغالب حصول الشکّ بعد الدخول فی الغیر لا یوجب انصراف المطلق إلی الغالب فإنّه لا عبرة بغلبة الوجود ما لم تقتض صرف ظهور اللفظ</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 أنّ هذه الوجوه الثلاثة لا تکون مانعةً عن انعقاد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کلمات بعض المحقّقین</w:t>
      </w:r>
      <w:r>
        <w:rPr>
          <w:rStyle w:val="FootnoteAnchor"/>
          <w:rtl w:val="true"/>
        </w:rPr>
        <w:footnoteReference w:id="289"/>
      </w:r>
      <w:r>
        <w:rPr>
          <w:rFonts w:ascii="IRNazanin" w:hAnsi="IRNazanin" w:eastAsia="IRNazanin"/>
          <w:color w:val="111111"/>
          <w:sz w:val="28"/>
          <w:sz w:val="28"/>
          <w:szCs w:val="28"/>
          <w:rtl w:val="true"/>
          <w:lang w:bidi="fa-IR"/>
        </w:rPr>
        <w:t>وجهٌ آخر للمنع من الإطلاق فإنّه قد ذکر أنّ الإطلاق تامّ لا شک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المشکوک جزءاً من أجزاء المرکب وقد فرغ المکلف من المرکب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المشکوک شرطاً من شروط بعض أجزاء المرکّب والمکلف قد فرغ من المرکب فإنّ هذین الموردین تشملهما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المراد بالشک الشکّ فی وصفٍ من أوصاف</w:t>
      </w:r>
    </w:p>
    <w:p>
      <w:pPr>
        <w:pStyle w:val="BookText"/>
        <w:rPr/>
      </w:pPr>
      <w:r>
        <w:rPr>
          <w:rFonts w:ascii="IRNazanin" w:hAnsi="IRNazanin" w:eastAsia="IRNazanin"/>
          <w:color w:val="111111"/>
          <w:sz w:val="28"/>
          <w:sz w:val="28"/>
          <w:szCs w:val="28"/>
          <w:rtl w:val="true"/>
          <w:lang w:bidi="fa-IR"/>
        </w:rPr>
        <w:t>الشی‌ء أو کان الشک فی أصل وجود الشک، وسواء کان المراد بالمضیّ مضیّ المشکوک نفسه أو مضیّ محل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الجزء أو الوصف فی هذا المورد کان مشکوکاً وقد تجاوز هو أو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فلا شک فی أنّ إطلاق الروایات یشمل الشک فی الشرط بعد الإتیان بالمشروط، وکذا الشک فی جزءٍ من أجزاء المرکّب بعد الفراغ من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مورد واحد یُشَکّ فی شمول الإطلاق له وهو ما لو شکّ المکلّف فی جزءٍ من أجزاء المرکّب بعد مضیّ المحلّ وقبل الفراغ من المرکّب فإنّ شمول موثقة محمد بن مسلم لهذا المورد أمرٌ غیر واضح لوجود احتمالین إمّا التصرّف فی صدر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بحمله علی الشک فی وصف من الأوصاف لا علی الشک فی أصل الوجود، وعلیه نُبقی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ظاهره أی المضیّ أصل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عکس ذلک هو الصحیح بأن نحمل المضیّ علی مضیّ المحلّ ونحمل الشکّ علی الشک فی أصل الوجود، ولمّا لم یکنْ ترجیحٌ لأحد هذین الاحتمالین فلا یکون هذا المورد مشمولًا للروایة ولا یثبت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یجیب عن هذا الإشکال بأجوبة خمسة أهمّها علی الإطلاق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 هو مضی زمان المشکوک ومحلّه وهو شایع فی استعمالات العرف، فعندما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مضی زمان الحجّ وإن لم یحجّ المکلف نفسه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ذلک أن الخروج والتجاوز الحقیقی فی مجری روایات هذا الباب مستلزم لإتیان ذلک الجزء بمعنی أنّ المکلّف لو أتی بالجزء واقعاً قیل فی حقّه</w:t>
      </w:r>
    </w:p>
    <w:p>
      <w:pPr>
        <w:pStyle w:val="BookText"/>
        <w:rPr/>
      </w:pPr>
      <w:r>
        <w:rPr>
          <w:rFonts w:ascii="IRNazanin" w:hAnsi="IRNazanin" w:eastAsia="IRNazanin"/>
          <w:color w:val="111111"/>
          <w:sz w:val="28"/>
          <w:sz w:val="28"/>
          <w:szCs w:val="28"/>
          <w:rtl w:val="true"/>
          <w:lang w:bidi="fa-IR"/>
        </w:rPr>
        <w:t xml:space="preserve">حینئذٍ أنّه قد خرج عن ذلک الشی‌ء وتجاوز عنه مع أنّ المفروض فی الروایات أنّ إتیان الجزء أمر مشکوک فیه، وعلیه فلابدّ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مضیّ زمان ذلک الجزء لا علی مضیّ أصل العمل حتّی لا تشمل الروایة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ذیل موثقة ابن أبی یعفور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الشکّ إذا کنت فی شی‌ءٍ لم تجزه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الحصر بمعنی أنّ الاعتناء بالشک إنّما یجب فیما لم یتجاوز عنه، أمّا لو تجاوز عنه فلابدّ من عدم الاعتناء به ففی المورد المفروض وإن لم یفرغ المکلّف من مجموع المرکّب إلّا أنّه یجب عدم الاعتناء بالشی‌ءِ لأنّه قد مضی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ظهر أولًا أنّه لا إشکال فی إطلاق الروایات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هذه الروایات هو أنّ أصل المضیّ والتجاوز هو الملاک ولا عبرة بالدخول فی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لابدّ من البحث فی أن بین سائر الروایات هل هناک ما یدلّ علی التقیید أولا؟</w:t>
      </w:r>
    </w:p>
    <w:p>
      <w:pPr>
        <w:pStyle w:val="BookText"/>
        <w:rPr/>
      </w:pPr>
      <w:r>
        <w:rPr>
          <w:rFonts w:ascii="IRNazanin" w:hAnsi="IRNazanin" w:eastAsia="IRNazanin"/>
          <w:color w:val="111111"/>
          <w:sz w:val="28"/>
          <w:sz w:val="28"/>
          <w:szCs w:val="28"/>
          <w:rtl w:val="true"/>
          <w:lang w:bidi="fa-IR"/>
        </w:rPr>
        <w:t xml:space="preserve">بحث الجهة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دالة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الروایات هناک ثلاث روایات توهم الدلالة علی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خرجت من شی‌ءٍ ثم دخلت فی غیره فشکّک لیس بشی‌ءٍ</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ascii="IRNazanin" w:hAnsi="IRNazanin" w:eastAsia="IRNazanin"/>
          <w:color w:val="111111"/>
          <w:sz w:val="28"/>
          <w:sz w:val="28"/>
          <w:szCs w:val="28"/>
          <w:rtl w:val="true"/>
          <w:lang w:bidi="fa-IR"/>
        </w:rPr>
        <w:t xml:space="preserve">حیث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ظاهرة فی التقیید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w:t>
      </w:r>
      <w:r>
        <w:rPr>
          <w:rStyle w:val="FootnoteAnchor"/>
          <w:rtl w:val="true"/>
        </w:rPr>
        <w:footnoteReference w:id="291"/>
      </w:r>
      <w:r>
        <w:rPr>
          <w:rFonts w:ascii="IRNazanin" w:hAnsi="IRNazanin" w:eastAsia="IRNazanin"/>
          <w:color w:val="111111"/>
          <w:sz w:val="28"/>
          <w:sz w:val="28"/>
          <w:szCs w:val="28"/>
          <w:rtl w:val="true"/>
          <w:lang w:bidi="fa-IR"/>
        </w:rPr>
        <w:t>بعضٌ أنّه لو أرید الاقتصار علی ظاهر هذه الروایة وجب القول بأنّ المعتبر فی جریان قاعدة الفراغ والتجاوز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الخروج عن الشی‌ء،</w:t>
      </w:r>
    </w:p>
    <w:p>
      <w:pPr>
        <w:pStyle w:val="BookText"/>
        <w:rPr/>
      </w:pPr>
      <w:r>
        <w:rPr>
          <w:rFonts w:ascii="IRNazanin" w:hAnsi="IRNazanin" w:eastAsia="IRNazanin"/>
          <w:color w:val="111111"/>
          <w:sz w:val="28"/>
          <w:sz w:val="28"/>
          <w:szCs w:val="28"/>
          <w:rtl w:val="true"/>
          <w:lang w:bidi="fa-IR"/>
        </w:rPr>
        <w:t>والآخر هو الدخول فی غیره مع أنّ ظاهر هذین العنوانین لا ینطبق علی شی‌ءٍ من الأمثلة المذکورة فی صدر هذه الروایة، لأنّ الخروج من الأذان هو الدخول فی الإقامة، والخروج من الأذان والإقامة هو الدخول فی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الدخول فی الغیر یوجب الخروج من تلک الأشیاء ولیس هناک شی‌ء آخر یوجب تحقّق الخروج ولهذا لابدّ من أن نفسّر الروایة علی النحو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نفسک خارجاً عن الشی‌ء ولذا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المکلف یری نفسه خارجاً عن الشی أی أنّ الخروج اعتقادی وتخیّلی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فمن الواضح أنّ الاقتصار علی ظاهر هذه الروایة أمرٌ غیر ممکن، لأنّ هذا الاقتصار یؤدّی إلی اللغویة إذ الخروج من الشی‌ء لیس شیئاً آخر عدا الدخول فی الشی‌ء الآخر فلا یمکن التمسّک بظاهر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والخروج عن الشی‌ء فی الواقع هو الدخول فی الغیر والدخول فی الغیر لیس فعلًا آخر غیر الخروج من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الأخری مصحّحة إسماعیل بن جابر من حیث الصدر والذیل إمّا من جهة صدرها فإنّ جمیع الأمثلة المذکورة فی صدر هذه الروایة مقرونة بذکر الدخول فی الغیر، کما لو شک فی الرکوع وهو فی السجود ولم یذکر قبله، وأمّا من حیث ذیل الروایة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شی‌ءٍ شکّ فیه ممّا قد جاوزه ودخل فی غیره فلیمض علیه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ascii="IRNazanin" w:hAnsi="IRNazanin" w:eastAsia="IRNazanin"/>
          <w:color w:val="111111"/>
          <w:sz w:val="28"/>
          <w:sz w:val="28"/>
          <w:szCs w:val="28"/>
          <w:rtl w:val="true"/>
          <w:lang w:bidi="fa-IR"/>
        </w:rPr>
        <w:t>حیث صرّح بالدخول فی الغیر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الذیل لابدّ من جعل الدخول فی الغیر</w:t>
      </w:r>
    </w:p>
    <w:p>
      <w:pPr>
        <w:pStyle w:val="BookText"/>
        <w:rPr/>
      </w:pPr>
      <w:r>
        <w:rPr>
          <w:rFonts w:ascii="IRNazanin" w:hAnsi="IRNazanin" w:eastAsia="IRNazanin"/>
          <w:color w:val="111111"/>
          <w:sz w:val="28"/>
          <w:sz w:val="28"/>
          <w:szCs w:val="28"/>
          <w:rtl w:val="true"/>
          <w:lang w:bidi="fa-IR"/>
        </w:rPr>
        <w:t>عطفاً تفسیریاً علی التجاوز أی أنّ ما یوجب حصول التجاوز هو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التجاوز الخیالی والعادی الظاهری غیر کافٍ بل لابدّ من التجاوز الواقعی والخارجی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الجواب المتعلّق بصدر الروایة، لأنّ السجود موجب لتحقّق التجاوز، ولیس کذلک الهویّ إلی السجود، ومن هنا لو توهّم المکلف أنّه قد أتی بالرکوع فهوی إلی السجود والتفت بعد ذلک وجب علیه الرجوع والإتیان بالرکوع، لأنّ محلّ الرکوع لا زال باقیاً ولم یحصل هنا زیادة توجب سجدتی السهو إذ لیس الهویّ بقصد السجود من أجزاء الصلاة لیصدق علیه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الجواب الصحیح عن هاتین الروایتین هو أنّهما غیر متعلقتین بقاعدة الفراغ بل هما من روایات وأدلة 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صحیحة زرارة الواردة فی 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قمت من الوضوء وفرغت منه وقد صرت فی حال أخری فی الصلاة أو غیرها فشککت فلا شی‌ء علیک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ascii="IRNazanin" w:hAnsi="IRNazanin" w:eastAsia="IRNazanin"/>
          <w:color w:val="111111"/>
          <w:sz w:val="28"/>
          <w:sz w:val="28"/>
          <w:szCs w:val="28"/>
          <w:rtl w:val="true"/>
          <w:lang w:bidi="fa-IR"/>
        </w:rPr>
        <w:t>حیث إنّ مفاد هذه الروایة اعتبار الدخول فی الغیر فتکون مقیّدة للروایات المطلّقة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المحقّق الحائری عن هذه الروایة بأنّ ذیل هذه الروایة معارض مع صدرها لأنّ الصدر یدلّ بمفهومه علی عدم وجوب إعادة الوضوء فیما لو قام من الوضوء وإن لم یدخل فی الغیر، وعلیه فلیس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الغیر بل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حال غیر الوضوء فلو کان حال التعطّل المضرّ بالموالاة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لصدق التجاوز</w:t>
      </w:r>
      <w:r>
        <w:rPr>
          <w:rFonts w:eastAsia="IRNazanin" w:cs="IRNazanin"/>
          <w:color w:val="111111"/>
          <w:sz w:val="28"/>
          <w:szCs w:val="28"/>
          <w:rtl w:val="true"/>
          <w:lang w:bidi="fa-IR"/>
        </w:rPr>
        <w:t>.</w:t>
      </w:r>
      <w:bookmarkStart w:id="347" w:name="pg2935_29316"/>
    </w:p>
    <w:p>
      <w:pPr>
        <w:pStyle w:val="BookText"/>
        <w:rPr/>
      </w:pPr>
      <w:bookmarkEnd w:id="347"/>
      <w:r>
        <w:rPr>
          <w:rFonts w:ascii="IRNazanin" w:hAnsi="IRNazanin" w:eastAsia="IRNazanin"/>
          <w:color w:val="111111"/>
          <w:sz w:val="28"/>
          <w:sz w:val="28"/>
          <w:szCs w:val="28"/>
          <w:rtl w:val="true"/>
          <w:lang w:bidi="fa-IR"/>
        </w:rPr>
        <w:t>وللمحقق الخوئی</w:t>
      </w:r>
      <w:r>
        <w:rPr>
          <w:rStyle w:val="FootnoteAnchor"/>
          <w:rtl w:val="true"/>
        </w:rPr>
        <w:footnoteReference w:id="294"/>
      </w:r>
      <w:r>
        <w:rPr>
          <w:rFonts w:ascii="IRNazanin" w:hAnsi="IRNazanin" w:eastAsia="IRNazanin"/>
          <w:color w:val="111111"/>
          <w:sz w:val="28"/>
          <w:sz w:val="28"/>
          <w:szCs w:val="28"/>
          <w:rtl w:val="true"/>
          <w:lang w:bidi="fa-IR"/>
        </w:rPr>
        <w:t xml:space="preserve">هنا کلام قریب من هذا حیث یری دفعاً للتهافت بین صدر الروایة وذیلها لابدّ من جعل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وفرغت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وبیاناً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دمت فی حال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عبارة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صرت فی حال أخری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لهذا البیان من باب ذکر أوضح الأفراد وغالبها</w:t>
      </w:r>
      <w:r>
        <w:rPr>
          <w:rFonts w:eastAsia="IRNazanin" w:cs="IRNazanin"/>
          <w:color w:val="111111"/>
          <w:sz w:val="28"/>
          <w:szCs w:val="28"/>
          <w:rtl w:val="true"/>
          <w:lang w:bidi="fa-IR"/>
        </w:rPr>
        <w:t>.</w:t>
      </w:r>
    </w:p>
    <w:p>
      <w:pPr>
        <w:pStyle w:val="Heading3"/>
        <w:numPr>
          <w:ilvl w:val="2"/>
          <w:numId w:val="1"/>
        </w:numPr>
        <w:rPr/>
      </w:pPr>
      <w:bookmarkStart w:id="348" w:name="__RefHeading___Toc80910_2749589250"/>
      <w:bookmarkStart w:id="349" w:name="_Toc134"/>
      <w:bookmarkEnd w:id="348"/>
      <w:r>
        <w:rPr>
          <w:rtl w:val="true"/>
        </w:rPr>
        <w:t>الإشکال علی رأی المحقّق الخوئی والمحقق الحائری</w:t>
      </w:r>
      <w:r>
        <w:rPr>
          <w:rtl w:val="true"/>
        </w:rPr>
        <w:t>:</w:t>
      </w:r>
      <w:bookmarkEnd w:id="349"/>
    </w:p>
    <w:p>
      <w:pPr>
        <w:pStyle w:val="BookText"/>
        <w:rPr/>
      </w:pPr>
      <w:r>
        <w:rPr>
          <w:rFonts w:ascii="IRNazanin" w:hAnsi="IRNazanin" w:eastAsia="IRNazanin"/>
          <w:color w:val="111111"/>
          <w:sz w:val="28"/>
          <w:sz w:val="28"/>
          <w:szCs w:val="28"/>
          <w:rtl w:val="true"/>
          <w:lang w:bidi="fa-IR"/>
        </w:rPr>
        <w:t>الظاهر أنّ کلام هذین العلَمیَن لا یخلو من إشکال إذ لا یمکن من وجهة نظر العقلاء حمل الکلام قبل انتهائه علی معنیً بل لابدّ من ملاحظة الکلام بأکمله، ومن الواضح أنّ ذیل الکلام دائماً أو غالباً یکون قرینة علی صدره، وعلیه فلا تدافع بین الصدر والذیل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لنا بوضوح أنّ الدخول فی الغیر شرط فی قاعدة الفراغ، نعم یمکن أن تکون هذه الشرطیة فی مورد الوضوء فقط اقتصاراً علی مورد الروایة إلّا أنّ هذا الاقتصار غیر مستندٍ إلی الذوق الفقهی حیث لا یمکن التفریق فی قاعدة الفراغ بین الوضوء وسائر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أنّ هذا القید فی قاعدة الفراغ لو کان أمراً تعبّدیاً والشارع قد اعتنی به کان لابدّ من التنبیه علیه فی أغلب الروایات مع أنّ أکثر الروایات الواردة فی قاعدة الفراغ مطلّقة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متابعة کلام المحقق الحائری فهو یقول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قد أجبنا عن هذه الروایة الدالة علی التقیید لکن لو سلّمنا ظهور هذه الروایات فی التقیید وجب رفع الید عن ظهورها بسبب ذیل موثقة ابن أبی یعفور لأنّ الموثّقة فی مقام جعل</w:t>
      </w:r>
      <w:bookmarkStart w:id="350" w:name="pg2935_29317"/>
    </w:p>
    <w:p>
      <w:pPr>
        <w:pStyle w:val="BookText"/>
        <w:rPr/>
      </w:pPr>
      <w:bookmarkEnd w:id="350"/>
      <w:r>
        <w:rPr>
          <w:rFonts w:ascii="IRNazanin" w:hAnsi="IRNazanin" w:eastAsia="IRNazanin"/>
          <w:color w:val="111111"/>
          <w:sz w:val="28"/>
          <w:sz w:val="28"/>
          <w:szCs w:val="28"/>
          <w:rtl w:val="true"/>
          <w:lang w:bidi="fa-IR"/>
        </w:rPr>
        <w:t>القاعدة الکلیّة فیکون لها ظهورٌ فی إلغاء الخصوصیة عن الصغری وتدلّ علی أنّ ما جاء فی الصغری فهو أحد مصادیق الکبری ثم استنتج المحقق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الدخول فی الغیر غیر معتبر وإنّما العبرة بصدق التجاوز والفراغ وعلیه فإنّ السکوت الطویل المضرّ بالقراءة غیر المخلّ بالصلاة یوجب تحقّق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اعتبار الدخول فی الغیر فإنّ الغیر عنوان عام یشمل کلّ حالة وجودیة أو عدمیة منافیة شرعاً للجزء المشکوک، ومن هنا فلا فرق بین اعتبار هذا الشرط وعدم اعتباره</w:t>
      </w:r>
      <w:r>
        <w:rPr>
          <w:rFonts w:eastAsia="IRNazanin" w:cs="IRNazanin"/>
          <w:color w:val="111111"/>
          <w:sz w:val="28"/>
          <w:szCs w:val="28"/>
          <w:rtl w:val="true"/>
          <w:lang w:bidi="fa-IR"/>
        </w:rPr>
        <w:t>.</w:t>
      </w:r>
    </w:p>
    <w:p>
      <w:pPr>
        <w:pStyle w:val="Heading2"/>
        <w:numPr>
          <w:ilvl w:val="1"/>
          <w:numId w:val="1"/>
        </w:numPr>
        <w:rPr/>
      </w:pPr>
      <w:bookmarkStart w:id="351" w:name="__RefHeading___Toc80912_2749589250"/>
      <w:bookmarkStart w:id="352" w:name="_Toc135"/>
      <w:bookmarkEnd w:id="351"/>
      <w:r>
        <w:rPr>
          <w:rtl w:val="true"/>
        </w:rPr>
        <w:t>مناقشة رأی المحقّق الحائری</w:t>
      </w:r>
      <w:r>
        <w:rPr>
          <w:rtl w:val="true"/>
        </w:rPr>
        <w:t>:</w:t>
      </w:r>
      <w:bookmarkEnd w:id="352"/>
    </w:p>
    <w:p>
      <w:pPr>
        <w:pStyle w:val="BookText"/>
        <w:rPr/>
      </w:pPr>
      <w:r>
        <w:rPr>
          <w:rFonts w:ascii="Amiri" w:hAnsi="Amiri" w:eastAsia="Amiri" w:cs="Amiri"/>
          <w:color w:val="111111"/>
          <w:sz w:val="28"/>
          <w:sz w:val="28"/>
          <w:szCs w:val="28"/>
          <w:rtl w:val="true"/>
          <w:lang w:bidi="ar-SA"/>
        </w:rPr>
        <w:t>هناک عدّة ملاحظات نسجّلها علی کلمات هذا المحقّق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نعتبر عنوان الدخول فی الغیر قیداً تعبّدیاً بل جعلناه من الأمور الموجبة لتحقق الخروج عن الشی‌ء فلا حاجة حینئذٍ إلی بحث الروایات المطلّقة والمقیّدة وتحلیلها ودراستها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البحث فی هذه الروایات إنّما یکون فی محلّه فیما لو کان عنوان الدخول فی الغیر المذکور فی بعض الروایات عنواناً تعبدیّاً واحترازیاً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الشکّ إذا کنت فی شی‌ءٍ لم تجزه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کلیّة وجب الإقرار بأنّ ما جاء فی مصحّحة إسماعیل بن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شکّ فیه ممّا قد جاوزه ودخل فی غیره فلیمض علیه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قاعدة کلیّة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المطروح هنا أنّه لِمَ لم ینظروا إلی هذه العبارة علی أنّها قاعدة کلیّة مع شمول هذه القاعدة علی الدخول فی الغیر؟ وهل یمکن الالتزام بوجود الاختلاف بین هاتین القاعدتین أو لابدّ من حمل موثّقة ابن أبی یعفور علی هذا العنوان بقرینة روایة إسماعیل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سلّمنا بأنّ عنوان الدخول فی الغیر قید تعبّدی احترازی وجب تقیید جمیع الروایات المطلّقة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هذا کلّه أنّ مقتضی التحقیق هو أنّ هذا العنوان إنّما هو بمنزلة قید توضیحی من العناوین الموجبة لتحقّق المضیّ والخروج من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أنّه من علامات الخروج من الشی‌ء ولاسیّما إذا فسرّنا الغیر بالمعنی العام کان الأمر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الدخول فی الغیر کما هو شرطٌ عقلی فی قاعدة التجاوز فکذلک هو شرط عقلی فی قاعدة الفراغ، ومن البعید عن الذوق الفقهی أن یعتبر هذا الشرط فی القاعدتین لکن نراه عنواناً تعبّدیاً فی إحداهما وعنواناً عقلیاً فی الأخری کما صرّح بذلک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ظهر عدم صحّة ما تمسّک بعض المحققیّن بموثقة ابن أبی یعفور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استفادة أنّ قید الدخول فی الغیر قید تعبّدی وأنّ الدخول فی الغیر معتبر فی جریان قاعدة الفراغ فی باب الوضوء وغیر معتبر فی سائر الواجبات کالصلاة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تقیید فی باب الصلاة بالدخول فی الغیر فیقوی القول بکفایة الفراغ فی الصلاة دون الوضوء</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لأن عنوان الدخول فی الغیر بصفته أمراً واقعیاً وخارجیاً له مدخلیة فی حقیقة المضیّ والفراغ والتجاوز وللغیر معنی عام یشمل السکوت الطویل أیضاً وبعبارة أخری أنّ الغیر هو کلّ أمر وجودی أو عدمی ینافی الشی‌ء المشکوک ویخالفه شرعاً</w:t>
      </w:r>
      <w:r>
        <w:rPr>
          <w:rFonts w:eastAsia="IRNazanin" w:cs="IRNazanin"/>
          <w:color w:val="111111"/>
          <w:sz w:val="28"/>
          <w:szCs w:val="28"/>
          <w:rtl w:val="true"/>
          <w:lang w:bidi="fa-IR"/>
        </w:rPr>
        <w:t>.</w:t>
      </w:r>
      <w:bookmarkStart w:id="353" w:name="pg2935_29319"/>
    </w:p>
    <w:p>
      <w:pPr>
        <w:pStyle w:val="BookText"/>
        <w:rPr/>
      </w:pPr>
      <w:bookmarkEnd w:id="353"/>
      <w:r>
        <w:rPr>
          <w:rFonts w:ascii="IRNazanin" w:hAnsi="IRNazanin" w:eastAsia="IRNazanin"/>
          <w:color w:val="111111"/>
          <w:sz w:val="28"/>
          <w:sz w:val="28"/>
          <w:szCs w:val="28"/>
          <w:rtl w:val="true"/>
          <w:lang w:bidi="fa-IR"/>
        </w:rPr>
        <w:t>ولعلّ بهذا البیان یُستنتج أنّ أساس هذا النزاع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اعتبار الدخول فی الغیر وعدم اعتباره</w:t>
      </w:r>
      <w:r>
        <w:rPr>
          <w:rFonts w:eastAsia="IRNazanin" w:cs="IRNazanin"/>
          <w:color w:val="111111"/>
          <w:sz w:val="28"/>
          <w:szCs w:val="28"/>
          <w:rtl w:val="true"/>
          <w:lang w:bidi="fa-IR"/>
        </w:rPr>
        <w:t>.</w:t>
      </w:r>
    </w:p>
    <w:p>
      <w:pPr>
        <w:pStyle w:val="Heading2"/>
        <w:numPr>
          <w:ilvl w:val="1"/>
          <w:numId w:val="1"/>
        </w:numPr>
        <w:rPr/>
      </w:pPr>
      <w:bookmarkStart w:id="354" w:name="__RefHeading___Toc80914_2749589250"/>
      <w:bookmarkStart w:id="355" w:name="_Toc136"/>
      <w:bookmarkEnd w:id="354"/>
      <w:r>
        <w:rPr>
          <w:rtl w:val="true"/>
        </w:rPr>
        <w:t>جریان قاعدة التجاوز والفراغ فی الشکّ فی الشروط</w:t>
      </w:r>
      <w:r>
        <w:rPr>
          <w:rtl w:val="true"/>
        </w:rPr>
        <w:t>:</w:t>
      </w:r>
      <w:bookmarkEnd w:id="355"/>
    </w:p>
    <w:p>
      <w:pPr>
        <w:pStyle w:val="BookText"/>
        <w:rPr/>
      </w:pPr>
      <w:r>
        <w:rPr>
          <w:rFonts w:ascii="IRNazanin" w:hAnsi="IRNazanin" w:eastAsia="IRNazanin"/>
          <w:color w:val="111111"/>
          <w:sz w:val="28"/>
          <w:sz w:val="28"/>
          <w:szCs w:val="28"/>
          <w:rtl w:val="true"/>
          <w:lang w:bidi="fa-IR"/>
        </w:rPr>
        <w:t>ظهر ممّا سبق أنّه لاشکّ فی جریان قاعدة التجاوز فی الأجزاء أثناء الصلاة لکن النزاع والبحث فی جریان هذه القاعدة عند الشک فی الشروط أثناء الصلاة أو بعدها؟ وهل تجری قاعدة الفراغ فی الشک فی الشروط؟</w:t>
      </w:r>
    </w:p>
    <w:p>
      <w:pPr>
        <w:pStyle w:val="Heading2"/>
        <w:numPr>
          <w:ilvl w:val="1"/>
          <w:numId w:val="1"/>
        </w:numPr>
        <w:rPr/>
      </w:pPr>
      <w:bookmarkStart w:id="356" w:name="__RefHeading___Toc80916_2749589250"/>
      <w:bookmarkStart w:id="357" w:name="_Toc137"/>
      <w:bookmarkEnd w:id="356"/>
      <w:r>
        <w:rPr>
          <w:rtl w:val="true"/>
        </w:rPr>
        <w:t>تحلیل الاحتمالات الموجودة فی المسألة</w:t>
      </w:r>
      <w:r>
        <w:rPr>
          <w:rtl w:val="true"/>
        </w:rPr>
        <w:t>:</w:t>
      </w:r>
      <w:bookmarkEnd w:id="357"/>
    </w:p>
    <w:p>
      <w:pPr>
        <w:pStyle w:val="BookText"/>
        <w:rPr/>
      </w:pPr>
      <w:r>
        <w:rPr>
          <w:rFonts w:ascii="IRNazanin" w:hAnsi="IRNazanin" w:eastAsia="IRNazanin"/>
          <w:color w:val="111111"/>
          <w:sz w:val="28"/>
          <w:sz w:val="28"/>
          <w:szCs w:val="28"/>
          <w:rtl w:val="true"/>
          <w:lang w:bidi="fa-IR"/>
        </w:rPr>
        <w:t>فی هذا البحث احتمالات بل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بعضهم إلی أنّ قاعدة التجاوز لا تجری فی أیّ شرط من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آخرون منهم الشیخ محمد حسین کاشف الغطاء فی حاشیته علی العروة إلی جریان هذه القاعدة فی جمیع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الکثیر من الفقهاء والأعاظم إلی التفصیل بین أنواع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لتوضیح هذا التفصیل لابدّ من بیان أقسام الشروط فإنّ المحقّقین ذکروا أقساماً، ثلاثة أقسام عند بعضهم وأربعة عند آخرین وأوصلها بعض الأعاظم کالمحقق العراقی إلی سبعة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المحقّق النائینی الشروط المعتبرة فی الصلاة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شرط للأجزاء فی حال الصلاة کالطهارة والستر والاستقبال بمعنی وجوب اقتران کلٍّ من أجزاء الصلاة بهذه الشروط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شرط عقلی للأجزاء أی ما یتوقّف علیه الأجزاء عقلًا بحیث لا یتحقّق الجزء من دون تلک الشروط کالموالاة بین حروف الکلمة الواحدة</w:t>
      </w:r>
      <w:r>
        <w:rPr>
          <w:rFonts w:eastAsia="IRNazanin" w:cs="IRNazanin"/>
          <w:color w:val="111111"/>
          <w:sz w:val="28"/>
          <w:szCs w:val="28"/>
          <w:rtl w:val="true"/>
          <w:lang w:bidi="fa-IR"/>
        </w:rPr>
        <w:t>.</w:t>
      </w:r>
      <w:bookmarkStart w:id="358" w:name="pg2935_29320"/>
    </w:p>
    <w:p>
      <w:pPr>
        <w:pStyle w:val="BookText"/>
        <w:rPr/>
      </w:pPr>
      <w:bookmarkEnd w:id="35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شرط شرعی للأجزاء کالجهر والإخفات وهما شرطان للقراءة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أی ما هو شرط للأجزاء حال الصلاة فهو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محلّ مقرّر شرعاً وهو لا یستبعد أن تکون الطهارة من الحدث من هذا القسم ویستفاد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أن محلّ الطهارة قبل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محلّ شرعاً کالاستقبال والستر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وینقسم کلّ من هذین القسمین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یُشکّ فیه أثناء المشروط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یُشک فیه بعد الفراغ من المشروط</w:t>
      </w:r>
      <w:r>
        <w:rPr>
          <w:rFonts w:eastAsia="IRNazanin" w:cs="IRNazanin"/>
          <w:color w:val="111111"/>
          <w:sz w:val="28"/>
          <w:szCs w:val="28"/>
          <w:rtl w:val="true"/>
          <w:lang w:bidi="fa-IR"/>
        </w:rPr>
        <w:t>.</w:t>
      </w:r>
    </w:p>
    <w:p>
      <w:pPr>
        <w:pStyle w:val="Heading2"/>
        <w:numPr>
          <w:ilvl w:val="1"/>
          <w:numId w:val="1"/>
        </w:numPr>
        <w:rPr/>
      </w:pPr>
      <w:bookmarkStart w:id="359" w:name="__RefHeading___Toc80918_2749589250"/>
      <w:bookmarkStart w:id="360" w:name="_Toc138"/>
      <w:bookmarkEnd w:id="359"/>
      <w:r>
        <w:rPr>
          <w:rtl w:val="true"/>
        </w:rPr>
        <w:t>دراسة حکم القسم الأول</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الشرعی المتعلّق بمجموع العمل ذو المحلّ المعیّن فی أثناء المشروط وهو قابل لأنْ یرادَ مستقلًا نظیر الأعمال المستحبّة المستقلّة کالطهارة من الحدث التی هی شرط لصحة الصلاة وکصلاة الظهر التی هی شرط لصحة صلاة العصر حسبما یستفاد من أدلّة وجوب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فالمثالان لهذا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أثناء الصلاة فی الإتیان بالطهارة الحدثیة التی هی شروط صحّة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یشکّ فی صلاة العصر أنّه هل صلّی الظهر أولا؟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قاعدة التجاوز فی هذین الموردین؟ وعلی فرض</w:t>
      </w:r>
    </w:p>
    <w:p>
      <w:pPr>
        <w:pStyle w:val="BookText"/>
        <w:rPr/>
      </w:pPr>
      <w:r>
        <w:rPr>
          <w:rFonts w:ascii="IRNazanin" w:hAnsi="IRNazanin" w:eastAsia="IRNazanin"/>
          <w:color w:val="111111"/>
          <w:sz w:val="28"/>
          <w:sz w:val="28"/>
          <w:szCs w:val="28"/>
          <w:rtl w:val="true"/>
          <w:lang w:bidi="fa-IR"/>
        </w:rPr>
        <w:t>جریانها فهل یترتب علیها جمیع آثار وجود الشرط أو فقط تلک الآثار التی کان المکلّف مشتغلًا بها أمّا سائر الأعمال فلا یترتّب آثارها؟ فلو التزمنا بعدم جریان قاعدة التجاوز وجب علی من شکّ فی الطهارة الحدثیة أثناء الاشتغال بالصلاة أن یقطع صلاته ویتوضأ ثم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التزمنا بجریان قاعدة التجاوز والتزمنا بترتّب جمیع الآثار حکمنا بصّحة تلک الصلاة کما لا حاجة إلی التوضؤ فی الصلوات القادمة، لکن لو التزمنا بجریان قاعدة التجاوز بالنسبة إلی الفعل الذی یشتغل به المکلّف حکمنا بصحّة تلک الصلاة فقط ولابدّ من التوضؤ للصلوات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الأنسب هنا قبل تحقیق المسألة أن نشیر إلی الاحتمالات بل الأقوال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قاعدة التجاوز فی الشکّ فی أثناء المشروط سواء کان الشرط عقلیاً أم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الفراغ من العمل فتجری قاعدة التجاوز فی الشروط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تجری فی المشروط نفسه إن کان الشرط عقلیاً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للشروط أقسام أربعة لابدّ من التفصیل بینها فی جریان قاعدة التجاوز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التی لها عنوان زائد علی شرطیتها مضافاً إلی الشرطیة کأجزاء الصلاة فهی مأمور بها بأنفسها وشروط أیضاً لغیرها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إشکال فی جریان قاعدة التجاوز فی هذا القسم وهی تصحّح ذلک الجزء تعبّداً لیکون شرطاً للأجزاء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المتمحضّة فی الشرطیة ولها وجود واحد مستمر وهی شروط علی نحو الوجود المجموعی لکلّ جزءٍ من أجزاء المرکّب کالاستقبال ولا تجری قاعدة التجاوز فی هذا القسم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التی لها جهة الشرطیة فقط وهی شروط لکل جزءٍ فی ظرف ذلک الجزء کالستر ولا مانع من جریان قاعدة التجاوز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التی لها جهة الشرطیة لکن لابدّ من إحرازها قبل العمل کالوضوء والحقّ هنا عدم جریان القاعدة إذ لا طائل من جریانها، وهذا التفصیل ما ذهب إلیه المحقّق الروحانی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رأی المحقّق النائینی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قد ذکر فی هذا المجال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ترتیب جمیع آثار وجود الشرط علی مبنی کون قاعدة التجاوز من الأصول المحرزة ففی المثال السابق لابدّ من الحکم بصحّة صلاة الظهر وعدم الحاجة إلی الوضوء الجدید فی الصلوات اللاحقة لکنّ الالتزام بهذه النتیجة فی غایة الإشکال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التزمنا بعدم جریان قاعدة التجاوز فی هذا المورد إطلاقاً وحصرنا مجری هذه القاعدة بالشکّ فی الأجزاء أو الشروط التی لا تتعلّق بها الإرادة الاستقلالیة زاد الإشکال هنا أکثر من إشکال الأمر الأوّل إذ أنّ الشکّ فی الطهارة من الحدث لیس بأقلّ من الشکّ فی الأذان والإقامة وهما من المستحبّات الخارجة من الصلاة</w:t>
      </w:r>
      <w:r>
        <w:rPr>
          <w:rFonts w:eastAsia="IRNazanin" w:cs="IRNazanin"/>
          <w:color w:val="111111"/>
          <w:sz w:val="28"/>
          <w:szCs w:val="28"/>
          <w:rtl w:val="true"/>
          <w:lang w:bidi="fa-IR"/>
        </w:rPr>
        <w:t>.</w:t>
      </w:r>
      <w:bookmarkStart w:id="361" w:name="pg2935_29323"/>
    </w:p>
    <w:p>
      <w:pPr>
        <w:pStyle w:val="BookText"/>
        <w:rPr/>
      </w:pPr>
      <w:bookmarkEnd w:id="361"/>
      <w:r>
        <w:rPr>
          <w:rFonts w:ascii="IRNazanin" w:hAnsi="IRNazanin" w:eastAsia="IRNazanin"/>
          <w:color w:val="111111"/>
          <w:sz w:val="28"/>
          <w:sz w:val="28"/>
          <w:szCs w:val="28"/>
          <w:rtl w:val="true"/>
          <w:lang w:bidi="fa-IR"/>
        </w:rPr>
        <w:t>وبعبارة أخری لابدّ من الالتزام بأنّ ملاک جریان قاعدة التجاوز أن یمکن تعلّق الإرادة التبعیّة بالمشکوک لا أن یقال بوجوب تعلّق الإرادة التبعیة بالمورد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الراجح فی النظر هو أن نختار الحدّ الوسط بین الأمر الأول والأمر الثانی بأن نلتزم بجریان قاعدة التجاوز فی خصوص العمل الذی یشتغل به المکلف دون الأعمال اللاحقة، وعلیه فلابدّ فی المثال الأوّل من إکمال الصلاة والحکم علیها بالصحّة، أمّا الصلوات اللاحقة فیجب علیه أن یتوضّأ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المثال الثانی لو کان الوقت باقیاً وجب إکمال الصلاة بنیّة صلاة الظهر ثم یصلّی العصر وأمّا مع ضیق الوقت فلابد من إکمال تلک الصلاة بنیّة صلاة العصر ویبنی علی أنّه قد أتی بصلاة الظهر اعتماداً علی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الختام بأنّ المسألة تحتاج إلی تأمّلٍ أکثر</w:t>
      </w:r>
      <w:r>
        <w:rPr>
          <w:rFonts w:eastAsia="IRNazanin" w:cs="IRNazanin"/>
          <w:color w:val="111111"/>
          <w:sz w:val="28"/>
          <w:szCs w:val="28"/>
          <w:rtl w:val="true"/>
          <w:lang w:bidi="fa-IR"/>
        </w:rPr>
        <w:t>.</w:t>
      </w:r>
    </w:p>
    <w:p>
      <w:pPr>
        <w:pStyle w:val="Heading2"/>
        <w:numPr>
          <w:ilvl w:val="1"/>
          <w:numId w:val="1"/>
        </w:numPr>
        <w:rPr/>
      </w:pPr>
      <w:bookmarkStart w:id="362" w:name="__RefHeading___Toc80920_2749589250"/>
      <w:bookmarkStart w:id="363" w:name="_Toc139"/>
      <w:bookmarkEnd w:id="362"/>
      <w:r>
        <w:rPr>
          <w:rtl w:val="true"/>
        </w:rPr>
        <w:t>مناقشة نظریة المحقق النائینی</w:t>
      </w:r>
      <w:r>
        <w:rPr>
          <w:rtl w:val="true"/>
        </w:rPr>
        <w:t>:</w:t>
      </w:r>
      <w:bookmarkEnd w:id="363"/>
    </w:p>
    <w:p>
      <w:pPr>
        <w:pStyle w:val="BookText"/>
        <w:rPr/>
      </w:pPr>
      <w:r>
        <w:rPr>
          <w:rFonts w:ascii="IRNazanin" w:hAnsi="IRNazanin" w:eastAsia="IRNazanin"/>
          <w:color w:val="111111"/>
          <w:sz w:val="28"/>
          <w:sz w:val="28"/>
          <w:szCs w:val="28"/>
          <w:rtl w:val="true"/>
          <w:lang w:bidi="fa-IR"/>
        </w:rPr>
        <w:t>هناک عدة إشکالات یمکن إیرادها علی کلام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مقتضی الصناعة فی البحث أن نبحث هذا الفرض علی جمیع المبانی بمعنی أنّه لابدّ من البحث فی النتیجة تارةً علی القول باتّحاد قاعدتی الفراغ والتجاوز، وتارةً علی القول بتغایرهما وتعدّدهما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جعلناهما قاعدة واحدة والعنوان المشترک والوجه الجامع بینهما هو التجاوز أی عدم الاعتناء بالشک بعد التجاوز عن الشی‌ء أو عن محلّ الشی‌ء فإنّ هذا العنوان ینطبق علی ما نحن فیه بکلّ وضوح لحصول التجاوز عن محل الشی‌ء وهو وقوع الطهارة قبل الدخول فی الصلاة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جعلنا العنوان المشترک هو الفراغ أی عدم الاعتناء بالشک فی الشی‌ء بعد</w:t>
      </w:r>
    </w:p>
    <w:p>
      <w:pPr>
        <w:pStyle w:val="BookText"/>
        <w:rPr/>
      </w:pPr>
      <w:r>
        <w:rPr>
          <w:rFonts w:ascii="IRNazanin" w:hAnsi="IRNazanin" w:eastAsia="IRNazanin"/>
          <w:color w:val="111111"/>
          <w:sz w:val="28"/>
          <w:sz w:val="28"/>
          <w:szCs w:val="28"/>
          <w:rtl w:val="true"/>
          <w:lang w:bidi="fa-IR"/>
        </w:rPr>
        <w:t>الفراغ منه لم یجز لنا إجراء هذه القاعدة فیما نحن فیه إذ الفراغ من الشی‌ء إنّما هو فیما لو کان حدوث الشی‌ء أمراً متیقّناً، فلو شککنا بعد الفراغ منه فی صحته أو وجود جزءٍ من الأجزاء حکمنا بصحّة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ما نحن فیه هو الشک فی أثناء المشروط مع أنّ قاعدة الفراغ إنّما تجری بعد الانتهاء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إن جعلنا العنوان المشترک عدم الاعتناء بعد التجاوز عن الشی‌ء أو محل الشی‌ء جرت القاعدة فیما نحن فیه وإن جعلناه عدم الاعتناء بالشک بعد الفراغ من الشی‌ء لم تجر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لو اعتبرنا القاعدتین مستقلتین ومتغایرتین وجب الرجوع إلی أدلّة کلّ من القاعدتین علی 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ذکرنا سابقاً بأنّ قاعدة الفراغ ترتبط بالشک بعد انتهاء العمل فهی لا تجری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قاعدة التجاوز فلمّا کانت أمراً تعبّدیاً وجب الاقتصار علی مورد التعبّد هو جریان القاعدة فی الشک فی الأجزاء، ویستفاد من الأدلّة الخاصّة عدم جریان هذه القاعدة فی الشکّ فی الشرط</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تفضّل به المحقّق النائینی من أنّ الشک فی الطهارة من الحدث لیس بأقلّ من الشکّ فی الأذان والإقامة فبعید جدّاً إذ یمکن القول بأنّ المستفاد من روایات قاعدة التجاوز أنّ فی المرکب إذا انتقل المکلّف إلی الجزء الآخر وشکّ فی الجزء السابق کان محکوماً بالصحّة، والأذان والإقامة بمنزلة أجزاء الصلاة المرتبطة بها إلّا أنّ الطهارة من الحدث فعلٌ خارج من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عنوان الشرطیة</w:t>
      </w:r>
      <w:r>
        <w:rPr>
          <w:rFonts w:eastAsia="IRNazanin" w:cs="IRNazanin"/>
          <w:color w:val="111111"/>
          <w:sz w:val="28"/>
          <w:szCs w:val="28"/>
          <w:rtl w:val="true"/>
          <w:lang w:bidi="fa-IR"/>
        </w:rPr>
        <w:t>.</w:t>
      </w:r>
      <w:bookmarkStart w:id="364" w:name="pg2935_29325"/>
    </w:p>
    <w:p>
      <w:pPr>
        <w:pStyle w:val="BookText"/>
        <w:rPr/>
      </w:pPr>
      <w:bookmarkEnd w:id="364"/>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 یقدّم أیّ دلیل علی الأمور الثلاثة التی ذکرها بل اکتفی بکون کلٍّ واحدٍ منها أمراً مشکلًا والمفروض أن نعرف ما هو مقتضی أدلّة هاتین القاعدتین؟ فهو لم یقدّم الدلیل حتّی علی الأمر الثالث الذی کان راجحاً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بانّ الأمر الأول والثانی فی کلماته لم یکونا متوافقین مع الذوق الفقهی أو أنّ أحداً من الفقهاء لم یلتزم بهما</w:t>
      </w:r>
      <w:r>
        <w:rPr>
          <w:rFonts w:eastAsia="IRNazanin" w:cs="IRNazanin"/>
          <w:color w:val="111111"/>
          <w:sz w:val="28"/>
          <w:szCs w:val="28"/>
          <w:rtl w:val="true"/>
          <w:lang w:bidi="fa-IR"/>
        </w:rPr>
        <w:t>.</w:t>
      </w:r>
    </w:p>
    <w:p>
      <w:pPr>
        <w:pStyle w:val="Heading2"/>
        <w:numPr>
          <w:ilvl w:val="1"/>
          <w:numId w:val="1"/>
        </w:numPr>
        <w:rPr/>
      </w:pPr>
      <w:bookmarkStart w:id="365" w:name="__RefHeading___Toc80922_2749589250"/>
      <w:bookmarkStart w:id="366" w:name="_Toc140"/>
      <w:bookmarkEnd w:id="365"/>
      <w:r>
        <w:rPr>
          <w:rtl w:val="true"/>
        </w:rPr>
        <w:t>بحث نظریة المحقق العراقی</w:t>
      </w:r>
      <w:r>
        <w:rPr>
          <w:rtl w:val="true"/>
        </w:rPr>
        <w:t>:</w:t>
      </w:r>
      <w:bookmarkEnd w:id="366"/>
    </w:p>
    <w:p>
      <w:pPr>
        <w:pStyle w:val="Heading3"/>
        <w:numPr>
          <w:ilvl w:val="2"/>
          <w:numId w:val="1"/>
        </w:numPr>
        <w:rPr/>
      </w:pPr>
      <w:bookmarkStart w:id="367" w:name="__RefHeading___Toc80924_2749589250"/>
      <w:bookmarkStart w:id="368" w:name="_Toc141"/>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ذهب المحقّق العراقی</w:t>
      </w:r>
      <w:r>
        <w:rPr>
          <w:rStyle w:val="FootnoteAnchor"/>
          <w:rtl w:val="true"/>
        </w:rPr>
        <w:footnoteReference w:id="301"/>
      </w:r>
      <w:r>
        <w:rPr>
          <w:rFonts w:ascii="IRNazanin" w:hAnsi="IRNazanin" w:eastAsia="IRNazanin"/>
          <w:color w:val="111111"/>
          <w:sz w:val="28"/>
          <w:sz w:val="28"/>
          <w:szCs w:val="28"/>
          <w:rtl w:val="true"/>
          <w:lang w:bidi="fa-IR"/>
        </w:rPr>
        <w:t>إلی عدم جریان قاعدة التجاوز فی الشک فی الشرط الشرعی أثناء المشروط کما فی المثالین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المحقّق العراقی دخل فی هذا البحث بشکل أدقّ من المحقق النائینی لأنّه تابع المسألة بالنسبة إلی کلٍ من قاعدة التجاوز وقاعدة الفراغ علی 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نلخّص کلامه فی مطلبین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التجاوز إنّما تجری فیما یصدق عنوان التجاوز عن المحل ولا یصدق التجاوز عن المحلّ بحسب الذات فی صلاة العصر بالنسبة إلی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یصدق التجاوز هنا من جهة أنّ لتقدّم الظهر شرطیة لصلاة العصر وهذا غیر کاف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إنّ صلاة الظهر بحسب نفسها لا محلّ لها مقرّراً شرعاً، ومن هنا فلو أنّ المکلّف قد صلّی العصر ثمّ تذکّر أنّه لم یأت بصلاة الظهر وجب علیه أن یصلّی صلاة واحدة بنیّة صلاة الظهر لأنّ الترتیب بین صلاتی الظهر والعصر</w:t>
      </w:r>
    </w:p>
    <w:p>
      <w:pPr>
        <w:pStyle w:val="BookText"/>
        <w:rPr/>
      </w:pPr>
      <w:r>
        <w:rPr>
          <w:rFonts w:ascii="IRNazanin" w:hAnsi="IRNazanin" w:eastAsia="IRNazanin"/>
          <w:color w:val="111111"/>
          <w:sz w:val="28"/>
          <w:sz w:val="28"/>
          <w:szCs w:val="28"/>
          <w:rtl w:val="true"/>
          <w:lang w:bidi="fa-IR"/>
        </w:rPr>
        <w:t>ترتیب ذکری لا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 استنتج من هذا المطلب بأنّ مَن یعتقد فی هذا المثال بوجوب البناء من جهة علی وجود الظهر وإنّ هذه الصلاة إنّما یؤتی بها بنیّة العصر، ومن جهة أخری لو کان الوقت باقیاً بعد الإتیان بالصلاة وجب الإتیان بصلاة الظهر بمقتضی استصحاب عدم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 بین هاتین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قاعدة التجاوز واستصحاب عدم إتیان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اشتهر من حکومة قاعدة التجاوز علی استصحاب العدم فلا ینطبق علی هذا المثال بالنسبة إلی صلاة الظهر فلا حکومة هنا، نعم لقاعدة التجاوز حکومة بالنسبة إلی شرطیة تقدّم صلاة الظهر علی صلاة العصر فإنّ العلم الإجمالی بکذب أحدهما موجود، إمّا أولًا فلا یستلزم محذور المخالفة العملیة، وثانیاً لا مانع بالتفکیک بین المتلازمین فی الأحکام الظاهریة، ولهذا التفکیک موارد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فیه البحث من خلال مثالین علی 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استفدنا وجوب الترتیب من أدلّة صلاتی الظهر والعصر نستفید من أدلّة مشروعیة العدول فیما لو اشتغل بصلاة العصر وتذکّر أنّه نسی الظهر وجب العدول إلی صلاة الظهر، یستفاد من ذلک شرطیة تقدّم صلاة الظهر علی صلاة العصر بالنسبة إلی جمیع أجزائها بمعنی أنّ کلّ جزء من أجزاء صلاة العصر مشروط مستقلًا، ویستفاد من هذه الشرطیة اشتراطات متعدّدة بحسب تعدّد الأجزاء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أنّه لا وجود لمشروط واحد اسمه صلاة العصر وهی لا تلاحظ علی أنها 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ذلک استنتجنا أنّ فی أثناء صلاة العصر لا إشکال فی إجراء قاعدة التجاوز فی الأجزاء السابقة لصدق التجاوز عن المحلّ بالنسبة إلیها لکن لا یمکن إجراء قاعدة التجاوز فی الأجزاء اللاحقة إذ لم یصدق فی حقّها عنوان التجاوز عن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الأخیرة أنّ بعد عدم جریان قاعدة التجاوز یجب علی المکلّف العدول إلی صلاة الظهر وإکمال الصلاة بنیّة الظهر ثم الإتیان بصلاة أخری بنیّة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یجیب عن هذا الإشکال بأنّه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مجری أدلّة العدول ما کان المکلّف منشغلًا بصلاة العصر وتیقّن بعدم إتیان الظهر، أمّا ما لو شک فیه فهو خارج عن دائرة أدلة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العدول من لوازم عدم الإتیان الواقعی لصلاة الظهر أمّا العلم والیقین فهو مجرّد طریق ولمّا أحرزنا عدم إتیان الظهر بواسطة استصحاب العدم وجب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الأساسیة فی کلامه فی هذا البحث هی أنّ قاعدة التجاوز غیر قابلة للجریان فی هذا المثال من الأساس لعدم صدق عنوان التجاوز عن المحلّ علی الأجزاء المتبقیّة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الطهارة للصلاة والشک أثناء الصلاة فی أنّه علی طهارة أولا؟ لو اعتبرنا الوضوء الخارجی شرطاً وجعلنا الصلاة علی أنّها فعل واحد مشروطاً بحیث لا تجعل کلّ جزء من أجزائها مستقلًا مشروطاً صدق التجاوز عن المحلّ بهذین القیدین وجرتْ قاعدة التجاوز، وعلیه فلابدّ من عدم الاعتناء بهذا الشک</w:t>
      </w:r>
      <w:bookmarkStart w:id="369" w:name="pg2935_29328"/>
    </w:p>
    <w:p>
      <w:pPr>
        <w:pStyle w:val="BookText"/>
        <w:rPr/>
      </w:pPr>
      <w:bookmarkEnd w:id="369"/>
      <w:r>
        <w:rPr>
          <w:rFonts w:ascii="IRNazanin" w:hAnsi="IRNazanin" w:eastAsia="IRNazanin"/>
          <w:color w:val="111111"/>
          <w:sz w:val="28"/>
          <w:sz w:val="28"/>
          <w:szCs w:val="28"/>
          <w:rtl w:val="true"/>
          <w:lang w:bidi="fa-IR"/>
        </w:rPr>
        <w:t>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اعتبرنا الوضوء الخارجی شرطاً ولم نجعل مجموع الصلاة مشروطاً بل کلّ جزء من أجزاء الصلاة تعنون بعنوان المشروط لم تجر هنا قاعدة التجاوز ولابدّ من قطع الصلاة عند الشک فی أثناء الصلاة فیجب التوضؤ من جدید والإتیان بصلاة 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اعتبرنا الشرط ما هو مسبّب عن الوضوء أی الطهارة القلبیة کان هذا الشرط من الشروط المقارنة للصلاة کالستر والاستقبال لکنّه یعتقد بأن المستفاد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هو أنّ الشرط إنّما هو الوضوء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المستفاد من 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إلّا بطهور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ascii="IRNazanin" w:hAnsi="IRNazanin" w:eastAsia="IRNazanin"/>
          <w:color w:val="111111"/>
          <w:sz w:val="28"/>
          <w:sz w:val="28"/>
          <w:szCs w:val="28"/>
          <w:rtl w:val="true"/>
          <w:lang w:bidi="fa-IR"/>
        </w:rPr>
        <w:t>أنّ الشرط هو الطهارة والوضوء الخارجی یوجب تحقّق هذه الطهارة القلبیة وعلیه فلا محل معیّن شرعاً لشرط الطهارة فلا تجری قاعدة التجاوز</w:t>
      </w:r>
      <w:r>
        <w:rPr>
          <w:rFonts w:eastAsia="IRNazanin" w:cs="IRNazanin"/>
          <w:color w:val="111111"/>
          <w:sz w:val="28"/>
          <w:szCs w:val="28"/>
          <w:rtl w:val="true"/>
          <w:lang w:bidi="fa-IR"/>
        </w:rPr>
        <w:t>.</w:t>
      </w:r>
    </w:p>
    <w:p>
      <w:pPr>
        <w:pStyle w:val="Heading3"/>
        <w:numPr>
          <w:ilvl w:val="2"/>
          <w:numId w:val="1"/>
        </w:numPr>
        <w:rPr/>
      </w:pPr>
      <w:bookmarkStart w:id="370" w:name="__RefHeading___Toc80926_2749589250"/>
      <w:bookmarkStart w:id="371" w:name="_Toc142"/>
      <w:bookmarkEnd w:id="370"/>
      <w:r>
        <w:rPr>
          <w:rtl w:val="true"/>
        </w:rPr>
        <w:t>الإشکالات علی نظریة المحقق العراقی</w:t>
      </w:r>
      <w:r>
        <w:rPr>
          <w:rtl w:val="true"/>
        </w:rPr>
        <w:t>:</w:t>
      </w:r>
      <w:bookmarkEnd w:id="371"/>
    </w:p>
    <w:p>
      <w:pPr>
        <w:pStyle w:val="BookText"/>
        <w:rPr/>
      </w:pPr>
      <w:r>
        <w:rPr>
          <w:rFonts w:ascii="IRNazanin" w:hAnsi="IRNazanin" w:eastAsia="IRNazanin"/>
          <w:color w:val="111111"/>
          <w:sz w:val="28"/>
          <w:sz w:val="28"/>
          <w:szCs w:val="28"/>
          <w:rtl w:val="true"/>
          <w:lang w:bidi="fa-IR"/>
        </w:rPr>
        <w:t>الظاهر أنّ کلام المحقق العراقی أیضاً لا یخلو من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صوّر المشروط فی المثالین علی نحو المتعدّد وجعل کلّ جزءٍ من أجزاء صلاة العصر مشروطاً مستقلًا لشرطیة صلاة الظهر، کما صوّر کلّ جزء من أجزاء الصلاة مشروطاً مستقلًا للطهارة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بعید جدّاً بل خلاف ظاهر الأدلّة لأنّ الشارع جعل الصلاة عملًا واحداً واعتبرهما شیئاً واحداً والشاهد علی ذلک هو أنّ المکلّف لو فقد الطهارة فی أحد</w:t>
      </w:r>
    </w:p>
    <w:p>
      <w:pPr>
        <w:pStyle w:val="BookText"/>
        <w:rPr/>
      </w:pPr>
      <w:r>
        <w:rPr>
          <w:rFonts w:ascii="IRNazanin" w:hAnsi="IRNazanin" w:eastAsia="IRNazanin"/>
          <w:color w:val="111111"/>
          <w:sz w:val="28"/>
          <w:sz w:val="28"/>
          <w:szCs w:val="28"/>
          <w:rtl w:val="true"/>
          <w:lang w:bidi="fa-IR"/>
        </w:rPr>
        <w:t>السکونات المتخلّلة أثناء الصلاة لا یمکن الحکم علیه بأن یتوضّأ فی تلک الحالة ویکمّل صلاته ویُحکم بصحّة صلاته بل یکون مجموع الصلاة باطلًا ویجب استئناف الصلاة بعد أن یتوضّأ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أنّه لم یُقمْ أیّ دلیلٍ علی مدّعاه فی أنّ کلّ جزءٍ من أجزاء الصلاة علی نحو الاستقلال یکون المشروط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صاحب منتقی الأصول إلی عدم جریان قاعدة التجاوز فی هذین المثالین ووافق المحقّق العراقی فی رأیه لکنّه جاء بذلک فی عبارة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لأنّ ذات الشرط لا یکون مأموراً به بنفسه وإلّا لکان دخیلًا فی المرکّب فیکون جزءاً وهو خلاف الفرض، وإنّما أخذ التقیید به دخیلًا وجزءاً فی الصلاة فالشرطیة تنتزع عن أخذ التقیید بالعمل ومعنی التقیید فی هذا النحو من الشروط هو کون العمل المرکّب مسبوقاً بالعمل وهو الوضوء فحیث إنّ العمل المرکّب عبارة عن أجزائه فکلّ جزءٍ أخذ فیه مسبوقیة بالوضوء فإحراز المسبوقیة بالقاعدة بالنسبة إلی الأجزاء السابقة لا یجدی بالنسبة إلی اللاحقة لأنّها لم تتجاوز عن محلّها فلا یتحقّق موضوع القاعدة بالنسبة إلیها</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وأصل هذا الکلام مأخوذ من کلمات المحقّق العراقی ولابدّ من ذکر هذه الملاحظة وهی أنّه إذا کان المرکّب هو هذه الأجزاء فإنّ الشارع ألم یعتبر هذا المرکب وهذه الأجزاء عنواناً وعملًا واحداً؟ نعم لو لم یکن هذا الاعتبار کان الحقّ إلی جانبه وإلی جانب المحقق العراقی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التحقیق هو أنّ الوضوء الخارجی لا شرطیة له والشرط هو حصول الطهارة القلبیة النفسانیة ومع هذا فإنّه لا یلازم أن نعتبر الطهارة شرطاً</w:t>
      </w:r>
    </w:p>
    <w:p>
      <w:pPr>
        <w:pStyle w:val="BookText"/>
        <w:rPr/>
      </w:pPr>
      <w:r>
        <w:rPr>
          <w:rFonts w:ascii="IRNazanin" w:hAnsi="IRNazanin" w:eastAsia="IRNazanin"/>
          <w:color w:val="111111"/>
          <w:sz w:val="28"/>
          <w:sz w:val="28"/>
          <w:szCs w:val="28"/>
          <w:rtl w:val="true"/>
          <w:lang w:bidi="fa-IR"/>
        </w:rPr>
        <w:t xml:space="preserve">مقارناً کالستر والاستقبال بل یمکن أن یستفاد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إلّا بطهور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ascii="IRNazanin" w:hAnsi="IRNazanin" w:eastAsia="IRNazanin"/>
          <w:color w:val="111111"/>
          <w:sz w:val="28"/>
          <w:sz w:val="28"/>
          <w:szCs w:val="28"/>
          <w:rtl w:val="true"/>
          <w:lang w:bidi="fa-IR"/>
        </w:rPr>
        <w:t>أیضاً أنّ الطهور یجب أن لا یحصل قبل الصلاة وعلی هذا یمکن الالتزام بأنّ التجاوز عن المحلّ صادق فی هذین المثالین، ومن هنا فلا إشکال فی جریان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کانت قاعدة التجاوز قاعدة تعبّدیة وظاهر الأدلّة اختصاصها بالشک فی الأجزاء الشرعیة لم تجر هذه القاعدة فی الشرط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فی 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فی أثناء العصر فی أنّه أتی بالظهر أم لا، بنی علی عدم الإتیان وعدل إلیها إن کان فی الوقت المشترک ولا تجری قاعدة التجاوز، نعم لو کان فی الوقت المختصّ یمکن البناء علی الإتیان باعتبار کونه من الشک بعد الوقت</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وافق السید صاحب العروة کثیر من المحشّین علی العروة فی هذه المسألة ولم یکن لهم تعلیق ومنهم الوالد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قال فی الوقت المختص بأنّ الاحتیاط فی قضاء صلاة الظهر وهو کذلک إذ فی کون هذا المورد من موارد الشک بعد الوقت تأمّل وإشکالٌ فلابدّ من الاحتیاط، هذا وقد خالفه السید الحکیم وقال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البناء علی الإتیان ولا حاجة إلی العدول ولا إلی فعل الظهر بعد الفراغ من العصر وإن کان الاحتیاط فیما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المرحوم السید هذه المسألة بعینها فی مباحث الخلل فی الصلاة فی کتاب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حکم القسم الثانی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الشرط شرعی وقد تعلّق بالأجزاء نفسها أو</w:t>
      </w:r>
    </w:p>
    <w:p>
      <w:pPr>
        <w:pStyle w:val="BookText"/>
        <w:rPr/>
      </w:pPr>
      <w:r>
        <w:rPr>
          <w:rFonts w:ascii="IRNazanin" w:hAnsi="IRNazanin" w:eastAsia="IRNazanin"/>
          <w:color w:val="111111"/>
          <w:sz w:val="28"/>
          <w:sz w:val="28"/>
          <w:szCs w:val="28"/>
          <w:rtl w:val="true"/>
          <w:lang w:bidi="fa-IR"/>
        </w:rPr>
        <w:t>بمجموع حالات الصلاة الأعمّ من الأجزاء وغیرها وإن کان ذلک حال السکونات أثناء الصلاة ولم یکن ذا محلّ معین شرعاً کالستر والاستقبال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العراقی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شک فی عدم جریان قاعدة التجاوز لأنّ ملاک جریان القاعدة هو وجود المحلّ المعین شرعاً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عدم الجریان بین الشک فی الأثناء والشک بعد الفراغ من العمل إلّا أنّ قاعدة الفراغ لو خصّصناها بما بعد الفراغ من العمل کان من الواضح جریانها فی المشروط نفسه أی الصلاة لرجوع ذلک إلی الشک فی الصحّة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تجری قاعدة الفراغ فی أثناء العمل بالنسبة إلی المشروط فیما لو کانت الأجزاء السابقة بحیث لها عنوان مستقلّ عند العرف وتعتبر عملًا من الأعمال کالرکعة الواحدة حیث لها عنوان مستقلّ بخلاف الآیة الواحدة إذ لا استقلالیة لها عند العرف، نعم یختصّ جریان قاعدة الفراغ فی الأثناء بما إذا أحرز وجود الشرط فی ذلک الجزء هو فیه وإلّا فلو شکّ فی ذلک أیضاً لم یترتّب أیّ أثر عملی علی جریان قاعدة الفراغ فی الأجزاء السابقة وذلک کما فی جزءٍ من الأجزاء السابقة فی أنّه هل کان مقترناً بالستر أو الاستقبال أولا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أنّه لا فرق بین مسألة الجهر والإخفات وشرطیة الستر والاستقبال ولابدّ من الحکم الواحد فی کلاهما، فکما أنّ الجهر والإخفات من شروط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وسنشیر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الستر والاستقبال فإنّهما وإن کانا من شروط مجموع المرکّب بحسب الظاهر إلّا أنّهما فی الواقع شرطان لکلّ جزءٍ من أجزاء الصلاة حتّی للسکونات المتخللّة لأفعال الصلاة، فکما تجری قاعدة التجاوز فی شرط الجزء المعیّن تجری فی هذه الموارد أیضاً، وعلیه فلو شکّ المکلّف أثناء الصلاة فی أنّه هل راعی شرط الاستقبال فی الأفعال السابقة أولا؟</w:t>
      </w:r>
      <w:bookmarkStart w:id="372" w:name="pg2935_29332"/>
    </w:p>
    <w:p>
      <w:pPr>
        <w:pStyle w:val="BookText"/>
        <w:rPr/>
      </w:pPr>
      <w:bookmarkEnd w:id="372"/>
      <w:r>
        <w:rPr>
          <w:rFonts w:ascii="IRNazanin" w:hAnsi="IRNazanin" w:eastAsia="IRNazanin"/>
          <w:color w:val="111111"/>
          <w:sz w:val="28"/>
          <w:sz w:val="28"/>
          <w:szCs w:val="28"/>
          <w:rtl w:val="true"/>
          <w:lang w:bidi="fa-IR"/>
        </w:rPr>
        <w:t>جاز له التمسّک بقاعدة التجاوز والحکم علی صلاته بالصحّة وعدم الاعتناء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محمد حسین کاشف الغطاء فی ذیل المسألة العاشرة من أحکام الشکوک فی کتاب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کون الشکّ فی الشروط قبل الشک فی الأجزاء، تجری فی قاعدة التجاوز فلو شکّ فی الطهارة وهو فی تکبیرة الإحرام لم یعتن، وهکذا فی الساتر والقبلة لو شکّ فیما مضی من الصلاة وأنّه کان مستتراً أم لا، وهکذا لأنّ محلّ الطهارة والساتر ونحوهما قبل الصلاة وقد تجاوزه فلا یُعتنی بالشکّ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المرحوم السید فیری أنّه لو شکّ فی الشرائط أثناء العمل فلابدّ من الإحراز، وبدونه لا یمکنه استمرار العمل</w:t>
      </w:r>
      <w:r>
        <w:rPr>
          <w:rFonts w:eastAsia="IRNazanin" w:cs="IRNazanin"/>
          <w:color w:val="111111"/>
          <w:sz w:val="28"/>
          <w:szCs w:val="28"/>
          <w:rtl w:val="true"/>
          <w:lang w:bidi="fa-IR"/>
        </w:rPr>
        <w:t>.</w:t>
      </w:r>
    </w:p>
    <w:p>
      <w:pPr>
        <w:pStyle w:val="Heading2"/>
        <w:numPr>
          <w:ilvl w:val="1"/>
          <w:numId w:val="1"/>
        </w:numPr>
        <w:rPr/>
      </w:pPr>
      <w:bookmarkStart w:id="373" w:name="__RefHeading___Toc80928_2749589250"/>
      <w:bookmarkStart w:id="374" w:name="_Toc143"/>
      <w:bookmarkEnd w:id="373"/>
      <w:r>
        <w:rPr>
          <w:rtl w:val="true"/>
        </w:rPr>
        <w:t>بحث نظریة صاحب منتقی الأصول</w:t>
      </w:r>
      <w:r>
        <w:rPr>
          <w:rtl w:val="true"/>
        </w:rPr>
        <w:t>:</w:t>
      </w:r>
      <w:bookmarkEnd w:id="374"/>
    </w:p>
    <w:p>
      <w:pPr>
        <w:pStyle w:val="Heading3"/>
        <w:numPr>
          <w:ilvl w:val="2"/>
          <w:numId w:val="1"/>
        </w:numPr>
        <w:rPr/>
      </w:pPr>
      <w:bookmarkStart w:id="375" w:name="__RefHeading___Toc80930_2749589250"/>
      <w:bookmarkStart w:id="376" w:name="_Toc144"/>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یظهر من کلمات بعض المحققّین</w:t>
      </w:r>
      <w:r>
        <w:rPr>
          <w:rStyle w:val="FootnoteAnchor"/>
          <w:rtl w:val="true"/>
        </w:rPr>
        <w:footnoteReference w:id="307"/>
      </w:r>
      <w:r>
        <w:rPr>
          <w:rFonts w:ascii="IRNazanin" w:hAnsi="IRNazanin" w:eastAsia="IRNazanin"/>
          <w:color w:val="111111"/>
          <w:sz w:val="28"/>
          <w:sz w:val="28"/>
          <w:szCs w:val="28"/>
          <w:rtl w:val="true"/>
          <w:lang w:bidi="fa-IR"/>
        </w:rPr>
        <w:t>التفریق بین الستر والاستقبال إذ المستفاد من الأدلّة أنّ الاستقبال متمحّض فی الشرطیة وهو شرط لکلّ جزء من أجزاء الصلاة بالوجود الواحد المستمرّ أو بالوجود المجموعی بخلاف الستر فإنّه شرط لکلّ جزءٍ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قاعدة التجاوز غیر جاریة فی المقام بدلیلین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الأثر شرعاً علی جریان قاعدة التجاوز لترتّب الأثر فی هذا المورد علی الوجود المستمّر ولا یترتّب شرعاً أیّ أثر بجریان القاعدة فی الأجزاء السابقة إلّا بالملازمة</w:t>
      </w:r>
      <w:r>
        <w:rPr>
          <w:rFonts w:eastAsia="IRNazanin" w:cs="IRNazanin"/>
          <w:color w:val="111111"/>
          <w:sz w:val="28"/>
          <w:szCs w:val="28"/>
          <w:rtl w:val="true"/>
          <w:lang w:bidi="fa-IR"/>
        </w:rPr>
        <w:t>.</w:t>
      </w:r>
      <w:bookmarkStart w:id="377" w:name="pg2935_29333"/>
    </w:p>
    <w:p>
      <w:pPr>
        <w:pStyle w:val="BookText"/>
        <w:rPr/>
      </w:pPr>
      <w:bookmarkEnd w:id="377"/>
      <w:r>
        <w:rPr>
          <w:rFonts w:ascii="IRNazanin" w:hAnsi="IRNazanin" w:eastAsia="IRNazanin"/>
          <w:color w:val="111111"/>
          <w:sz w:val="28"/>
          <w:sz w:val="28"/>
          <w:szCs w:val="28"/>
          <w:rtl w:val="true"/>
          <w:lang w:bidi="fa-IR"/>
        </w:rPr>
        <w:t>والدلیل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فی جریان هذه القاعدة صدق عنوان التجاوز عن المحل المشکوک فلو جعلنا الشرط وجود المجموع أو الوجود الواحد المستمرّ لم یتحقق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الستر فلا مانع من أجزاء قاعدة التجاوز فی الأجزاء اللاحقة، لأنّ المفروض کون الستر شرطاً لکلّ جزءٍ فی ظرفه الخاصّ به وقد حصل التجاوز بالنسبة لذلک الجزء</w:t>
      </w:r>
      <w:r>
        <w:rPr>
          <w:rFonts w:eastAsia="IRNazanin" w:cs="IRNazanin"/>
          <w:color w:val="111111"/>
          <w:sz w:val="28"/>
          <w:szCs w:val="28"/>
          <w:rtl w:val="true"/>
          <w:lang w:bidi="fa-IR"/>
        </w:rPr>
        <w:t>.</w:t>
      </w:r>
    </w:p>
    <w:p>
      <w:pPr>
        <w:pStyle w:val="Heading3"/>
        <w:numPr>
          <w:ilvl w:val="2"/>
          <w:numId w:val="1"/>
        </w:numPr>
        <w:rPr/>
      </w:pPr>
      <w:bookmarkStart w:id="378" w:name="__RefHeading___Toc80932_2749589250"/>
      <w:bookmarkStart w:id="379" w:name="_Toc145"/>
      <w:bookmarkEnd w:id="378"/>
      <w:r>
        <w:rPr>
          <w:rtl w:val="true"/>
        </w:rPr>
        <w:t>الإشکالات علی نظریة صاحب منتقی الأصول</w:t>
      </w:r>
      <w:r>
        <w:rPr>
          <w:rtl w:val="true"/>
        </w:rPr>
        <w:t>:</w:t>
      </w:r>
      <w:bookmarkEnd w:id="379"/>
    </w:p>
    <w:p>
      <w:pPr>
        <w:pStyle w:val="BookText"/>
        <w:rPr/>
      </w:pPr>
      <w:r>
        <w:rPr>
          <w:rFonts w:ascii="IRNazanin" w:hAnsi="IRNazanin" w:eastAsia="IRNazanin"/>
          <w:color w:val="111111"/>
          <w:sz w:val="28"/>
          <w:sz w:val="28"/>
          <w:szCs w:val="28"/>
          <w:rtl w:val="true"/>
          <w:lang w:bidi="fa-IR"/>
        </w:rPr>
        <w:t>والظاهر أنّ کلام صاحب منتقی الأصول لا یخلو من إشکالات وملاحظات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الستر والاستقبال هما من الشروط المقارنة ولا یمکن أن یستفاد من الأدلّة الاختلاف فی کیفیة شرطیتهما، وبعبارة أخری إنّ شرطیة کلیهما بالوجود الواحد المستمر أو بالوجود المجموعی ولم یُقم هو دلیلًا علی اختلاف أدلّتهما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جریان الأثر تحقق الوجود الواحد فی الأجزاء السابقة وقد وقع هنا خلط بین کون الشی‌ء تامّ الأثر وکونه مؤثراً فی الجملة إذ لا یترتّب الأثر التام علی جریان قاعدة التجاوز فی الأجزاء السابقة لکن یکفی فی جریان هذه القاعدة شرعاً أنّها تربط الأجزاء السابقة بالأجزاء اللاحقة وتوجب وجود الشرط فی مجموع الأجزاء السابقة واللاحقة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جعلنا الشرط هو الوجود المستمرّ أو المجموع فإنّ التجاوز عن المحلّ یصدق علی الأجزاء السابقة بالنظر إلی نفس الأجزاء ویکفی بذلک إجراء قاعدة التجاوز 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حکم القسم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الشرط الشرعی المختصّ بالجزء کالجهر والإخفات من شروط القراءة التی هی جزءٌ من الصلاة، وذلک کما لو شکّ المکلّف فی صلاة الصبح بعد الفراغ من الحمد وأثناء قراءة السورة فی أنّه هل جهر بالحمد أو أخفت بها؟</w:t>
      </w:r>
    </w:p>
    <w:p>
      <w:pPr>
        <w:pStyle w:val="BookText"/>
        <w:rPr/>
      </w:pPr>
      <w:r>
        <w:rPr>
          <w:rFonts w:ascii="IRNazanin" w:hAnsi="IRNazanin" w:eastAsia="IRNazanin"/>
          <w:color w:val="111111"/>
          <w:sz w:val="28"/>
          <w:sz w:val="28"/>
          <w:szCs w:val="28"/>
          <w:rtl w:val="true"/>
          <w:lang w:bidi="fa-IR"/>
        </w:rPr>
        <w:t>یری المحقّق النائینی</w:t>
      </w:r>
      <w:r>
        <w:rPr>
          <w:rStyle w:val="FootnoteAnchor"/>
          <w:rtl w:val="true"/>
        </w:rPr>
        <w:footnoteReference w:id="308"/>
      </w:r>
      <w:r>
        <w:rPr>
          <w:rFonts w:ascii="IRNazanin" w:hAnsi="IRNazanin" w:eastAsia="IRNazanin"/>
          <w:color w:val="111111"/>
          <w:sz w:val="28"/>
          <w:sz w:val="28"/>
          <w:szCs w:val="28"/>
          <w:rtl w:val="true"/>
          <w:lang w:bidi="fa-IR"/>
        </w:rPr>
        <w:t>فی هذا المقام بأنّه لم یجد مثالًا آخر عدا هذا المثال ولا فائدة فی البحث فی هذا المثال لقیام النصّ المعتبر علی أنّ من تیقّن بعدم مراعاة الجهر والاخفات لم یجب علیه الإعادة والتکرار وبطریق أولی لابدّ من الحکم کذلک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لابدّ من ذکر البحث العلمی للمسألة إذ یمکن العثور علی مثال آخر بالتتبّع والاستقراء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هناک مثالًا آخر عدا مثال الجهر والاخفات وهو شرطیة الطمأنینة فی الأذکار الواجبة وهو یعتقد بجریان قاعدة التجاوز فی الشرط من هذا القبیل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الشک بعد الدخول فی الرکن فلا إشکال فی الصحة لأنّ العلم بفواته نسیاناً بعد الدخول فی الرکن لا أثر له فضلًا عن الشکّ فی الفوات وإن کان الشکّ قبل الدخول فی الرکن وبعد الدخول فی الغیر المترتّب علی الجزء المشروط بالمشکوک فیه فالأقوی جریان قاعدة التجاوز فیه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یترقّی ذلک ویقول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یصحّ جریان القاعدة فی کلّ من الشرط والمشروط، لأنّ الشک فی وجود الشرط الشرعی یستتبع الشک فی وجود المشروط بوصف کونه صحیحاً</w:t>
      </w:r>
    </w:p>
    <w:p>
      <w:pPr>
        <w:pStyle w:val="BookText"/>
        <w:rPr/>
      </w:pPr>
      <w:r>
        <w:rPr>
          <w:rFonts w:ascii="IRNazanin" w:hAnsi="IRNazanin" w:eastAsia="IRNazanin"/>
          <w:color w:val="111111"/>
          <w:sz w:val="28"/>
          <w:sz w:val="28"/>
          <w:szCs w:val="28"/>
          <w:rtl w:val="true"/>
          <w:lang w:bidi="fa-IR"/>
        </w:rPr>
        <w:t>والمفروض أنّ المکلف قد دخل فی الغیر المترتّب علی المشکوک فیه فهو قد تجاوز محل الشرط والمشروط</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مراده أنّ قاعدة التجاوز کما تجری فی الشرط فکذلک تجری فی المشروط إذ الشک فی الشرط یوجب الشک فی صحة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آخر إنّ الشک فی شرط کالجهر یوجب الشک فی صحّة القراءة ولمّا قد تجاوز محلّ کلیهما جرت قاعدة التجاوز فی الشرط والمشروط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ذهب المحقّق العراقی</w:t>
      </w:r>
      <w:r>
        <w:rPr>
          <w:rStyle w:val="FootnoteAnchor"/>
          <w:rtl w:val="true"/>
        </w:rPr>
        <w:footnoteReference w:id="311"/>
      </w:r>
      <w:r>
        <w:rPr>
          <w:rFonts w:ascii="IRNazanin" w:hAnsi="IRNazanin" w:eastAsia="IRNazanin"/>
          <w:color w:val="111111"/>
          <w:sz w:val="28"/>
          <w:sz w:val="28"/>
          <w:szCs w:val="28"/>
          <w:rtl w:val="true"/>
          <w:lang w:bidi="fa-IR"/>
        </w:rPr>
        <w:t xml:space="preserve">خلافاً للمحقق النائینی إلی عدم جریان القاعدة فی الشرط واستدلّ بأنّ عنوان الشی‌ء لا یصدق علی الشروط من هذا القبیل أی لا یصدق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شی‌ءٍ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المورد،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قاعدة التجاوز لا تجری فی المشروط أی القاعدة من جهة الشک فی الوجود، إذ لا شک فی وجود القراءة بینما تجری قاعدة الفراغ فی المشروط من ناحیة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کلام المحقق العراقی أنّه یری جریان قاعدة الفراغ مطلقاً بعد العمل وأثناء العمل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المحقق النائینی فی هذا المقام أوفق مع التحقیق وأنّ کلام المحقّق العراقی قابل للنقد والمناقشة إذ لیس من الواضح عدم صدق عنوان الشی‌ء علی هذا الشرط، والخروج من هذا الشرط إنمّا هو باعتبار الخروج من المشروط، وهذا مطابق مع فهم العرف فإنّ العرف یری فی الشرط المتعلّق بالجزء بأنّ الخروج من الجزء والدخول فی الجزء الآخر مساوق مع الخروج من</w:t>
      </w:r>
    </w:p>
    <w:p>
      <w:pPr>
        <w:pStyle w:val="BookText"/>
        <w:rPr/>
      </w:pPr>
      <w:r>
        <w:rPr>
          <w:rFonts w:ascii="IRNazanin" w:hAnsi="IRNazanin" w:eastAsia="IRNazanin"/>
          <w:color w:val="111111"/>
          <w:sz w:val="28"/>
          <w:sz w:val="28"/>
          <w:szCs w:val="28"/>
          <w:rtl w:val="true"/>
          <w:lang w:bidi="fa-IR"/>
        </w:rPr>
        <w:t>شرط ذلک الجزء، وهذا المقدار کافٍ فی جریان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 سابقاً بأنّ أدلّة هذه القاعدة لا تشمل الشروط أمّا شرط الجزء فله حکم ذلک الجزء ویختلف عن الشرط الخارج عن المرکّب،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المنسیّ الجهر أو الإخفات لم یجب التدارک بإعادة القراءة أو الذکر علی الأقوی، وإن کان أحوط إذا لم یدخل فی الرکوع</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التدارک فیما لو نسی الجهر أو الإخفات، لکنّ الاحتیاط المستحب هو الإعادة ما لم یدخل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ذکرنا سابقاً أنّ صحیحة زرارة أیضاً قد وردت فی هذا المقام من غیر التمسّک بقاعدة التجاوز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ذلک فعل متعمّداً نقض صلاته وإن فعل ناسیاً أو جاهلًا أو لا یدری فلیس علیه شی‌ء وقد تمّتْ صلاته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ascii="IRNazanin" w:hAnsi="IRNazanin" w:eastAsia="IRNazanin"/>
          <w:color w:val="111111"/>
          <w:sz w:val="28"/>
          <w:sz w:val="28"/>
          <w:szCs w:val="28"/>
          <w:rtl w:val="true"/>
          <w:lang w:bidi="fa-IR"/>
        </w:rPr>
        <w:t>حیث إنّ المستفاد منها عدم وجوب الإعادة والتدارک فیما لو عرض النسیان فی ظرف اعتبار الشرط وحین لزوم الإتیان به ومراعاته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نستنتجه هو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فی القنوت أنّه کان علیه الجهر بالقراءة ولکنّه أخفت بها لم یجب علیه إعادة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قراءة السورة وتذکّر أنّه لم یجهر بفاتحة الکتاب لم تجب الإعادة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الآیة التی هو فیها أو تذکّر بأنّه لم یأت بالآیة السابقة علی</w:t>
      </w:r>
    </w:p>
    <w:p>
      <w:pPr>
        <w:pStyle w:val="BookText"/>
        <w:rPr/>
      </w:pPr>
      <w:r>
        <w:rPr>
          <w:rFonts w:ascii="IRNazanin" w:hAnsi="IRNazanin" w:eastAsia="IRNazanin"/>
          <w:color w:val="111111"/>
          <w:sz w:val="28"/>
          <w:sz w:val="28"/>
          <w:szCs w:val="28"/>
          <w:rtl w:val="true"/>
          <w:lang w:bidi="fa-IR"/>
        </w:rPr>
        <w:t>النحو المطلوب من جهة الجهر والإخفات لم تجب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ذلک فی الکلمة التی هو فیها بالنسبة إلی الکلمة السابقة لم تجب علیه الإعادة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هذه المسألة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لو تذکّر فی أثناء القراءة فإنّه لا ینبغی 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هذه الحالة لو جرت أثناء القراءة کان الاحتیاط وجوباً فی الإعادة والتدارک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یُعلّل هذا الاحتیاط الوجوبی بأنّ شرطیة القراءة إنّما اعتُبرت فی مجموع القراءة ومع فرض المسألة أثناء القراءة لم یُعلم صدق الخروج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والدقیق فی المقام هو أنّه مع جریان قاعدة التجاوز فی هذا المورد لم یبق وجهٌ للاحتیاط المستحبّ ولا للاحتیاط الواجب إذ بیّنا سابقاً بأنّ هذه القاعدة معتبرة علی نحو العزیمة، ومع هذا العنوان فلا وجه إلی الاحتیاط إلّا الإتیان بعنوان الرجاء أو بقصد القربة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جعلنا مستند عدم الإعادة صحیحة زرارة لزم کذلک الالتزام بما ذُکر إذ یُحکم بصحة الصلاة فی هذه الموارد بمقتضی صحیحة زرارة ولا وجه للإعادة من باب الامتثال، نعم لا بأس بالإتیان من باب الرجاء أو مطلق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شککنا فی جریان القاعدة فی هذه الموارد من الأساس لم یکن وجه للاحتیاط أیضاً ولابدّ من الحکم والإفتاء بوجوب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حکم القسم الرابع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الرابعة أن یکون الشکّ فی الشرط العقلی المتعلّق بالمأمور به نفسه کالنیّة التی لها مدخلیّة فی تحقّق الصلاتیة وفی عنوان العصریة والظهریة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العراقی إلی عدم جریان قاعدة التجاوز فی هذا المورد لاختصاص هذه القاعدة بما إذا کان المشکوک فعلًا شرعیاً له محلّ شرعی ولا یمکن إحراز عنوان المشروط کالصلاتیة والظهریة من خلال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وجهة نظر العقل لو وُجّه قصد الصلاتیة تحقّق لذلک الفعل عنوان الصلاة، أمّا بمجرّد التعبّد بالصلاتیة فلا یمکن إحراز وجود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التعبّد بوجود القصد والنیّة لا یقتضی إثباته وعلیه فلو شک فی أنّ هذا العمل هل یتّصف بعنوان الصلاة أولا؟ یکون فی الواقع قد شکّ من الأساس فی أنّه کان معنوناً بهذا العنوان أم لا؟</w:t>
      </w:r>
    </w:p>
    <w:p>
      <w:pPr>
        <w:pStyle w:val="BookText"/>
        <w:rPr/>
      </w:pPr>
      <w:r>
        <w:rPr>
          <w:rFonts w:ascii="IRNazanin" w:hAnsi="IRNazanin" w:eastAsia="IRNazanin"/>
          <w:color w:val="111111"/>
          <w:sz w:val="28"/>
          <w:sz w:val="28"/>
          <w:szCs w:val="28"/>
          <w:rtl w:val="true"/>
          <w:lang w:bidi="fa-IR"/>
        </w:rPr>
        <w:t>ویتابع العراقی کلامه بأنّ قاعدة الفراغ أیضاً غیر جاریة فی المقام لاختصاص هذه القاعدة بما إذا أُحرز عنوان العمل وکان الشک فی صحّته وفساده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استنتج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ما هو منشغل به صلاةٌ أم عمل آخر بطل هذا العمل بعنوان الصلاتیة ویجب الإتیان بالصلاة من جدید بمقتضی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بأنّ ما هو مشغول به هل صلاة ظهر أو عصر فلو کان عالماً بأنّه قد أتی بالظهر أولًا بطلت هذه الصلاة لأنّه یشک فی هذه الصلاة هل أنّه جاء بها من البدایة بنیّة صلاة العصر أم لا؟ نعم لو علم بأنّه لم یأت بالظهر أو شک فی إتیانها وجب العدول إلی الظهر وصحّت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النیّة بمعنی قصد القربة، فلو شک فی أثناء الصلاة هل دخل فیها بقصد القربة أولا؟ لم تجر قاعدة التجاوز وإن کان قصد القربة شرطاً شرعیاً ولم یکن شرطاً عقلیاً فی مقام الامتثال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عدم جریان قاعدة التجاوز هو أنّ النیّة وإن کانت شرطاً شرعیاً</w:t>
      </w:r>
      <w:bookmarkStart w:id="380" w:name="pg2935_29339"/>
    </w:p>
    <w:p>
      <w:pPr>
        <w:pStyle w:val="BookText"/>
        <w:rPr/>
      </w:pPr>
      <w:bookmarkEnd w:id="380"/>
      <w:r>
        <w:rPr>
          <w:rFonts w:ascii="IRNazanin" w:hAnsi="IRNazanin" w:eastAsia="IRNazanin"/>
          <w:color w:val="111111"/>
          <w:sz w:val="28"/>
          <w:sz w:val="28"/>
          <w:szCs w:val="28"/>
          <w:rtl w:val="true"/>
          <w:lang w:bidi="fa-IR"/>
        </w:rPr>
        <w:t>إلّا أنّها لیس لها محلّ مقرّر شرعاً ولا یصدق فی حقّها عنوان التجاوز عن المحل والدخول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جعلنا قصد القربة شرطاً شرعیاً جرت قاعدة الفراغ وإن جعلناه شرطاً عقلیاً لم تجر قاعدة الفراغ لاختصاص هذه القاعدة بالشک فی صحّة عملٍ لِم یُعلم شموله علی جمیع الأجزاء والشروط الشرعیة وعدمه وعلی القول بأنّ قصد القربة شرط عقلی یحصل لنا الیقین بأنّ هذا العمل واحدٌ لجمیع الأجزاء والشرائط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نوافق المحقق العراقی فیما ذکره ونؤکّد مضافاً إلی ذلک أنّ مستند عدم جریان قاعدة التجاوز فی الموارد المذکورة هو انعدام المحل الشرعی المعیّن ونؤکّد علی أنّ المستند المهمّ هو انعدام عنوان الخروج من الشی‌ء والدخول فی الغیر الذی هو من مقوّمات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الموارد نعم لو التزمنا بجریان قاعدة الفراغ فی أثناء العمل کما یری ذلک المحقّق العراقی أمکن إجراء قاعدة الفراغ فی الأجزاء السابقة لکنّنا ذکرنا سابقاً أنّ مقتضی التحقیق اختصاص جریان قاعدة الفراغ بما بعد الانتهاء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یستفاد بوضوح من أدلّة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فعلی رأینا لو شک المکلّف أثناء الصلاة فی أنّ صلاته منذ البدایة هل کانت مع قصد القربة أولا؟ لم تجر فی حقّه قاعدة الفراغ، أمّا لو شک بعد الفراغ من الصلاة فی أنّ صلاته هل کانت مقرونة بقصد القربة أولا؟ جرتْ فی حقّه هذه القاعدة</w:t>
      </w:r>
      <w:r>
        <w:rPr>
          <w:rFonts w:eastAsia="IRNazanin" w:cs="IRNazanin"/>
          <w:color w:val="111111"/>
          <w:sz w:val="28"/>
          <w:szCs w:val="28"/>
          <w:rtl w:val="true"/>
          <w:lang w:bidi="fa-IR"/>
        </w:rPr>
        <w:t>.</w:t>
      </w:r>
    </w:p>
    <w:p>
      <w:pPr>
        <w:pStyle w:val="Heading2"/>
        <w:numPr>
          <w:ilvl w:val="1"/>
          <w:numId w:val="1"/>
        </w:numPr>
        <w:rPr/>
      </w:pPr>
      <w:bookmarkStart w:id="381" w:name="__RefHeading___Toc80934_2749589250"/>
      <w:bookmarkStart w:id="382" w:name="_Toc146"/>
      <w:bookmarkEnd w:id="381"/>
      <w:r>
        <w:rPr>
          <w:rtl w:val="true"/>
        </w:rPr>
        <w:t>هل أنّ لزوم المضیّ وعدم الاعتناء بالشک فی قاعدة التجاوز رخصة أم عزیمة؟</w:t>
      </w:r>
      <w:bookmarkEnd w:id="38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آخر من الفروع المتعلّقة بقاعدة التجاوز أن نبحث بأنّ جریان قاعدة</w:t>
      </w:r>
      <w:bookmarkStart w:id="383" w:name="pg2935_29340"/>
    </w:p>
    <w:p>
      <w:pPr>
        <w:pStyle w:val="BookText"/>
        <w:rPr/>
      </w:pPr>
      <w:bookmarkEnd w:id="383"/>
      <w:r>
        <w:rPr>
          <w:rFonts w:ascii="IRNazanin" w:hAnsi="IRNazanin" w:eastAsia="IRNazanin"/>
          <w:color w:val="111111"/>
          <w:sz w:val="28"/>
          <w:sz w:val="28"/>
          <w:szCs w:val="28"/>
          <w:rtl w:val="true"/>
          <w:lang w:bidi="fa-IR"/>
        </w:rPr>
        <w:t>التجاوز هل هو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من شکّ فی السجود هل أتی بالرکوع؟</w:t>
      </w:r>
    </w:p>
    <w:p>
      <w:pPr>
        <w:pStyle w:val="BookText"/>
        <w:rPr/>
      </w:pPr>
      <w:r>
        <w:rPr>
          <w:rFonts w:ascii="IRNazanin" w:hAnsi="IRNazanin" w:eastAsia="IRNazanin"/>
          <w:color w:val="111111"/>
          <w:sz w:val="28"/>
          <w:sz w:val="28"/>
          <w:szCs w:val="28"/>
          <w:rtl w:val="true"/>
          <w:lang w:bidi="fa-IR"/>
        </w:rPr>
        <w:t>أو شک فی أیّ جزءٍ لاحق هل أتی بالجزء السابق جاز له عدم الاعتناء بالجزء المشکوک فلا یأتی به کما یجوز له الاعتناء بالجزء المشکوک فیأتی به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عزیمة فلا یجوز الاحتیاط والإتیان بذلک الجزء؟</w:t>
      </w:r>
    </w:p>
    <w:p>
      <w:pPr>
        <w:pStyle w:val="BookText"/>
        <w:rPr/>
      </w:pPr>
      <w:r>
        <w:rPr>
          <w:rFonts w:ascii="Amiri" w:hAnsi="Amiri" w:eastAsia="Amiri" w:cs="Amiri"/>
          <w:color w:val="111111"/>
          <w:sz w:val="28"/>
          <w:sz w:val="28"/>
          <w:szCs w:val="28"/>
          <w:rtl w:val="true"/>
          <w:lang w:bidi="ar-SA"/>
        </w:rPr>
        <w:t>احتمالات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المسألة ثلاثة احتمالات بل ثلاثة 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القاعدة هی الرخصة فیجری الاحتیاط فی جمیع الأجزاء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العزیمة ولا یجوز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المحقّق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الأجزاء فیکون عزیمة فی بعض الأجزاء کالرکوع والسجود ورخصة فی سائر أجزاء الصلاة</w:t>
      </w:r>
      <w:r>
        <w:rPr>
          <w:rFonts w:eastAsia="IRNazanin" w:cs="IRNazanin"/>
          <w:color w:val="111111"/>
          <w:sz w:val="28"/>
          <w:szCs w:val="28"/>
          <w:rtl w:val="true"/>
          <w:lang w:bidi="fa-IR"/>
        </w:rPr>
        <w:t>.</w:t>
      </w:r>
    </w:p>
    <w:p>
      <w:pPr>
        <w:pStyle w:val="Heading2"/>
        <w:numPr>
          <w:ilvl w:val="1"/>
          <w:numId w:val="1"/>
        </w:numPr>
        <w:rPr/>
      </w:pPr>
      <w:bookmarkStart w:id="384" w:name="__RefHeading___Toc80936_2749589250"/>
      <w:bookmarkStart w:id="385" w:name="_Toc147"/>
      <w:bookmarkEnd w:id="384"/>
      <w:r>
        <w:rPr>
          <w:rtl w:val="true"/>
        </w:rPr>
        <w:t>بحث نظریة المحقّق العراقی</w:t>
      </w:r>
      <w:r>
        <w:rPr>
          <w:rtl w:val="true"/>
        </w:rPr>
        <w:t>:</w:t>
      </w:r>
      <w:bookmarkEnd w:id="385"/>
    </w:p>
    <w:p>
      <w:pPr>
        <w:pStyle w:val="BookText"/>
        <w:rPr/>
      </w:pPr>
      <w:r>
        <w:rPr>
          <w:rFonts w:ascii="IRNazanin" w:hAnsi="IRNazanin" w:eastAsia="IRNazanin"/>
          <w:color w:val="111111"/>
          <w:sz w:val="28"/>
          <w:sz w:val="28"/>
          <w:szCs w:val="28"/>
          <w:rtl w:val="true"/>
          <w:lang w:bidi="fa-IR"/>
        </w:rPr>
        <w:t>یری المحقّق العراقی أنّ قاعدة التجاوز عزیمة ولا یجوز الإتیان بالجزء المشکوک وإن کان برجاء إدراک الواقع، وبالتالی یکون إتیان ذلک الجزء زیادة عمدیة بالنسبة لنفس الجزء وبالنسبة للجزء اللاحق الذی قد دخل فیه فیکون سبباً لبطلان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العراقی فی التنبیه الحادی عشر فی هذه القاعدة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المضیّ علی المشکوک فیه فی قاعدة التجاوز عزیمة لا رخصة فلا یجوز الإتیان بالمشکوک ولو برجاء الواقع لظهور الأمر بالمضیّ فی أخبار الباب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البناء علی وجود المشکوک فیه وتحقّقه فی محلّه وإلغاء الشکّ فیه فإنّه مع هذا الأمر وهذا البناء لا یجوز العود إلی المشکوک فیه ولو رجاءً لأنّه لا موضوع له مع حکم الشارع بوجوده فیکون</w:t>
      </w:r>
      <w:bookmarkStart w:id="386" w:name="pg2935_29341"/>
    </w:p>
    <w:p>
      <w:pPr>
        <w:pStyle w:val="BookText"/>
        <w:rPr/>
      </w:pPr>
      <w:bookmarkEnd w:id="386"/>
      <w:r>
        <w:rPr>
          <w:rFonts w:ascii="IRNazanin" w:hAnsi="IRNazanin" w:eastAsia="IRNazanin"/>
          <w:color w:val="111111"/>
          <w:sz w:val="28"/>
          <w:sz w:val="28"/>
          <w:szCs w:val="28"/>
          <w:rtl w:val="true"/>
          <w:lang w:bidi="fa-IR"/>
        </w:rPr>
        <w:t>الإتیان به حینئذٍ من الزیادة العمدیة بالنسبة إلی نفس المشکوک فیه وبالنسبة إلی الغیر الذی دخل فیه وهی موجبة لبطلان الصلاة مع أنّ الظاهر کون المسألة اتفاقیة فلا یعتنی حینئذٍ بما یختلج بالبال من الاحتمالات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ویتلخّص استدلاله فی النقاط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بالمضیّ فی الروایات ظاهر بنفسه فی العزیمة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البناء علی عدم جواز العود إلی المشکوک فیه لعدم بقاء موضوع العود بعد أن حکم الشارع بوجوده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الإتیان بالجزء المشکوک یوجب زیادتین عمدیتیین أولاهما أنّ الجزء المشکوک علی فرض الإتیان به واقعاً وقد أُتی به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أنّ الجزء اللاحق الذی قد دخل فیه جی‌ء به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الزیادة العمدیة توجب بطلان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أخیراً بأنّ عدم جواز العود الذی هو معنی العزیمة متّفق علیه عند الفقهاء</w:t>
      </w:r>
      <w:r>
        <w:rPr>
          <w:rFonts w:eastAsia="IRNazanin" w:cs="IRNazanin"/>
          <w:color w:val="111111"/>
          <w:sz w:val="28"/>
          <w:szCs w:val="28"/>
          <w:rtl w:val="true"/>
          <w:lang w:bidi="fa-IR"/>
        </w:rPr>
        <w:t>.</w:t>
      </w:r>
    </w:p>
    <w:p>
      <w:pPr>
        <w:pStyle w:val="Heading2"/>
        <w:numPr>
          <w:ilvl w:val="1"/>
          <w:numId w:val="1"/>
        </w:numPr>
        <w:rPr/>
      </w:pPr>
      <w:bookmarkStart w:id="387" w:name="__RefHeading___Toc80938_2749589250"/>
      <w:bookmarkStart w:id="388" w:name="_Toc148"/>
      <w:bookmarkEnd w:id="387"/>
      <w:r>
        <w:rPr>
          <w:rtl w:val="true"/>
        </w:rPr>
        <w:t>إشکال صاحب منتقی الأصول علی نظریة المحقّق العراقی</w:t>
      </w:r>
      <w:r>
        <w:rPr>
          <w:rtl w:val="true"/>
        </w:rPr>
        <w:t>:</w:t>
      </w:r>
      <w:bookmarkEnd w:id="388"/>
    </w:p>
    <w:p>
      <w:pPr>
        <w:pStyle w:val="BookText"/>
        <w:rPr/>
      </w:pPr>
      <w:r>
        <w:rPr>
          <w:rFonts w:ascii="IRNazanin" w:hAnsi="IRNazanin" w:eastAsia="IRNazanin"/>
          <w:color w:val="111111"/>
          <w:sz w:val="28"/>
          <w:sz w:val="28"/>
          <w:szCs w:val="28"/>
          <w:rtl w:val="true"/>
          <w:lang w:bidi="fa-IR"/>
        </w:rPr>
        <w:t>أورد بعض المحقّقین</w:t>
      </w:r>
      <w:r>
        <w:rPr>
          <w:rStyle w:val="FootnoteAnchor"/>
          <w:rtl w:val="true"/>
        </w:rPr>
        <w:footnoteReference w:id="315"/>
      </w:r>
      <w:r>
        <w:rPr>
          <w:rFonts w:ascii="IRNazanin" w:hAnsi="IRNazanin" w:eastAsia="IRNazanin"/>
          <w:color w:val="111111"/>
          <w:sz w:val="28"/>
          <w:sz w:val="28"/>
          <w:szCs w:val="28"/>
          <w:rtl w:val="true"/>
          <w:lang w:bidi="fa-IR"/>
        </w:rPr>
        <w:t>الإشکال علی کلمات 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الاستدلال الأول فبأنّ الأمر بالمضیّ من مصادیق الأمر الوارد بعد توهّم الخطر لأنّ ما یتوهمّ فی مثل هذه الموارد من الشک أنّ الجزء المشکوک واجب الإتیان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هذا التوهّم بالأمر بالمضیّ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الاستدلال الثانی بأنّ الظاهر من تعبیر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قد رکعت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w:t>
      </w:r>
      <w:bookmarkStart w:id="389" w:name="pg2935_29342"/>
    </w:p>
    <w:p>
      <w:pPr>
        <w:pStyle w:val="BookText"/>
        <w:rPr/>
      </w:pPr>
      <w:bookmarkEnd w:id="389"/>
      <w:r>
        <w:rPr>
          <w:rFonts w:ascii="IRNazanin" w:hAnsi="IRNazanin" w:eastAsia="IRNazanin"/>
          <w:color w:val="111111"/>
          <w:sz w:val="28"/>
          <w:sz w:val="28"/>
          <w:szCs w:val="28"/>
          <w:rtl w:val="true"/>
          <w:lang w:bidi="fa-IR"/>
        </w:rPr>
        <w:t>إخبار الشارع المقدس عن تحقّق الرکوع فی الواقع بل هو تعبّد ظاهری من موارد الأحکام الظاهریة، ومن الواضح عدم وجود المانع من الاحتیاط فی مثل هذه الأحکام لأنّ الأحکام الظاهریة غایتها التأمین والتعذیر وبالتالی یکون لها عنوان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الثمرة الّتی رتّبها هو لابدّ من القول بأنّ الأجزاء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تکراره الزیادة فیما لو قصد المصلّی الجزئیة فیه کالقراءة والتشهد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یقصد الجزئیة فی هذه الأجزاء وجی‌ء بها بمجرّد داعی الاحتیاط لم تصدق علیها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یجب فیه قصد الجزئیة بل تصدق الزیادة بمجرد الإتیان به ثانیة وإن لم یقصد فیه الجزئیة کالرکوع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یصحِّ کلام المحقق العراقی فی هذا القسم الثانی دون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الممکن فی القسم الثانی إجراء أصالة عدم الزیادة مع الإتیان بالرکوع والحکم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یأمرنا بالتأمّل فی هذا الکلام الأخیر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هذا التأمّل هو أنّ المورد إذا کان من موارد قاعدة التجاوز لم یبق مجالٌ لاستصحاب عدم الزیادة لتقدّم قاعدة التجاوز علی الاستصحاب</w:t>
      </w:r>
      <w:r>
        <w:rPr>
          <w:rFonts w:eastAsia="IRNazanin" w:cs="IRNazanin"/>
          <w:color w:val="111111"/>
          <w:sz w:val="28"/>
          <w:szCs w:val="28"/>
          <w:rtl w:val="true"/>
          <w:lang w:bidi="fa-IR"/>
        </w:rPr>
        <w:t>.</w:t>
      </w:r>
    </w:p>
    <w:p>
      <w:pPr>
        <w:pStyle w:val="Heading2"/>
        <w:numPr>
          <w:ilvl w:val="1"/>
          <w:numId w:val="1"/>
        </w:numPr>
        <w:rPr/>
      </w:pPr>
      <w:bookmarkStart w:id="390" w:name="__RefHeading___Toc80940_2749589250"/>
      <w:bookmarkStart w:id="391" w:name="_Toc149"/>
      <w:bookmarkEnd w:id="390"/>
      <w:r>
        <w:rPr>
          <w:rtl w:val="true"/>
        </w:rPr>
        <w:t>مناقشة إشکالات صاحب المنتقی</w:t>
      </w:r>
      <w:r>
        <w:rPr>
          <w:rtl w:val="true"/>
        </w:rPr>
        <w:t>:</w:t>
      </w:r>
      <w:bookmarkEnd w:id="391"/>
    </w:p>
    <w:p>
      <w:pPr>
        <w:pStyle w:val="BookText"/>
        <w:rPr/>
      </w:pPr>
      <w:r>
        <w:rPr>
          <w:rFonts w:ascii="IRNazanin" w:hAnsi="IRNazanin" w:eastAsia="IRNazanin"/>
          <w:color w:val="111111"/>
          <w:sz w:val="28"/>
          <w:sz w:val="28"/>
          <w:szCs w:val="28"/>
          <w:rtl w:val="true"/>
          <w:lang w:bidi="fa-IR"/>
        </w:rPr>
        <w:t>هناک عدة ملاحظات علی إشکالات صاحب المنتقی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الواضح کیفیة استفادة مسألة توهّم الخطر من الروایات فما الدلیل علی أنّ الأمر بالمضیّ من مصادیق الأمر بعد توهّم الخطر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السائل یمکن أن یتوهّم فی نفسه بطلان الصلاة أو أمراً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توهم وجوب إعادة العمل أمرٌ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الروایات صرّحت بالنهی عن الإعادة مضافاً إلی الأمر بالمضیّ فلابدّ من حمل النهی عن الإعادة علی الإرشاد إلی عدم لزوم الإعادة حسب کلام هذا المحقق العظیم مع أنّ ذلک خلاف الظاهر فقد جاء فی صحیحة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شککت فیه بعدما تفرغ من صلاتک فامض ولا تعد</w:t>
      </w:r>
    </w:p>
    <w:p>
      <w:pPr>
        <w:pStyle w:val="BookText"/>
        <w:rPr/>
      </w:pPr>
      <w:r>
        <w:rPr>
          <w:rStyle w:val="FootnoteAnchor"/>
          <w:rtl w:val="true"/>
        </w:rPr>
        <w:footnoteReference w:id="316"/>
      </w:r>
      <w:r>
        <w:rPr>
          <w:rFonts w:ascii="IRNazanin" w:hAnsi="IRNazanin" w:eastAsia="IRNazanin"/>
          <w:color w:val="111111"/>
          <w:sz w:val="28"/>
          <w:sz w:val="28"/>
          <w:szCs w:val="28"/>
          <w:rtl w:val="true"/>
          <w:lang w:bidi="fa-IR"/>
        </w:rPr>
        <w:t>حیث إنّ ظاهرها أنّ الشارع قد تعبّد المکلّف فی هذه الموارد من الشک بالمضیّ وبعدم الإعادة فلا یمکن جعل ذلک إرشاداً إلی عدم لزوم الإعادة، ولاسیّما أنّ بعض الروایات علّلت هذا التعبّد بأنّ هذه الشکوک عادةً معلولة للشیطان ونفوذه فی الصلاة فقد جاء فی موثقة فضیل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أستتمّ قائماً فلا أدری رکعت أولا؟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رکعت فامض فی صلاتک فإنّما ذلک من الشیطان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قیل من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ظاهری بإتیان الرکوع وهی حکم ظاهری موافق لأصل الاحتیاط وإن کان صحیحاً وواضحاً وأنّ الأحکام الظاهریة إنّما هی لأجل التأمین والمعذّریة لکن یمکن أن نستخرج من هذه الروایات أنّ الشارع فی خصوص هذه الموارد هو فی مقام النهی عن الاحتیاط، کما أنّه لو ترتّب علی الاحتیاط حرج أو ضررٌ لم یترتّب علیه حسنٌ وکان الشارع فی هذه الموارد حاکماً بعدم الاحتیاط</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الروایات التوسعة فی متعلّق</w:t>
      </w:r>
    </w:p>
    <w:p>
      <w:pPr>
        <w:pStyle w:val="BookText"/>
        <w:rPr/>
      </w:pPr>
      <w:r>
        <w:rPr>
          <w:rFonts w:ascii="IRNazanin" w:hAnsi="IRNazanin" w:eastAsia="IRNazanin"/>
          <w:color w:val="111111"/>
          <w:sz w:val="28"/>
          <w:sz w:val="28"/>
          <w:szCs w:val="28"/>
          <w:rtl w:val="true"/>
          <w:lang w:bidi="fa-IR"/>
        </w:rPr>
        <w:t>المأمور به بالنسبة إلی مورد الشک، فلو کان الشارع فی مقام التوسعة لم یتناسب ذلک مع الاحتیاط ویحصل الشک فی حسن الاحتیاط</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یمکن للمکلّف إعادة العمل طالما هو فی حالة الشک الذی هو موضوع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ونستنتج من ذلک أنّ مفاد قاعدة التجاوز هو العزیمة ویکون رأی المحقّق العراقی هو الصحیح والرأی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کشاف اصطلاحات الفنون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القواعد الفقهیة للفقید الراحل آیة الله الشیخ الفاضل اللنکرانی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القواعد الفقهیة للبجنوردی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راجع أیضاً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شعراء الغری للخالقانی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الإجازة الکبیرة للمرحوم آیة الله السید المرعشی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مرآةالعقول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نظرة تحلیلیة إلی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تراجم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تکملة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نظرة تحلیلیة إلی القواعد الفقهیة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تحلیلیة إلی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الطباطبائی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تعلیقات عدّة من الفقهاء العظام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مرتضی الأنصاری،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الشیخ محمد کاظم الخراسانی، کفایة الأصول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السید أبوالقاسم الخوئی، 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العملیة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میر فتّاح الحسینی المراغی، العناوین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یلی، السید محمد حسن البجنوردی، 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یلیها، الشیخ ناصر مکارم الشیرازی، القواعد الفقهیة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الجدیر بالذکر أن الأستاذ المحقق قد ذهب فی مباحثه الفقهیة والأصولیة إلی حجیة الإجماع الذی یحتمل کونه مدرکیاً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کاظم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محمود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الفراغ والتجاوز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الإسلام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القهقهة وسوء الظنّ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الجدیر بالذکر أنّ الأستاذ المعظّم ذکر فی کتابه قاعدة لا حرج أنّ هذه القاعدة مثبتة للحکم الشرعی، السید جواد حسینی 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الأستاذ المحقّق الحاج الشیخ محمد جواد الفاضل اللنکرانی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النجاشی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النجاشی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النجاشی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النجاشی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حسین بن بابویه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 بن أحمد 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مشایخ الصدوق‌السید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مشایخ الصدوق‌السید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فی نفسه ویروی عن الضعفاء وصنّف کتباًالسید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البرقی‌له کتب‌أحمد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رزین القلّاء جلیل القدرأحمد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ابن إدریس فی مستهلّ أحادیثه التی ینقلها من کتاب محمد بن علیّ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ما استطرقناه من کتاب نوادر المصنّف تصنیف محمد بن علیّ بن محبوب الأشعری الجوهری القمی وهذا الکتاب کان بخطّ شیخنا أبی جعفر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کتاب النهایة فنقلتُ هذه الأحادیث من خطّه من الکتاب المشار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 بن أحمد 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محمد بن حسن بن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707462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بن حمّاد بن مهران الأهوازی من موالی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روی عن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جعفر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الحسن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کوفی وانتقل مع أخیه الحسن إلی الأهواز وله ثلاثون 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وقد کتب الشیخ الطوسی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أهل زمانه عند أصحاب الحدیث وأعبدهم وکان یصلّی کل یوم ولیلة خمسین ومئة رکعة ویصوم فی السنة 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ویصفه النجاشی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یحیی أبو محمد النخلی بیّاع السابری کوفی ثقة ثقة روی أبوه 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هو عن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عنده منزلة 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الجدیر بالذکر أنّه لم یذکر له اسمٌ فی الکتب الرجالیة القدیمة لکن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وثّقه الشهید الثانی والشیخ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والحبل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السید الخوئی فیری أن إثبات توثیق أحمد بن محمّد أمر غیر ممکن نهائیاً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ذلک کلّه فإنّ الحکم بتوثیق أحمد بن محمد وجلالة قدره أمر ممکن بالنظر إلی القرائن الدالة علی وثاقته، ومنها کثرة روایاته وفتوی الفقهاء الأعاظم علی طبقها أمثال الشیخ المفید، وقد ذهب إلی ذلک أستاذنا المعظم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المفید فی الرسالة العددیة من زمرة الفقهاء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الفقهاء الأعلام والرؤساء المأخوذ منهم الحلال والحرام والفتیا والأحکام، الذین لا یطعن علیهم ولا طریق لذمّ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فی العدد والرؤیة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ولمزید من المعلومات عن أحوال عبد الله بن أبی یعفور راجع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طریق الشیخ إلی محمد بن علیّ بن محبوب یقع أحمد بن محمد بن یحیی العطّار الذی رآه أستاذنا الجلیل فی ذیل الروایة الثالثة من الروایات المذکورة بأنّه غیر موثق، وعلیه یقع الإشکال فی سند هذه الروایة لکنّنا کما بیّنا فی هامش ذلک المطلب یمکن أن نلتزم بوثاقة أحمد بن محمد بن یحیی العطار نظراً إلی بعض القرائن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به الشیخ المفید الذی هو من کبار فقهاء الإمامیة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القاسم من ثقات أصحابنا وأجلائهم فی الحدیث والفقه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ما یوصف به الناس من جمیل وثقة وفقه فهو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خیار أصحاب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فیه العلامة التقرشی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سعد علی ما یفهم أکثرهم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قول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خیار أصحاب سعد یدلّ علی توثیقه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وینقل السید ابن طاووس خلال ترجمته للحسن بن علی بن فضّال حدیثاً عن محمد بن قولویه ثم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أتثبت حال محمد بن عبد الله بن زرارة وباقی الرجال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صاحب المعالم 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 نصّ علی توثیق محمد بن قولویه وعلی بن 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به الشیخ الصدوق ویقول عنه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نزیل الرّی شیخنا وفقیهنا ووجه الطائفة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ویصفه الشیخ الطوسی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 یکنّی أبا جعفر کان جلیلًا حافظاً للأحادیث بصیراً بالرجال ناقداً للأخبار لم یُر فی القمیّین مثله فی حفظه وکثره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موسی بن بابویه القمّی أبو الحسن وهو والد الشیخ الصدوق یقول النجاشی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القمیّین فی عصره ومتقدّمهم وفقیههم وثقتهم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وقال عنه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فقیهاً جلیلًا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 کثیر الروایة له کتاب مجموع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لمحمد بن حسن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وذکری الشیعة للشهید الأول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وجامع المقاصد للمحقّق الکرکی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ومفتاح الکرامة للسید محمد جواد الحسینی العاملی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وجواهر الکلام لمحمد حسن النجفی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والعروة الوثقی للسید محمد کاظم الطباطبائی الیزدی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حسن الطوسی، وقواعد الأحکام للعلامة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وذکری الشیعة للشهید الأول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وجامع المقاصد للمحقق الکرکی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ومفتاح الکرامة للسید محمد جواد الحسینی العاملی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وجواهر الکلام لمحمد حسن النجفی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والعروة الوثقی للسید محمد کاظم الطباطبائی الیزدی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ویقول عنه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الناب ثقة جلیل القدر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من کلمات العلامة الحلّی فی خلاصة الأقوال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داوود فی رجال ابن داوود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جعلا لکلّ من حماد بن عثمان الناب وحمّاد بن عثمان الفزاری عنواناً مستقلًا فیستفاد أنّهما شخصان إلّا أنّ السید الخوئی فی معجم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أنّهما شخص واحد بالاعتماد علی بعض القرائن، ولمّا کان کلاهما ثقة وجلیل القدر لا یفرق فی صحة الروایة سواء کانا شخصاً واحداً أو شخصین مختلفین، وذکره الکشّی أیضاً ضمن أصحاب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الطباطبائی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صاحب الوسائل أیضاً فی ذیل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ویمکن الحمل علی کثیر السهو بقرینة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الشهید الثانی صرّح بوثاقته فی 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تنقیح شرائح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ویذکر الشیخ عبد النبی الجزائری بأنّ توثیق محمد بن عیسی أمر مستبعد نظراً إلی وجود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الأقوال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النجاشی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 ثقة لا یعدل به أحدٌ من جلالته ودینه وورعه روی عن أبی الحسن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ویعدّه الکشّی من أصحاب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 علی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فی أحوال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الأشعری القمی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بن مهران الأهوازی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رزین القلاء ثقفی ثقة وجهاً 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الشیخ الصدوق فی طریقه إلی العلاء بن 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رویته عن أبی ومحمد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 والحمیری جمیعاً عن أحمد بن محمد بن عیسی عن محمد بن خالد عن العلاء بن رزین، وقد رویته عن أبی ومحمد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 والحمیری جمیعاً عن محمد بن أبی الصهبان عن صفوان بن یحیی عن العلاء ورویته عن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سلیمان الزراری الکوفی عن محمد بن خالد عن العلاء بن رزین القلاء، ورویته عن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الصفّار عن أحمد بن محمد بن عیسی عن الحسن بن علی بن فضال والحسن بن محبوب عن العلاء بن 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طریق صحیح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بضعف سند هذه الروایة لأن طریق ابن إدریس إلی کتاب حریز غیر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محمود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الفراغ والتجاوز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الشیخ الطوسی إلی موسی بن القاسم بن معاویة بن وهب هو کالتالی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أخبرنی به الشیخ أبو عبد الله عن أبی جعفر محمد بن علی بن الحسین بن بابویه عن محمد الحسن بن الولید عن محمد بن الحسن الصفار وسعد بن عبد الله عن الفضل بن عامر وأحمد بن محمد عن موسی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الطریق طریق صحیح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 بن معاویة بن وهب البَجلی ثقة ثقة جلیل واضح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الروایة عبد الرحمن بن سیابة الذی هو من أصحاب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یقع فی هذه الطبقة المذکورة فی الروایة بل یجب أن یکون الراوی هنا عبد الرحمن بن أبی نجران وهو من ثقات أصحاب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یروی عن حماد بن عیسی ولیس عبد الرحمن بن سیابة وعلیه فالظاهر أنّ هنا حصل خلطٌ وسهوٌ ما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والکاظم والرضا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رجع عن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حریز بن عبد الله السجستانی أبو محمد الأزدی من أهل الکوفة، ثقة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المیرزا النائینی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المیرزا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بعض الفضلاء عن هذا الإشکال بأنّ هذا الجواب خروجٌ عن محل النزاع إذْ النزاع إنّما هو فی مقام الثبوت بینما یرتبط الجواب بمقام الإثبات ولعلّ هذا کان سبباً لعدم التعرض لإشکال المحقق النائینی هذا فی فوائد الأصول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محمد علی 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محمد علی 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تقریراً لأبحاث السید الخوئی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تقریراً لأبحاث آقا ضیاء الدین العراقی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تقریراً لأبحاث الشیخ ضیاء الدین العراقی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السید عبد الصاحب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تقریراً لأبحاث السید محمد الحسینی الروحانی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السید محمد سرور 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حسن الصافی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السید عبد الصاحب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السید مصطفی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تحریرات فی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المطلب فی کلمات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الشارع نزّل فی الشکّ فی الجزء فی باب الصلاة منزلة الشک فی الکلّ فی الحکم بعدم الالتفات إلیه فیکون إطلاق الشی‌ء علی الجزء باللحاظ السابق علی الترکیب وصار من مصادیق الشی‌ء تعبداً وتنزیلًا فالکبری المجعولة الشرعیة لیست هی إلا عدم الاعتناء بالشی‌ء المشکوک فیه بعد التجاوز عنه ولهذه الکبری صغریان وجدانیة تکوینیة وهی الشک فی الکلّ بعد الفراغ عنه من غیر فرق بین الصلاة وغیرها وصغری تعبدیة تنزیلیة وهی الشکّ فی الجزء فی خصوص باب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بعض الفضلاء بأنّ عنوان عدم الاعتناء بالشکّ فی الشی‌ء بعد المضی عنه لا یمکن أن یکون جامعاً بین قاعدتی الفراغ والتجاوز إذ کما ذکر الأستاذ المعظّم فی الأبحاث السابقة أنّ القدر الجامع یجب أن یکون قریباً بین عنوانی الصحة والوجود ولیس کذلک عنوان الشی‌ء بعد المضیّ لشموله لعناوین أخری کالموالاة والترتیب أو الرکعة مع أنّ قاعدة الفراغ والتجاوز لا تجری فیها ولم یحکم أحدٌ بأنّ من شک فی الرکعة الثالثة من الثلاثیة هل جاء بالرکعة الثانیة أولا؟ بوجوب البناء علی الإتیان بل تبطل الصلاة بهذا الشک، إلا أن نقول بأنّ عنوان الشی‌ء الوارد فی الروایات لا یشمل العناوین التی لیس لها ما بإزاء مستقل وکانت من العناوین الانتزاعیة کما التزم بذلک المحقق العراقی فی الموالاة والترتیب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یجب علیه حینئذٍ أن یلتزم بأن قاعدة الفراغ الجاریة فی الشک فی الشی‌ء بعد الفراغ لا تجری فی کلّ من العبادات والمعاملات لأن عناوین العبادات کالصلاة والصوم والمعاملات کالبیع والنکاح برمّتها عناوین انتزاعیة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والجدیر بالذکر أنّ جواب المحقّق إنّما قرّره المحقق الکاظمی بوجه وبیان آخر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التجاوز إنّما هو التجاوز عن محلّ المشکوک فیه مطلقاً فإنّ الشک فی قاعدة الفراغ أیضاً یکون بعد التجاوز عن محلّ الجزء المشکوک فیه الذی کان سبباً للشک فی وجود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المحقق النائینی فی هذا المجال وتوضیحاً للإشکال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یلزم التدافع بناءً علی اتحاد الکبری فیما إذا شکّ بعد التجاوز عن محلّ المشکوک فإنّه باعتبار لحاظ الجزء نفسه کما هو مورد قاعدة التجاوز یصدق أنّه تجاوز عن محلّه فلا یعتنی بالشک وباعتبار لحاظ المرکّب بما هو یصدق إنّه لم یتجاوز فیجب علیه التدارک فیلزم التدافع من جهة الاعتبارین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ذکر فی کتاب فوائد الأصول محذور خامس وقد أجاب عنه المیرزا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لا یتمّ فیما لو کان الشک فی الصحّة من جهة الشکّ فی فقد الترتیب أو الموالاة مثلًا لا من جهة الشک فی فقد الجزءِ فإنّه من جهة انصراف الشی‌ء عرفاً عن مثل هذه الإضافات إلی ما کان له وجود مستقلٌ لا یصدق علی الکلّ أنّه شی‌ء مشکوک لأنه بما هو شی‌ء بلحاظ أجزائه مقطوع الوجود والتحقّق وبلحاظ الترتیب والموالاة لا یصدق علیه الشی‌ء عرفاً فما یکون الکلّ شیئاً عرفاً لا یکون مشکوکاً وما عنه یکون مشکوکاً لا یکون شیئاً فلا یمکن تصحیح الصلاة إلا بإثبات صحّة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تقریراً لما أفاده المحقق العراقی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حسن البجبوردی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 هذا المبنی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انتفت حجیّة جزء من الروایة ولم یمکن الاستناد إلیه لم یخلّ بحجّیة باقی الروایة ویبقی سائر أجزاء الروایة علی حجیتها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روایات الباب آبیة عن حملها علی جعل قاعدتین مستقلّتین فإنّ الرجوع إلیها یشرف الفقیه علی القطع بکون المجعول فیها أمراً واحداً ینطبق علی موارد الشک فی الأجزاء والشک بعد العمل فإنّ اتّحاد التعبیر فی موارد الأخبار الواردة فی موارد التجاوز عن الأجزاء والفراغ من العمل یکاد یوجب القطع بوحدة القاعدة المجعولة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کلام المحقق العراقی فی 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ممّا یترتّب علی اتّحاد القاعدتین وتعدّدهما أنّه لو علم بفوت سجدة واحدة أو التشهد وقد شکّ فی صحّة صلاته من جهة احتمال احتمال الإخلال بالترتیب أو الموالاة المعتبرة فیها فإنّه علی ما ذکرنا من تعدد القاعدة وتعدّد الکبری المجعولة فیهما تجری فی الصلاة قاعدة الفراغ الحاکمة بصحّتها ویترتب علی صحتها وجوب قضاء السجدة أو التشهد وسجدتی السهو وأمّا علی القول بوحدة القاعدتین ووحدة الکبری المجعولة فیهما کما هو مختار الشیخ ومَن تبعه فیشکل إثبات وجوب قضاء السجدة أو التشهد فی الفرض المزبور فإنّه بالنسبة إلی المشکوک فیه وهو الموالاة أو الترتیب لا یصدق علیه الشی‌ء حتّی یجری فیه قاعدة الشک فی الشی‌ء بعد تجاوز محلّه وأمّا بالنسبة إلی المرکّب الذی شکّ فی وجوده التام فکذلک لأنه بلحاظ ما یکون منه مشکوکاً أعنی الترتیب والموالاة لا یکون شیئاً حتی تجری فیه القاعدة وبلحاظ ما یکون منه شیئاً وهو الأجزاء لا یکون مشکوکاً وعلی فرض جریان القاعدة فیه واقتضائها لإثبات وجود العمل الصحیح لا یترتب علیه وجوب قضاء السجدة أو التشهد لأنها من آثار صحة الصلاة بمفاد کان الناقصة فلا یمکن ترتیب مثل هذا الأثر علیه إلا علی القول المثبت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محمود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الفراغ والتجاوز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کلام المحقّق النائینی فی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ذکرنا ظهر اختصاص قاعدة التجاوز بأجزاء الصلاة ولا تجری فی أجزاء سائر المرکبات الأخر لاختصاص مورد التعبّد والتنزیل بأجزاء الصلاة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رأیه هو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خصوصیة للطهارات الثلاث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خارجة عن عموم قاعدة التجاوز بالتخصیص للأخبار والإجماع فإنّه لا عموم فی القاعدة حتّی یکون خروجها بالتخصیص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العراقی فی 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أجمعوا علی أن الشاکّ فی فعل من أفعال الوضوء قبل إتمام الوضوء یجب علیه العود لإتیان المشکوک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ویقول المحقّق البجنوردی فی 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إلی الوضوء فمضافاً إلی الإجماع علی عدم جریان القاعدة صحیحة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ویقول الشیخ الأنصاری فی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أجمعوا علی أن الشاک فی فعلٍ من أفعال الوضوء قبل إتمام الوضوء یأتی به وإن دخل فی فعل آخر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یقول المرحوم النجفی فی 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تیقّن ترک غسل عضو أو مسحه أتی به إجماعاً محصّلًا ومنقولًا وسنةً بالخصوص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یقال لدفع جمیع ما فی الخبر من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الوضوء بتمامه فی نظر الشارع فعل واحد باعتبار وحدة مسبّبه وهی الطهارة فلا یلاحظ کل فعل منه بحیاله حتی یکون مورداً لتعارض هذا الخبر مع الأخبار السابقة ولا یلاحظ بعض أجزائه کغسل الید مثلًا شیئاً مستقلًا یشکّ فی بعض أجزائه قبل تجاوزه أو بعده لیوجب ذلک الإشکال فی الحصر المستفاد من الذیل وبالجملة فإذا فرض الوضوء فعلًا واحداً لم یلاحظ الشارع أجزاءه أفعالًا مستقلّة یجری فیها حکم الشک بعد تجاوز المحل لم یتوجّه شی‌ء من الإشکالین فی الاعتماد علی الخبر ولم یکن حکم الوضوء مخالفاً للقاعدة إذ الشک فی أجزاء الوضوء قبل الفراغ لیس إلا شکاً واقعاً فی الشی‌ء قبل التجاوز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محمد تقی البروجردی النجفی فی 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مضافاً إلی أنّ ما ذکر من الوحدة خلاف ظاهر تبعیضیة من فی صدر الروایة أنّ مجرد بساطة أثر الوضوء لا یقتضی هذا الاعتبار فی مؤثره الذی هو نفس الوضوء وإلا لاقتضی جریان المناط المزبور فی سائر العبادات أیضاً کالصلاة بالنسبة إلی آثارها المترتّبة علیها من نحو الانتهاء عن الفحشاء والمقرّبیة فیلزم أن یکون الشک فی کلّ جزء منها قبل الفراغ عنها شکّاً فیه قبل التجاوز عن ذلک الجزء باعتبار وحدة السبب الناشئ عن وحدة الأثر وبساطته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السید عبد الصاحب الحکیم فی منتقی الأصول تقریراً لأبحاث السید محمد الروحانی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 الوجهین مخدوش فیهما أمّا الأول فلأن الواحد بالاعتبار لابد وأن یکون مرکّباً فی نفسه وواقعه وإلا لما احتیج إلی اعتبار وحدته فالتعبیر فی الصدر بالشک فی شی‌ءٍ من الوضوء لا ینافی اعتبار الوحدة لو ثبت وتم الدلیل علیه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عبارة المحقق العراقی فی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محذور فی الالتزام بهذا المقدار فإنّ تقیید المورد مع إطلاق الکبری غیر عزیز نظیر تقیید مورد مفهوم آیة النبأ المفروض کونه فی الموضوعات الخارجیة بصورة انضمام خبر عدلٍ آخر مع إبقاء اشتراط کبری قبول الخبر الواحد یکون المخبر عادلًا علی إطلاقه لصورة عدم ضمّ خبر عدلٍ آخر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فإلحاق الغسل بالوضوء فی حکم المذکور مع اختصاص الصحیحة بالوضوء وعدم تنقیح المناط وعدم العلم بالإجماع یحتاج إلی دلیل وإن کانت الشهرة محقّقة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عبارة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أولًا أن ظاهر الآیات والروایات کون نفس الوضوء متعلّقاً للتکلیف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فَاغْسِلُوا وُجُوهَکُمْ وَأَیْدِیَکُمْ إِلَی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الصلاة الوضوء وتحریمها التکبیر وتحلیلها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والوضوء مرکب فلا مانع من جریان قاعدة التجاوز فیه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 علی تقدیر تسلیم کون الطهارة هی المأمور به وأنّ الوضوء مقدمة لها أنّ عدم جریان قاعدة التجاوز فی المقدمة مع کون ذیها بسیطاً إنّما هو فی المقدمات العقلیة الخارجیة کما إذا أمر المولی بقتل أحد وتوقف القتل علی عدّة من المقدمّات فالشک فی بعض هذه المقدمات لا یکون مورداً لقاعدة التجاوز لأن المأمور به وهو القتل بسیط لا تجری فیه قاعدة التجاوز والشک فی المقدمات شکّ فی المحصّل فلابدّ من الاحتیاط هذا بخلاف المقام فإنّ الوضوء من المقدمات الشرعیة لحصول الطهارة إذ الشارع جعله مقدمة لها وأمر به وبعد تعلق الأمر الشرعی به وکونه مرکباً لا مانع من جریان قاعدة التجاوز فیه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الإسلام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 فی الوضوء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فی ذیلها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دخله الشک وقد دخل فی حال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بإطلاقه علی أنّ من شک فی غسل ذراعه أو بعض جسده من الطرف الأیسر وقد دخل فی حال أخری أیّة حالة کانت لا یعتنی بشکّه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شمول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شک فیه مما قد جاوزه ودخل فی غیره فلیمض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للشک فی الأجزاء إنّما کان بعنایة التعبّد والتنزیل ولحاظ الأجزاء فی المرتبة السابقة علی الترکیب فإنّه فی تلک المرتبة یکون کل جزء من أجزاء الصلاة وأجزاء أجزائها من الآیات والکلمات بل الحروف شیئاً مستقلًا فی مقابل الکلّ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المیرزا حسن سیادتی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الوصول إلی حقائق الأصول تقریراً لأبحاث المحقّق الأصفهانی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کلمات المحقّق الأصفهانی فی وسیلة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الشک فی الشی‌ء بعد الدخول فی غیره الذی لا یعتنی به بمقتضی قاعدة التجاوز مخصوص بالشک فی الأجزاء المبوّیة الأولیة کالشک فی التکبیر والقراءة والرکوع والسجود ونحوها کما فی مورد الروایة أو تعمّ غیر الأجزاء الأولیة من الأجزاء الثانویة وهکذا کما أفتی به بعض من عدم الاعتناء بالشک فی أول السورة وهو فی آخرها بل بالشک فی أوّل الآیة وهو فی آخرها بل بالشک فی أول الکلمة وهو فی آخرها والظاهر هو الأول لأن الشی‌ء وإن کان من الألفاظ العامة إلا أن عمومه باعتبار ما یکنّی به عنه وهو فی الروایة کنایة عن أجزاء الصلاة کما هی مورد قاعدة التجاوز بمقتضی الروایة فمعنی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من شی‌ء ودخلت فی غیره فشکک 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من أجزاء الصلاة وأجزاء الصلاة هی الأجزاء الأولیّة المبوّبة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کلام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حین یتوضّأ أذکر منه حین یشک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القاعدة من باب تقدیم الظاهر علی الأصل فهو دائر مدار الظهور النوعی ولو کان من العادة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هی عبارة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فتح هذا الباب بالنسبة إلی العادة یوجب مخالفة إطلاقات کثیرة فمن اعتاد الصلاة فی أوّل وقتها أو مع الجماعة فشکّ فی فعلها بعد ذلک فلا یجب علیه الفعل وکذا من اعتاد الوضوء بعد الحدث بلا فصل یعتدّ به أو قبل دخول الوقت للتهیّؤ فشکّ بعد ذلک فی الوضوء، إلی غیر ذلک من الفروع التی یبعد التزام الفقیه بها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الشارع المقنّن إذا قرّر للأشیاء محلًا فجعل محلّ القراءة بعد التکبیر ومحلّ الرکوع بعد القراءة وهکذا ثم جعل قانوناً آخر بأنّ کل ما مضی لا یفهم العرف والعقلاء منه إلا ما هو المحلّ المقرّر الجعلی لا ما صار عادة للأشخاص أو النوع فإن العادة إنّما تحصل بالعمل وهی لا توجب أن یصیر المحلّ العادی محلًا للشی‌ء بل المحلّ بقول مطلق هو ما یکون محلًا مقرّراً قانونیاً لا ماصاً عادة حتی یختلف باختلاف الأزمنة والأحوال وبالجملة إسراء الحکم إلی المحل العادی بدعوی إطلاق الأدلة فی غایة الإشکال بل لا یمکن التزامه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الظاهر أن هذه الخصوصیات من باب التمثیل توطئة لضرب قاعدة کلیة لا تحدید للغیر وکما أنّ إطلاق الغیر فی مقام ضرب قاعدة کلیّة یوجب التعدّی إلی غیر ما ذکر فی الروایتین من الأجزاء کذلک یوجب التعدّی إلی مقدماتها الأمر أوسع من ذلک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تعرضه للانتصاب والهویّ والانتقال إلی السجود لیس دلیلًا علی عدم الاعتبار بالدخول فیها بل حیث أن الغفلة الموجبة للشک بحسب العادة لا تعرض للمصلّی مع قرب الانتصاب والهویّ إلی الرکوع فلذا لم یتعرّض لهما بل عقّب الأمثلة العادیة بنصب قاعدة کلیة والعبرة بمفاد القاعدة لا بموردها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خلل الصلاة وأحکامها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 الصلاة وأحکامها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واللازم ذکره أن الشیخ الطوسی قد نقل هذه الروایة فی الاستبصار عن الإمام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نقلها عن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وقد نقلها صاحب الوسائل علی ما وردت فی الاستبصار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محمود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الأفکار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الطباطبائی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الأوقات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الصاحب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47972</Words>
  <Characters>211348</Characters>
  <CharactersWithSpaces>257482</CharactersWithSpaces>
  <Paragraphs>1839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2026-08-17T18:55:40Z</dcterms:created>
  <dc:creator>ghaemiyeh.com</dc:creator>
  <dc:description/>
  <dc:language>en-US</dc:language>
  <cp:lastModifiedBy/>
  <dcterms:modified xsi:type="dcterms:W3CDTF">2026-08-17T22:25:46Z</dcterms:modified>
  <cp:revision>1</cp:revision>
  <dc:subject/>
  <dc:title>قاعده فراغ و تجاوز</dc:title>
</cp:coreProperties>
</file>

<file path=docProps/custom.xml><?xml version="1.0" encoding="utf-8"?>
<Properties xmlns="http://schemas.openxmlformats.org/officeDocument/2006/custom-properties" xmlns:vt="http://schemas.openxmlformats.org/officeDocument/2006/docPropsVTypes"/>
</file>