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تحقیقات کلامی شماره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8222_1395250215">
            <w:r>
              <w:rPr>
                <w:webHidden/>
                <w:rStyle w:val="IndexLink"/>
                <w:rtl w:val="true"/>
              </w:rPr>
              <w:t>مشخصات فصلنامه</w:t>
            </w:r>
            <w:r>
              <w:rPr>
                <w:rStyle w:val="IndexLink"/>
                <w:rtl w:val="true"/>
              </w:rPr>
              <w:tab/>
            </w:r>
            <w:r>
              <w:rPr>
                <w:rStyle w:val="IndexLink"/>
              </w:rPr>
              <w:t>6</w:t>
            </w:r>
          </w:hyperlink>
        </w:p>
        <w:p>
          <w:pPr>
            <w:pStyle w:val="Contents2"/>
            <w:tabs>
              <w:tab w:val="clear" w:pos="8743"/>
              <w:tab w:val="right" w:pos="9026" w:leader="dot"/>
            </w:tabs>
            <w:rPr/>
          </w:pPr>
          <w:hyperlink w:anchor="__RefHeading___Toc768224_1395250215">
            <w:r>
              <w:rPr>
                <w:webHidden/>
                <w:rStyle w:val="IndexLink"/>
                <w:rtl w:val="true"/>
              </w:rPr>
              <w:t>رتبه علمی فصلنامه</w:t>
            </w:r>
            <w:r>
              <w:rPr>
                <w:rStyle w:val="IndexLink"/>
                <w:rtl w:val="true"/>
              </w:rPr>
              <w:tab/>
            </w:r>
            <w:r>
              <w:rPr>
                <w:rStyle w:val="IndexLink"/>
              </w:rPr>
              <w:t>6</w:t>
            </w:r>
          </w:hyperlink>
        </w:p>
        <w:p>
          <w:pPr>
            <w:pStyle w:val="Contents2"/>
            <w:tabs>
              <w:tab w:val="clear" w:pos="8743"/>
              <w:tab w:val="right" w:pos="9026" w:leader="dot"/>
            </w:tabs>
            <w:rPr/>
          </w:pPr>
          <w:hyperlink w:anchor="__RefHeading___Toc768226_1395250215">
            <w:r>
              <w:rPr>
                <w:webHidden/>
                <w:rStyle w:val="IndexLink"/>
                <w:rtl w:val="true"/>
              </w:rPr>
              <w:t>راهنمای نویسندگان</w:t>
            </w:r>
            <w:r>
              <w:rPr>
                <w:rStyle w:val="IndexLink"/>
                <w:rtl w:val="true"/>
              </w:rPr>
              <w:tab/>
            </w:r>
            <w:r>
              <w:rPr>
                <w:rStyle w:val="IndexLink"/>
              </w:rPr>
              <w:t>8</w:t>
            </w:r>
          </w:hyperlink>
        </w:p>
        <w:p>
          <w:pPr>
            <w:pStyle w:val="Contents2"/>
            <w:tabs>
              <w:tab w:val="clear" w:pos="8743"/>
              <w:tab w:val="right" w:pos="9026" w:leader="dot"/>
            </w:tabs>
            <w:rPr/>
          </w:pPr>
          <w:hyperlink w:anchor="__RefHeading___Toc768228_1395250215">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768230_1395250215">
            <w:r>
              <w:rPr>
                <w:webHidden/>
                <w:rStyle w:val="IndexLink"/>
                <w:rtl w:val="true"/>
              </w:rPr>
              <w:t>عقلانیت و دین‌داری</w:t>
            </w:r>
            <w:r>
              <w:rPr>
                <w:rStyle w:val="IndexLink"/>
                <w:rtl w:val="true"/>
              </w:rPr>
              <w:t xml:space="preserve">: </w:t>
            </w:r>
            <w:r>
              <w:rPr>
                <w:rStyle w:val="IndexLink"/>
                <w:rtl w:val="true"/>
              </w:rPr>
              <w:t>دفاع از سازگاری</w:t>
            </w:r>
            <w:r>
              <w:rPr>
                <w:rStyle w:val="IndexLink"/>
                <w:rtl w:val="true"/>
              </w:rPr>
              <w:tab/>
            </w:r>
            <w:r>
              <w:rPr>
                <w:rStyle w:val="IndexLink"/>
              </w:rPr>
              <w:t>12</w:t>
            </w:r>
          </w:hyperlink>
        </w:p>
        <w:p>
          <w:pPr>
            <w:pStyle w:val="Contents3"/>
            <w:tabs>
              <w:tab w:val="clear" w:pos="8459"/>
              <w:tab w:val="right" w:pos="9026" w:leader="dot"/>
            </w:tabs>
            <w:rPr/>
          </w:pPr>
          <w:hyperlink w:anchor="__RefHeading___Toc768232_1395250215">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68234_1395250215">
            <w:r>
              <w:rPr>
                <w:webHidden/>
                <w:rStyle w:val="IndexLink"/>
                <w:rtl w:val="true"/>
              </w:rPr>
              <w:t>چکیده</w:t>
            </w:r>
            <w:r>
              <w:rPr>
                <w:rStyle w:val="IndexLink"/>
                <w:rtl w:val="true"/>
              </w:rPr>
              <w:tab/>
            </w:r>
            <w:r>
              <w:rPr>
                <w:rStyle w:val="IndexLink"/>
              </w:rPr>
              <w:t>12</w:t>
            </w:r>
          </w:hyperlink>
        </w:p>
        <w:p>
          <w:pPr>
            <w:pStyle w:val="Contents3"/>
            <w:tabs>
              <w:tab w:val="clear" w:pos="8459"/>
              <w:tab w:val="right" w:pos="9026" w:leader="dot"/>
            </w:tabs>
            <w:rPr/>
          </w:pPr>
          <w:hyperlink w:anchor="__RefHeading___Toc768236_1395250215">
            <w:r>
              <w:rPr>
                <w:webHidden/>
                <w:rStyle w:val="IndexLink"/>
                <w:rtl w:val="true"/>
              </w:rPr>
              <w:t>واژگان کلیدی</w:t>
            </w:r>
            <w:r>
              <w:rPr>
                <w:rStyle w:val="IndexLink"/>
                <w:rtl w:val="true"/>
              </w:rPr>
              <w:tab/>
            </w:r>
            <w:r>
              <w:rPr>
                <w:rStyle w:val="IndexLink"/>
              </w:rPr>
              <w:t>12</w:t>
            </w:r>
          </w:hyperlink>
        </w:p>
        <w:p>
          <w:pPr>
            <w:pStyle w:val="Contents3"/>
            <w:tabs>
              <w:tab w:val="clear" w:pos="8459"/>
              <w:tab w:val="right" w:pos="9026" w:leader="dot"/>
            </w:tabs>
            <w:rPr/>
          </w:pPr>
          <w:hyperlink w:anchor="__RefHeading___Toc768238_1395250215">
            <w:r>
              <w:rPr>
                <w:webHidden/>
                <w:rStyle w:val="IndexLink"/>
                <w:rtl w:val="true"/>
              </w:rPr>
              <w:t>متن مقاله</w:t>
            </w:r>
            <w:r>
              <w:rPr>
                <w:rStyle w:val="IndexLink"/>
                <w:rtl w:val="true"/>
              </w:rPr>
              <w:tab/>
            </w:r>
            <w:r>
              <w:rPr>
                <w:rStyle w:val="IndexLink"/>
              </w:rPr>
              <w:t>13</w:t>
            </w:r>
          </w:hyperlink>
        </w:p>
        <w:p>
          <w:pPr>
            <w:pStyle w:val="Contents3"/>
            <w:tabs>
              <w:tab w:val="clear" w:pos="8459"/>
              <w:tab w:val="right" w:pos="9026" w:leader="dot"/>
            </w:tabs>
            <w:rPr/>
          </w:pPr>
          <w:hyperlink w:anchor="__RefHeading___Toc768240_1395250215">
            <w:r>
              <w:rPr>
                <w:webHidden/>
                <w:rStyle w:val="IndexLink"/>
                <w:rtl w:val="true"/>
              </w:rPr>
              <w:t>منابع</w:t>
            </w:r>
            <w:r>
              <w:rPr>
                <w:rStyle w:val="IndexLink"/>
                <w:rtl w:val="true"/>
              </w:rPr>
              <w:tab/>
            </w:r>
            <w:r>
              <w:rPr>
                <w:rStyle w:val="IndexLink"/>
              </w:rPr>
              <w:t>20</w:t>
            </w:r>
          </w:hyperlink>
        </w:p>
        <w:p>
          <w:pPr>
            <w:pStyle w:val="Contents2"/>
            <w:tabs>
              <w:tab w:val="clear" w:pos="8743"/>
              <w:tab w:val="right" w:pos="9026" w:leader="dot"/>
            </w:tabs>
            <w:rPr/>
          </w:pPr>
          <w:hyperlink w:anchor="__RefHeading___Toc768242_1395250215">
            <w:r>
              <w:rPr>
                <w:webHidden/>
                <w:rStyle w:val="IndexLink"/>
                <w:rtl w:val="true"/>
              </w:rPr>
              <w:t>کاربست عقل در استنباط آموزه‌های کلامی از دیدگاه فاضل مقداد</w:t>
            </w:r>
            <w:r>
              <w:rPr>
                <w:rStyle w:val="IndexLink"/>
                <w:rtl w:val="true"/>
              </w:rPr>
              <w:tab/>
            </w:r>
            <w:r>
              <w:rPr>
                <w:rStyle w:val="IndexLink"/>
              </w:rPr>
              <w:t>22</w:t>
            </w:r>
          </w:hyperlink>
        </w:p>
        <w:p>
          <w:pPr>
            <w:pStyle w:val="Contents3"/>
            <w:tabs>
              <w:tab w:val="clear" w:pos="8459"/>
              <w:tab w:val="right" w:pos="9026" w:leader="dot"/>
            </w:tabs>
            <w:rPr/>
          </w:pPr>
          <w:hyperlink w:anchor="__RefHeading___Toc768244_1395250215">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768246_1395250215">
            <w:r>
              <w:rPr>
                <w:webHidden/>
                <w:rStyle w:val="IndexLink"/>
                <w:rtl w:val="true"/>
              </w:rPr>
              <w:t>چکیده</w:t>
            </w:r>
            <w:r>
              <w:rPr>
                <w:rStyle w:val="IndexLink"/>
                <w:rtl w:val="true"/>
              </w:rPr>
              <w:tab/>
            </w:r>
            <w:r>
              <w:rPr>
                <w:rStyle w:val="IndexLink"/>
              </w:rPr>
              <w:t>22</w:t>
            </w:r>
          </w:hyperlink>
        </w:p>
        <w:p>
          <w:pPr>
            <w:pStyle w:val="Contents3"/>
            <w:tabs>
              <w:tab w:val="clear" w:pos="8459"/>
              <w:tab w:val="right" w:pos="9026" w:leader="dot"/>
            </w:tabs>
            <w:rPr/>
          </w:pPr>
          <w:hyperlink w:anchor="__RefHeading___Toc768248_1395250215">
            <w:r>
              <w:rPr>
                <w:webHidden/>
                <w:rStyle w:val="IndexLink"/>
                <w:rtl w:val="true"/>
              </w:rPr>
              <w:t>واژگان کلیدی</w:t>
            </w:r>
            <w:r>
              <w:rPr>
                <w:rStyle w:val="IndexLink"/>
                <w:rtl w:val="true"/>
              </w:rPr>
              <w:tab/>
            </w:r>
            <w:r>
              <w:rPr>
                <w:rStyle w:val="IndexLink"/>
              </w:rPr>
              <w:t>22</w:t>
            </w:r>
          </w:hyperlink>
        </w:p>
        <w:p>
          <w:pPr>
            <w:pStyle w:val="Contents3"/>
            <w:tabs>
              <w:tab w:val="clear" w:pos="8459"/>
              <w:tab w:val="right" w:pos="9026" w:leader="dot"/>
            </w:tabs>
            <w:rPr/>
          </w:pPr>
          <w:hyperlink w:anchor="__RefHeading___Toc768250_1395250215">
            <w:r>
              <w:rPr>
                <w:webHidden/>
                <w:rStyle w:val="IndexLink"/>
                <w:rtl w:val="true"/>
              </w:rPr>
              <w:t>درآمد</w:t>
            </w:r>
            <w:r>
              <w:rPr>
                <w:rStyle w:val="IndexLink"/>
                <w:rtl w:val="true"/>
              </w:rPr>
              <w:tab/>
            </w:r>
            <w:r>
              <w:rPr>
                <w:rStyle w:val="IndexLink"/>
              </w:rPr>
              <w:t>23</w:t>
            </w:r>
          </w:hyperlink>
        </w:p>
        <w:p>
          <w:pPr>
            <w:pStyle w:val="Contents3"/>
            <w:tabs>
              <w:tab w:val="clear" w:pos="8459"/>
              <w:tab w:val="right" w:pos="9026" w:leader="dot"/>
            </w:tabs>
            <w:rPr/>
          </w:pPr>
          <w:hyperlink w:anchor="__RefHeading___Toc768252_1395250215">
            <w:r>
              <w:rPr>
                <w:webHidden/>
                <w:rStyle w:val="IndexLink"/>
              </w:rPr>
              <w:t>1</w:t>
            </w:r>
            <w:r>
              <w:rPr>
                <w:rStyle w:val="IndexLink"/>
                <w:rtl w:val="true"/>
              </w:rPr>
              <w:t xml:space="preserve">. </w:t>
            </w:r>
            <w:r>
              <w:rPr>
                <w:rStyle w:val="IndexLink"/>
                <w:rtl w:val="true"/>
              </w:rPr>
              <w:t>کاربست عقل نظری</w:t>
            </w:r>
            <w:r>
              <w:rPr>
                <w:rStyle w:val="IndexLink"/>
                <w:rtl w:val="true"/>
              </w:rPr>
              <w:tab/>
            </w:r>
            <w:r>
              <w:rPr>
                <w:rStyle w:val="IndexLink"/>
              </w:rPr>
              <w:t>24</w:t>
            </w:r>
          </w:hyperlink>
        </w:p>
        <w:p>
          <w:pPr>
            <w:pStyle w:val="Contents4"/>
            <w:tabs>
              <w:tab w:val="clear" w:pos="8176"/>
              <w:tab w:val="right" w:pos="9026" w:leader="dot"/>
            </w:tabs>
            <w:rPr/>
          </w:pPr>
          <w:hyperlink w:anchor="__RefHeading___Toc768254_1395250215">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768256_1395250215">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کشف استلزامات</w:t>
            </w:r>
            <w:r>
              <w:rPr>
                <w:rStyle w:val="IndexLink"/>
                <w:rtl w:val="true"/>
              </w:rPr>
              <w:tab/>
            </w:r>
            <w:r>
              <w:rPr>
                <w:rStyle w:val="IndexLink"/>
              </w:rPr>
              <w:t>24</w:t>
            </w:r>
          </w:hyperlink>
        </w:p>
        <w:p>
          <w:pPr>
            <w:pStyle w:val="Contents4"/>
            <w:tabs>
              <w:tab w:val="clear" w:pos="8176"/>
              <w:tab w:val="right" w:pos="9026" w:leader="dot"/>
            </w:tabs>
            <w:rPr/>
          </w:pPr>
          <w:hyperlink w:anchor="__RefHeading___Toc768258_1395250215">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بطلان دور و تسلسل</w:t>
            </w:r>
            <w:r>
              <w:rPr>
                <w:rStyle w:val="IndexLink"/>
                <w:rtl w:val="true"/>
              </w:rPr>
              <w:tab/>
            </w:r>
            <w:r>
              <w:rPr>
                <w:rStyle w:val="IndexLink"/>
              </w:rPr>
              <w:t>25</w:t>
            </w:r>
          </w:hyperlink>
        </w:p>
        <w:p>
          <w:pPr>
            <w:pStyle w:val="Contents4"/>
            <w:tabs>
              <w:tab w:val="clear" w:pos="8176"/>
              <w:tab w:val="right" w:pos="9026" w:leader="dot"/>
            </w:tabs>
            <w:rPr/>
          </w:pPr>
          <w:hyperlink w:anchor="__RefHeading___Toc768260_1395250215">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استحالۀ تحصیل حاصل</w:t>
            </w:r>
            <w:r>
              <w:rPr>
                <w:rStyle w:val="IndexLink"/>
                <w:rtl w:val="true"/>
              </w:rPr>
              <w:tab/>
            </w:r>
            <w:r>
              <w:rPr>
                <w:rStyle w:val="IndexLink"/>
              </w:rPr>
              <w:t>26</w:t>
            </w:r>
          </w:hyperlink>
        </w:p>
        <w:p>
          <w:pPr>
            <w:pStyle w:val="Contents4"/>
            <w:tabs>
              <w:tab w:val="clear" w:pos="8176"/>
              <w:tab w:val="right" w:pos="9026" w:leader="dot"/>
            </w:tabs>
            <w:rPr/>
          </w:pPr>
          <w:hyperlink w:anchor="__RefHeading___Toc768262_1395250215">
            <w:r>
              <w:rPr>
                <w:webHidden/>
                <w:rStyle w:val="IndexLink"/>
              </w:rPr>
              <w:t>4</w:t>
            </w:r>
            <w:r>
              <w:rPr>
                <w:rStyle w:val="IndexLink"/>
                <w:rtl w:val="true"/>
              </w:rPr>
              <w:t>ـ</w:t>
            </w:r>
            <w:r>
              <w:rPr>
                <w:rStyle w:val="IndexLink"/>
              </w:rPr>
              <w:t>1</w:t>
            </w:r>
            <w:r>
              <w:rPr>
                <w:rStyle w:val="IndexLink"/>
                <w:rtl w:val="true"/>
              </w:rPr>
              <w:t xml:space="preserve">. </w:t>
            </w:r>
            <w:r>
              <w:rPr>
                <w:rStyle w:val="IndexLink"/>
                <w:rtl w:val="true"/>
              </w:rPr>
              <w:t>بطلان ترجیح بلا مرجح</w:t>
            </w:r>
            <w:r>
              <w:rPr>
                <w:rStyle w:val="IndexLink"/>
                <w:rtl w:val="true"/>
              </w:rPr>
              <w:tab/>
            </w:r>
            <w:r>
              <w:rPr>
                <w:rStyle w:val="IndexLink"/>
              </w:rPr>
              <w:t>26</w:t>
            </w:r>
          </w:hyperlink>
        </w:p>
        <w:p>
          <w:pPr>
            <w:pStyle w:val="Contents3"/>
            <w:tabs>
              <w:tab w:val="clear" w:pos="8459"/>
              <w:tab w:val="right" w:pos="9026" w:leader="dot"/>
            </w:tabs>
            <w:rPr/>
          </w:pPr>
          <w:hyperlink w:anchor="__RefHeading___Toc768264_1395250215">
            <w:r>
              <w:rPr>
                <w:webHidden/>
                <w:rStyle w:val="IndexLink"/>
              </w:rPr>
              <w:t>2</w:t>
            </w:r>
            <w:r>
              <w:rPr>
                <w:rStyle w:val="IndexLink"/>
                <w:rtl w:val="true"/>
              </w:rPr>
              <w:t xml:space="preserve">. </w:t>
            </w:r>
            <w:r>
              <w:rPr>
                <w:rStyle w:val="IndexLink"/>
                <w:rtl w:val="true"/>
              </w:rPr>
              <w:t>کاربست عقل عملی</w:t>
            </w:r>
            <w:r>
              <w:rPr>
                <w:rStyle w:val="IndexLink"/>
                <w:rtl w:val="true"/>
              </w:rPr>
              <w:tab/>
            </w:r>
            <w:r>
              <w:rPr>
                <w:rStyle w:val="IndexLink"/>
              </w:rPr>
              <w:t>26</w:t>
            </w:r>
          </w:hyperlink>
        </w:p>
        <w:p>
          <w:pPr>
            <w:pStyle w:val="Contents4"/>
            <w:tabs>
              <w:tab w:val="clear" w:pos="8176"/>
              <w:tab w:val="right" w:pos="9026" w:leader="dot"/>
            </w:tabs>
            <w:rPr/>
          </w:pPr>
          <w:hyperlink w:anchor="__RefHeading___Toc768266_1395250215">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768268_1395250215">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قاعدۀ حسن و قبح</w:t>
            </w:r>
            <w:r>
              <w:rPr>
                <w:rStyle w:val="IndexLink"/>
                <w:rtl w:val="true"/>
              </w:rPr>
              <w:tab/>
            </w:r>
            <w:r>
              <w:rPr>
                <w:rStyle w:val="IndexLink"/>
              </w:rPr>
              <w:t>27</w:t>
            </w:r>
          </w:hyperlink>
        </w:p>
        <w:p>
          <w:pPr>
            <w:pStyle w:val="Contents4"/>
            <w:tabs>
              <w:tab w:val="clear" w:pos="8176"/>
              <w:tab w:val="right" w:pos="9026" w:leader="dot"/>
            </w:tabs>
            <w:rPr/>
          </w:pPr>
          <w:hyperlink w:anchor="__RefHeading___Toc768270_1395250215">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قاعدۀ لطف</w:t>
            </w:r>
            <w:r>
              <w:rPr>
                <w:rStyle w:val="IndexLink"/>
                <w:rtl w:val="true"/>
              </w:rPr>
              <w:tab/>
            </w:r>
            <w:r>
              <w:rPr>
                <w:rStyle w:val="IndexLink"/>
              </w:rPr>
              <w:t>28</w:t>
            </w:r>
          </w:hyperlink>
        </w:p>
        <w:p>
          <w:pPr>
            <w:pStyle w:val="Contents4"/>
            <w:tabs>
              <w:tab w:val="clear" w:pos="8176"/>
              <w:tab w:val="right" w:pos="9026" w:leader="dot"/>
            </w:tabs>
            <w:rPr/>
          </w:pPr>
          <w:hyperlink w:anchor="__RefHeading___Toc768272_1395250215">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دفع خوف و دفع ضرر محتمل</w:t>
            </w:r>
            <w:r>
              <w:rPr>
                <w:rStyle w:val="IndexLink"/>
                <w:rtl w:val="true"/>
              </w:rPr>
              <w:tab/>
            </w:r>
            <w:r>
              <w:rPr>
                <w:rStyle w:val="IndexLink"/>
              </w:rPr>
              <w:t>28</w:t>
            </w:r>
          </w:hyperlink>
        </w:p>
        <w:p>
          <w:pPr>
            <w:pStyle w:val="Contents3"/>
            <w:tabs>
              <w:tab w:val="clear" w:pos="8459"/>
              <w:tab w:val="right" w:pos="9026" w:leader="dot"/>
            </w:tabs>
            <w:rPr/>
          </w:pPr>
          <w:hyperlink w:anchor="__RefHeading___Toc768274_1395250215">
            <w:r>
              <w:rPr>
                <w:webHidden/>
                <w:rStyle w:val="IndexLink"/>
              </w:rPr>
              <w:t>3</w:t>
            </w:r>
            <w:r>
              <w:rPr>
                <w:rStyle w:val="IndexLink"/>
                <w:rtl w:val="true"/>
              </w:rPr>
              <w:t xml:space="preserve">. </w:t>
            </w:r>
            <w:r>
              <w:rPr>
                <w:rStyle w:val="IndexLink"/>
                <w:rtl w:val="true"/>
              </w:rPr>
              <w:t>کاربست عقل استنباطی</w:t>
            </w:r>
            <w:r>
              <w:rPr>
                <w:rStyle w:val="IndexLink"/>
                <w:rtl w:val="true"/>
              </w:rPr>
              <w:tab/>
            </w:r>
            <w:r>
              <w:rPr>
                <w:rStyle w:val="IndexLink"/>
              </w:rPr>
              <w:t>29</w:t>
            </w:r>
          </w:hyperlink>
        </w:p>
        <w:p>
          <w:pPr>
            <w:pStyle w:val="Contents4"/>
            <w:tabs>
              <w:tab w:val="clear" w:pos="8176"/>
              <w:tab w:val="right" w:pos="9026" w:leader="dot"/>
            </w:tabs>
            <w:rPr/>
          </w:pPr>
          <w:hyperlink w:anchor="__RefHeading___Toc768276_1395250215">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768278_1395250215">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تمسک به ظهور</w:t>
            </w:r>
            <w:r>
              <w:rPr>
                <w:rStyle w:val="IndexLink"/>
                <w:rtl w:val="true"/>
              </w:rPr>
              <w:tab/>
            </w:r>
            <w:r>
              <w:rPr>
                <w:rStyle w:val="IndexLink"/>
              </w:rPr>
              <w:t>29</w:t>
            </w:r>
          </w:hyperlink>
        </w:p>
        <w:p>
          <w:pPr>
            <w:pStyle w:val="Contents4"/>
            <w:tabs>
              <w:tab w:val="clear" w:pos="8176"/>
              <w:tab w:val="right" w:pos="9026" w:leader="dot"/>
            </w:tabs>
            <w:rPr/>
          </w:pPr>
          <w:hyperlink w:anchor="__RefHeading___Toc768280_1395250215">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تواتر معنوی</w:t>
            </w:r>
            <w:r>
              <w:rPr>
                <w:rStyle w:val="IndexLink"/>
                <w:rtl w:val="true"/>
              </w:rPr>
              <w:tab/>
            </w:r>
            <w:r>
              <w:rPr>
                <w:rStyle w:val="IndexLink"/>
              </w:rPr>
              <w:t>30</w:t>
            </w:r>
          </w:hyperlink>
        </w:p>
        <w:p>
          <w:pPr>
            <w:pStyle w:val="Contents4"/>
            <w:tabs>
              <w:tab w:val="clear" w:pos="8176"/>
              <w:tab w:val="right" w:pos="9026" w:leader="dot"/>
            </w:tabs>
            <w:rPr/>
          </w:pPr>
          <w:hyperlink w:anchor="__RefHeading___Toc768282_1395250215">
            <w:r>
              <w:rPr>
                <w:webHidden/>
                <w:rStyle w:val="IndexLink"/>
              </w:rPr>
              <w:t>3</w:t>
            </w:r>
            <w:r>
              <w:rPr>
                <w:rStyle w:val="IndexLink"/>
                <w:rtl w:val="true"/>
              </w:rPr>
              <w:t>ـ</w:t>
            </w:r>
            <w:r>
              <w:rPr>
                <w:rStyle w:val="IndexLink"/>
              </w:rPr>
              <w:t>3</w:t>
            </w:r>
            <w:r>
              <w:rPr>
                <w:rStyle w:val="IndexLink"/>
                <w:rtl w:val="true"/>
              </w:rPr>
              <w:t xml:space="preserve">. </w:t>
            </w:r>
            <w:r>
              <w:rPr>
                <w:rStyle w:val="IndexLink"/>
                <w:rtl w:val="true"/>
              </w:rPr>
              <w:t>توصیف</w:t>
            </w:r>
            <w:r>
              <w:rPr>
                <w:rStyle w:val="IndexLink"/>
                <w:rtl w:val="true"/>
              </w:rPr>
              <w:tab/>
            </w:r>
            <w:r>
              <w:rPr>
                <w:rStyle w:val="IndexLink"/>
              </w:rPr>
              <w:t>31</w:t>
            </w:r>
          </w:hyperlink>
        </w:p>
        <w:p>
          <w:pPr>
            <w:pStyle w:val="Contents4"/>
            <w:tabs>
              <w:tab w:val="clear" w:pos="8176"/>
              <w:tab w:val="right" w:pos="9026" w:leader="dot"/>
            </w:tabs>
            <w:rPr/>
          </w:pPr>
          <w:hyperlink w:anchor="__RefHeading___Toc768284_1395250215">
            <w:r>
              <w:rPr>
                <w:webHidden/>
                <w:rStyle w:val="IndexLink"/>
              </w:rPr>
              <w:t>4</w:t>
            </w:r>
            <w:r>
              <w:rPr>
                <w:rStyle w:val="IndexLink"/>
                <w:rtl w:val="true"/>
              </w:rPr>
              <w:t>ـ</w:t>
            </w:r>
            <w:r>
              <w:rPr>
                <w:rStyle w:val="IndexLink"/>
              </w:rPr>
              <w:t>3</w:t>
            </w:r>
            <w:r>
              <w:rPr>
                <w:rStyle w:val="IndexLink"/>
                <w:rtl w:val="true"/>
              </w:rPr>
              <w:t xml:space="preserve">. </w:t>
            </w:r>
            <w:r>
              <w:rPr>
                <w:rStyle w:val="IndexLink"/>
                <w:rtl w:val="true"/>
              </w:rPr>
              <w:t>تأویل</w:t>
            </w:r>
            <w:r>
              <w:rPr>
                <w:rStyle w:val="IndexLink"/>
                <w:rtl w:val="true"/>
              </w:rPr>
              <w:tab/>
            </w:r>
            <w:r>
              <w:rPr>
                <w:rStyle w:val="IndexLink"/>
              </w:rPr>
              <w:t>32</w:t>
            </w:r>
          </w:hyperlink>
        </w:p>
        <w:p>
          <w:pPr>
            <w:pStyle w:val="Contents4"/>
            <w:tabs>
              <w:tab w:val="clear" w:pos="8176"/>
              <w:tab w:val="right" w:pos="9026" w:leader="dot"/>
            </w:tabs>
            <w:rPr/>
          </w:pPr>
          <w:hyperlink w:anchor="__RefHeading___Toc768286_1395250215">
            <w:r>
              <w:rPr>
                <w:webHidden/>
                <w:rStyle w:val="IndexLink"/>
              </w:rPr>
              <w:t>5</w:t>
            </w:r>
            <w:r>
              <w:rPr>
                <w:rStyle w:val="IndexLink"/>
                <w:rtl w:val="true"/>
              </w:rPr>
              <w:t>ـ</w:t>
            </w:r>
            <w:r>
              <w:rPr>
                <w:rStyle w:val="IndexLink"/>
              </w:rPr>
              <w:t>3</w:t>
            </w:r>
            <w:r>
              <w:rPr>
                <w:rStyle w:val="IndexLink"/>
                <w:rtl w:val="true"/>
              </w:rPr>
              <w:t xml:space="preserve">. </w:t>
            </w:r>
            <w:r>
              <w:rPr>
                <w:rStyle w:val="IndexLink"/>
                <w:rtl w:val="true"/>
              </w:rPr>
              <w:t>پاسخ به شبهه</w:t>
            </w:r>
            <w:r>
              <w:rPr>
                <w:rStyle w:val="IndexLink"/>
                <w:rtl w:val="true"/>
              </w:rPr>
              <w:tab/>
            </w:r>
            <w:r>
              <w:rPr>
                <w:rStyle w:val="IndexLink"/>
              </w:rPr>
              <w:t>33</w:t>
            </w:r>
          </w:hyperlink>
        </w:p>
        <w:p>
          <w:pPr>
            <w:pStyle w:val="Contents4"/>
            <w:tabs>
              <w:tab w:val="clear" w:pos="8176"/>
              <w:tab w:val="right" w:pos="9026" w:leader="dot"/>
            </w:tabs>
            <w:rPr/>
          </w:pPr>
          <w:hyperlink w:anchor="__RefHeading___Toc768288_1395250215">
            <w:r>
              <w:rPr>
                <w:webHidden/>
                <w:rStyle w:val="IndexLink"/>
              </w:rPr>
              <w:t>6</w:t>
            </w:r>
            <w:r>
              <w:rPr>
                <w:rStyle w:val="IndexLink"/>
                <w:rtl w:val="true"/>
              </w:rPr>
              <w:t>ـ</w:t>
            </w:r>
            <w:r>
              <w:rPr>
                <w:rStyle w:val="IndexLink"/>
              </w:rPr>
              <w:t>3</w:t>
            </w:r>
            <w:r>
              <w:rPr>
                <w:rStyle w:val="IndexLink"/>
                <w:rtl w:val="true"/>
              </w:rPr>
              <w:t xml:space="preserve">. </w:t>
            </w:r>
            <w:r>
              <w:rPr>
                <w:rStyle w:val="IndexLink"/>
                <w:rtl w:val="true"/>
              </w:rPr>
              <w:t>اعتباربخشی به نقل</w:t>
            </w:r>
            <w:r>
              <w:rPr>
                <w:rStyle w:val="IndexLink"/>
                <w:rtl w:val="true"/>
              </w:rPr>
              <w:tab/>
            </w:r>
            <w:r>
              <w:rPr>
                <w:rStyle w:val="IndexLink"/>
              </w:rPr>
              <w:t>34</w:t>
            </w:r>
          </w:hyperlink>
        </w:p>
        <w:p>
          <w:pPr>
            <w:pStyle w:val="Contents3"/>
            <w:tabs>
              <w:tab w:val="clear" w:pos="8459"/>
              <w:tab w:val="right" w:pos="9026" w:leader="dot"/>
            </w:tabs>
            <w:rPr/>
          </w:pPr>
          <w:hyperlink w:anchor="__RefHeading___Toc768290_1395250215">
            <w:r>
              <w:rPr>
                <w:webHidden/>
                <w:rStyle w:val="IndexLink"/>
                <w:rtl w:val="true"/>
              </w:rPr>
              <w:t>جمع بندی</w:t>
            </w:r>
            <w:r>
              <w:rPr>
                <w:rStyle w:val="IndexLink"/>
                <w:rtl w:val="true"/>
              </w:rPr>
              <w:tab/>
            </w:r>
            <w:r>
              <w:rPr>
                <w:rStyle w:val="IndexLink"/>
              </w:rPr>
              <w:t>36</w:t>
            </w:r>
          </w:hyperlink>
        </w:p>
        <w:p>
          <w:pPr>
            <w:pStyle w:val="Contents3"/>
            <w:tabs>
              <w:tab w:val="clear" w:pos="8459"/>
              <w:tab w:val="right" w:pos="9026" w:leader="dot"/>
            </w:tabs>
            <w:rPr/>
          </w:pPr>
          <w:hyperlink w:anchor="__RefHeading___Toc768292_1395250215">
            <w:r>
              <w:rPr>
                <w:webHidden/>
                <w:rStyle w:val="IndexLink"/>
                <w:rtl w:val="true"/>
              </w:rPr>
              <w:t>منابع</w:t>
            </w:r>
            <w:r>
              <w:rPr>
                <w:rStyle w:val="IndexLink"/>
                <w:rtl w:val="true"/>
              </w:rPr>
              <w:tab/>
            </w:r>
            <w:r>
              <w:rPr>
                <w:rStyle w:val="IndexLink"/>
              </w:rPr>
              <w:t>37</w:t>
            </w:r>
          </w:hyperlink>
        </w:p>
        <w:p>
          <w:pPr>
            <w:pStyle w:val="Contents2"/>
            <w:tabs>
              <w:tab w:val="clear" w:pos="8743"/>
              <w:tab w:val="right" w:pos="9026" w:leader="dot"/>
            </w:tabs>
            <w:rPr/>
          </w:pPr>
          <w:hyperlink w:anchor="__RefHeading___Toc768294_1395250215">
            <w:r>
              <w:rPr>
                <w:webHidden/>
                <w:rStyle w:val="IndexLink"/>
                <w:rtl w:val="true"/>
              </w:rPr>
              <w:t>بررسی و نقد دیدگاه دکتر عابد الجابری دربارۀ مهدویت</w:t>
            </w:r>
            <w:r>
              <w:rPr>
                <w:rStyle w:val="IndexLink"/>
                <w:rtl w:val="true"/>
              </w:rPr>
              <w:tab/>
            </w:r>
            <w:r>
              <w:rPr>
                <w:rStyle w:val="IndexLink"/>
              </w:rPr>
              <w:t>38</w:t>
            </w:r>
          </w:hyperlink>
        </w:p>
        <w:p>
          <w:pPr>
            <w:pStyle w:val="Contents3"/>
            <w:tabs>
              <w:tab w:val="clear" w:pos="8459"/>
              <w:tab w:val="right" w:pos="9026" w:leader="dot"/>
            </w:tabs>
            <w:rPr/>
          </w:pPr>
          <w:hyperlink w:anchor="__RefHeading___Toc768296_1395250215">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768298_1395250215">
            <w:r>
              <w:rPr>
                <w:webHidden/>
                <w:rStyle w:val="IndexLink"/>
                <w:rtl w:val="true"/>
              </w:rPr>
              <w:t>چکیده</w:t>
            </w:r>
            <w:r>
              <w:rPr>
                <w:rStyle w:val="IndexLink"/>
                <w:rtl w:val="true"/>
              </w:rPr>
              <w:tab/>
            </w:r>
            <w:r>
              <w:rPr>
                <w:rStyle w:val="IndexLink"/>
              </w:rPr>
              <w:t>38</w:t>
            </w:r>
          </w:hyperlink>
        </w:p>
        <w:p>
          <w:pPr>
            <w:pStyle w:val="Contents3"/>
            <w:tabs>
              <w:tab w:val="clear" w:pos="8459"/>
              <w:tab w:val="right" w:pos="9026" w:leader="dot"/>
            </w:tabs>
            <w:rPr/>
          </w:pPr>
          <w:hyperlink w:anchor="__RefHeading___Toc768300_1395250215">
            <w:r>
              <w:rPr>
                <w:webHidden/>
                <w:rStyle w:val="IndexLink"/>
                <w:rtl w:val="true"/>
              </w:rPr>
              <w:t>واژگان کلیدی</w:t>
            </w:r>
            <w:r>
              <w:rPr>
                <w:rStyle w:val="IndexLink"/>
                <w:rtl w:val="true"/>
              </w:rPr>
              <w:tab/>
            </w:r>
            <w:r>
              <w:rPr>
                <w:rStyle w:val="IndexLink"/>
              </w:rPr>
              <w:t>38</w:t>
            </w:r>
          </w:hyperlink>
        </w:p>
        <w:p>
          <w:pPr>
            <w:pStyle w:val="Contents3"/>
            <w:tabs>
              <w:tab w:val="clear" w:pos="8459"/>
              <w:tab w:val="right" w:pos="9026" w:leader="dot"/>
            </w:tabs>
            <w:rPr/>
          </w:pPr>
          <w:hyperlink w:anchor="__RefHeading___Toc768302_1395250215">
            <w:r>
              <w:rPr>
                <w:webHidden/>
                <w:rStyle w:val="IndexLink"/>
                <w:rtl w:val="true"/>
              </w:rPr>
              <w:t>مقدمه</w:t>
            </w:r>
            <w:r>
              <w:rPr>
                <w:rStyle w:val="IndexLink"/>
                <w:rtl w:val="true"/>
              </w:rPr>
              <w:tab/>
            </w:r>
            <w:r>
              <w:rPr>
                <w:rStyle w:val="IndexLink"/>
              </w:rPr>
              <w:t>39</w:t>
            </w:r>
          </w:hyperlink>
        </w:p>
        <w:p>
          <w:pPr>
            <w:pStyle w:val="Contents3"/>
            <w:tabs>
              <w:tab w:val="clear" w:pos="8459"/>
              <w:tab w:val="right" w:pos="9026" w:leader="dot"/>
            </w:tabs>
            <w:rPr/>
          </w:pPr>
          <w:hyperlink w:anchor="__RefHeading___Toc768304_1395250215">
            <w:r>
              <w:rPr>
                <w:webHidden/>
                <w:rStyle w:val="IndexLink"/>
              </w:rPr>
              <w:t>1</w:t>
            </w:r>
            <w:r>
              <w:rPr>
                <w:rStyle w:val="IndexLink"/>
                <w:rtl w:val="true"/>
              </w:rPr>
              <w:t xml:space="preserve">. </w:t>
            </w:r>
            <w:r>
              <w:rPr>
                <w:rStyle w:val="IndexLink"/>
                <w:rtl w:val="true"/>
              </w:rPr>
              <w:t>نبود روایات مهدویت در صحیح بخاری و مسلم</w:t>
            </w:r>
            <w:r>
              <w:rPr>
                <w:rStyle w:val="IndexLink"/>
                <w:rtl w:val="true"/>
              </w:rPr>
              <w:tab/>
            </w:r>
            <w:r>
              <w:rPr>
                <w:rStyle w:val="IndexLink"/>
              </w:rPr>
              <w:t>40</w:t>
            </w:r>
          </w:hyperlink>
        </w:p>
        <w:p>
          <w:pPr>
            <w:pStyle w:val="Contents3"/>
            <w:tabs>
              <w:tab w:val="clear" w:pos="8459"/>
              <w:tab w:val="right" w:pos="9026" w:leader="dot"/>
            </w:tabs>
            <w:rPr/>
          </w:pPr>
          <w:hyperlink w:anchor="__RefHeading___Toc768306_1395250215">
            <w:r>
              <w:rPr>
                <w:webHidden/>
                <w:rStyle w:val="IndexLink"/>
              </w:rPr>
              <w:t>2</w:t>
            </w:r>
            <w:r>
              <w:rPr>
                <w:rStyle w:val="IndexLink"/>
                <w:rtl w:val="true"/>
              </w:rPr>
              <w:t xml:space="preserve">. </w:t>
            </w:r>
            <w:r>
              <w:rPr>
                <w:rStyle w:val="IndexLink"/>
                <w:rtl w:val="true"/>
              </w:rPr>
              <w:t>اختصاص مهدویت به شیعیان</w:t>
            </w:r>
            <w:r>
              <w:rPr>
                <w:rStyle w:val="IndexLink"/>
                <w:rtl w:val="true"/>
              </w:rPr>
              <w:tab/>
            </w:r>
            <w:r>
              <w:rPr>
                <w:rStyle w:val="IndexLink"/>
              </w:rPr>
              <w:t>40</w:t>
            </w:r>
          </w:hyperlink>
        </w:p>
        <w:p>
          <w:pPr>
            <w:pStyle w:val="Contents3"/>
            <w:tabs>
              <w:tab w:val="clear" w:pos="8459"/>
              <w:tab w:val="right" w:pos="9026" w:leader="dot"/>
            </w:tabs>
            <w:rPr/>
          </w:pPr>
          <w:hyperlink w:anchor="__RefHeading___Toc768308_1395250215">
            <w:r>
              <w:rPr>
                <w:webHidden/>
                <w:rStyle w:val="IndexLink"/>
              </w:rPr>
              <w:t>3</w:t>
            </w:r>
            <w:r>
              <w:rPr>
                <w:rStyle w:val="IndexLink"/>
                <w:rtl w:val="true"/>
              </w:rPr>
              <w:t xml:space="preserve">. </w:t>
            </w:r>
            <w:r>
              <w:rPr>
                <w:rStyle w:val="IndexLink"/>
                <w:rtl w:val="true"/>
              </w:rPr>
              <w:t>یهودی بودن اندیشۀ مهدویت</w:t>
            </w:r>
            <w:r>
              <w:rPr>
                <w:rStyle w:val="IndexLink"/>
                <w:rtl w:val="true"/>
              </w:rPr>
              <w:tab/>
            </w:r>
            <w:r>
              <w:rPr>
                <w:rStyle w:val="IndexLink"/>
              </w:rPr>
              <w:t>41</w:t>
            </w:r>
          </w:hyperlink>
        </w:p>
        <w:p>
          <w:pPr>
            <w:pStyle w:val="Contents3"/>
            <w:tabs>
              <w:tab w:val="clear" w:pos="8459"/>
              <w:tab w:val="right" w:pos="9026" w:leader="dot"/>
            </w:tabs>
            <w:rPr/>
          </w:pPr>
          <w:hyperlink w:anchor="__RefHeading___Toc768310_1395250215">
            <w:r>
              <w:rPr>
                <w:webHidden/>
                <w:rStyle w:val="IndexLink"/>
              </w:rPr>
              <w:t>4</w:t>
            </w:r>
            <w:r>
              <w:rPr>
                <w:rStyle w:val="IndexLink"/>
                <w:rtl w:val="true"/>
              </w:rPr>
              <w:t xml:space="preserve">. </w:t>
            </w:r>
            <w:r>
              <w:rPr>
                <w:rStyle w:val="IndexLink"/>
                <w:rtl w:val="true"/>
              </w:rPr>
              <w:t>ارتباط مهدویت و فقرا و شکست خوردگان</w:t>
            </w:r>
            <w:r>
              <w:rPr>
                <w:rStyle w:val="IndexLink"/>
                <w:rtl w:val="true"/>
              </w:rPr>
              <w:tab/>
            </w:r>
            <w:r>
              <w:rPr>
                <w:rStyle w:val="IndexLink"/>
              </w:rPr>
              <w:t>42</w:t>
            </w:r>
          </w:hyperlink>
        </w:p>
        <w:p>
          <w:pPr>
            <w:pStyle w:val="Contents3"/>
            <w:tabs>
              <w:tab w:val="clear" w:pos="8459"/>
              <w:tab w:val="right" w:pos="9026" w:leader="dot"/>
            </w:tabs>
            <w:rPr/>
          </w:pPr>
          <w:hyperlink w:anchor="__RefHeading___Toc768312_1395250215">
            <w:r>
              <w:rPr>
                <w:webHidden/>
                <w:rStyle w:val="IndexLink"/>
                <w:rtl w:val="true"/>
              </w:rPr>
              <w:t>برسی دلایل جابری</w:t>
            </w:r>
            <w:r>
              <w:rPr>
                <w:rStyle w:val="IndexLink"/>
                <w:rtl w:val="true"/>
              </w:rPr>
              <w:tab/>
            </w:r>
            <w:r>
              <w:rPr>
                <w:rStyle w:val="IndexLink"/>
              </w:rPr>
              <w:t>43</w:t>
            </w:r>
          </w:hyperlink>
        </w:p>
        <w:p>
          <w:pPr>
            <w:pStyle w:val="Contents4"/>
            <w:tabs>
              <w:tab w:val="clear" w:pos="8176"/>
              <w:tab w:val="right" w:pos="9026" w:leader="dot"/>
            </w:tabs>
            <w:rPr/>
          </w:pPr>
          <w:hyperlink w:anchor="__RefHeading___Toc768314_1395250215">
            <w:r>
              <w:rPr>
                <w:webHidden/>
                <w:rStyle w:val="IndexLink"/>
                <w:rtl w:val="true"/>
              </w:rPr>
              <w:t>اول</w:t>
            </w:r>
            <w:r>
              <w:rPr>
                <w:rStyle w:val="IndexLink"/>
                <w:rtl w:val="true"/>
              </w:rPr>
              <w:t>:</w:t>
              <w:tab/>
            </w:r>
            <w:r>
              <w:rPr>
                <w:rStyle w:val="IndexLink"/>
              </w:rPr>
              <w:t>43</w:t>
            </w:r>
          </w:hyperlink>
        </w:p>
        <w:p>
          <w:pPr>
            <w:pStyle w:val="Contents5"/>
            <w:tabs>
              <w:tab w:val="clear" w:pos="7892"/>
              <w:tab w:val="right" w:pos="9026" w:leader="dot"/>
            </w:tabs>
            <w:rPr/>
          </w:pPr>
          <w:hyperlink w:anchor="__RefHeading___Toc768316_1395250215">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768318_1395250215">
            <w:r>
              <w:rPr>
                <w:webHidden/>
                <w:rStyle w:val="IndexLink"/>
              </w:rPr>
              <w:t>1</w:t>
            </w:r>
            <w:r>
              <w:rPr>
                <w:rStyle w:val="IndexLink"/>
                <w:rtl w:val="true"/>
              </w:rPr>
              <w:t>.</w:t>
              <w:tab/>
            </w:r>
            <w:r>
              <w:rPr>
                <w:rStyle w:val="IndexLink"/>
              </w:rPr>
              <w:t>43</w:t>
            </w:r>
          </w:hyperlink>
        </w:p>
        <w:p>
          <w:pPr>
            <w:pStyle w:val="Contents5"/>
            <w:tabs>
              <w:tab w:val="clear" w:pos="7892"/>
              <w:tab w:val="right" w:pos="9026" w:leader="dot"/>
            </w:tabs>
            <w:rPr/>
          </w:pPr>
          <w:hyperlink w:anchor="__RefHeading___Toc768320_1395250215">
            <w:r>
              <w:rPr>
                <w:webHidden/>
                <w:rStyle w:val="IndexLink"/>
              </w:rPr>
              <w:t>2</w:t>
            </w:r>
            <w:r>
              <w:rPr>
                <w:rStyle w:val="IndexLink"/>
                <w:rtl w:val="true"/>
              </w:rPr>
              <w:t>.</w:t>
              <w:tab/>
            </w:r>
            <w:r>
              <w:rPr>
                <w:rStyle w:val="IndexLink"/>
              </w:rPr>
              <w:t>45</w:t>
            </w:r>
          </w:hyperlink>
        </w:p>
        <w:p>
          <w:pPr>
            <w:pStyle w:val="Contents5"/>
            <w:tabs>
              <w:tab w:val="clear" w:pos="7892"/>
              <w:tab w:val="right" w:pos="9026" w:leader="dot"/>
            </w:tabs>
            <w:rPr/>
          </w:pPr>
          <w:hyperlink w:anchor="__RefHeading___Toc768322_1395250215">
            <w:r>
              <w:rPr>
                <w:webHidden/>
                <w:rStyle w:val="IndexLink"/>
              </w:rPr>
              <w:t>3</w:t>
            </w:r>
            <w:r>
              <w:rPr>
                <w:rStyle w:val="IndexLink"/>
                <w:rtl w:val="true"/>
              </w:rPr>
              <w:t>.</w:t>
              <w:tab/>
            </w:r>
            <w:r>
              <w:rPr>
                <w:rStyle w:val="IndexLink"/>
              </w:rPr>
              <w:t>46</w:t>
            </w:r>
          </w:hyperlink>
        </w:p>
        <w:p>
          <w:pPr>
            <w:pStyle w:val="Contents4"/>
            <w:tabs>
              <w:tab w:val="clear" w:pos="8176"/>
              <w:tab w:val="right" w:pos="9026" w:leader="dot"/>
            </w:tabs>
            <w:rPr/>
          </w:pPr>
          <w:hyperlink w:anchor="__RefHeading___Toc768324_1395250215">
            <w:r>
              <w:rPr>
                <w:webHidden/>
                <w:rStyle w:val="IndexLink"/>
                <w:rtl w:val="true"/>
              </w:rPr>
              <w:t>دوم</w:t>
            </w:r>
            <w:r>
              <w:rPr>
                <w:rStyle w:val="IndexLink"/>
                <w:rtl w:val="true"/>
              </w:rPr>
              <w:t>:</w:t>
              <w:tab/>
            </w:r>
            <w:r>
              <w:rPr>
                <w:rStyle w:val="IndexLink"/>
              </w:rPr>
              <w:t>49</w:t>
            </w:r>
          </w:hyperlink>
        </w:p>
        <w:p>
          <w:pPr>
            <w:pStyle w:val="Contents4"/>
            <w:tabs>
              <w:tab w:val="clear" w:pos="8176"/>
              <w:tab w:val="right" w:pos="9026" w:leader="dot"/>
            </w:tabs>
            <w:rPr/>
          </w:pPr>
          <w:hyperlink w:anchor="__RefHeading___Toc768326_1395250215">
            <w:r>
              <w:rPr>
                <w:webHidden/>
                <w:rStyle w:val="IndexLink"/>
                <w:rtl w:val="true"/>
              </w:rPr>
              <w:t>سوم</w:t>
            </w:r>
            <w:r>
              <w:rPr>
                <w:rStyle w:val="IndexLink"/>
                <w:rtl w:val="true"/>
              </w:rPr>
              <w:t>:</w:t>
              <w:tab/>
            </w:r>
            <w:r>
              <w:rPr>
                <w:rStyle w:val="IndexLink"/>
              </w:rPr>
              <w:t>51</w:t>
            </w:r>
          </w:hyperlink>
        </w:p>
        <w:p>
          <w:pPr>
            <w:pStyle w:val="Contents4"/>
            <w:tabs>
              <w:tab w:val="clear" w:pos="8176"/>
              <w:tab w:val="right" w:pos="9026" w:leader="dot"/>
            </w:tabs>
            <w:rPr/>
          </w:pPr>
          <w:hyperlink w:anchor="__RefHeading___Toc768328_1395250215">
            <w:r>
              <w:rPr>
                <w:webHidden/>
                <w:rStyle w:val="IndexLink"/>
                <w:rtl w:val="true"/>
              </w:rPr>
              <w:t>چهارم</w:t>
            </w:r>
            <w:r>
              <w:rPr>
                <w:rStyle w:val="IndexLink"/>
                <w:rtl w:val="true"/>
              </w:rPr>
              <w:t>:</w:t>
              <w:tab/>
            </w:r>
            <w:r>
              <w:rPr>
                <w:rStyle w:val="IndexLink"/>
              </w:rPr>
              <w:t>52</w:t>
            </w:r>
          </w:hyperlink>
        </w:p>
        <w:p>
          <w:pPr>
            <w:pStyle w:val="Contents3"/>
            <w:tabs>
              <w:tab w:val="clear" w:pos="8459"/>
              <w:tab w:val="right" w:pos="9026" w:leader="dot"/>
            </w:tabs>
            <w:rPr/>
          </w:pPr>
          <w:hyperlink w:anchor="__RefHeading___Toc768330_1395250215">
            <w:r>
              <w:rPr>
                <w:webHidden/>
                <w:rStyle w:val="IndexLink"/>
                <w:rtl w:val="true"/>
              </w:rPr>
              <w:t>نتیجه گیری</w:t>
            </w:r>
            <w:r>
              <w:rPr>
                <w:rStyle w:val="IndexLink"/>
                <w:rtl w:val="true"/>
              </w:rPr>
              <w:tab/>
            </w:r>
            <w:r>
              <w:rPr>
                <w:rStyle w:val="IndexLink"/>
              </w:rPr>
              <w:t>52</w:t>
            </w:r>
          </w:hyperlink>
        </w:p>
        <w:p>
          <w:pPr>
            <w:pStyle w:val="Contents3"/>
            <w:tabs>
              <w:tab w:val="clear" w:pos="8459"/>
              <w:tab w:val="right" w:pos="9026" w:leader="dot"/>
            </w:tabs>
            <w:rPr/>
          </w:pPr>
          <w:hyperlink w:anchor="__RefHeading___Toc768332_1395250215">
            <w:r>
              <w:rPr>
                <w:webHidden/>
                <w:rStyle w:val="IndexLink"/>
                <w:rtl w:val="true"/>
              </w:rPr>
              <w:t>منابع</w:t>
            </w:r>
            <w:r>
              <w:rPr>
                <w:rStyle w:val="IndexLink"/>
                <w:rtl w:val="true"/>
              </w:rPr>
              <w:tab/>
            </w:r>
            <w:r>
              <w:rPr>
                <w:rStyle w:val="IndexLink"/>
              </w:rPr>
              <w:t>53</w:t>
            </w:r>
          </w:hyperlink>
        </w:p>
        <w:p>
          <w:pPr>
            <w:pStyle w:val="Contents2"/>
            <w:tabs>
              <w:tab w:val="clear" w:pos="8743"/>
              <w:tab w:val="right" w:pos="9026" w:leader="dot"/>
            </w:tabs>
            <w:rPr/>
          </w:pPr>
          <w:hyperlink w:anchor="__RefHeading___Toc768334_1395250215">
            <w:r>
              <w:rPr>
                <w:webHidden/>
                <w:rStyle w:val="IndexLink"/>
                <w:rtl w:val="true"/>
              </w:rPr>
              <w:t>معنای زندگی، ضرورت و کارکرد نبوت</w:t>
            </w:r>
            <w:r>
              <w:rPr>
                <w:rStyle w:val="IndexLink"/>
                <w:rtl w:val="true"/>
              </w:rPr>
              <w:tab/>
            </w:r>
            <w:r>
              <w:rPr>
                <w:rStyle w:val="IndexLink"/>
              </w:rPr>
              <w:t>58</w:t>
            </w:r>
          </w:hyperlink>
        </w:p>
        <w:p>
          <w:pPr>
            <w:pStyle w:val="Contents3"/>
            <w:tabs>
              <w:tab w:val="clear" w:pos="8459"/>
              <w:tab w:val="right" w:pos="9026" w:leader="dot"/>
            </w:tabs>
            <w:rPr/>
          </w:pPr>
          <w:hyperlink w:anchor="__RefHeading___Toc768336_1395250215">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768338_1395250215">
            <w:r>
              <w:rPr>
                <w:webHidden/>
                <w:rStyle w:val="IndexLink"/>
                <w:rtl w:val="true"/>
              </w:rPr>
              <w:t>چکیده</w:t>
            </w:r>
            <w:r>
              <w:rPr>
                <w:rStyle w:val="IndexLink"/>
                <w:rtl w:val="true"/>
              </w:rPr>
              <w:tab/>
            </w:r>
            <w:r>
              <w:rPr>
                <w:rStyle w:val="IndexLink"/>
              </w:rPr>
              <w:t>58</w:t>
            </w:r>
          </w:hyperlink>
        </w:p>
        <w:p>
          <w:pPr>
            <w:pStyle w:val="Contents3"/>
            <w:tabs>
              <w:tab w:val="clear" w:pos="8459"/>
              <w:tab w:val="right" w:pos="9026" w:leader="dot"/>
            </w:tabs>
            <w:rPr/>
          </w:pPr>
          <w:hyperlink w:anchor="__RefHeading___Toc768340_1395250215">
            <w:r>
              <w:rPr>
                <w:webHidden/>
                <w:rStyle w:val="IndexLink"/>
                <w:rtl w:val="true"/>
              </w:rPr>
              <w:t>واژگان کلیدی</w:t>
            </w:r>
            <w:r>
              <w:rPr>
                <w:rStyle w:val="IndexLink"/>
                <w:rtl w:val="true"/>
              </w:rPr>
              <w:tab/>
            </w:r>
            <w:r>
              <w:rPr>
                <w:rStyle w:val="IndexLink"/>
              </w:rPr>
              <w:t>58</w:t>
            </w:r>
          </w:hyperlink>
        </w:p>
        <w:p>
          <w:pPr>
            <w:pStyle w:val="Contents3"/>
            <w:tabs>
              <w:tab w:val="clear" w:pos="8459"/>
              <w:tab w:val="right" w:pos="9026" w:leader="dot"/>
            </w:tabs>
            <w:rPr/>
          </w:pPr>
          <w:hyperlink w:anchor="__RefHeading___Toc768342_1395250215">
            <w:r>
              <w:rPr>
                <w:webHidden/>
                <w:rStyle w:val="IndexLink"/>
                <w:rtl w:val="true"/>
              </w:rPr>
              <w:t>مقدمه</w:t>
            </w:r>
            <w:r>
              <w:rPr>
                <w:rStyle w:val="IndexLink"/>
                <w:rtl w:val="true"/>
              </w:rPr>
              <w:tab/>
            </w:r>
            <w:r>
              <w:rPr>
                <w:rStyle w:val="IndexLink"/>
              </w:rPr>
              <w:t>59</w:t>
            </w:r>
          </w:hyperlink>
        </w:p>
        <w:p>
          <w:pPr>
            <w:pStyle w:val="Contents3"/>
            <w:tabs>
              <w:tab w:val="clear" w:pos="8459"/>
              <w:tab w:val="right" w:pos="9026" w:leader="dot"/>
            </w:tabs>
            <w:rPr/>
          </w:pPr>
          <w:hyperlink w:anchor="__RefHeading___Toc768344_1395250215">
            <w:r>
              <w:rPr>
                <w:webHidden/>
                <w:rStyle w:val="IndexLink"/>
                <w:rtl w:val="true"/>
              </w:rPr>
              <w:t>نبی و قلمرو او</w:t>
            </w:r>
            <w:r>
              <w:rPr>
                <w:rStyle w:val="IndexLink"/>
                <w:rtl w:val="true"/>
              </w:rPr>
              <w:tab/>
            </w:r>
            <w:r>
              <w:rPr>
                <w:rStyle w:val="IndexLink"/>
              </w:rPr>
              <w:t>59</w:t>
            </w:r>
          </w:hyperlink>
        </w:p>
        <w:p>
          <w:pPr>
            <w:pStyle w:val="Contents3"/>
            <w:tabs>
              <w:tab w:val="clear" w:pos="8459"/>
              <w:tab w:val="right" w:pos="9026" w:leader="dot"/>
            </w:tabs>
            <w:rPr/>
          </w:pPr>
          <w:hyperlink w:anchor="__RefHeading___Toc768346_1395250215">
            <w:r>
              <w:rPr>
                <w:webHidden/>
                <w:rStyle w:val="IndexLink"/>
                <w:rtl w:val="true"/>
              </w:rPr>
              <w:t>ضرورت و نیاز به دین و معنای زندگی</w:t>
            </w:r>
            <w:r>
              <w:rPr>
                <w:rStyle w:val="IndexLink"/>
                <w:rtl w:val="true"/>
              </w:rPr>
              <w:tab/>
            </w:r>
            <w:r>
              <w:rPr>
                <w:rStyle w:val="IndexLink"/>
              </w:rPr>
              <w:t>61</w:t>
            </w:r>
          </w:hyperlink>
        </w:p>
        <w:p>
          <w:pPr>
            <w:pStyle w:val="Contents3"/>
            <w:tabs>
              <w:tab w:val="clear" w:pos="8459"/>
              <w:tab w:val="right" w:pos="9026" w:leader="dot"/>
            </w:tabs>
            <w:rPr/>
          </w:pPr>
          <w:hyperlink w:anchor="__RefHeading___Toc768348_1395250215">
            <w:r>
              <w:rPr>
                <w:webHidden/>
                <w:rStyle w:val="IndexLink"/>
                <w:rtl w:val="true"/>
              </w:rPr>
              <w:t>رهیافت عرفانی</w:t>
            </w:r>
            <w:r>
              <w:rPr>
                <w:rStyle w:val="IndexLink"/>
                <w:rtl w:val="true"/>
              </w:rPr>
              <w:tab/>
            </w:r>
            <w:r>
              <w:rPr>
                <w:rStyle w:val="IndexLink"/>
              </w:rPr>
              <w:t>62</w:t>
            </w:r>
          </w:hyperlink>
        </w:p>
        <w:p>
          <w:pPr>
            <w:pStyle w:val="Contents3"/>
            <w:tabs>
              <w:tab w:val="clear" w:pos="8459"/>
              <w:tab w:val="right" w:pos="9026" w:leader="dot"/>
            </w:tabs>
            <w:rPr/>
          </w:pPr>
          <w:hyperlink w:anchor="__RefHeading___Toc768350_1395250215">
            <w:r>
              <w:rPr>
                <w:webHidden/>
                <w:rStyle w:val="IndexLink"/>
                <w:rtl w:val="true"/>
              </w:rPr>
              <w:t>رهیافت روان‌شناسانۀ ضرورت نبوت</w:t>
            </w:r>
            <w:r>
              <w:rPr>
                <w:rStyle w:val="IndexLink"/>
                <w:rtl w:val="true"/>
              </w:rPr>
              <w:tab/>
            </w:r>
            <w:r>
              <w:rPr>
                <w:rStyle w:val="IndexLink"/>
              </w:rPr>
              <w:t>63</w:t>
            </w:r>
          </w:hyperlink>
        </w:p>
        <w:p>
          <w:pPr>
            <w:pStyle w:val="Contents3"/>
            <w:tabs>
              <w:tab w:val="clear" w:pos="8459"/>
              <w:tab w:val="right" w:pos="9026" w:leader="dot"/>
            </w:tabs>
            <w:rPr/>
          </w:pPr>
          <w:hyperlink w:anchor="__RefHeading___Toc768352_1395250215">
            <w:r>
              <w:rPr>
                <w:webHidden/>
                <w:rStyle w:val="IndexLink"/>
                <w:rtl w:val="true"/>
              </w:rPr>
              <w:t>رهیافت اجتماعی</w:t>
            </w:r>
            <w:r>
              <w:rPr>
                <w:rStyle w:val="IndexLink"/>
                <w:rtl w:val="true"/>
              </w:rPr>
              <w:tab/>
            </w:r>
            <w:r>
              <w:rPr>
                <w:rStyle w:val="IndexLink"/>
              </w:rPr>
              <w:t>65</w:t>
            </w:r>
          </w:hyperlink>
        </w:p>
        <w:p>
          <w:pPr>
            <w:pStyle w:val="Contents3"/>
            <w:tabs>
              <w:tab w:val="clear" w:pos="8459"/>
              <w:tab w:val="right" w:pos="9026" w:leader="dot"/>
            </w:tabs>
            <w:rPr/>
          </w:pPr>
          <w:hyperlink w:anchor="__RefHeading___Toc768354_1395250215">
            <w:r>
              <w:rPr>
                <w:webHidden/>
                <w:rStyle w:val="IndexLink"/>
                <w:rtl w:val="true"/>
              </w:rPr>
              <w:t>رهیافت واقعیت تاریخی</w:t>
            </w:r>
            <w:r>
              <w:rPr>
                <w:rStyle w:val="IndexLink"/>
                <w:rtl w:val="true"/>
              </w:rPr>
              <w:tab/>
            </w:r>
            <w:r>
              <w:rPr>
                <w:rStyle w:val="IndexLink"/>
              </w:rPr>
              <w:t>67</w:t>
            </w:r>
          </w:hyperlink>
        </w:p>
        <w:p>
          <w:pPr>
            <w:pStyle w:val="Contents3"/>
            <w:tabs>
              <w:tab w:val="clear" w:pos="8459"/>
              <w:tab w:val="right" w:pos="9026" w:leader="dot"/>
            </w:tabs>
            <w:rPr/>
          </w:pPr>
          <w:hyperlink w:anchor="__RefHeading___Toc768356_1395250215">
            <w:r>
              <w:rPr>
                <w:webHidden/>
                <w:rStyle w:val="IndexLink"/>
                <w:rtl w:val="true"/>
              </w:rPr>
              <w:t>کارکرد نبوت و معنای زندگی</w:t>
            </w:r>
            <w:r>
              <w:rPr>
                <w:rStyle w:val="IndexLink"/>
                <w:rtl w:val="true"/>
              </w:rPr>
              <w:tab/>
            </w:r>
            <w:r>
              <w:rPr>
                <w:rStyle w:val="IndexLink"/>
              </w:rPr>
              <w:t>68</w:t>
            </w:r>
          </w:hyperlink>
        </w:p>
        <w:p>
          <w:pPr>
            <w:pStyle w:val="Contents4"/>
            <w:tabs>
              <w:tab w:val="clear" w:pos="8176"/>
              <w:tab w:val="right" w:pos="9026" w:leader="dot"/>
            </w:tabs>
            <w:rPr/>
          </w:pPr>
          <w:hyperlink w:anchor="__RefHeading___Toc768358_1395250215">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768360_1395250215">
            <w:r>
              <w:rPr>
                <w:webHidden/>
                <w:rStyle w:val="IndexLink"/>
                <w:rtl w:val="true"/>
              </w:rPr>
              <w:t>الف</w:t>
            </w:r>
            <w:r>
              <w:rPr>
                <w:rStyle w:val="IndexLink"/>
                <w:rtl w:val="true"/>
              </w:rPr>
              <w:t xml:space="preserve">) </w:t>
            </w:r>
            <w:r>
              <w:rPr>
                <w:rStyle w:val="IndexLink"/>
                <w:rtl w:val="true"/>
              </w:rPr>
              <w:t>معرفت زایی</w:t>
            </w:r>
            <w:r>
              <w:rPr>
                <w:rStyle w:val="IndexLink"/>
                <w:rtl w:val="true"/>
              </w:rPr>
              <w:tab/>
            </w:r>
            <w:r>
              <w:rPr>
                <w:rStyle w:val="IndexLink"/>
              </w:rPr>
              <w:t>68</w:t>
            </w:r>
          </w:hyperlink>
        </w:p>
        <w:p>
          <w:pPr>
            <w:pStyle w:val="Contents4"/>
            <w:tabs>
              <w:tab w:val="clear" w:pos="8176"/>
              <w:tab w:val="right" w:pos="9026" w:leader="dot"/>
            </w:tabs>
            <w:rPr/>
          </w:pPr>
          <w:hyperlink w:anchor="__RefHeading___Toc768362_1395250215">
            <w:r>
              <w:rPr>
                <w:webHidden/>
                <w:rStyle w:val="IndexLink"/>
                <w:rtl w:val="true"/>
              </w:rPr>
              <w:t>ب</w:t>
            </w:r>
            <w:r>
              <w:rPr>
                <w:rStyle w:val="IndexLink"/>
                <w:rtl w:val="true"/>
              </w:rPr>
              <w:t xml:space="preserve">) </w:t>
            </w:r>
            <w:r>
              <w:rPr>
                <w:rStyle w:val="IndexLink"/>
                <w:rtl w:val="true"/>
              </w:rPr>
              <w:t>بهداشت روان</w:t>
            </w:r>
            <w:r>
              <w:rPr>
                <w:rStyle w:val="IndexLink"/>
                <w:rtl w:val="true"/>
              </w:rPr>
              <w:tab/>
            </w:r>
            <w:r>
              <w:rPr>
                <w:rStyle w:val="IndexLink"/>
              </w:rPr>
              <w:t>68</w:t>
            </w:r>
          </w:hyperlink>
        </w:p>
        <w:p>
          <w:pPr>
            <w:pStyle w:val="Contents3"/>
            <w:tabs>
              <w:tab w:val="clear" w:pos="8459"/>
              <w:tab w:val="right" w:pos="9026" w:leader="dot"/>
            </w:tabs>
            <w:rPr/>
          </w:pPr>
          <w:hyperlink w:anchor="__RefHeading___Toc768364_1395250215">
            <w:r>
              <w:rPr>
                <w:webHidden/>
                <w:rStyle w:val="IndexLink"/>
                <w:rtl w:val="true"/>
              </w:rPr>
              <w:t>جمع بندی</w:t>
            </w:r>
            <w:r>
              <w:rPr>
                <w:rStyle w:val="IndexLink"/>
                <w:rtl w:val="true"/>
              </w:rPr>
              <w:tab/>
            </w:r>
            <w:r>
              <w:rPr>
                <w:rStyle w:val="IndexLink"/>
              </w:rPr>
              <w:t>71</w:t>
            </w:r>
          </w:hyperlink>
        </w:p>
        <w:p>
          <w:pPr>
            <w:pStyle w:val="Contents3"/>
            <w:tabs>
              <w:tab w:val="clear" w:pos="8459"/>
              <w:tab w:val="right" w:pos="9026" w:leader="dot"/>
            </w:tabs>
            <w:rPr/>
          </w:pPr>
          <w:hyperlink w:anchor="__RefHeading___Toc768366_1395250215">
            <w:r>
              <w:rPr>
                <w:webHidden/>
                <w:rStyle w:val="IndexLink"/>
                <w:rtl w:val="true"/>
              </w:rPr>
              <w:t>منابع</w:t>
            </w:r>
            <w:r>
              <w:rPr>
                <w:rStyle w:val="IndexLink"/>
                <w:rtl w:val="true"/>
              </w:rPr>
              <w:tab/>
            </w:r>
            <w:r>
              <w:rPr>
                <w:rStyle w:val="IndexLink"/>
              </w:rPr>
              <w:t>71</w:t>
            </w:r>
          </w:hyperlink>
        </w:p>
        <w:p>
          <w:pPr>
            <w:pStyle w:val="Contents2"/>
            <w:tabs>
              <w:tab w:val="clear" w:pos="8743"/>
              <w:tab w:val="right" w:pos="9026" w:leader="dot"/>
            </w:tabs>
            <w:rPr/>
          </w:pPr>
          <w:hyperlink w:anchor="__RefHeading___Toc768368_1395250215">
            <w:r>
              <w:rPr>
                <w:webHidden/>
                <w:rStyle w:val="IndexLink"/>
                <w:rtl w:val="true"/>
              </w:rPr>
              <w:t xml:space="preserve">کاربستِ </w:t>
            </w:r>
            <w:r>
              <w:rPr>
                <w:rStyle w:val="IndexLink"/>
                <w:rtl w:val="true"/>
              </w:rPr>
              <w:t>«</w:t>
            </w:r>
            <w:r>
              <w:rPr>
                <w:rStyle w:val="IndexLink"/>
                <w:rtl w:val="true"/>
              </w:rPr>
              <w:t>رسول</w:t>
            </w:r>
            <w:r>
              <w:rPr>
                <w:rStyle w:val="IndexLink"/>
                <w:rtl w:val="true"/>
              </w:rPr>
              <w:t xml:space="preserve">» </w:t>
            </w:r>
            <w:r>
              <w:rPr>
                <w:rStyle w:val="IndexLink"/>
                <w:rtl w:val="true"/>
              </w:rPr>
              <w:t xml:space="preserve">و </w:t>
            </w:r>
            <w:r>
              <w:rPr>
                <w:rStyle w:val="IndexLink"/>
                <w:rtl w:val="true"/>
              </w:rPr>
              <w:t>«</w:t>
            </w:r>
            <w:r>
              <w:rPr>
                <w:rStyle w:val="IndexLink"/>
                <w:rtl w:val="true"/>
              </w:rPr>
              <w:t>نبی</w:t>
            </w:r>
            <w:r>
              <w:rPr>
                <w:rStyle w:val="IndexLink"/>
                <w:rtl w:val="true"/>
              </w:rPr>
              <w:t xml:space="preserve">» </w:t>
            </w:r>
            <w:r>
              <w:rPr>
                <w:rStyle w:val="IndexLink"/>
                <w:rtl w:val="true"/>
              </w:rPr>
              <w:t>در عقاید اسلامی</w:t>
            </w:r>
            <w:r>
              <w:rPr>
                <w:rStyle w:val="IndexLink"/>
                <w:rtl w:val="true"/>
              </w:rPr>
              <w:tab/>
            </w:r>
            <w:r>
              <w:rPr>
                <w:rStyle w:val="IndexLink"/>
              </w:rPr>
              <w:t>75</w:t>
            </w:r>
          </w:hyperlink>
        </w:p>
        <w:p>
          <w:pPr>
            <w:pStyle w:val="Contents3"/>
            <w:tabs>
              <w:tab w:val="clear" w:pos="8459"/>
              <w:tab w:val="right" w:pos="9026" w:leader="dot"/>
            </w:tabs>
            <w:rPr/>
          </w:pPr>
          <w:hyperlink w:anchor="__RefHeading___Toc768370_1395250215">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768372_1395250215">
            <w:r>
              <w:rPr>
                <w:webHidden/>
                <w:rStyle w:val="IndexLink"/>
                <w:rtl w:val="true"/>
              </w:rPr>
              <w:t>چکیده</w:t>
            </w:r>
            <w:r>
              <w:rPr>
                <w:rStyle w:val="IndexLink"/>
                <w:rtl w:val="true"/>
              </w:rPr>
              <w:tab/>
            </w:r>
            <w:r>
              <w:rPr>
                <w:rStyle w:val="IndexLink"/>
              </w:rPr>
              <w:t>75</w:t>
            </w:r>
          </w:hyperlink>
        </w:p>
        <w:p>
          <w:pPr>
            <w:pStyle w:val="Contents3"/>
            <w:tabs>
              <w:tab w:val="clear" w:pos="8459"/>
              <w:tab w:val="right" w:pos="9026" w:leader="dot"/>
            </w:tabs>
            <w:rPr/>
          </w:pPr>
          <w:hyperlink w:anchor="__RefHeading___Toc768374_1395250215">
            <w:r>
              <w:rPr>
                <w:webHidden/>
                <w:rStyle w:val="IndexLink"/>
                <w:rtl w:val="true"/>
              </w:rPr>
              <w:t>واژگان کلیدی</w:t>
            </w:r>
            <w:r>
              <w:rPr>
                <w:rStyle w:val="IndexLink"/>
                <w:rtl w:val="true"/>
              </w:rPr>
              <w:tab/>
            </w:r>
            <w:r>
              <w:rPr>
                <w:rStyle w:val="IndexLink"/>
              </w:rPr>
              <w:t>75</w:t>
            </w:r>
          </w:hyperlink>
        </w:p>
        <w:p>
          <w:pPr>
            <w:pStyle w:val="Contents3"/>
            <w:tabs>
              <w:tab w:val="clear" w:pos="8459"/>
              <w:tab w:val="right" w:pos="9026" w:leader="dot"/>
            </w:tabs>
            <w:rPr/>
          </w:pPr>
          <w:hyperlink w:anchor="__RefHeading___Toc768376_1395250215">
            <w:r>
              <w:rPr>
                <w:webHidden/>
                <w:rStyle w:val="IndexLink"/>
                <w:rtl w:val="true"/>
              </w:rPr>
              <w:t>مقدمه</w:t>
            </w:r>
            <w:r>
              <w:rPr>
                <w:rStyle w:val="IndexLink"/>
                <w:rtl w:val="true"/>
              </w:rPr>
              <w:tab/>
            </w:r>
            <w:r>
              <w:rPr>
                <w:rStyle w:val="IndexLink"/>
              </w:rPr>
              <w:t>76</w:t>
            </w:r>
          </w:hyperlink>
        </w:p>
        <w:p>
          <w:pPr>
            <w:pStyle w:val="Contents3"/>
            <w:tabs>
              <w:tab w:val="clear" w:pos="8459"/>
              <w:tab w:val="right" w:pos="9026" w:leader="dot"/>
            </w:tabs>
            <w:rPr/>
          </w:pPr>
          <w:hyperlink w:anchor="__RefHeading___Toc768378_1395250215">
            <w:r>
              <w:rPr>
                <w:webHidden/>
                <w:rStyle w:val="IndexLink"/>
                <w:rtl w:val="true"/>
              </w:rPr>
              <w:t xml:space="preserve">معناشناسی واژۀ </w:t>
            </w:r>
            <w:r>
              <w:rPr>
                <w:rStyle w:val="IndexLink"/>
                <w:rtl w:val="true"/>
              </w:rPr>
              <w:t>«</w:t>
            </w:r>
            <w:r>
              <w:rPr>
                <w:rStyle w:val="IndexLink"/>
                <w:rtl w:val="true"/>
              </w:rPr>
              <w:t>رسول</w:t>
            </w:r>
            <w:r>
              <w:rPr>
                <w:rStyle w:val="IndexLink"/>
                <w:rtl w:val="true"/>
              </w:rPr>
              <w:t>»</w:t>
              <w:tab/>
            </w:r>
            <w:r>
              <w:rPr>
                <w:rStyle w:val="IndexLink"/>
              </w:rPr>
              <w:t>76</w:t>
            </w:r>
          </w:hyperlink>
        </w:p>
        <w:p>
          <w:pPr>
            <w:pStyle w:val="Contents3"/>
            <w:tabs>
              <w:tab w:val="clear" w:pos="8459"/>
              <w:tab w:val="right" w:pos="9026" w:leader="dot"/>
            </w:tabs>
            <w:rPr/>
          </w:pPr>
          <w:hyperlink w:anchor="__RefHeading___Toc768380_1395250215">
            <w:r>
              <w:rPr>
                <w:webHidden/>
                <w:rStyle w:val="IndexLink"/>
                <w:rtl w:val="true"/>
              </w:rPr>
              <w:t xml:space="preserve">معناشناسی واژة </w:t>
            </w:r>
            <w:r>
              <w:rPr>
                <w:rStyle w:val="IndexLink"/>
                <w:rtl w:val="true"/>
              </w:rPr>
              <w:t>«</w:t>
            </w:r>
            <w:r>
              <w:rPr>
                <w:rStyle w:val="IndexLink"/>
                <w:rtl w:val="true"/>
              </w:rPr>
              <w:t>نبی</w:t>
            </w:r>
            <w:r>
              <w:rPr>
                <w:rStyle w:val="IndexLink"/>
                <w:rtl w:val="true"/>
              </w:rPr>
              <w:t>»</w:t>
              <w:tab/>
            </w:r>
            <w:r>
              <w:rPr>
                <w:rStyle w:val="IndexLink"/>
              </w:rPr>
              <w:t>77</w:t>
            </w:r>
          </w:hyperlink>
        </w:p>
        <w:p>
          <w:pPr>
            <w:pStyle w:val="Contents3"/>
            <w:tabs>
              <w:tab w:val="clear" w:pos="8459"/>
              <w:tab w:val="right" w:pos="9026" w:leader="dot"/>
            </w:tabs>
            <w:rPr/>
          </w:pPr>
          <w:hyperlink w:anchor="__RefHeading___Toc768382_1395250215">
            <w:r>
              <w:rPr>
                <w:webHidden/>
                <w:rStyle w:val="IndexLink"/>
                <w:rtl w:val="true"/>
              </w:rPr>
              <w:t xml:space="preserve">دیدگاه‌ها دربارۀ تفاوت‌های </w:t>
            </w:r>
            <w:r>
              <w:rPr>
                <w:rStyle w:val="IndexLink"/>
                <w:rtl w:val="true"/>
              </w:rPr>
              <w:t>«</w:t>
            </w:r>
            <w:r>
              <w:rPr>
                <w:rStyle w:val="IndexLink"/>
                <w:rtl w:val="true"/>
              </w:rPr>
              <w:t>رسول</w:t>
            </w:r>
            <w:r>
              <w:rPr>
                <w:rStyle w:val="IndexLink"/>
                <w:rtl w:val="true"/>
              </w:rPr>
              <w:t xml:space="preserve">» </w:t>
            </w:r>
            <w:r>
              <w:rPr>
                <w:rStyle w:val="IndexLink"/>
                <w:rtl w:val="true"/>
              </w:rPr>
              <w:t xml:space="preserve">و </w:t>
            </w:r>
            <w:r>
              <w:rPr>
                <w:rStyle w:val="IndexLink"/>
                <w:rtl w:val="true"/>
              </w:rPr>
              <w:t>«</w:t>
            </w:r>
            <w:r>
              <w:rPr>
                <w:rStyle w:val="IndexLink"/>
                <w:rtl w:val="true"/>
              </w:rPr>
              <w:t>نبی</w:t>
            </w:r>
            <w:r>
              <w:rPr>
                <w:rStyle w:val="IndexLink"/>
                <w:rtl w:val="true"/>
              </w:rPr>
              <w:t>»</w:t>
              <w:tab/>
            </w:r>
            <w:r>
              <w:rPr>
                <w:rStyle w:val="IndexLink"/>
              </w:rPr>
              <w:t>78</w:t>
            </w:r>
          </w:hyperlink>
        </w:p>
        <w:p>
          <w:pPr>
            <w:pStyle w:val="Contents4"/>
            <w:tabs>
              <w:tab w:val="clear" w:pos="8176"/>
              <w:tab w:val="right" w:pos="9026" w:leader="dot"/>
            </w:tabs>
            <w:rPr/>
          </w:pPr>
          <w:hyperlink w:anchor="__RefHeading___Toc768384_1395250215">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768386_1395250215">
            <w:r>
              <w:rPr>
                <w:webHidden/>
                <w:rStyle w:val="IndexLink"/>
                <w:rtl w:val="true"/>
              </w:rPr>
              <w:t>یکم</w:t>
            </w:r>
            <w:r>
              <w:rPr>
                <w:rStyle w:val="IndexLink"/>
                <w:rtl w:val="true"/>
              </w:rPr>
              <w:t xml:space="preserve">: </w:t>
            </w:r>
            <w:r>
              <w:rPr>
                <w:rStyle w:val="IndexLink"/>
                <w:rtl w:val="true"/>
              </w:rPr>
              <w:t xml:space="preserve">یک‌سان‌انگاری </w:t>
            </w:r>
            <w:r>
              <w:rPr>
                <w:rStyle w:val="IndexLink"/>
                <w:rtl w:val="true"/>
              </w:rPr>
              <w:t>«</w:t>
            </w:r>
            <w:r>
              <w:rPr>
                <w:rStyle w:val="IndexLink"/>
                <w:rtl w:val="true"/>
              </w:rPr>
              <w:t>رسول</w:t>
            </w:r>
            <w:r>
              <w:rPr>
                <w:rStyle w:val="IndexLink"/>
                <w:rtl w:val="true"/>
              </w:rPr>
              <w:t xml:space="preserve">» </w:t>
            </w:r>
            <w:r>
              <w:rPr>
                <w:rStyle w:val="IndexLink"/>
                <w:rtl w:val="true"/>
              </w:rPr>
              <w:t xml:space="preserve">و </w:t>
            </w:r>
            <w:r>
              <w:rPr>
                <w:rStyle w:val="IndexLink"/>
                <w:rtl w:val="true"/>
              </w:rPr>
              <w:t>«</w:t>
            </w:r>
            <w:r>
              <w:rPr>
                <w:rStyle w:val="IndexLink"/>
                <w:rtl w:val="true"/>
              </w:rPr>
              <w:t>نبی</w:t>
            </w:r>
            <w:r>
              <w:rPr>
                <w:rStyle w:val="IndexLink"/>
                <w:rtl w:val="true"/>
              </w:rPr>
              <w:t>»</w:t>
              <w:tab/>
            </w:r>
            <w:r>
              <w:rPr>
                <w:rStyle w:val="IndexLink"/>
              </w:rPr>
              <w:t>79</w:t>
            </w:r>
          </w:hyperlink>
        </w:p>
        <w:p>
          <w:pPr>
            <w:pStyle w:val="Contents5"/>
            <w:tabs>
              <w:tab w:val="clear" w:pos="7892"/>
              <w:tab w:val="right" w:pos="9026" w:leader="dot"/>
            </w:tabs>
            <w:rPr/>
          </w:pPr>
          <w:hyperlink w:anchor="__RefHeading___Toc768388_1395250215">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768390_1395250215">
            <w:r>
              <w:rPr>
                <w:webHidden/>
                <w:rStyle w:val="IndexLink"/>
                <w:rtl w:val="true"/>
              </w:rPr>
              <w:t>بررسی و تحلیل این قول</w:t>
            </w:r>
            <w:r>
              <w:rPr>
                <w:rStyle w:val="IndexLink"/>
                <w:rtl w:val="true"/>
              </w:rPr>
              <w:tab/>
            </w:r>
            <w:r>
              <w:rPr>
                <w:rStyle w:val="IndexLink"/>
              </w:rPr>
              <w:t>83</w:t>
            </w:r>
          </w:hyperlink>
        </w:p>
        <w:p>
          <w:pPr>
            <w:pStyle w:val="Contents4"/>
            <w:tabs>
              <w:tab w:val="clear" w:pos="8176"/>
              <w:tab w:val="right" w:pos="9026" w:leader="dot"/>
            </w:tabs>
            <w:rPr/>
          </w:pPr>
          <w:hyperlink w:anchor="__RefHeading___Toc768392_1395250215">
            <w:r>
              <w:rPr>
                <w:webHidden/>
                <w:rStyle w:val="IndexLink"/>
                <w:rtl w:val="true"/>
              </w:rPr>
              <w:t>دوم</w:t>
            </w:r>
            <w:r>
              <w:rPr>
                <w:rStyle w:val="IndexLink"/>
                <w:rtl w:val="true"/>
              </w:rPr>
              <w:t xml:space="preserve">: </w:t>
            </w:r>
            <w:r>
              <w:rPr>
                <w:rStyle w:val="IndexLink"/>
                <w:rtl w:val="true"/>
              </w:rPr>
              <w:t>مصداق‌یابی این دو مفهوم در روایات ائمه</w:t>
            </w:r>
            <w:r>
              <w:rPr>
                <w:rStyle w:val="IndexLink"/>
              </w:rPr>
              <w:t></w:t>
            </w:r>
            <w:r>
              <w:rPr>
                <w:rStyle w:val="IndexLink"/>
                <w:rtl w:val="true"/>
              </w:rPr>
              <w:tab/>
            </w:r>
            <w:r>
              <w:rPr>
                <w:rStyle w:val="IndexLink"/>
              </w:rPr>
              <w:t>83</w:t>
            </w:r>
          </w:hyperlink>
        </w:p>
        <w:p>
          <w:pPr>
            <w:pStyle w:val="Contents4"/>
            <w:tabs>
              <w:tab w:val="clear" w:pos="8176"/>
              <w:tab w:val="right" w:pos="9026" w:leader="dot"/>
            </w:tabs>
            <w:rPr/>
          </w:pPr>
          <w:hyperlink w:anchor="__RefHeading___Toc768394_1395250215">
            <w:r>
              <w:rPr>
                <w:webHidden/>
                <w:rStyle w:val="IndexLink"/>
                <w:rtl w:val="true"/>
              </w:rPr>
              <w:t>سوم</w:t>
            </w:r>
            <w:r>
              <w:rPr>
                <w:rStyle w:val="IndexLink"/>
                <w:rtl w:val="true"/>
              </w:rPr>
              <w:t xml:space="preserve">: </w:t>
            </w:r>
            <w:r>
              <w:rPr>
                <w:rStyle w:val="IndexLink"/>
                <w:rtl w:val="true"/>
              </w:rPr>
              <w:t>قول مشهور و طرف‌داران آن</w:t>
            </w:r>
            <w:r>
              <w:rPr>
                <w:rStyle w:val="IndexLink"/>
                <w:rtl w:val="true"/>
              </w:rPr>
              <w:tab/>
            </w:r>
            <w:r>
              <w:rPr>
                <w:rStyle w:val="IndexLink"/>
              </w:rPr>
              <w:t>88</w:t>
            </w:r>
          </w:hyperlink>
        </w:p>
        <w:p>
          <w:pPr>
            <w:pStyle w:val="Contents5"/>
            <w:tabs>
              <w:tab w:val="clear" w:pos="7892"/>
              <w:tab w:val="right" w:pos="9026" w:leader="dot"/>
            </w:tabs>
            <w:rPr/>
          </w:pPr>
          <w:hyperlink w:anchor="__RefHeading___Toc768396_1395250215">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768398_1395250215">
            <w:r>
              <w:rPr>
                <w:webHidden/>
                <w:rStyle w:val="IndexLink"/>
                <w:rtl w:val="true"/>
              </w:rPr>
              <w:t>تحلیل این قول</w:t>
            </w:r>
            <w:r>
              <w:rPr>
                <w:rStyle w:val="IndexLink"/>
                <w:rtl w:val="true"/>
              </w:rPr>
              <w:tab/>
            </w:r>
            <w:r>
              <w:rPr>
                <w:rStyle w:val="IndexLink"/>
              </w:rPr>
              <w:t>89</w:t>
            </w:r>
          </w:hyperlink>
        </w:p>
        <w:p>
          <w:pPr>
            <w:pStyle w:val="Contents4"/>
            <w:tabs>
              <w:tab w:val="clear" w:pos="8176"/>
              <w:tab w:val="right" w:pos="9026" w:leader="dot"/>
            </w:tabs>
            <w:rPr/>
          </w:pPr>
          <w:hyperlink w:anchor="__RefHeading___Toc768400_1395250215">
            <w:r>
              <w:rPr>
                <w:webHidden/>
                <w:rStyle w:val="IndexLink"/>
                <w:rtl w:val="true"/>
              </w:rPr>
              <w:t>چهارم</w:t>
            </w:r>
            <w:r>
              <w:rPr>
                <w:rStyle w:val="IndexLink"/>
                <w:rtl w:val="true"/>
              </w:rPr>
              <w:t xml:space="preserve">: </w:t>
            </w:r>
            <w:r>
              <w:rPr>
                <w:rStyle w:val="IndexLink"/>
                <w:rtl w:val="true"/>
              </w:rPr>
              <w:t>تفاوت‌گذاری بر اساس اتمام حجت</w:t>
            </w:r>
            <w:r>
              <w:rPr>
                <w:rStyle w:val="IndexLink"/>
                <w:rtl w:val="true"/>
              </w:rPr>
              <w:tab/>
            </w:r>
            <w:r>
              <w:rPr>
                <w:rStyle w:val="IndexLink"/>
              </w:rPr>
              <w:t>91</w:t>
            </w:r>
          </w:hyperlink>
        </w:p>
        <w:p>
          <w:pPr>
            <w:pStyle w:val="Contents5"/>
            <w:tabs>
              <w:tab w:val="clear" w:pos="7892"/>
              <w:tab w:val="right" w:pos="9026" w:leader="dot"/>
            </w:tabs>
            <w:rPr/>
          </w:pPr>
          <w:hyperlink w:anchor="__RefHeading___Toc768402_1395250215">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768404_1395250215">
            <w:r>
              <w:rPr>
                <w:webHidden/>
                <w:rStyle w:val="IndexLink"/>
                <w:rtl w:val="true"/>
              </w:rPr>
              <w:t>برسی این نظریه</w:t>
            </w:r>
            <w:r>
              <w:rPr>
                <w:rStyle w:val="IndexLink"/>
                <w:rtl w:val="true"/>
              </w:rPr>
              <w:tab/>
            </w:r>
            <w:r>
              <w:rPr>
                <w:rStyle w:val="IndexLink"/>
              </w:rPr>
              <w:t>92</w:t>
            </w:r>
          </w:hyperlink>
        </w:p>
        <w:p>
          <w:pPr>
            <w:pStyle w:val="Contents3"/>
            <w:tabs>
              <w:tab w:val="clear" w:pos="8459"/>
              <w:tab w:val="right" w:pos="9026" w:leader="dot"/>
            </w:tabs>
            <w:rPr/>
          </w:pPr>
          <w:hyperlink w:anchor="__RefHeading___Toc768406_1395250215">
            <w:r>
              <w:rPr>
                <w:webHidden/>
                <w:rStyle w:val="IndexLink"/>
                <w:rtl w:val="true"/>
              </w:rPr>
              <w:t>نتیجه گیری</w:t>
            </w:r>
            <w:r>
              <w:rPr>
                <w:rStyle w:val="IndexLink"/>
                <w:rtl w:val="true"/>
              </w:rPr>
              <w:tab/>
            </w:r>
            <w:r>
              <w:rPr>
                <w:rStyle w:val="IndexLink"/>
              </w:rPr>
              <w:t>93</w:t>
            </w:r>
          </w:hyperlink>
        </w:p>
        <w:p>
          <w:pPr>
            <w:pStyle w:val="Contents3"/>
            <w:tabs>
              <w:tab w:val="clear" w:pos="8459"/>
              <w:tab w:val="right" w:pos="9026" w:leader="dot"/>
            </w:tabs>
            <w:rPr/>
          </w:pPr>
          <w:hyperlink w:anchor="__RefHeading___Toc768408_1395250215">
            <w:r>
              <w:rPr>
                <w:webHidden/>
                <w:rStyle w:val="IndexLink"/>
                <w:rtl w:val="true"/>
              </w:rPr>
              <w:t>منابع</w:t>
            </w:r>
            <w:r>
              <w:rPr>
                <w:rStyle w:val="IndexLink"/>
                <w:rtl w:val="true"/>
              </w:rPr>
              <w:tab/>
            </w:r>
            <w:r>
              <w:rPr>
                <w:rStyle w:val="IndexLink"/>
              </w:rPr>
              <w:t>94</w:t>
            </w:r>
          </w:hyperlink>
        </w:p>
        <w:p>
          <w:pPr>
            <w:pStyle w:val="Contents2"/>
            <w:tabs>
              <w:tab w:val="clear" w:pos="8743"/>
              <w:tab w:val="right" w:pos="9026" w:leader="dot"/>
            </w:tabs>
            <w:rPr/>
          </w:pPr>
          <w:hyperlink w:anchor="__RefHeading___Toc768410_1395250215">
            <w:r>
              <w:rPr>
                <w:webHidden/>
                <w:rStyle w:val="IndexLink"/>
                <w:rtl w:val="true"/>
              </w:rPr>
              <w:t>مؤلفه‌های بنیادین امامت در نامه‌های معصومان؛ از امام علی</w:t>
            </w:r>
            <w:r>
              <w:rPr>
                <w:rStyle w:val="IndexLink"/>
              </w:rPr>
              <w:t></w:t>
            </w:r>
            <w:r>
              <w:rPr>
                <w:rStyle w:val="IndexLink"/>
                <w:rtl w:val="true"/>
              </w:rPr>
              <w:t xml:space="preserve"> تا امام باقر</w:t>
            </w:r>
            <w:r>
              <w:rPr>
                <w:rStyle w:val="IndexLink"/>
              </w:rPr>
              <w:t></w:t>
            </w:r>
            <w:r>
              <w:rPr>
                <w:rStyle w:val="IndexLink"/>
                <w:rtl w:val="true"/>
              </w:rPr>
              <w:tab/>
            </w:r>
            <w:r>
              <w:rPr>
                <w:rStyle w:val="IndexLink"/>
              </w:rPr>
              <w:t>98</w:t>
            </w:r>
          </w:hyperlink>
        </w:p>
        <w:p>
          <w:pPr>
            <w:pStyle w:val="Contents3"/>
            <w:tabs>
              <w:tab w:val="clear" w:pos="8459"/>
              <w:tab w:val="right" w:pos="9026" w:leader="dot"/>
            </w:tabs>
            <w:rPr/>
          </w:pPr>
          <w:hyperlink w:anchor="__RefHeading___Toc768412_1395250215">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768414_1395250215">
            <w:r>
              <w:rPr>
                <w:webHidden/>
                <w:rStyle w:val="IndexLink"/>
                <w:rtl w:val="true"/>
              </w:rPr>
              <w:t>چکیده</w:t>
            </w:r>
            <w:r>
              <w:rPr>
                <w:rStyle w:val="IndexLink"/>
                <w:rtl w:val="true"/>
              </w:rPr>
              <w:tab/>
            </w:r>
            <w:r>
              <w:rPr>
                <w:rStyle w:val="IndexLink"/>
              </w:rPr>
              <w:t>98</w:t>
            </w:r>
          </w:hyperlink>
        </w:p>
        <w:p>
          <w:pPr>
            <w:pStyle w:val="Contents3"/>
            <w:tabs>
              <w:tab w:val="clear" w:pos="8459"/>
              <w:tab w:val="right" w:pos="9026" w:leader="dot"/>
            </w:tabs>
            <w:rPr/>
          </w:pPr>
          <w:hyperlink w:anchor="__RefHeading___Toc768416_1395250215">
            <w:r>
              <w:rPr>
                <w:webHidden/>
                <w:rStyle w:val="IndexLink"/>
                <w:rtl w:val="true"/>
              </w:rPr>
              <w:t>واژگان کلیدی</w:t>
            </w:r>
            <w:r>
              <w:rPr>
                <w:rStyle w:val="IndexLink"/>
                <w:rtl w:val="true"/>
              </w:rPr>
              <w:tab/>
            </w:r>
            <w:r>
              <w:rPr>
                <w:rStyle w:val="IndexLink"/>
              </w:rPr>
              <w:t>98</w:t>
            </w:r>
          </w:hyperlink>
        </w:p>
        <w:p>
          <w:pPr>
            <w:pStyle w:val="Contents3"/>
            <w:tabs>
              <w:tab w:val="clear" w:pos="8459"/>
              <w:tab w:val="right" w:pos="9026" w:leader="dot"/>
            </w:tabs>
            <w:rPr/>
          </w:pPr>
          <w:hyperlink w:anchor="__RefHeading___Toc768418_1395250215">
            <w:r>
              <w:rPr>
                <w:webHidden/>
                <w:rStyle w:val="IndexLink"/>
                <w:rtl w:val="true"/>
              </w:rPr>
              <w:t>درآمد</w:t>
            </w:r>
            <w:r>
              <w:rPr>
                <w:rStyle w:val="IndexLink"/>
                <w:rtl w:val="true"/>
              </w:rPr>
              <w:tab/>
            </w:r>
            <w:r>
              <w:rPr>
                <w:rStyle w:val="IndexLink"/>
              </w:rPr>
              <w:t>99</w:t>
            </w:r>
          </w:hyperlink>
        </w:p>
        <w:p>
          <w:pPr>
            <w:pStyle w:val="Contents3"/>
            <w:tabs>
              <w:tab w:val="clear" w:pos="8459"/>
              <w:tab w:val="right" w:pos="9026" w:leader="dot"/>
            </w:tabs>
            <w:rPr/>
          </w:pPr>
          <w:hyperlink w:anchor="__RefHeading___Toc768420_1395250215">
            <w:r>
              <w:rPr>
                <w:webHidden/>
                <w:rStyle w:val="IndexLink"/>
              </w:rPr>
              <w:t>1</w:t>
            </w:r>
            <w:r>
              <w:rPr>
                <w:rStyle w:val="IndexLink"/>
                <w:rtl w:val="true"/>
              </w:rPr>
              <w:t xml:space="preserve">. </w:t>
            </w:r>
            <w:r>
              <w:rPr>
                <w:rStyle w:val="IndexLink"/>
                <w:rtl w:val="true"/>
              </w:rPr>
              <w:t>امامت؛ امر الاهی</w:t>
            </w:r>
            <w:r>
              <w:rPr>
                <w:rStyle w:val="IndexLink"/>
                <w:rtl w:val="true"/>
              </w:rPr>
              <w:tab/>
            </w:r>
            <w:r>
              <w:rPr>
                <w:rStyle w:val="IndexLink"/>
              </w:rPr>
              <w:t>100</w:t>
            </w:r>
          </w:hyperlink>
        </w:p>
        <w:p>
          <w:pPr>
            <w:pStyle w:val="Contents4"/>
            <w:tabs>
              <w:tab w:val="clear" w:pos="8176"/>
              <w:tab w:val="right" w:pos="9026" w:leader="dot"/>
            </w:tabs>
            <w:rPr/>
          </w:pPr>
          <w:hyperlink w:anchor="__RefHeading___Toc768422_1395250215">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768424_1395250215">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تربیت الاهی</w:t>
            </w:r>
            <w:r>
              <w:rPr>
                <w:rStyle w:val="IndexLink"/>
                <w:rtl w:val="true"/>
              </w:rPr>
              <w:tab/>
            </w:r>
            <w:r>
              <w:rPr>
                <w:rStyle w:val="IndexLink"/>
              </w:rPr>
              <w:t>101</w:t>
            </w:r>
          </w:hyperlink>
        </w:p>
        <w:p>
          <w:pPr>
            <w:pStyle w:val="Contents4"/>
            <w:tabs>
              <w:tab w:val="clear" w:pos="8176"/>
              <w:tab w:val="right" w:pos="9026" w:leader="dot"/>
            </w:tabs>
            <w:rPr/>
          </w:pPr>
          <w:hyperlink w:anchor="__RefHeading___Toc768426_1395250215">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گزینش الاهی</w:t>
            </w:r>
            <w:r>
              <w:rPr>
                <w:rStyle w:val="IndexLink"/>
                <w:rtl w:val="true"/>
              </w:rPr>
              <w:tab/>
            </w:r>
            <w:r>
              <w:rPr>
                <w:rStyle w:val="IndexLink"/>
              </w:rPr>
              <w:t>103</w:t>
            </w:r>
          </w:hyperlink>
        </w:p>
        <w:p>
          <w:pPr>
            <w:pStyle w:val="Contents5"/>
            <w:tabs>
              <w:tab w:val="clear" w:pos="7892"/>
              <w:tab w:val="right" w:pos="9026" w:leader="dot"/>
            </w:tabs>
            <w:rPr/>
          </w:pPr>
          <w:hyperlink w:anchor="__RefHeading___Toc768428_1395250215">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768430_1395250215">
            <w:r>
              <w:rPr>
                <w:webHidden/>
                <w:rStyle w:val="IndexLink"/>
                <w:rtl w:val="true"/>
              </w:rPr>
              <w:t>ادلۀ قرآنی</w:t>
            </w:r>
            <w:r>
              <w:rPr>
                <w:rStyle w:val="IndexLink"/>
                <w:rtl w:val="true"/>
              </w:rPr>
              <w:tab/>
            </w:r>
            <w:r>
              <w:rPr>
                <w:rStyle w:val="IndexLink"/>
              </w:rPr>
              <w:t>103</w:t>
            </w:r>
          </w:hyperlink>
        </w:p>
        <w:p>
          <w:pPr>
            <w:pStyle w:val="Contents5"/>
            <w:tabs>
              <w:tab w:val="clear" w:pos="7892"/>
              <w:tab w:val="right" w:pos="9026" w:leader="dot"/>
            </w:tabs>
            <w:rPr/>
          </w:pPr>
          <w:hyperlink w:anchor="__RefHeading___Toc768432_1395250215">
            <w:r>
              <w:rPr>
                <w:webHidden/>
                <w:rStyle w:val="IndexLink"/>
                <w:rtl w:val="true"/>
              </w:rPr>
              <w:t>ادلۀ روایی</w:t>
            </w:r>
            <w:r>
              <w:rPr>
                <w:rStyle w:val="IndexLink"/>
                <w:rtl w:val="true"/>
              </w:rPr>
              <w:tab/>
            </w:r>
            <w:r>
              <w:rPr>
                <w:rStyle w:val="IndexLink"/>
              </w:rPr>
              <w:t>104</w:t>
            </w:r>
          </w:hyperlink>
        </w:p>
        <w:p>
          <w:pPr>
            <w:pStyle w:val="Contents3"/>
            <w:tabs>
              <w:tab w:val="clear" w:pos="8459"/>
              <w:tab w:val="right" w:pos="9026" w:leader="dot"/>
            </w:tabs>
            <w:rPr/>
          </w:pPr>
          <w:hyperlink w:anchor="__RefHeading___Toc768434_1395250215">
            <w:r>
              <w:rPr>
                <w:webHidden/>
                <w:rStyle w:val="IndexLink"/>
              </w:rPr>
              <w:t>2</w:t>
            </w:r>
            <w:r>
              <w:rPr>
                <w:rStyle w:val="IndexLink"/>
                <w:rtl w:val="true"/>
              </w:rPr>
              <w:t xml:space="preserve">. </w:t>
            </w:r>
            <w:r>
              <w:rPr>
                <w:rStyle w:val="IndexLink"/>
                <w:rtl w:val="true"/>
              </w:rPr>
              <w:t>امامت؛ در امتداد نبوت</w:t>
            </w:r>
            <w:r>
              <w:rPr>
                <w:rStyle w:val="IndexLink"/>
                <w:rtl w:val="true"/>
              </w:rPr>
              <w:tab/>
            </w:r>
            <w:r>
              <w:rPr>
                <w:rStyle w:val="IndexLink"/>
              </w:rPr>
              <w:t>107</w:t>
            </w:r>
          </w:hyperlink>
        </w:p>
        <w:p>
          <w:pPr>
            <w:pStyle w:val="Contents4"/>
            <w:tabs>
              <w:tab w:val="clear" w:pos="8176"/>
              <w:tab w:val="right" w:pos="9026" w:leader="dot"/>
            </w:tabs>
            <w:rPr/>
          </w:pPr>
          <w:hyperlink w:anchor="__RefHeading___Toc768436_1395250215">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768438_1395250215">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امام؛ اهل‌بیتِ رسول خدا</w:t>
            </w:r>
            <w:r>
              <w:rPr>
                <w:rStyle w:val="IndexLink"/>
              </w:rPr>
              <w:t></w:t>
            </w:r>
            <w:r>
              <w:rPr>
                <w:rStyle w:val="IndexLink"/>
                <w:rtl w:val="true"/>
              </w:rPr>
              <w:tab/>
            </w:r>
            <w:r>
              <w:rPr>
                <w:rStyle w:val="IndexLink"/>
              </w:rPr>
              <w:t>108</w:t>
            </w:r>
          </w:hyperlink>
        </w:p>
        <w:p>
          <w:pPr>
            <w:pStyle w:val="Contents4"/>
            <w:tabs>
              <w:tab w:val="clear" w:pos="8176"/>
              <w:tab w:val="right" w:pos="9026" w:leader="dot"/>
            </w:tabs>
            <w:rPr/>
          </w:pPr>
          <w:hyperlink w:anchor="__RefHeading___Toc768440_1395250215">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امام؛ وصیّ نبی</w:t>
            </w:r>
            <w:r>
              <w:rPr>
                <w:rStyle w:val="IndexLink"/>
                <w:rtl w:val="true"/>
              </w:rPr>
              <w:tab/>
            </w:r>
            <w:r>
              <w:rPr>
                <w:rStyle w:val="IndexLink"/>
              </w:rPr>
              <w:t>109</w:t>
            </w:r>
          </w:hyperlink>
        </w:p>
        <w:p>
          <w:pPr>
            <w:pStyle w:val="Contents4"/>
            <w:tabs>
              <w:tab w:val="clear" w:pos="8176"/>
              <w:tab w:val="right" w:pos="9026" w:leader="dot"/>
            </w:tabs>
            <w:rPr/>
          </w:pPr>
          <w:hyperlink w:anchor="__RefHeading___Toc768442_1395250215">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امام از تبار شجرۀ نبوت</w:t>
            </w:r>
            <w:r>
              <w:rPr>
                <w:rStyle w:val="IndexLink"/>
                <w:rtl w:val="true"/>
              </w:rPr>
              <w:tab/>
            </w:r>
            <w:r>
              <w:rPr>
                <w:rStyle w:val="IndexLink"/>
              </w:rPr>
              <w:t>110</w:t>
            </w:r>
          </w:hyperlink>
        </w:p>
        <w:p>
          <w:pPr>
            <w:pStyle w:val="Contents4"/>
            <w:tabs>
              <w:tab w:val="clear" w:pos="8176"/>
              <w:tab w:val="right" w:pos="9026" w:leader="dot"/>
            </w:tabs>
            <w:rPr/>
          </w:pPr>
          <w:hyperlink w:anchor="__RefHeading___Toc768444_1395250215">
            <w:r>
              <w:rPr>
                <w:webHidden/>
                <w:rStyle w:val="IndexLink"/>
              </w:rPr>
              <w:t>4</w:t>
            </w:r>
            <w:r>
              <w:rPr>
                <w:rStyle w:val="IndexLink"/>
                <w:rtl w:val="true"/>
              </w:rPr>
              <w:t>ـ</w:t>
            </w:r>
            <w:r>
              <w:rPr>
                <w:rStyle w:val="IndexLink"/>
              </w:rPr>
              <w:t>2</w:t>
            </w:r>
            <w:r>
              <w:rPr>
                <w:rStyle w:val="IndexLink"/>
                <w:rtl w:val="true"/>
              </w:rPr>
              <w:t xml:space="preserve">. </w:t>
            </w:r>
            <w:r>
              <w:rPr>
                <w:rStyle w:val="IndexLink"/>
                <w:rtl w:val="true"/>
              </w:rPr>
              <w:t>امام؛ موضع رسالت</w:t>
            </w:r>
            <w:r>
              <w:rPr>
                <w:rStyle w:val="IndexLink"/>
                <w:rtl w:val="true"/>
              </w:rPr>
              <w:tab/>
            </w:r>
            <w:r>
              <w:rPr>
                <w:rStyle w:val="IndexLink"/>
              </w:rPr>
              <w:t>111</w:t>
            </w:r>
          </w:hyperlink>
        </w:p>
        <w:p>
          <w:pPr>
            <w:pStyle w:val="Contents4"/>
            <w:tabs>
              <w:tab w:val="clear" w:pos="8176"/>
              <w:tab w:val="right" w:pos="9026" w:leader="dot"/>
            </w:tabs>
            <w:rPr/>
          </w:pPr>
          <w:hyperlink w:anchor="__RefHeading___Toc768446_1395250215">
            <w:r>
              <w:rPr>
                <w:webHidden/>
                <w:rStyle w:val="IndexLink"/>
              </w:rPr>
              <w:t>5</w:t>
            </w:r>
            <w:r>
              <w:rPr>
                <w:rStyle w:val="IndexLink"/>
                <w:rtl w:val="true"/>
              </w:rPr>
              <w:t>ـ</w:t>
            </w:r>
            <w:r>
              <w:rPr>
                <w:rStyle w:val="IndexLink"/>
              </w:rPr>
              <w:t>2</w:t>
            </w:r>
            <w:r>
              <w:rPr>
                <w:rStyle w:val="IndexLink"/>
                <w:rtl w:val="true"/>
              </w:rPr>
              <w:t xml:space="preserve">. </w:t>
            </w:r>
            <w:r>
              <w:rPr>
                <w:rStyle w:val="IndexLink"/>
                <w:rtl w:val="true"/>
              </w:rPr>
              <w:t>میزبانان ملائک</w:t>
            </w:r>
            <w:r>
              <w:rPr>
                <w:rStyle w:val="IndexLink"/>
                <w:rtl w:val="true"/>
              </w:rPr>
              <w:tab/>
            </w:r>
            <w:r>
              <w:rPr>
                <w:rStyle w:val="IndexLink"/>
              </w:rPr>
              <w:t>111</w:t>
            </w:r>
          </w:hyperlink>
        </w:p>
        <w:p>
          <w:pPr>
            <w:pStyle w:val="Contents3"/>
            <w:tabs>
              <w:tab w:val="clear" w:pos="8459"/>
              <w:tab w:val="right" w:pos="9026" w:leader="dot"/>
            </w:tabs>
            <w:rPr/>
          </w:pPr>
          <w:hyperlink w:anchor="__RefHeading___Toc768448_1395250215">
            <w:r>
              <w:rPr>
                <w:webHidden/>
                <w:rStyle w:val="IndexLink"/>
              </w:rPr>
              <w:t>3</w:t>
            </w:r>
            <w:r>
              <w:rPr>
                <w:rStyle w:val="IndexLink"/>
                <w:rtl w:val="true"/>
              </w:rPr>
              <w:t xml:space="preserve">. </w:t>
            </w:r>
            <w:r>
              <w:rPr>
                <w:rStyle w:val="IndexLink"/>
                <w:rtl w:val="true"/>
              </w:rPr>
              <w:t>امام؛ خصایص فردی</w:t>
            </w:r>
            <w:r>
              <w:rPr>
                <w:rStyle w:val="IndexLink"/>
                <w:rtl w:val="true"/>
              </w:rPr>
              <w:tab/>
            </w:r>
            <w:r>
              <w:rPr>
                <w:rStyle w:val="IndexLink"/>
              </w:rPr>
              <w:t>112</w:t>
            </w:r>
          </w:hyperlink>
        </w:p>
        <w:p>
          <w:pPr>
            <w:pStyle w:val="Contents4"/>
            <w:tabs>
              <w:tab w:val="clear" w:pos="8176"/>
              <w:tab w:val="right" w:pos="9026" w:leader="dot"/>
            </w:tabs>
            <w:rPr/>
          </w:pPr>
          <w:hyperlink w:anchor="__RefHeading___Toc768450_1395250215">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768452_1395250215">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سبقت در فضایل و خیرات</w:t>
            </w:r>
            <w:r>
              <w:rPr>
                <w:rStyle w:val="IndexLink"/>
                <w:rtl w:val="true"/>
              </w:rPr>
              <w:tab/>
            </w:r>
            <w:r>
              <w:rPr>
                <w:rStyle w:val="IndexLink"/>
              </w:rPr>
              <w:t>112</w:t>
            </w:r>
          </w:hyperlink>
        </w:p>
        <w:p>
          <w:pPr>
            <w:pStyle w:val="Contents4"/>
            <w:tabs>
              <w:tab w:val="clear" w:pos="8176"/>
              <w:tab w:val="right" w:pos="9026" w:leader="dot"/>
            </w:tabs>
            <w:rPr/>
          </w:pPr>
          <w:hyperlink w:anchor="__RefHeading___Toc768454_1395250215">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امنای الاهی</w:t>
            </w:r>
            <w:r>
              <w:rPr>
                <w:rStyle w:val="IndexLink"/>
                <w:rtl w:val="true"/>
              </w:rPr>
              <w:tab/>
            </w:r>
            <w:r>
              <w:rPr>
                <w:rStyle w:val="IndexLink"/>
              </w:rPr>
              <w:t>113</w:t>
            </w:r>
          </w:hyperlink>
        </w:p>
        <w:p>
          <w:pPr>
            <w:pStyle w:val="Contents4"/>
            <w:tabs>
              <w:tab w:val="clear" w:pos="8176"/>
              <w:tab w:val="right" w:pos="9026" w:leader="dot"/>
            </w:tabs>
            <w:rPr/>
          </w:pPr>
          <w:hyperlink w:anchor="__RefHeading___Toc768456_1395250215">
            <w:r>
              <w:rPr>
                <w:webHidden/>
                <w:rStyle w:val="IndexLink"/>
              </w:rPr>
              <w:t>3</w:t>
            </w:r>
            <w:r>
              <w:rPr>
                <w:rStyle w:val="IndexLink"/>
                <w:rtl w:val="true"/>
              </w:rPr>
              <w:t>ـ</w:t>
            </w:r>
            <w:r>
              <w:rPr>
                <w:rStyle w:val="IndexLink"/>
              </w:rPr>
              <w:t>3</w:t>
            </w:r>
            <w:r>
              <w:rPr>
                <w:rStyle w:val="IndexLink"/>
                <w:rtl w:val="true"/>
              </w:rPr>
              <w:t xml:space="preserve">. </w:t>
            </w:r>
            <w:r>
              <w:rPr>
                <w:rStyle w:val="IndexLink"/>
                <w:rtl w:val="true"/>
              </w:rPr>
              <w:t>صاحبان حکمت</w:t>
            </w:r>
            <w:r>
              <w:rPr>
                <w:rStyle w:val="IndexLink"/>
                <w:rtl w:val="true"/>
              </w:rPr>
              <w:tab/>
            </w:r>
            <w:r>
              <w:rPr>
                <w:rStyle w:val="IndexLink"/>
              </w:rPr>
              <w:t>114</w:t>
            </w:r>
          </w:hyperlink>
        </w:p>
        <w:p>
          <w:pPr>
            <w:pStyle w:val="Contents4"/>
            <w:tabs>
              <w:tab w:val="clear" w:pos="8176"/>
              <w:tab w:val="right" w:pos="9026" w:leader="dot"/>
            </w:tabs>
            <w:rPr/>
          </w:pPr>
          <w:hyperlink w:anchor="__RefHeading___Toc768458_1395250215">
            <w:r>
              <w:rPr>
                <w:webHidden/>
                <w:rStyle w:val="IndexLink"/>
              </w:rPr>
              <w:t>4</w:t>
            </w:r>
            <w:r>
              <w:rPr>
                <w:rStyle w:val="IndexLink"/>
                <w:rtl w:val="true"/>
              </w:rPr>
              <w:t>ـ</w:t>
            </w:r>
            <w:r>
              <w:rPr>
                <w:rStyle w:val="IndexLink"/>
              </w:rPr>
              <w:t>3</w:t>
            </w:r>
            <w:r>
              <w:rPr>
                <w:rStyle w:val="IndexLink"/>
                <w:rtl w:val="true"/>
              </w:rPr>
              <w:t xml:space="preserve">. </w:t>
            </w:r>
            <w:r>
              <w:rPr>
                <w:rStyle w:val="IndexLink"/>
                <w:rtl w:val="true"/>
              </w:rPr>
              <w:t>فاتح و خاتم دین</w:t>
            </w:r>
            <w:r>
              <w:rPr>
                <w:rStyle w:val="IndexLink"/>
                <w:rtl w:val="true"/>
              </w:rPr>
              <w:tab/>
            </w:r>
            <w:r>
              <w:rPr>
                <w:rStyle w:val="IndexLink"/>
              </w:rPr>
              <w:t>114</w:t>
            </w:r>
          </w:hyperlink>
        </w:p>
        <w:p>
          <w:pPr>
            <w:pStyle w:val="Contents3"/>
            <w:tabs>
              <w:tab w:val="clear" w:pos="8459"/>
              <w:tab w:val="right" w:pos="9026" w:leader="dot"/>
            </w:tabs>
            <w:rPr/>
          </w:pPr>
          <w:hyperlink w:anchor="__RefHeading___Toc768460_1395250215">
            <w:r>
              <w:rPr>
                <w:webHidden/>
                <w:rStyle w:val="IndexLink"/>
                <w:rtl w:val="true"/>
              </w:rPr>
              <w:t>نتیجه گیری</w:t>
            </w:r>
            <w:r>
              <w:rPr>
                <w:rStyle w:val="IndexLink"/>
                <w:rtl w:val="true"/>
              </w:rPr>
              <w:tab/>
            </w:r>
            <w:r>
              <w:rPr>
                <w:rStyle w:val="IndexLink"/>
              </w:rPr>
              <w:t>115</w:t>
            </w:r>
          </w:hyperlink>
        </w:p>
        <w:p>
          <w:pPr>
            <w:pStyle w:val="Contents3"/>
            <w:tabs>
              <w:tab w:val="clear" w:pos="8459"/>
              <w:tab w:val="right" w:pos="9026" w:leader="dot"/>
            </w:tabs>
            <w:rPr/>
          </w:pPr>
          <w:hyperlink w:anchor="__RefHeading___Toc768462_1395250215">
            <w:r>
              <w:rPr>
                <w:webHidden/>
                <w:rStyle w:val="IndexLink"/>
                <w:rtl w:val="true"/>
              </w:rPr>
              <w:t>منابع</w:t>
            </w:r>
            <w:r>
              <w:rPr>
                <w:rStyle w:val="IndexLink"/>
                <w:rtl w:val="true"/>
              </w:rPr>
              <w:tab/>
            </w:r>
            <w:r>
              <w:rPr>
                <w:rStyle w:val="IndexLink"/>
              </w:rPr>
              <w:t>116</w:t>
            </w:r>
          </w:hyperlink>
        </w:p>
        <w:p>
          <w:pPr>
            <w:pStyle w:val="Contents2"/>
            <w:tabs>
              <w:tab w:val="clear" w:pos="8743"/>
              <w:tab w:val="right" w:pos="9026" w:leader="dot"/>
            </w:tabs>
            <w:rPr/>
          </w:pPr>
          <w:hyperlink w:anchor="__RefHeading___Toc768464_1395250215">
            <w:r>
              <w:rPr>
                <w:webHidden/>
                <w:rStyle w:val="IndexLink"/>
                <w:rtl w:val="true"/>
              </w:rPr>
              <w:t>تجسم و رؤیت جنّ از منظر عقل و نقل</w:t>
            </w:r>
            <w:r>
              <w:rPr>
                <w:rStyle w:val="IndexLink"/>
                <w:rtl w:val="true"/>
              </w:rPr>
              <w:tab/>
            </w:r>
            <w:r>
              <w:rPr>
                <w:rStyle w:val="IndexLink"/>
              </w:rPr>
              <w:t>120</w:t>
            </w:r>
          </w:hyperlink>
        </w:p>
        <w:p>
          <w:pPr>
            <w:pStyle w:val="Contents3"/>
            <w:tabs>
              <w:tab w:val="clear" w:pos="8459"/>
              <w:tab w:val="right" w:pos="9026" w:leader="dot"/>
            </w:tabs>
            <w:rPr/>
          </w:pPr>
          <w:hyperlink w:anchor="__RefHeading___Toc768466_1395250215">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768468_1395250215">
            <w:r>
              <w:rPr>
                <w:webHidden/>
                <w:rStyle w:val="IndexLink"/>
                <w:rtl w:val="true"/>
              </w:rPr>
              <w:t>چکیده</w:t>
            </w:r>
            <w:r>
              <w:rPr>
                <w:rStyle w:val="IndexLink"/>
                <w:rtl w:val="true"/>
              </w:rPr>
              <w:tab/>
            </w:r>
            <w:r>
              <w:rPr>
                <w:rStyle w:val="IndexLink"/>
              </w:rPr>
              <w:t>120</w:t>
            </w:r>
          </w:hyperlink>
        </w:p>
        <w:p>
          <w:pPr>
            <w:pStyle w:val="Contents3"/>
            <w:tabs>
              <w:tab w:val="clear" w:pos="8459"/>
              <w:tab w:val="right" w:pos="9026" w:leader="dot"/>
            </w:tabs>
            <w:rPr/>
          </w:pPr>
          <w:hyperlink w:anchor="__RefHeading___Toc768470_1395250215">
            <w:r>
              <w:rPr>
                <w:webHidden/>
                <w:rStyle w:val="IndexLink"/>
                <w:rtl w:val="true"/>
              </w:rPr>
              <w:t>واژگان کلیدی</w:t>
            </w:r>
            <w:r>
              <w:rPr>
                <w:rStyle w:val="IndexLink"/>
                <w:rtl w:val="true"/>
              </w:rPr>
              <w:tab/>
            </w:r>
            <w:r>
              <w:rPr>
                <w:rStyle w:val="IndexLink"/>
              </w:rPr>
              <w:t>120</w:t>
            </w:r>
          </w:hyperlink>
        </w:p>
        <w:p>
          <w:pPr>
            <w:pStyle w:val="Contents3"/>
            <w:tabs>
              <w:tab w:val="clear" w:pos="8459"/>
              <w:tab w:val="right" w:pos="9026" w:leader="dot"/>
            </w:tabs>
            <w:rPr/>
          </w:pPr>
          <w:hyperlink w:anchor="__RefHeading___Toc768472_1395250215">
            <w:r>
              <w:rPr>
                <w:webHidden/>
                <w:rStyle w:val="IndexLink"/>
                <w:rtl w:val="true"/>
              </w:rPr>
              <w:t>مقدمه</w:t>
            </w:r>
            <w:r>
              <w:rPr>
                <w:rStyle w:val="IndexLink"/>
                <w:rtl w:val="true"/>
              </w:rPr>
              <w:tab/>
            </w:r>
            <w:r>
              <w:rPr>
                <w:rStyle w:val="IndexLink"/>
              </w:rPr>
              <w:t>121</w:t>
            </w:r>
          </w:hyperlink>
        </w:p>
        <w:p>
          <w:pPr>
            <w:pStyle w:val="Contents3"/>
            <w:tabs>
              <w:tab w:val="clear" w:pos="8459"/>
              <w:tab w:val="right" w:pos="9026" w:leader="dot"/>
            </w:tabs>
            <w:rPr/>
          </w:pPr>
          <w:hyperlink w:anchor="__RefHeading___Toc768474_1395250215">
            <w:r>
              <w:rPr>
                <w:webHidden/>
                <w:rStyle w:val="IndexLink"/>
              </w:rPr>
              <w:t>1</w:t>
            </w:r>
            <w:r>
              <w:rPr>
                <w:rStyle w:val="IndexLink"/>
                <w:rtl w:val="true"/>
              </w:rPr>
              <w:t xml:space="preserve">. </w:t>
            </w:r>
            <w:r>
              <w:rPr>
                <w:rStyle w:val="IndexLink"/>
                <w:rtl w:val="true"/>
              </w:rPr>
              <w:t>مفاهیم</w:t>
            </w:r>
            <w:r>
              <w:rPr>
                <w:rStyle w:val="IndexLink"/>
                <w:rtl w:val="true"/>
              </w:rPr>
              <w:tab/>
            </w:r>
            <w:r>
              <w:rPr>
                <w:rStyle w:val="IndexLink"/>
              </w:rPr>
              <w:t>121</w:t>
            </w:r>
          </w:hyperlink>
        </w:p>
        <w:p>
          <w:pPr>
            <w:pStyle w:val="Contents4"/>
            <w:tabs>
              <w:tab w:val="clear" w:pos="8176"/>
              <w:tab w:val="right" w:pos="9026" w:leader="dot"/>
            </w:tabs>
            <w:rPr/>
          </w:pPr>
          <w:hyperlink w:anchor="__RefHeading___Toc768476_1395250215">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جنّ</w:t>
            </w:r>
            <w:r>
              <w:rPr>
                <w:rStyle w:val="IndexLink"/>
                <w:rtl w:val="true"/>
              </w:rPr>
              <w:tab/>
            </w:r>
            <w:r>
              <w:rPr>
                <w:rStyle w:val="IndexLink"/>
              </w:rPr>
              <w:t>121</w:t>
            </w:r>
          </w:hyperlink>
        </w:p>
        <w:p>
          <w:pPr>
            <w:pStyle w:val="Contents4"/>
            <w:tabs>
              <w:tab w:val="clear" w:pos="8176"/>
              <w:tab w:val="right" w:pos="9026" w:leader="dot"/>
            </w:tabs>
            <w:rPr/>
          </w:pPr>
          <w:hyperlink w:anchor="__RefHeading___Toc768478_1395250215">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تمثل</w:t>
            </w:r>
            <w:r>
              <w:rPr>
                <w:rStyle w:val="IndexLink"/>
                <w:rtl w:val="true"/>
              </w:rPr>
              <w:tab/>
            </w:r>
            <w:r>
              <w:rPr>
                <w:rStyle w:val="IndexLink"/>
              </w:rPr>
              <w:t>123</w:t>
            </w:r>
          </w:hyperlink>
        </w:p>
        <w:p>
          <w:pPr>
            <w:pStyle w:val="Contents4"/>
            <w:tabs>
              <w:tab w:val="clear" w:pos="8176"/>
              <w:tab w:val="right" w:pos="9026" w:leader="dot"/>
            </w:tabs>
            <w:rPr/>
          </w:pPr>
          <w:hyperlink w:anchor="__RefHeading___Toc768480_1395250215">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تجسم</w:t>
            </w:r>
            <w:r>
              <w:rPr>
                <w:rStyle w:val="IndexLink"/>
                <w:rtl w:val="true"/>
              </w:rPr>
              <w:tab/>
            </w:r>
            <w:r>
              <w:rPr>
                <w:rStyle w:val="IndexLink"/>
              </w:rPr>
              <w:t>124</w:t>
            </w:r>
          </w:hyperlink>
        </w:p>
        <w:p>
          <w:pPr>
            <w:pStyle w:val="Contents3"/>
            <w:tabs>
              <w:tab w:val="clear" w:pos="8459"/>
              <w:tab w:val="right" w:pos="9026" w:leader="dot"/>
            </w:tabs>
            <w:rPr/>
          </w:pPr>
          <w:hyperlink w:anchor="__RefHeading___Toc768482_1395250215">
            <w:r>
              <w:rPr>
                <w:webHidden/>
                <w:rStyle w:val="IndexLink"/>
              </w:rPr>
              <w:t>2</w:t>
            </w:r>
            <w:r>
              <w:rPr>
                <w:rStyle w:val="IndexLink"/>
                <w:rtl w:val="true"/>
              </w:rPr>
              <w:t xml:space="preserve">. </w:t>
            </w:r>
            <w:r>
              <w:rPr>
                <w:rStyle w:val="IndexLink"/>
                <w:rtl w:val="true"/>
              </w:rPr>
              <w:t>نظریات اندیشمندان دربارۀ جسم جنّیان</w:t>
            </w:r>
            <w:r>
              <w:rPr>
                <w:rStyle w:val="IndexLink"/>
                <w:rtl w:val="true"/>
              </w:rPr>
              <w:tab/>
            </w:r>
            <w:r>
              <w:rPr>
                <w:rStyle w:val="IndexLink"/>
              </w:rPr>
              <w:t>125</w:t>
            </w:r>
          </w:hyperlink>
        </w:p>
        <w:p>
          <w:pPr>
            <w:pStyle w:val="Contents3"/>
            <w:tabs>
              <w:tab w:val="clear" w:pos="8459"/>
              <w:tab w:val="right" w:pos="9026" w:leader="dot"/>
            </w:tabs>
            <w:rPr/>
          </w:pPr>
          <w:hyperlink w:anchor="__RefHeading___Toc768484_1395250215">
            <w:r>
              <w:rPr>
                <w:webHidden/>
                <w:rStyle w:val="IndexLink"/>
              </w:rPr>
              <w:t>3</w:t>
            </w:r>
            <w:r>
              <w:rPr>
                <w:rStyle w:val="IndexLink"/>
                <w:rtl w:val="true"/>
              </w:rPr>
              <w:t xml:space="preserve">. </w:t>
            </w:r>
            <w:r>
              <w:rPr>
                <w:rStyle w:val="IndexLink"/>
                <w:rtl w:val="true"/>
              </w:rPr>
              <w:t>دلایل نقلی بر تجسم و رؤیت جن و شیطان</w:t>
            </w:r>
            <w:r>
              <w:rPr>
                <w:rStyle w:val="IndexLink"/>
                <w:rtl w:val="true"/>
              </w:rPr>
              <w:tab/>
            </w:r>
            <w:r>
              <w:rPr>
                <w:rStyle w:val="IndexLink"/>
              </w:rPr>
              <w:t>127</w:t>
            </w:r>
          </w:hyperlink>
        </w:p>
        <w:p>
          <w:pPr>
            <w:pStyle w:val="Contents4"/>
            <w:tabs>
              <w:tab w:val="clear" w:pos="8176"/>
              <w:tab w:val="right" w:pos="9026" w:leader="dot"/>
            </w:tabs>
            <w:rPr/>
          </w:pPr>
          <w:hyperlink w:anchor="__RefHeading___Toc768486_1395250215">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768488_1395250215">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آیات دالّ بر تجسم جن و شیطان</w:t>
            </w:r>
            <w:r>
              <w:rPr>
                <w:rStyle w:val="IndexLink"/>
                <w:rtl w:val="true"/>
              </w:rPr>
              <w:tab/>
            </w:r>
            <w:r>
              <w:rPr>
                <w:rStyle w:val="IndexLink"/>
              </w:rPr>
              <w:t>127</w:t>
            </w:r>
          </w:hyperlink>
        </w:p>
        <w:p>
          <w:pPr>
            <w:pStyle w:val="Contents4"/>
            <w:tabs>
              <w:tab w:val="clear" w:pos="8176"/>
              <w:tab w:val="right" w:pos="9026" w:leader="dot"/>
            </w:tabs>
            <w:rPr/>
          </w:pPr>
          <w:hyperlink w:anchor="__RefHeading___Toc768490_1395250215">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روایات دالّ بر تجسم جن و شیطان</w:t>
            </w:r>
            <w:r>
              <w:rPr>
                <w:rStyle w:val="IndexLink"/>
                <w:rtl w:val="true"/>
              </w:rPr>
              <w:tab/>
            </w:r>
            <w:r>
              <w:rPr>
                <w:rStyle w:val="IndexLink"/>
              </w:rPr>
              <w:t>131</w:t>
            </w:r>
          </w:hyperlink>
        </w:p>
        <w:p>
          <w:pPr>
            <w:pStyle w:val="Contents3"/>
            <w:tabs>
              <w:tab w:val="clear" w:pos="8459"/>
              <w:tab w:val="right" w:pos="9026" w:leader="dot"/>
            </w:tabs>
            <w:rPr/>
          </w:pPr>
          <w:hyperlink w:anchor="__RefHeading___Toc768492_1395250215">
            <w:r>
              <w:rPr>
                <w:webHidden/>
                <w:rStyle w:val="IndexLink"/>
              </w:rPr>
              <w:t>4</w:t>
            </w:r>
            <w:r>
              <w:rPr>
                <w:rStyle w:val="IndexLink"/>
                <w:rtl w:val="true"/>
              </w:rPr>
              <w:t xml:space="preserve">. </w:t>
            </w:r>
            <w:r>
              <w:rPr>
                <w:rStyle w:val="IndexLink"/>
                <w:rtl w:val="true"/>
              </w:rPr>
              <w:t>تبیین عقلی بر تجسم جن و شیطان</w:t>
            </w:r>
            <w:r>
              <w:rPr>
                <w:rStyle w:val="IndexLink"/>
                <w:rtl w:val="true"/>
              </w:rPr>
              <w:tab/>
            </w:r>
            <w:r>
              <w:rPr>
                <w:rStyle w:val="IndexLink"/>
              </w:rPr>
              <w:t>132</w:t>
            </w:r>
          </w:hyperlink>
        </w:p>
        <w:p>
          <w:pPr>
            <w:pStyle w:val="Contents4"/>
            <w:tabs>
              <w:tab w:val="clear" w:pos="8176"/>
              <w:tab w:val="right" w:pos="9026" w:leader="dot"/>
            </w:tabs>
            <w:rPr/>
          </w:pPr>
          <w:hyperlink w:anchor="__RefHeading___Toc768494_1395250215">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768496_1395250215">
            <w:r>
              <w:rPr>
                <w:webHidden/>
                <w:rStyle w:val="IndexLink"/>
              </w:rPr>
              <w:t>1</w:t>
            </w:r>
            <w:r>
              <w:rPr>
                <w:rStyle w:val="IndexLink"/>
                <w:rtl w:val="true"/>
              </w:rPr>
              <w:t>ـ</w:t>
            </w:r>
            <w:r>
              <w:rPr>
                <w:rStyle w:val="IndexLink"/>
              </w:rPr>
              <w:t>4</w:t>
            </w:r>
            <w:r>
              <w:rPr>
                <w:rStyle w:val="IndexLink"/>
                <w:rtl w:val="true"/>
              </w:rPr>
              <w:t xml:space="preserve">. </w:t>
            </w:r>
            <w:r>
              <w:rPr>
                <w:rStyle w:val="IndexLink"/>
                <w:rtl w:val="true"/>
              </w:rPr>
              <w:t>جسم کثیف و لطیف</w:t>
            </w:r>
            <w:r>
              <w:rPr>
                <w:rStyle w:val="IndexLink"/>
                <w:rtl w:val="true"/>
              </w:rPr>
              <w:tab/>
            </w:r>
            <w:r>
              <w:rPr>
                <w:rStyle w:val="IndexLink"/>
              </w:rPr>
              <w:t>132</w:t>
            </w:r>
          </w:hyperlink>
        </w:p>
        <w:p>
          <w:pPr>
            <w:pStyle w:val="Contents4"/>
            <w:tabs>
              <w:tab w:val="clear" w:pos="8176"/>
              <w:tab w:val="right" w:pos="9026" w:leader="dot"/>
            </w:tabs>
            <w:rPr/>
          </w:pPr>
          <w:hyperlink w:anchor="__RefHeading___Toc768498_1395250215">
            <w:r>
              <w:rPr>
                <w:webHidden/>
                <w:rStyle w:val="IndexLink"/>
              </w:rPr>
              <w:t>2</w:t>
            </w:r>
            <w:r>
              <w:rPr>
                <w:rStyle w:val="IndexLink"/>
                <w:rtl w:val="true"/>
              </w:rPr>
              <w:t>ـ</w:t>
            </w:r>
            <w:r>
              <w:rPr>
                <w:rStyle w:val="IndexLink"/>
              </w:rPr>
              <w:t>4</w:t>
            </w:r>
            <w:r>
              <w:rPr>
                <w:rStyle w:val="IndexLink"/>
                <w:rtl w:val="true"/>
              </w:rPr>
              <w:t xml:space="preserve">. </w:t>
            </w:r>
            <w:r>
              <w:rPr>
                <w:rStyle w:val="IndexLink"/>
                <w:rtl w:val="true"/>
              </w:rPr>
              <w:t>تبیین چیستی و چگونگی رؤیت و تجسم</w:t>
            </w:r>
            <w:r>
              <w:rPr>
                <w:rStyle w:val="IndexLink"/>
                <w:rtl w:val="true"/>
              </w:rPr>
              <w:tab/>
            </w:r>
            <w:r>
              <w:rPr>
                <w:rStyle w:val="IndexLink"/>
              </w:rPr>
              <w:t>132</w:t>
            </w:r>
          </w:hyperlink>
        </w:p>
        <w:p>
          <w:pPr>
            <w:pStyle w:val="Contents3"/>
            <w:tabs>
              <w:tab w:val="clear" w:pos="8459"/>
              <w:tab w:val="right" w:pos="9026" w:leader="dot"/>
            </w:tabs>
            <w:rPr/>
          </w:pPr>
          <w:hyperlink w:anchor="__RefHeading___Toc768500_1395250215">
            <w:r>
              <w:rPr>
                <w:webHidden/>
                <w:rStyle w:val="IndexLink"/>
                <w:rtl w:val="true"/>
              </w:rPr>
              <w:t>نتیجه گیری</w:t>
            </w:r>
            <w:r>
              <w:rPr>
                <w:rStyle w:val="IndexLink"/>
                <w:rtl w:val="true"/>
              </w:rPr>
              <w:tab/>
            </w:r>
            <w:r>
              <w:rPr>
                <w:rStyle w:val="IndexLink"/>
              </w:rPr>
              <w:t>136</w:t>
            </w:r>
          </w:hyperlink>
        </w:p>
        <w:p>
          <w:pPr>
            <w:pStyle w:val="Contents3"/>
            <w:tabs>
              <w:tab w:val="clear" w:pos="8459"/>
              <w:tab w:val="right" w:pos="9026" w:leader="dot"/>
            </w:tabs>
            <w:rPr/>
          </w:pPr>
          <w:hyperlink w:anchor="__RefHeading___Toc768502_1395250215">
            <w:r>
              <w:rPr>
                <w:webHidden/>
                <w:rStyle w:val="IndexLink"/>
                <w:rtl w:val="true"/>
              </w:rPr>
              <w:t>منابع</w:t>
            </w:r>
            <w:r>
              <w:rPr>
                <w:rStyle w:val="IndexLink"/>
                <w:rtl w:val="true"/>
              </w:rPr>
              <w:tab/>
            </w:r>
            <w:r>
              <w:rPr>
                <w:rStyle w:val="IndexLink"/>
              </w:rPr>
              <w:t>136</w:t>
            </w:r>
          </w:hyperlink>
        </w:p>
        <w:p>
          <w:pPr>
            <w:pStyle w:val="Contents2"/>
            <w:tabs>
              <w:tab w:val="clear" w:pos="8743"/>
              <w:tab w:val="right" w:pos="9026" w:leader="dot"/>
            </w:tabs>
            <w:rPr/>
          </w:pPr>
          <w:hyperlink w:anchor="__RefHeading___Toc768504_1395250215">
            <w:r>
              <w:rPr>
                <w:webHidden/>
                <w:rStyle w:val="IndexLink"/>
                <w:rtl w:val="true"/>
              </w:rPr>
              <w:t>چکیده عربی مقالات</w:t>
            </w:r>
            <w:r>
              <w:rPr>
                <w:rStyle w:val="IndexLink"/>
                <w:rtl w:val="true"/>
              </w:rPr>
              <w:tab/>
            </w:r>
            <w:r>
              <w:rPr>
                <w:rStyle w:val="IndexLink"/>
              </w:rPr>
              <w:t>143</w:t>
            </w:r>
          </w:hyperlink>
        </w:p>
        <w:p>
          <w:pPr>
            <w:pStyle w:val="Contents2"/>
            <w:tabs>
              <w:tab w:val="clear" w:pos="8743"/>
              <w:tab w:val="right" w:pos="9026" w:leader="dot"/>
            </w:tabs>
            <w:rPr/>
          </w:pPr>
          <w:hyperlink w:anchor="__RefHeading___Toc768506_1395250215">
            <w:r>
              <w:rPr>
                <w:webHidden/>
                <w:rStyle w:val="IndexLink"/>
                <w:rtl w:val="true"/>
              </w:rPr>
              <w:t>چکیده انگلیسی مقالات</w:t>
            </w:r>
            <w:r>
              <w:rPr>
                <w:rStyle w:val="IndexLink"/>
                <w:rtl w:val="true"/>
              </w:rPr>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66_20938"/>
      <w:bookmarkStart w:id="1" w:name="pg2666_20938"/>
      <w:bookmarkEnd w:id="1"/>
    </w:p>
    <w:p>
      <w:pPr>
        <w:pStyle w:val="Heading2"/>
        <w:numPr>
          <w:ilvl w:val="1"/>
          <w:numId w:val="1"/>
        </w:numPr>
        <w:rPr/>
      </w:pPr>
      <w:bookmarkStart w:id="2" w:name="pg2666_20938"/>
      <w:bookmarkStart w:id="3" w:name="__RefHeading___Toc768222_1395250215"/>
      <w:bookmarkStart w:id="4" w:name="_Toc1"/>
      <w:bookmarkEnd w:id="2"/>
      <w:bookmarkEnd w:id="3"/>
      <w:r>
        <w:rPr>
          <w:rtl w:val="true"/>
        </w:rPr>
        <w:t>مشخصات فصلنامه</w:t>
      </w:r>
      <w:bookmarkEnd w:id="4"/>
    </w:p>
    <w:p>
      <w:pPr>
        <w:pStyle w:val="BookText"/>
        <w:rPr/>
      </w:pPr>
      <w:r>
        <w:rPr>
          <w:rFonts w:ascii="IRNazanin" w:hAnsi="IRNazanin" w:eastAsia="IRNazanin"/>
          <w:color w:val="111111"/>
          <w:sz w:val="28"/>
          <w:sz w:val="28"/>
          <w:szCs w:val="28"/>
          <w:rtl w:val="true"/>
          <w:lang w:bidi="fa-IR"/>
        </w:rPr>
        <w:t>فصلنامه علمی – پژوهشی</w:t>
      </w:r>
    </w:p>
    <w:p>
      <w:pPr>
        <w:pStyle w:val="BookText"/>
        <w:rPr/>
      </w:pP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 xml:space="preserve">سال سوم، شماره نهم، تابستان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صادقی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اشکوری</w:t>
      </w:r>
    </w:p>
    <w:p>
      <w:pPr>
        <w:pStyle w:val="BookText"/>
        <w:rPr/>
      </w:pPr>
      <w:r>
        <w:rPr>
          <w:rFonts w:ascii="IRNazanin" w:hAnsi="IRNazanin" w:eastAsia="IRNazanin"/>
          <w:color w:val="111111"/>
          <w:sz w:val="28"/>
          <w:sz w:val="28"/>
          <w:szCs w:val="28"/>
          <w:rtl w:val="true"/>
          <w:lang w:bidi="fa-IR"/>
        </w:rPr>
        <w:t xml:space="preserve">اعضای هیأت تحریریه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مؤسسه پژوهشی حکمت و فلسفه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برنجکار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خسروپناه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مؤسسه پژوهشی حکمت و فلسفه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ساجدی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دانشیار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پژوهشگاه علوم و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پژوهشگاه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دانشگاه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چکیده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مسجدی</w:t>
      </w:r>
    </w:p>
    <w:p>
      <w:pPr>
        <w:pStyle w:val="BookText"/>
        <w:rPr/>
      </w:pPr>
      <w:r>
        <w:rPr>
          <w:rFonts w:ascii="IRNazanin" w:hAnsi="IRNazanin" w:eastAsia="IRNazanin"/>
          <w:color w:val="111111"/>
          <w:sz w:val="28"/>
          <w:sz w:val="28"/>
          <w:szCs w:val="28"/>
          <w:rtl w:val="true"/>
          <w:lang w:bidi="fa-IR"/>
        </w:rPr>
        <w:t>مترجم چکیده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سیدلطف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 باباگل زاده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نوروزی</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امین، بلوار جمهوری اسلامی، کوچه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فرعی اول سمت چپ،</w:t>
      </w:r>
    </w:p>
    <w:p>
      <w:pPr>
        <w:pStyle w:val="BookText"/>
        <w:rPr/>
      </w:pPr>
      <w:r>
        <w:rPr>
          <w:rFonts w:ascii="IRNazanin" w:hAnsi="IRNazanin" w:eastAsia="IRNazanin"/>
          <w:color w:val="111111"/>
          <w:sz w:val="28"/>
          <w:sz w:val="28"/>
          <w:szCs w:val="28"/>
          <w:rtl w:val="true"/>
          <w:lang w:bidi="fa-IR"/>
        </w:rPr>
        <w:t>ساختمان انجمن های علمی حوزه، انجمن کلام اسلامی حوزه علمیه</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37165</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32928546</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پیامک</w:t>
      </w:r>
      <w:r>
        <w:rPr>
          <w:rFonts w:eastAsia="IRNazanin" w:cs="IRNazanin"/>
          <w:color w:val="111111"/>
          <w:sz w:val="28"/>
          <w:szCs w:val="28"/>
          <w:rtl w:val="true"/>
          <w:lang w:bidi="fa-IR"/>
        </w:rPr>
        <w:t xml:space="preserve">: </w:t>
      </w:r>
      <w:r>
        <w:rPr>
          <w:rFonts w:eastAsia="IRNazanin" w:cs="IRNazanin"/>
          <w:color w:val="111111"/>
          <w:sz w:val="28"/>
          <w:szCs w:val="28"/>
          <w:lang w:bidi="fa-IR"/>
        </w:rPr>
        <w:t>30007227007705</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www.tkalam.ir www.ikq.ir</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Info@ikq.ir / Info@tkalam.ir</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8224_1395250215"/>
      <w:bookmarkStart w:id="6" w:name="_Toc2"/>
      <w:bookmarkEnd w:id="5"/>
      <w:r>
        <w:rPr>
          <w:rtl w:val="true"/>
        </w:rPr>
        <w:t>رتبه علمی فصلنامه</w:t>
      </w:r>
      <w:bookmarkEnd w:id="6"/>
    </w:p>
    <w:p>
      <w:pPr>
        <w:pStyle w:val="BookText"/>
        <w:rPr/>
      </w:pPr>
      <w:r>
        <w:rPr>
          <w:rFonts w:ascii="IRNazanin" w:hAnsi="IRNazanin" w:eastAsia="IRNazanin"/>
          <w:color w:val="111111"/>
          <w:sz w:val="28"/>
          <w:sz w:val="28"/>
          <w:szCs w:val="28"/>
          <w:rtl w:val="true"/>
          <w:lang w:bidi="fa-IR"/>
        </w:rPr>
        <w:t xml:space="preserve">به استناد مصوبه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24/6/1387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حوزه های علمیه و باتوجه به ارزیابی کمیسیون نشریات علمی حوزه، شورای اعطای مجوزها و امتیازات علمی، در جلسـه مورخ </w:t>
      </w:r>
      <w:r>
        <w:rPr>
          <w:rFonts w:eastAsia="IRNazanin" w:cs="IRNazanin"/>
          <w:color w:val="111111"/>
          <w:sz w:val="28"/>
          <w:szCs w:val="28"/>
          <w:lang w:bidi="fa-IR"/>
        </w:rPr>
        <w:t>28/3/1392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رتبـه علمی – پژوهشـی بـه</w:t>
      </w:r>
    </w:p>
    <w:p>
      <w:pPr>
        <w:pStyle w:val="BookText"/>
        <w:rPr/>
      </w:pPr>
      <w:r>
        <w:rPr>
          <w:rFonts w:ascii="IRNazanin" w:hAnsi="IRNazanin" w:eastAsia="IRNazanin"/>
          <w:color w:val="111111"/>
          <w:sz w:val="28"/>
          <w:sz w:val="28"/>
          <w:szCs w:val="28"/>
          <w:rtl w:val="true"/>
          <w:lang w:bidi="fa-IR"/>
        </w:rPr>
        <w:t>نشریه تحقیقات کلامی اعطا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استناد ماده واحده مصوبه جلسه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21/3/1387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مصوبات شورای عالی حوزه علمیه قم در خصوص اعطای امتیاز علمی به مجلات علمی، تأسیس انجمن های علمی، قطب های علمی و واحدهای پژوهشی و همچنین امتیازات کرسی های نظریه پردازی، نقد و مناظره و آزاداندیشی در حوزه، دارای اعتبار رسمی بوده و موجد امتیازات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قانونی در دانشگاه ها و حوزه های علمیه می باشد</w:t>
      </w:r>
      <w:bookmarkStart w:id="7" w:name="pg2666_20941"/>
    </w:p>
    <w:p>
      <w:pPr>
        <w:pStyle w:val="BookText"/>
        <w:rPr/>
      </w:pPr>
      <w:bookmarkEnd w:id="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Heading2"/>
        <w:numPr>
          <w:ilvl w:val="1"/>
          <w:numId w:val="1"/>
        </w:numPr>
        <w:rPr/>
      </w:pPr>
      <w:bookmarkStart w:id="8" w:name="__RefHeading___Toc768226_1395250215"/>
      <w:bookmarkStart w:id="9" w:name="_Toc3"/>
      <w:bookmarkEnd w:id="8"/>
      <w:r>
        <w:rPr>
          <w:rtl w:val="true"/>
        </w:rPr>
        <w:t>راهنمای نویسندگان</w:t>
      </w:r>
      <w:bookmarkEnd w:id="9"/>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مقاله باید در راستای اهداف فصلنامه و مرتبط با موضوعات علم کلام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نباید پیش تر در نشریات داخلی چاپ شده باشد و یا هم زمان برای استفاده به سایر مجلات علمی ارائه شده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محتوای مقاله، نکات علمی و ادبی زیر حتی المقدور رعایت شده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ساختار منطقی و مطلوب، سطح علمی مناسب و فصل بندی صحیح مطالب؛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نظرات اساسی مطرح در مسأله، ذکر دیدگاه مخالفان، تجزیه و تحلیل و نقد صحیح و کامل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گویی به پرسش ها و شبهات مطرح در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ساختار، محتوا یا روش ارائه؛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روش و محتوا با عنوان مقاله و ارتباط منطقی بین مباحث؛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کلامی و دفاع از آموزه های اعتقادی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استنادات معتبر و 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امانت در نقل قول از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ادبی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قواعد دستوری، ادبی و نگارشی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مقدمه، ذکر چکیده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نگارش پی نوشته ها، ذکر فهرست منابع؛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اطناب و ایجاز بی مورد؛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شیوایی در قلم؛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حجم مقاله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ترجمه شده، در صورت دارابودن نکات بدیع و تازه، با ذکر مشخصات منبع اصلی و مشخصات کامل نویسنده آن امکان چاپ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متن اصلی به همراه ترجمه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مآخذ باید به شیوه درج سند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خانوادگی، سال انتشار، شماره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ذکر اسناد در پاورقی خودداری شود، اما بیان توضیحات ضروری به تشخیص نویسنده در پاورقی مانعی ندارد؛</w:t>
      </w:r>
    </w:p>
    <w:p>
      <w:pPr>
        <w:pStyle w:val="BookText"/>
        <w:rPr/>
      </w:pPr>
      <w:r>
        <w:rPr>
          <w:rFonts w:ascii="IRNazanin" w:hAnsi="IRNazanin" w:eastAsia="IRNazanin"/>
          <w:color w:val="111111"/>
          <w:sz w:val="28"/>
          <w:sz w:val="28"/>
          <w:szCs w:val="28"/>
          <w:rtl w:val="true"/>
          <w:lang w:bidi="fa-IR"/>
        </w:rPr>
        <w:t>فهرست منابع در انتهای مقاله و به صورت زیر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مترجم یا مصحح، ناشر؛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مترجم، نام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شماره صفحات؛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دسترسی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سایت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مقالات صرفاً از طریق سایت </w:t>
      </w:r>
      <w:r>
        <w:rPr>
          <w:rFonts w:eastAsia="Times New Roman" w:cs="Times New Roman" w:ascii="Times New Roman" w:hAnsi="Times New Roman"/>
          <w:color w:val="111111"/>
          <w:sz w:val="28"/>
          <w:szCs w:val="28"/>
          <w:lang w:val="en-US" w:bidi="en-US"/>
        </w:rPr>
        <w:t>www.tkalam.ir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خواهد شد که پس از احراز شرایط مذکور، برای بررسی به هیأت تحریریه فصلنامه ارجاع می شود و در صورت تأیید نهایی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مجله هیچ گونه تعهدی نسبت به بازگرداندن مقالات نخواهد داشت؛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در ویرایش مقالات یا تلخیص آنها به گونه ای که در محتوای علمی آنها دگرگونی ایجاد نشود، آزاد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باید با فرمت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فونت </w:t>
      </w:r>
      <w:r>
        <w:rPr>
          <w:rFonts w:eastAsia="Times New Roman" w:cs="Times New Roman" w:ascii="Times New Roman" w:hAnsi="Times New Roman"/>
          <w:color w:val="111111"/>
          <w:sz w:val="28"/>
          <w:szCs w:val="28"/>
          <w:lang w:val="en-US" w:bidi="en-US"/>
        </w:rPr>
        <w:t>B Zar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اندازه قلم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حکم کارگزینی هیأت علمی برای درج رتبه علمی نویسندگان، ضروری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یا نویسندگان مقاله باید نشانی، تلفن همراه و پست الکترونیک خود را برای ارتباط بعدی به مجله اعلام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 که مقاله بیش از یک نویسنده داشته باشد، همه آن ها می بایست مسئولیت مقاله را کتباً بپذیرند و به مجله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نویسنده ها چند نفر باشند بعد از نام اولین نویسنده و بعد از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 تاریخ چاپ، فقط سال قمری مانند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و در میلادی و شمسی نیازی به درج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سال نیست</w:t>
      </w:r>
      <w:r>
        <w:rPr>
          <w:rFonts w:eastAsia="IRNazanin" w:cs="IRNazanin"/>
          <w:color w:val="111111"/>
          <w:sz w:val="28"/>
          <w:szCs w:val="28"/>
          <w:rtl w:val="true"/>
          <w:lang w:bidi="fa-IR"/>
        </w:rPr>
        <w:t>.</w:t>
      </w:r>
      <w:bookmarkStart w:id="10" w:name="pg2666_20942"/>
    </w:p>
    <w:p>
      <w:pPr>
        <w:pStyle w:val="BookText"/>
        <w:rPr/>
      </w:pPr>
      <w:bookmarkEnd w:id="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Heading2"/>
        <w:numPr>
          <w:ilvl w:val="1"/>
          <w:numId w:val="1"/>
        </w:numPr>
        <w:rPr/>
      </w:pPr>
      <w:bookmarkStart w:id="11" w:name="__RefHeading___Toc768228_1395250215"/>
      <w:bookmarkStart w:id="12" w:name="_Toc4"/>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عقلانیت و 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سازگاری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طالقانی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کاربست عقل در استنباط آموزه‌های کلامی از دیدگاه 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برنجکار، مهدی سالکی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بررسی و نقد دیدگاه دکتر عابد الجابری دربارۀ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علی اسلامی نسب، علیرضا آل بویه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معنای زندگی، ضرورت و کارکرد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قائمی امیری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کاربستِ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عقاید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عبدالمجید طالب تاش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مؤلفه‌های بنیادین امامت در نامه‌های معصومان؛ از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تا امام باقر</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راد، فاطمه شریعتی کمال آبادی </w:t>
      </w:r>
      <w:r>
        <w:rPr>
          <w:rFonts w:eastAsia="IRNazanin" w:cs="IRNazanin"/>
          <w:color w:val="111111"/>
          <w:sz w:val="28"/>
          <w:szCs w:val="28"/>
          <w:lang w:bidi="fa-IR"/>
        </w:rPr>
        <w:t>89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تجسم و رؤیت جنّ از منظر عقل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سیدغلام عباس موسوی مقدم، محمد جعفری </w:t>
      </w:r>
      <w:r>
        <w:rPr>
          <w:rFonts w:eastAsia="IRNazanin" w:cs="IRNazanin"/>
          <w:color w:val="111111"/>
          <w:sz w:val="28"/>
          <w:szCs w:val="28"/>
          <w:lang w:bidi="fa-IR"/>
        </w:rPr>
        <w:t>109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bookmarkStart w:id="13" w:name="pg2666_20944"/>
    </w:p>
    <w:p>
      <w:pPr>
        <w:pStyle w:val="BookText"/>
        <w:rPr/>
      </w:pPr>
      <w:bookmarkEnd w:id="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Heading2"/>
        <w:numPr>
          <w:ilvl w:val="1"/>
          <w:numId w:val="1"/>
        </w:numPr>
        <w:rPr/>
      </w:pPr>
      <w:bookmarkStart w:id="14" w:name="__RefHeading___Toc768230_1395250215"/>
      <w:bookmarkStart w:id="15" w:name="_Toc5"/>
      <w:bookmarkEnd w:id="14"/>
      <w:r>
        <w:rPr>
          <w:rtl w:val="true"/>
        </w:rPr>
        <w:t>عقلانیت و دین‌داری</w:t>
      </w:r>
      <w:r>
        <w:rPr>
          <w:rtl w:val="true"/>
        </w:rPr>
        <w:t xml:space="preserve">: </w:t>
      </w:r>
      <w:r>
        <w:rPr>
          <w:rtl w:val="true"/>
        </w:rPr>
        <w:t>دفاع از سازگاری</w:t>
      </w:r>
      <w:bookmarkEnd w:id="15"/>
    </w:p>
    <w:p>
      <w:pPr>
        <w:pStyle w:val="Heading3"/>
        <w:numPr>
          <w:ilvl w:val="2"/>
          <w:numId w:val="1"/>
        </w:numPr>
        <w:rPr/>
      </w:pPr>
      <w:bookmarkStart w:id="16" w:name="__RefHeading___Toc768232_1395250215"/>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سیدعلی طالقانی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1394/03/04</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1394/06/14</w:t>
      </w:r>
    </w:p>
    <w:p>
      <w:pPr>
        <w:pStyle w:val="Heading3"/>
        <w:numPr>
          <w:ilvl w:val="2"/>
          <w:numId w:val="1"/>
        </w:numPr>
        <w:rPr/>
      </w:pPr>
      <w:bookmarkStart w:id="18" w:name="__RefHeading___Toc768234_1395250215"/>
      <w:bookmarkStart w:id="19" w:name="_Toc7"/>
      <w:bookmarkEnd w:id="18"/>
      <w:r>
        <w:rPr>
          <w:rtl w:val="true"/>
        </w:rPr>
        <w:t>چکیده</w:t>
      </w:r>
      <w:bookmarkEnd w:id="19"/>
    </w:p>
    <w:p>
      <w:pPr>
        <w:pStyle w:val="BookText"/>
        <w:rPr/>
      </w:pPr>
      <w:r>
        <w:rPr>
          <w:rFonts w:ascii="IRNazanin" w:hAnsi="IRNazanin" w:eastAsia="IRNazanin"/>
          <w:color w:val="111111"/>
          <w:sz w:val="28"/>
          <w:sz w:val="28"/>
          <w:szCs w:val="28"/>
          <w:rtl w:val="true"/>
          <w:lang w:bidi="fa-IR"/>
        </w:rPr>
        <w:t>به ادعای برخی روشن‌فکران معاصر، عقلانیت و معنویت از نیازهای غیرقابل چشم‌پوشی بشر است، در حالی که دین‌داری نه تنها از نیازهای بشر نیست، که خود مانعی است بر سر راه تأمین برخی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با عقلانیت قابل جمع نیست، و چون نمی‌توان از عقلانیت چشم پوشید، لاجرم باید از معنویتِ دین‌دارانه دست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مقالۀ کوتاه، تنها به بررسی یک بخش از این ادعا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امتناع جمع دین‌داری و 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خواهیم داد که دین‌داری، به معنی عام کلمه، نسبت به عقلانیت و عدم عقلانیت خنثاست؛ اگرچه دین‌داری، مستلزم اطاعت محض است، مستلزم اطاعت کورکورانه و بی‌مبنا نیست؛ و آنچه با عقلانیت ناسازگار است، اطاعت کورکورانه و بی‌مبناست و نه اطاعت محض</w:t>
      </w:r>
      <w:r>
        <w:rPr>
          <w:rFonts w:eastAsia="IRNazanin" w:cs="IRNazanin"/>
          <w:color w:val="111111"/>
          <w:sz w:val="28"/>
          <w:szCs w:val="28"/>
          <w:rtl w:val="true"/>
          <w:lang w:bidi="fa-IR"/>
        </w:rPr>
        <w:t>.</w:t>
      </w:r>
    </w:p>
    <w:p>
      <w:pPr>
        <w:pStyle w:val="Heading3"/>
        <w:numPr>
          <w:ilvl w:val="2"/>
          <w:numId w:val="1"/>
        </w:numPr>
        <w:rPr/>
      </w:pPr>
      <w:bookmarkStart w:id="20" w:name="__RefHeading___Toc768236_1395250215"/>
      <w:bookmarkStart w:id="21" w:name="_Toc8"/>
      <w:bookmarkEnd w:id="20"/>
      <w:r>
        <w:rPr>
          <w:rtl w:val="true"/>
        </w:rPr>
        <w:t>واژگان کلیدی</w:t>
      </w:r>
      <w:bookmarkEnd w:id="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عقلانیت، معنویت، دین‌داری، اطاعت، روشن‌فکری</w:t>
      </w:r>
      <w:r>
        <w:rPr>
          <w:rFonts w:eastAsia="IRNazanin" w:cs="IRNazanin"/>
          <w:color w:val="111111"/>
          <w:sz w:val="28"/>
          <w:szCs w:val="28"/>
          <w:rtl w:val="true"/>
          <w:lang w:bidi="fa-IR"/>
        </w:rPr>
        <w:t>.</w:t>
      </w:r>
      <w:bookmarkStart w:id="22" w:name="pg2666_20945"/>
    </w:p>
    <w:p>
      <w:pPr>
        <w:pStyle w:val="BookText"/>
        <w:rPr/>
      </w:pPr>
      <w:bookmarkEnd w:id="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3"/>
        <w:numPr>
          <w:ilvl w:val="2"/>
          <w:numId w:val="1"/>
        </w:numPr>
        <w:rPr/>
      </w:pPr>
      <w:bookmarkStart w:id="23" w:name="__RefHeading___Toc768238_1395250215"/>
      <w:bookmarkStart w:id="24" w:name="_Toc9"/>
      <w:bookmarkEnd w:id="23"/>
      <w:r>
        <w:rPr>
          <w:rtl w:val="true"/>
        </w:rPr>
        <w:t>متن مقاله</w:t>
      </w:r>
      <w:bookmarkEnd w:id="24"/>
    </w:p>
    <w:p>
      <w:pPr>
        <w:pStyle w:val="BookText"/>
        <w:rPr/>
      </w:pPr>
      <w:r>
        <w:rPr>
          <w:rFonts w:ascii="IRNazanin" w:hAnsi="IRNazanin" w:eastAsia="IRNazanin"/>
          <w:color w:val="111111"/>
          <w:sz w:val="28"/>
          <w:sz w:val="28"/>
          <w:szCs w:val="28"/>
          <w:rtl w:val="true"/>
          <w:lang w:bidi="fa-IR"/>
        </w:rPr>
        <w:t xml:space="preserve">چندی است که برخی روشن‌فکران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1387</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با طرح ادعای امتناع جمع دین‌داری و عقلانیت، به دفاع از معنویت بدون دین‌داری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ایشان، عقلانیت و معنویت از نیازهای غیرقابل چشم‌پوشی بشر است، در حالی که دین‌داری نه تنها از نیازهای بشر نیست، که خود مانعی است بر سر راه تأمین نیاز به 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دین‌داری با عقلانیت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اگرچه التزام به بسیاری از ادیان می‌تواند گونه‌ای از معنویت را برای شخص به ارمغان آورد، این‌گونه معنویتِ دین‌دارانه قابل جمع با عقلانیت نیست؛ و چون نمی‌توان از عقلانیت چشم پوشید، لاجرم باید از معنویت دین‌دارانه دست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ادعا، دین‌داری مستلزم تبعیت محض و بی‌چون و چرا در باورهاست، و تبعیتِ محض و بی‌چون و چرا در باورها با عقلانیت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دین‌داری را با عقلانیت جمع کرد؛ در حالی که معنویتِ بدون دین‌داری مستلزم تبعیت محض نیست و با عقلانیت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دین‌داری و معنویت‌های دین‌دارانه به نفع معنویت‌های عاری از دین‌داری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تنها به بررسی یک بخش از این ادعای چندبخشی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ناممکن‌بودن جمع دین‌داری و 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انکار امکانِ جمع دین‌داری و عقلانیت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پذیرش امکان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ناسازگارگرا ادعایی موجّهاتی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modal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دارد، و نه صرفاً ادعایی ناظر به امر واقع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factual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ادعای ناسازگارگرا تنها این نیست که دین‌داری تاکنون با عقلانیت جمع نشده است، یا دین‌داری در آینده با عقلانیت جمع نمی‌شود؛ ادعا این است که ممکن نیست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not possible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دین‌داری با عقلانیت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دیدگاه، سازگارگرایی قرار دارد که ادعا می‌کند ممکن است دین‌داری با عقلانیت جمع شود، و نه آنکه دین‌داری با عقلانیت جمع شده است، یا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سازگارگرایی نیز دیدگاهی موجّهاتی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مراد راقم سطور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تعهد نظری و عملی به آموزه‌های یک دین،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توجیه نظری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theoretical justification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نظری، در برابر توجیه عملی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practical justification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توجیه معطوف به صدق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ادعای ناسازگاریِ تدیّن و عقلانیت، و ناممکن‌دانستن جمع دین‌داری و خردورزی ما را بر سر یک دوراهی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و تعهد به اسلام در یک‌سو و عقلانیت و تعهد به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در سوی دیگر؛ زیرا نمی‌توان توأمان هم اهل تدین بود و هم اهل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تدین، خردورزی تعطیل می‌شود و با فتح باب خردورزی، راه تدین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پاس‌داشتن حرمت عقل و خرد باید دست از مسلمانی شست، و در مقابل، برای مسلمان‌بودن و ماندن، چاره‌ای جز وداع با خردورزی و تعقل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زعم من، دین‌داری به معنای عام کلمه ـ یعنی تعهد نظری و عملی به آموزه‌های یک</w:t>
      </w:r>
    </w:p>
    <w:p>
      <w:pPr>
        <w:pStyle w:val="BookText"/>
        <w:rPr/>
      </w:pPr>
      <w:r>
        <w:rPr>
          <w:rFonts w:ascii="IRNazanin" w:hAnsi="IRNazanin" w:eastAsia="IRNazanin"/>
          <w:color w:val="111111"/>
          <w:sz w:val="28"/>
          <w:sz w:val="28"/>
          <w:szCs w:val="28"/>
          <w:rtl w:val="true"/>
          <w:lang w:bidi="fa-IR"/>
        </w:rPr>
        <w:t xml:space="preserve">دین ـ نسبت به عقلانیت و عدم عقلانیت، خنثا و بی‌طرف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neutral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مستلزم هیچ‌کدام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دین‌داری، فی‌نفسه، ممکن است عقلانی یا غیرعقلانی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نه با عقلانیت ناسازگار است و نه با عدم 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طرف، هیچ ملازمه‌ای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نه مستلزم عقلانیت است و نه مستلزم عدم 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دین‌داری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معقول و خردپسند، و دین‌داری نامعقول و نابخردانه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دین‌داری‌ها حریم عقلانیت را پاس می‌دارد و برخی آن را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ادیان، از جمله در تاریخ دین مبین اسلام، نمونه‌های متعددی از این دو نحوه دین‌داری ظهور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از آن‌رو که ناسازگارگرا در این بحث، صرفاً امکان جمع دین‌داری و عقلانیت را انکار می‌کند، نه امکان جمع دین‌داری و عدم عقلانیت را، تنها به بررسی امکانِ نخست خواهم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ناسازگارگرا برای دفاع از دیدگاه خود دو راه در پیش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نشان دهد که</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concept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دین‌داری و مفهوم عقلانیت، مشتمل بر عناصر ناسازگار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inconsistent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از این‌رو ممکن نیست مصادیق آنها با هم جمع شوند؛ و یا آنکه نشان دهد ماهیت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دین‌داری و ماهیت عقلانیت، مستلزم ویژگی‌های غیرقابل جمع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incompatible properties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نمی‌رسد راهی جز این دو برای نشان دادن ناسازگاری وجود داشته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 به توضیح نیست که شهوداً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intuitively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هیچ ناسازگاری مفهومی میان دین‌داری و عقلانیت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ناسازگارگرا نیز مدعی ناسازگاری مفهومی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دین‌داری مستلزم ویژگی‌ای است که با وفاداری به عقلانیت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مورد نظر، اعتماد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trust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اطاعت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obedience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پایة این تلقی،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دین‌داری مستلزم اطاعت عقیدتیِ کورکورانه و بی‌مبنا و اساس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عقلانیت مستلزم عدم اطاعت عقیدتیِ کورکورانه و بی‌مبنا و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پذیرفتنِ توأمان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 را از پذیرش امکان جمع دین‌داری و عقلانیت ناتوان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وضوح نادرست و غیرقابل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دین‌داری به طور عام و مسلمانی به طور خاص، مستلزم اعتماد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trust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اطاعت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obedience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اما به هیچ وجه مستلزم اعتماد و اطاعتِ کور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blind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بی‌مبنا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groundless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معرفتی و اطاعتِ فکری و عقیدتی، ضرورتاً کور نیست، بلکه ممکن است آگاهانه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informed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معقول و موجّه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اعتماد معرفتی و اطاعتِ عقیدتی با استدلال‌های عقلانی یا دیگر منابع معتبرِ معرفتی پشتیبانی شده، از طریق منابع معرفتی معتبر نیز نقض نشود، معقول و خردپسند و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می‌تواند عاری از اعتماد معرفتیِ بی‌اساس و اطاعت فکری و عقیدتیِ کور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دین‌داری نه تنها ممکن است عاری از اطاعت عقیدتیِ کور باشد، که ممکن است اساساً عاری از هرگونه اطاعت عقیدتی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موضوع، ابتدا توجه کنیم که دین‌داری مستلزم پذیرفتن تمام آموزه‌های یک آیین صرفاً بر پایة اطاعت فکری و عقیدتیِ محض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مستلزمِ تعهد نظری و عملی به آموزه‌های یک دین است، اما ضرورتی ندارد که تعهد نظری به آموزه‌های یک دین ـ یعنی پذیرفتن یا باور کردنِ آموزه‌های یک دین ـ تنها و تنها بر اساس اطاعتِ عقیدتی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مسلمان است تمام آموزه‌های اسلام را می‌پذیرد، اما لازم نیست تمام آن آموزه‌ها را صرفاً بر اساس اطاعت فکری از پیامبر اسلام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به خداوند ایمان دارند و وجود او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پذیرش وجود خداوند مهم‌ترین رکن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مسلمانی است، و هیچ‌کس بدون آن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عموم مسلمانان وجود خداوند را نه بر اساس اطاعت فکری و عقیدتی از پیامبر اسلام، بلکه بر اساس استدلال‌های عقلی و یا شواهد و دلایلی که خود مستقلاً دارند،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آیینی را فرض کنید که پذیرفتن هیچ یک از آموزه‌هایش نیازمند اطاعتِ عقیدتی از بنیان‌گذار آن آیین نیست، و می‌توان تمام آموزه‌های آن آیین را به کمک منابع معرفتیِ عمومی یا غیرمذهبی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علی‌رغم آمادگیِ کامل برای اطاعتِ عقیدتی از بنیان‌گذار آیین الف، تمام آموزه‌های آیین الف را بدون استفاده از اطاعتِ عقیدتی می‌پذیرد، به آن آیین تعهد نظری نداشته، متدیّن به آن دین نیست؟ شهود مشترک ما چنین محدودیتی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باید پذیرفت که ماهیت دین‌داری مستلزم اطاعت عقیدتیِ بالفعل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actual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نیست، بلکه آمادگی برای اطاعت عقیدتی،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دین‌داری مستلزم این است که چنانچه پذیرش آموزه‌ای از آموزه‌های دینی، بدون اطاعتِ عقیدتی میسّر نباشد، آن آموزه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یک شرطی خلاف واقع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counterfactual conditional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نه تنها نمی‌توان پذیرفت که دین‌داری مستلزم اطاعت عقیدتیِ کورکورانه و بی‌مبنا و اساس است، که نمی‌توان پذیرفت دین‌داری مستلزم اطاعت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باید حکم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جایگزین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دین‌داری مستلزم آمادگی برای اطاعت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مستلزم ناسازگاری دین‌داری و عقلانیت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مانعی در برابر سازگارگرایی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ناسازگارگرا ادعای خود را تعدیل کرده،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دین‌داری مستلزم آن است که صدق برخی از آموزه‌ها را صرفاً به دلیل آن‌که پیامبر می‌گوید بپذیریم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صورت تعدیل‌شدة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چه بسا بتواند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نیز پوشش دهد</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c1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دین‌داری مستلزم آمادگی برای پذیرش صدق برخی از آموزه‌ها صرفاً به دلیل سخن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نه </w:t>
      </w:r>
      <w:r>
        <w:rPr>
          <w:rFonts w:eastAsia="Times New Roman" w:cs="Times New Roman" w:ascii="Times New Roman" w:hAnsi="Times New Roman"/>
          <w:color w:val="111111"/>
          <w:sz w:val="28"/>
          <w:szCs w:val="28"/>
          <w:lang w:val="en-US" w:bidi="en-US"/>
        </w:rPr>
        <w:t>c1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مستلزم ناسازگارگرایی هستند و نه </w:t>
      </w:r>
      <w:r>
        <w:rPr>
          <w:rFonts w:eastAsia="Times New Roman" w:cs="Times New Roman" w:ascii="Times New Roman" w:hAnsi="Times New Roman"/>
          <w:color w:val="111111"/>
          <w:sz w:val="28"/>
          <w:szCs w:val="28"/>
          <w:lang w:val="en-US" w:bidi="en-US"/>
        </w:rPr>
        <w:t>c1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بنابر این ناسازگارگرا باید حکم دیگری را به </w:t>
      </w:r>
      <w:r>
        <w:rPr>
          <w:rFonts w:eastAsia="Times New Roman" w:cs="Times New Roman" w:ascii="Times New Roman" w:hAnsi="Times New Roman"/>
          <w:color w:val="111111"/>
          <w:sz w:val="28"/>
          <w:szCs w:val="28"/>
          <w:lang w:val="en-US" w:bidi="en-US"/>
        </w:rPr>
        <w:t>c1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اضافه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عقلانیت مستلزم عدم آمادگی برای پذیرش صدق برخی از آموزه‌ها صرفاً به دلیل سخن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افزون بر غیرقابلِ‌پذیرش‌بودنِ </w:t>
      </w:r>
      <w:r>
        <w:rPr>
          <w:rFonts w:eastAsia="Times New Roman" w:cs="Times New Roman" w:ascii="Times New Roman" w:hAnsi="Times New Roman"/>
          <w:color w:val="111111"/>
          <w:sz w:val="28"/>
          <w:szCs w:val="28"/>
          <w:lang w:val="en-US" w:bidi="en-US"/>
        </w:rPr>
        <w:t>r</w:t>
      </w:r>
      <w:r>
        <w:rPr>
          <w:rFonts w:ascii="IRNazanin" w:hAnsi="IRNazanin" w:eastAsia="IRNazanin"/>
          <w:color w:val="111111"/>
          <w:sz w:val="28"/>
          <w:sz w:val="28"/>
          <w:szCs w:val="28"/>
          <w:rtl w:val="true"/>
          <w:lang w:bidi="fa-IR"/>
        </w:rPr>
        <w:t xml:space="preserve">، به نظر نمی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آمادگی برای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عقلانیت و توجیه نظری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موضوع بحث را از عقلانیت نظری به سمت عقلانیت عملی تغییر جهت می‌دهد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مانور به تنهایی نمی‌تواند کمک چندانی به ناسازگارگرا بکند؛ زیرا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مستلزم ناسازگارگرایی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سازگارگرا می‌تواند ادعا کند که پذیرش صدق برخی از آموزه‌ها صرفاً به دلیل آن‌که پیامبر می‌گوید، غیرعقلانی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لازم است ناسازگارگرا حکمی شبیه این را نیز به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اضافه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عقلانیت مستلزم آن است که هیچ آموزه‌ای را صرفاً به دلیل آن‌که پیامبر می‌گوید، نپذیریم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برخی،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 مانند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واضح‌البطلان است، اما اجازه دهید تقریر دیگری از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دست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دین‌داری مستلزم آن است که صدق برخی آموزه‌ها را صرفاً به دلیل آن‌که دیگری می‌گوید، بپذیریم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عقلانیت مستلزم آن است که صدق هیچ آموزه‌ای را صرفاً به دلیل آن‌که دیگری می‌گوید، نپذیریم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برخلاف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واضح‌البطلان نیست و نیز روشن است که اگر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توأمان بپذیریم، جمع دین‌داری و عقلانیت را ناممکن دانسته‌ایم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نکتة مهم این است که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مبهم است و دو خوانش دارد؛ بنابر یک خوانش، درست است، اما مستلزم ناسازگاری دین‌داری و عقلانیت نیست و بنابر خوانش دیگر اگرچه مستلزم ناسازگاری دین‌داری و عقلانیت است، اما درست نیست؛ لذا خوانشی از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نیست که هم درست باشد و هم مستلزم ناسازگاری دین‌داری و عقلانیت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عقلانیت مستلزم آن است که صدق هیچ آموزه‌ای را اگر هیچ شاهد صدقی بر آن نداریم، و صرفاً شخص غیر قابل اعتمادی به آن گواهی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testimony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می‌دهد، نپذیریم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درست است؛ گو این‌که بیان دیگری است از مفاد این آیة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جَاءکُمْ فَاسِقٌ بِنَبَأٍ فَتَبَیَّنُوا الآیه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روشن است که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مستلزم ناسازگارگرایی نیستند، زیرا بنابر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دین‌داری مستلزم آن است که صدق برخی آموزه‌ها را صرفاً به دلیل آن‌که دیگری می‌گوید بپذیریم، نه آن‌که صدق برخی آموزه‌ها را صرفاً به دلیل آن‌که شخص غیرقابل اعتمادی می‌گوید،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توضیح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غیرقابل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چه بسا قابل اعتماد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reliable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نتیجه گرفت که دین‌داری و عقلانیت ناسازگارند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خوانش دیگری از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ببینیم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عقلانیت مستلزم آن است که صدق هیچ آموزه‌ای را اگر خودمان مستقلاً قادر بر راستی‌آزمایی آن نیستیم، هرچند شخص قابل اعتمادی به آن گواهی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testimony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دهد، نپذیریم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واضح است که در عموم ادیان آموزه‌هایی وجود دارد که مؤمنان قادر نیستند خود مستقلاً و بدون اتکا به پیامبر یا اولیای آن دین، آن را راستی‌آزمایی کنند؛ حتی به بیانی حداکثری و قوی‌تر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دین‌داری مستلزم آن است که صدق برخی آموزه‌ها را که خودمان مستقلاً نمی‌توانیم راستی‌آزمایی کنیم، صرفاً به دلیل آن‌که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اگر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توأمان با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بپذیریم، نمی‌توانیم دین‌داری و عقلانیت را سازگار دانسته، آن‌ها را قابل جمع بدانیم، اما آیا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درست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 xml:space="preserve">، عقلانیت مستلزم نقض‌نکردن تکلیف معرفتی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epistemic duty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چنانچه من خود نتوانم مستقلاً و بدون اعتماد به دیگران، آموزه‌ای را راستی‌آزمایی کنم، نباید آن را باور کنم یا بپذیرم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مستلزم بی‌اعتباریِ معرفتیِ منبع گواهی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testimony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بی‌اعتباردانستن گواهی، هزینة زیادی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بنابر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تمام کسانی که فاقد توان ارزیابی و راستی‌آزمایی نظریات علمی، از جمله نظریات فنّی موجود در رشته‌هایی چون فیزیک، شیمی و زیست‌شناسی هستند، نباید آن نظریات را باور کنند یا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 تمام کسانی که صرفاً با خواندن کتاب‌های فیزیک‌دانان معتبر و قابل اعتماد، نظریات فیزیکیِ رایج را پذیرفته‌اند، باورهای غیرعقلانی و ناموجّه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حامد دانش‌آموز باهوشی است که از معلم خود دلایل دانشمندان را بر درستی نظریة جنبشی آموخته است، اما به هیچ‌وجه هنوز مستقلاً توان ارزیابی این نظریه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چنانچه حامد نظریة جنبشی را بپذیرد، غیرعقلانی عمل کرده است؟ آیا باور حامد ناموجّه و غیرعقلانی است؟ بعید است کسی مایل باشد این دسته از باورها را ناموّجه و نامعقول ارزیابی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بنابر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 پذیرفتن وقوع رخدادهایی که خودمان مستقیماً شاهد وقوع آن نبوده‌ایم، و بالتبع نمی‌توانیم مستقلاً و بدون اعتماد به گزارش دیگران، راستیِ آنها را بپذیریم، ناموجّه و نامعقول است؛ از جمله این‌که پدربزرگ و مادربزرگ مرحوم ما چه کسانی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 پذیرفتن هیچ‌یک از رخدادهای تاریخی برای کسانی که خود مستقیماً شاهد و ناظر وقوع آن‌ها نبوده‌اند، موجّه و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اخبار روزنامه‌ها و خبرگزاری‌های قابل اعتماد نیز نامعقول است، چراکه ما مستقلاً و بدون اعتماد به دیگران قادر بر راستی‌آزمایی آنها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شاهد وقوع آن رخدادها نبوده‌ایم و چون آن وقایع در گذشته رخ داده و تکرار نمی‌شود، راستی‌آزماییِ مستقل آنها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همین مثال‌های ساده کافی است تا نشان دهد که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نادرست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تلقی تنگ‌نظرانه‌ای از عقلانیت است که در صورت پذیرش آن، بخش اعظم باورهای عموم انسان‌ها نامعقول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توجه روزافزون معرفت‌شناسان به نقش مهم و بی‌بدیل گواهی در توجیه و عقلانیتِ باورها، و ادبیات غنی و پرباری که در این حوزه شکل گرفته است، بیش از پیش روشن کرده است که اعتماد معرفتی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epistemic trust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بخشی جدایی‌ناپذیر از عقلانیت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این رأی را بپذیریم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عقلانیت مستلزم داورِنهایی‌بودن قوای ادراکی خویشتن است، و در نهایت تنها این قوای ادراکی شخص ماست که داور صحت و سقم یک ادعا یا آموزه است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ناچار نیستیم ناسازگارگرایی را پذیرفته، جمع دین‌داری و عقلانیت را ناممکن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پذیرش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مستلزم پذیرش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نیست، زیرا قوای ادراکی ما خود حکم می‌کند که باید در مواردی به دیگران اعتماد کنیم؛ و هرچند نمی‌توانیم سخنان آن‌ها را مستقلاً راستی‌آزمایی کنیم، اما کاملاً موجّه و معقول است که آن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مورد رخدادهای تاریخی که خود مستقیماً شاهد و ناظر وقوع آن‌ها نبوده‌ایم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انقلاب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وقوع آن‌ها در گذشته و تکرار نشدنشان، امکان راستی‌آزماییِ مستقلِ گزارش شاهدان عینیِ واقعه وجود ندارد، معقول است که به گواهی آن دسته از شاهدانی که قوای ادراکی سالمی دارند، راست‌گو هستند و در این مورد خاص انگیزه‌ای برای دروغ‌پردازی ندارند، اعتماد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نمونة دیگر از مواردی که معقول است به سخن کسانی که نمی‌توانیم سخنانشان را مستقلاً راستی‌آزمایی کنیم اعتماد کنیم، اعتماد به شهادت شاهدان وقوع یک قتل است در محضر دادگاه و پس از ادای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این قوای ادراکی شخص ماست که حکم می‌کند صدق شهادت چنین شاهدان قابل اعتمادی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می‌توانیم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پذیرفته، با ردّ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 شهادت شاهدان قابل اعتماد را بپذیریم، بدون آن‌که قادر باشیم صدق شهادت آنها را مستقلاً راستی‌آزمایی کنیم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نتیجة کلام این‌که ادعای ناسازگاری دین‌داری و عقلانیت، و غیرقابل جمع دانستن آن‌ها در تقریرهای مورد بررسی، نهایتاً در قالب یکی از دو صورت ذیل قابل تقریر است</w:t>
      </w:r>
      <w:r>
        <w:rPr>
          <w:rFonts w:eastAsia="IRNazanin" w:cs="IRNazanin"/>
          <w:color w:val="111111"/>
          <w:sz w:val="28"/>
          <w:szCs w:val="28"/>
          <w:rtl w:val="true"/>
          <w:lang w:bidi="fa-IR"/>
        </w:rPr>
        <w:t>:</w:t>
      </w:r>
      <w:bookmarkStart w:id="25" w:name="pg2666_20952"/>
    </w:p>
    <w:p>
      <w:pPr>
        <w:pStyle w:val="BookText"/>
        <w:rPr/>
      </w:pPr>
      <w:bookmarkEnd w:id="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مستلزم اعتماد و اطاعت کورکورانه است و عقلانیت با این ناسازگار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مستلزم نپذیرفتن صدق هر آموزه‌ای است که خودمان مستقلاً قادر بر راستی‌آزمایی آن نیستیم و دین‌داری با این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 یک از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مشتمل است بر حکمی واضح‌البطلان و حکمی واضح‌الصدق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هر دو ادعا واضح‌البطلان و بخش دومِ آن واضح‌الصدق است</w:t>
      </w:r>
      <w:r>
        <w:rPr>
          <w:rFonts w:eastAsia="IRNazanin" w:cs="IRNazanin"/>
          <w:color w:val="111111"/>
          <w:sz w:val="28"/>
          <w:szCs w:val="28"/>
          <w:rtl w:val="true"/>
          <w:lang w:bidi="fa-IR"/>
        </w:rPr>
        <w:t>.</w:t>
      </w:r>
    </w:p>
    <w:p>
      <w:pPr>
        <w:pStyle w:val="Heading3"/>
        <w:numPr>
          <w:ilvl w:val="2"/>
          <w:numId w:val="1"/>
        </w:numPr>
        <w:rPr/>
      </w:pPr>
      <w:bookmarkStart w:id="26" w:name="__RefHeading___Toc768240_1395250215"/>
      <w:bookmarkStart w:id="27" w:name="_Toc10"/>
      <w:bookmarkEnd w:id="26"/>
      <w:r>
        <w:rPr>
          <w:rtl w:val="true"/>
        </w:rPr>
        <w:t>منابع</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ملکیان، مصطفی و دیگران،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اقتراح؛ دین و عقلانیت در نظرخواهی از دانشوران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عابدی شاهرودی، مصطفی ملکیان و محمد لگنهاوزن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نقد و نظر، ش</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بازنشرشده در مصطفی ملکیان،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راهی به رهایی، تهران، نگاه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ملکیان، مصطفی،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معنویت و مدرنیته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روزنامه شرق، ش</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سنتی، انسان مدرن و مسئله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آیین، 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bookmarkStart w:id="28" w:name="pg2666_20954"/>
    </w:p>
    <w:p>
      <w:pPr>
        <w:pStyle w:val="BookText"/>
        <w:rPr/>
      </w:pPr>
      <w:bookmarkEnd w:id="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Heading2"/>
        <w:numPr>
          <w:ilvl w:val="1"/>
          <w:numId w:val="1"/>
        </w:numPr>
        <w:rPr/>
      </w:pPr>
      <w:bookmarkStart w:id="29" w:name="__RefHeading___Toc768242_1395250215"/>
      <w:bookmarkStart w:id="30" w:name="_Toc11"/>
      <w:bookmarkEnd w:id="29"/>
      <w:r>
        <w:rPr>
          <w:rtl w:val="true"/>
        </w:rPr>
        <w:t>کاربست عقل در استنباط آموزه‌های کلامی از دیدگاه فاضل مقداد</w:t>
      </w:r>
      <w:bookmarkEnd w:id="30"/>
    </w:p>
    <w:p>
      <w:pPr>
        <w:pStyle w:val="Heading3"/>
        <w:numPr>
          <w:ilvl w:val="2"/>
          <w:numId w:val="1"/>
        </w:numPr>
        <w:rPr/>
      </w:pPr>
      <w:bookmarkStart w:id="31" w:name="__RefHeading___Toc768244_1395250215"/>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رضا برنجکار</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مهدی سالکی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1393/10/29</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1393/12/22</w:t>
      </w:r>
    </w:p>
    <w:p>
      <w:pPr>
        <w:pStyle w:val="Heading3"/>
        <w:numPr>
          <w:ilvl w:val="2"/>
          <w:numId w:val="1"/>
        </w:numPr>
        <w:rPr/>
      </w:pPr>
      <w:bookmarkStart w:id="33" w:name="__RefHeading___Toc768246_1395250215"/>
      <w:bookmarkStart w:id="34" w:name="_Toc13"/>
      <w:bookmarkEnd w:id="33"/>
      <w:r>
        <w:rPr>
          <w:rtl w:val="true"/>
        </w:rPr>
        <w:t>چکیده</w:t>
      </w:r>
      <w:bookmarkEnd w:id="34"/>
    </w:p>
    <w:p>
      <w:pPr>
        <w:pStyle w:val="BookText"/>
        <w:rPr/>
      </w:pPr>
      <w:r>
        <w:rPr>
          <w:rFonts w:ascii="IRNazanin" w:hAnsi="IRNazanin" w:eastAsia="IRNazanin"/>
          <w:color w:val="111111"/>
          <w:sz w:val="28"/>
          <w:sz w:val="28"/>
          <w:szCs w:val="28"/>
          <w:rtl w:val="true"/>
          <w:lang w:bidi="fa-IR"/>
        </w:rPr>
        <w:t>بررسی روشی علم کلام، از جمله مباحث مورد نیاز جامعۀ علمی امروز است که تاکنون چندان مورد توجه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امامیه از دو روش عقلی و نقلی برای استنباط آموزه‌های دینی و دفاع از آن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رویکرد تحلیلی دربارۀ آثار کلامی فاضل مقداد، به بررسی این مسئله می‌پردازد که او از چه کاربست‌هایی از عقل در استنباط آموزه‌های کلامی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از عقل هم به عنوان منبع و هم به عنوان ابزاری در خدمت نقل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پرکاربردترین روش عقل نظری در استنباط آموزه‌ها، کشف استلزامات، و در عقل عملی، حسن و قبح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از کارکرد استنباطی عقل در محدودۀ نقل، با استفاده از روش‌های توصیف و اعتباربخشی به نقل، و هم‌چنین پاسخ‌گویی به شبهات بهره می‌برد</w:t>
      </w:r>
      <w:r>
        <w:rPr>
          <w:rFonts w:eastAsia="IRNazanin" w:cs="IRNazanin"/>
          <w:color w:val="111111"/>
          <w:sz w:val="28"/>
          <w:szCs w:val="28"/>
          <w:rtl w:val="true"/>
          <w:lang w:bidi="fa-IR"/>
        </w:rPr>
        <w:t>.</w:t>
      </w:r>
    </w:p>
    <w:p>
      <w:pPr>
        <w:pStyle w:val="Heading3"/>
        <w:numPr>
          <w:ilvl w:val="2"/>
          <w:numId w:val="1"/>
        </w:numPr>
        <w:rPr/>
      </w:pPr>
      <w:bookmarkStart w:id="35" w:name="__RefHeading___Toc768248_1395250215"/>
      <w:bookmarkStart w:id="36" w:name="_Toc14"/>
      <w:bookmarkEnd w:id="35"/>
      <w:r>
        <w:rPr>
          <w:rtl w:val="true"/>
        </w:rPr>
        <w:t>واژگان کلیدی</w:t>
      </w:r>
      <w:bookmarkEnd w:id="3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عقلی، استنباط، فاضل مقداد، عقل عملی، عقل نظری، عقل استنباطی</w:t>
      </w:r>
      <w:r>
        <w:rPr>
          <w:rFonts w:eastAsia="IRNazanin" w:cs="IRNazanin"/>
          <w:color w:val="111111"/>
          <w:sz w:val="28"/>
          <w:szCs w:val="28"/>
          <w:rtl w:val="true"/>
          <w:lang w:bidi="fa-IR"/>
        </w:rPr>
        <w:t>.</w:t>
      </w:r>
      <w:bookmarkStart w:id="37" w:name="pg2666_20955"/>
    </w:p>
    <w:p>
      <w:pPr>
        <w:pStyle w:val="BookText"/>
        <w:rPr/>
      </w:pPr>
      <w:bookmarkEnd w:id="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3"/>
        <w:numPr>
          <w:ilvl w:val="2"/>
          <w:numId w:val="1"/>
        </w:numPr>
        <w:rPr/>
      </w:pPr>
      <w:bookmarkStart w:id="38" w:name="__RefHeading___Toc768250_1395250215"/>
      <w:bookmarkStart w:id="39" w:name="_Toc15"/>
      <w:bookmarkEnd w:id="38"/>
      <w:r>
        <w:rPr>
          <w:rtl w:val="true"/>
        </w:rPr>
        <w:t>درآمد</w:t>
      </w:r>
      <w:bookmarkEnd w:id="39"/>
    </w:p>
    <w:p>
      <w:pPr>
        <w:pStyle w:val="BookText"/>
        <w:rPr/>
      </w:pPr>
      <w:r>
        <w:rPr>
          <w:rFonts w:ascii="IRNazanin" w:hAnsi="IRNazanin" w:eastAsia="IRNazanin"/>
          <w:color w:val="111111"/>
          <w:sz w:val="28"/>
          <w:sz w:val="28"/>
          <w:szCs w:val="28"/>
          <w:rtl w:val="true"/>
          <w:lang w:bidi="fa-IR"/>
        </w:rPr>
        <w:t>با توجه به نیاز امروز جامعۀ شیعه به استنباط مباحث کلامی و دفاع از حقانیت اصول اعتقادی مذهب تشیع، برای کسب این مهم باید به دنبال روش‌هایی متناسب و قابل ارائه به مجامع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سودمند در این زمینه، بهره‌گیری از آثار کلامی به‌جامانده از متکلمان بزرگ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بن عبدالله سیوری، مشهور به فاضل مقداد، یکی از متکلمان بزرگ امامیه در مدرسۀ حله است که در علم کلام تألیفات ارزش‌مندی دارد و شرح ایشان بر کتاب باب حادی عشر علامه حلی، جزء متون درسی حوزه‌های علمیه و دانشگاه‌هاست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بررسی کاربست عقل در استنباط آموزه‌های کلامی از دیدگاه فاضل مقداد می‌پردازیم و بررسی روش نقلی و مرحلۀ دفاع را به زمان دیگری موکول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تاکنون در آثار ایشان چنین کاری صورت نگرفته است؛ بنابراین این تحقیق پیشینۀ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کتب ایشان و هم‌چنین کتاب روش‌شناسی 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استنباط و دفاع در عقاید، تألیف دکتر برنجکار، می‌توان به عنوان پیشینۀ عام این تحقیق اشاره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استنباط آموزه‌های کلامی، عقل جایگاه والایی دارد که با توجه به کارکردهای متفاوتی که دارد، استفاده‌های گوناگونی از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عقل در استنباط مسائل اعتقادی، سه کارکرد مهم ذکر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نظری، کارکرد عملی و کارکرد استنباطی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کارکرد نظری عقل، کشف حقایق نظری و هست‌ها و نیست‌هاست، که این کارکرد مورد قبول همۀ مکاتب مهم کلامی بوده و تفاوت در گستره و نحوۀ استفاده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کارکرد عملی عقل، همان ادراک حسن و قبح ذاتی افعال می‌باشد که مورد اختلاف متکلمان اسلام قرار گرفته است؛ امامیه و معتزله قائل به ادراک عملی عقل هستند و در مقابل، اهل حدیث، اشاعره و حنابله، این کارکرد را قبول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کارکرد، عقل به عنوان منبع معرفتی است که گزارۀ مستقل معرفتی به ما می‌دهد، اما در کارکرد سوم، یعنی کارکرد استنباطی، عقل منبع مستقل معرفت نیست، بلکه عقل در این کارکرد به عنوان ابزاری در خدمت نقل استفاده می‌شود؛ به عبارت دیگر، مراد از کارکرد استنباطی عقل، نقش عقل در استفاده از روش نقلی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متکلم در روش نقلی ـ که منبع دیگری در عرض عقل است ـ به صرف نقل متن اکتفا</w:t>
      </w:r>
      <w:bookmarkStart w:id="40" w:name="pg2666_20956"/>
    </w:p>
    <w:p>
      <w:pPr>
        <w:pStyle w:val="BookText"/>
        <w:rPr/>
      </w:pPr>
      <w:bookmarkEnd w:id="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نمی‌کند، بلکه به ظهورگیری از آن پرداخته و در برخی موارد با ارائه تحلیل عقلی از متن و مستندسازی آن، به استنباط آموزه و یا اثبات آن می‌پردازد که همۀ این امور به کمک کارکرد استنباطی عقل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مطالبی که گفته شد، روشن می‌شود که هیچ‌گاه بین عقل استنباطی و نقل تعارض رخ نخواهد داد، زیرا این کارکرد در عرض نقل نیست، بلکه در طول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سه کارکرد، به کاربست عقل در استنباط آموزه‌های کلامی از دیدگاه فاضل مقداد می‌پردازیم</w:t>
      </w:r>
      <w:r>
        <w:rPr>
          <w:rFonts w:eastAsia="IRNazanin" w:cs="IRNazanin"/>
          <w:color w:val="111111"/>
          <w:sz w:val="28"/>
          <w:szCs w:val="28"/>
          <w:rtl w:val="true"/>
          <w:lang w:bidi="fa-IR"/>
        </w:rPr>
        <w:t>.</w:t>
      </w:r>
    </w:p>
    <w:p>
      <w:pPr>
        <w:pStyle w:val="Heading3"/>
        <w:numPr>
          <w:ilvl w:val="2"/>
          <w:numId w:val="1"/>
        </w:numPr>
        <w:rPr/>
      </w:pPr>
      <w:bookmarkStart w:id="41" w:name="__RefHeading___Toc768252_1395250215"/>
      <w:bookmarkStart w:id="42" w:name="_Toc16"/>
      <w:bookmarkEnd w:id="41"/>
      <w:r>
        <w:rPr/>
        <w:t>1</w:t>
      </w:r>
      <w:r>
        <w:rPr>
          <w:rtl w:val="true"/>
        </w:rPr>
        <w:t xml:space="preserve">. </w:t>
      </w:r>
      <w:r>
        <w:rPr>
          <w:rtl w:val="true"/>
        </w:rPr>
        <w:t>کاربست عقل نظری</w:t>
      </w:r>
      <w:bookmarkEnd w:id="42"/>
    </w:p>
    <w:p>
      <w:pPr>
        <w:pStyle w:val="Heading4"/>
        <w:numPr>
          <w:ilvl w:val="3"/>
          <w:numId w:val="1"/>
        </w:numPr>
        <w:rPr/>
      </w:pPr>
      <w:bookmarkStart w:id="43" w:name="__RefHeading___Toc768254_1395250215"/>
      <w:bookmarkStart w:id="44" w:name="_Toc17"/>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فاضل مقداد از متکلمانی است که در مباحث کلامی از عقل به عنوان منبع، استفاده‌های فراوانی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کارکرد نظری عقل از روش‌های متعددی برای استنباط آموزه‌های کلامی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مهم‌ترینِ این موارد می‌پردازیم</w:t>
      </w:r>
      <w:r>
        <w:rPr>
          <w:rFonts w:eastAsia="IRNazanin" w:cs="IRNazanin"/>
          <w:color w:val="111111"/>
          <w:sz w:val="28"/>
          <w:szCs w:val="28"/>
          <w:rtl w:val="true"/>
          <w:lang w:bidi="fa-IR"/>
        </w:rPr>
        <w:t>.</w:t>
      </w:r>
    </w:p>
    <w:p>
      <w:pPr>
        <w:pStyle w:val="Heading4"/>
        <w:numPr>
          <w:ilvl w:val="3"/>
          <w:numId w:val="1"/>
        </w:numPr>
        <w:rPr/>
      </w:pPr>
      <w:bookmarkStart w:id="45" w:name="__RefHeading___Toc768256_1395250215"/>
      <w:bookmarkStart w:id="46" w:name="_Toc18"/>
      <w:bookmarkEnd w:id="45"/>
      <w:r>
        <w:rPr/>
        <w:t>1</w:t>
      </w:r>
      <w:r>
        <w:rPr>
          <w:rtl w:val="true"/>
        </w:rPr>
        <w:t>ـ</w:t>
      </w:r>
      <w:r>
        <w:rPr/>
        <w:t>1</w:t>
      </w:r>
      <w:r>
        <w:rPr>
          <w:rtl w:val="true"/>
        </w:rPr>
        <w:t xml:space="preserve">. </w:t>
      </w:r>
      <w:r>
        <w:rPr>
          <w:rtl w:val="true"/>
        </w:rPr>
        <w:t>کشف استلزامات</w:t>
      </w:r>
      <w:bookmarkEnd w:id="46"/>
    </w:p>
    <w:p>
      <w:pPr>
        <w:pStyle w:val="BookText"/>
        <w:rPr/>
      </w:pPr>
      <w:r>
        <w:rPr>
          <w:rFonts w:ascii="IRNazanin" w:hAnsi="IRNazanin" w:eastAsia="IRNazanin"/>
          <w:color w:val="111111"/>
          <w:sz w:val="28"/>
          <w:sz w:val="28"/>
          <w:szCs w:val="28"/>
          <w:rtl w:val="true"/>
          <w:lang w:bidi="fa-IR"/>
        </w:rPr>
        <w:t xml:space="preserve">یکی از روش‌هایی که عقل نظری با به‌کارگیری آن، به کشف آموزه‌های کلامی می‌پردازد،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استلزامات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عقل با استفاده از آموزه‌های پیشین، به برقراری ارتباط میان آن‌ها و گزاره‌های کلامی دیگر پرداخته و با کشف تلازم میان آن‌ها، به صحت گزاره‌های جدید اذعان نموده و زمینه را برای اعتقاد به آموزۀ جدید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علاوه بر سهولت و استفاده از منابع صحیح پیشین، در ازدیاد آموزه‌های کلامی بسیار کارگشاست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از این روش در استنباط و اثبات بسیار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مباحثی که فاضل مقداد از این روش استفاده کرده، استنباط صفات و افعال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با برقراری تلازم بین صفات کمالیه و هم‌چنین بین صفات سلبیه، به استنباط و اثبات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او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ملازمۀ بین وجوب وجود و استناد همه‌چیز به او با این صفت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کسی که قائم بالذات است و دیگران را نیز قوام می‌دهد، می‌داند؛ از این رو با تلازم بین وجوب وجود با قائم بالذات بودن، و تلازم بین استناد همۀ اشیا به او با قوام دادن به دیگران، این صفت را برای خداوند قائل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مقداد با برقراری بین صفت حکمت با غرض داشتن از فعل، اثبات می‌کند خداوند افعالش دارای غرض و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اثبات این ارتباط، نفی غرض را ملازم با عبث بودن</w:t>
      </w:r>
      <w:bookmarkStart w:id="47" w:name="pg2666_20957"/>
    </w:p>
    <w:p>
      <w:pPr>
        <w:pStyle w:val="BookText"/>
        <w:rPr/>
      </w:pPr>
      <w:bookmarkEnd w:id="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فعل می‌داند؛ از این رو حکیم نیز فعل عبث و بیهوده را انجام نمی‌دهد، زیرا حکیم کسی است که همه‌چیز بر وجه اکمل از او صادر می‌شود، و فعل عبث و بدون هدف، کمالی ندارد؛ لذا روشن می‌شود با اثبات صفت حکمت برای خداوند، باید پذیرفت که افعال او غرض نیز دارد و عبث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مباحث خداشناسی و شناخت صفات و افعال خداوند، این روش در سایر مباحث کلامی نیز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در بحث ثواب و عقاب برای اثبات دوام آن‌ها و این‌که علمِ به این دوام توسط عقل حاصل می‌شود، از این روش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کشف استلزام بین دوام استحقاق مدح و ذم، با دوام ثواب و عقاب، دائمی بودن و عقلی بودن این بحث را کشف و اثبات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در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صفات نقص از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اثبات صفت حیات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 وجود عالم دیگری غیر از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ملاحظه می‌شود، با برقراری ارتباط بین آموزه‌های کلامی و کشف استلزامات آن‌ها با عقل نظری، به خوبی می‌توان به کشف مسائل اعتقادی جدید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علاوه بر این‌که از عقل به عنوان یک منبع برای استنباط استفاده می‌شود، راهی برای اثبات آموزه‌های کشف‌شده نیز خواهد بود؛ به عبارت دیگر، همان راهی که برای استنباط از آن استفاده شده، برای اثبات همان آموزه نیز به کار می‌رود</w:t>
      </w:r>
      <w:r>
        <w:rPr>
          <w:rFonts w:eastAsia="IRNazanin" w:cs="IRNazanin"/>
          <w:color w:val="111111"/>
          <w:sz w:val="28"/>
          <w:szCs w:val="28"/>
          <w:rtl w:val="true"/>
          <w:lang w:bidi="fa-IR"/>
        </w:rPr>
        <w:t>.</w:t>
      </w:r>
    </w:p>
    <w:p>
      <w:pPr>
        <w:pStyle w:val="Heading4"/>
        <w:numPr>
          <w:ilvl w:val="3"/>
          <w:numId w:val="1"/>
        </w:numPr>
        <w:rPr/>
      </w:pPr>
      <w:bookmarkStart w:id="48" w:name="__RefHeading___Toc768258_1395250215"/>
      <w:bookmarkStart w:id="49" w:name="_Toc19"/>
      <w:bookmarkEnd w:id="48"/>
      <w:r>
        <w:rPr/>
        <w:t>2</w:t>
      </w:r>
      <w:r>
        <w:rPr>
          <w:rtl w:val="true"/>
        </w:rPr>
        <w:t>ـ</w:t>
      </w:r>
      <w:r>
        <w:rPr/>
        <w:t>1</w:t>
      </w:r>
      <w:r>
        <w:rPr>
          <w:rtl w:val="true"/>
        </w:rPr>
        <w:t xml:space="preserve">. </w:t>
      </w:r>
      <w:r>
        <w:rPr>
          <w:rtl w:val="true"/>
        </w:rPr>
        <w:t>بطلان دور و تسلسل</w:t>
      </w:r>
      <w:bookmarkEnd w:id="49"/>
    </w:p>
    <w:p>
      <w:pPr>
        <w:pStyle w:val="BookText"/>
        <w:rPr/>
      </w:pPr>
      <w:r>
        <w:rPr>
          <w:rFonts w:ascii="IRNazanin" w:hAnsi="IRNazanin" w:eastAsia="IRNazanin"/>
          <w:color w:val="111111"/>
          <w:sz w:val="28"/>
          <w:sz w:val="28"/>
          <w:szCs w:val="28"/>
          <w:rtl w:val="true"/>
          <w:lang w:bidi="fa-IR"/>
        </w:rPr>
        <w:t xml:space="preserve">کاربست دیگر عقل نظری در استنباط آموزه‌های کلامی که مورد استفادۀ فاضل مقداد بوده، استفاده از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دور و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کاربست در مباحث خداشناسی، فراگیر و روشن است؛ لذا در این‌جا به ذکر مثالی از دیگر ابواب می‌پردازیم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مقداد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عصمت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قاعده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علت وجوب وجود امام، این است که مکلفان امکان خطا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امام نیز وقوع خطا از او جایز باشد، پس باید برای او نیز امام و رئیسی را نصب نمود، و همین‌طور بحث ادامه پیدا می‌کند و موجب تسلسل می‌شود که باطل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استحاله به دلیل فرض وقوع خطا از جانب امام بود؛ پس این فرض نیز باطل است، بنابراین امام باید معصوم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bookmarkStart w:id="50" w:name="pg2666_20958"/>
    </w:p>
    <w:p>
      <w:pPr>
        <w:pStyle w:val="BookText"/>
        <w:rPr/>
      </w:pPr>
      <w:bookmarkEnd w:id="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Heading4"/>
        <w:numPr>
          <w:ilvl w:val="3"/>
          <w:numId w:val="1"/>
        </w:numPr>
        <w:rPr/>
      </w:pPr>
      <w:bookmarkStart w:id="51" w:name="__RefHeading___Toc768260_1395250215"/>
      <w:bookmarkStart w:id="52" w:name="_Toc20"/>
      <w:bookmarkEnd w:id="51"/>
      <w:r>
        <w:rPr/>
        <w:t>3</w:t>
      </w:r>
      <w:r>
        <w:rPr>
          <w:rtl w:val="true"/>
        </w:rPr>
        <w:t>ـ</w:t>
      </w:r>
      <w:r>
        <w:rPr/>
        <w:t>1</w:t>
      </w:r>
      <w:r>
        <w:rPr>
          <w:rtl w:val="true"/>
        </w:rPr>
        <w:t xml:space="preserve">. </w:t>
      </w:r>
      <w:r>
        <w:rPr>
          <w:rtl w:val="true"/>
        </w:rPr>
        <w:t>استحالۀ تحصیل حاصل</w:t>
      </w:r>
      <w:bookmarkEnd w:id="52"/>
    </w:p>
    <w:p>
      <w:pPr>
        <w:pStyle w:val="BookText"/>
        <w:rPr/>
      </w:pPr>
      <w:r>
        <w:rPr>
          <w:rFonts w:ascii="IRNazanin" w:hAnsi="IRNazanin" w:eastAsia="IRNazanin"/>
          <w:color w:val="111111"/>
          <w:sz w:val="28"/>
          <w:sz w:val="28"/>
          <w:szCs w:val="28"/>
          <w:rtl w:val="true"/>
          <w:lang w:bidi="fa-IR"/>
        </w:rPr>
        <w:t xml:space="preserve">یکی دیگر از مبادی عقل نظری که در استدلال و برهان کاربرد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و استحالۀ تحصیل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در بحث حدوث و قدم، برای اثبات این‌که موجود قدیم نمی‌تواند اثر و فعل موجود دارای اختیار باشد، از این قاعده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علت این است که فعل موجود مختار مسبوق به داعی بوده و داعی نیز فقط به معدومات تعلق می‌گیرد، چراکه اگر بخواهد به شیء موجود تعلق بگیرد، تحصیل حاصل لازم می‌آید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چیزی که موجود است، دیگر نیازی ندارد که دیگری او را به وجود بیاورد؛ پس اگر چیزی بخواهد او را به وجود بیاورد، در حقیقت تلاش برای رسیدن به چیزی است که خودش حاصل است، و این همان تحصیل حاصل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فعل موجود مختار باید مسبوق به عدم باشد تا تعلق داعی به آن صحیح باشد، و این همان مطلوب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4"/>
        <w:numPr>
          <w:ilvl w:val="3"/>
          <w:numId w:val="1"/>
        </w:numPr>
        <w:rPr/>
      </w:pPr>
      <w:bookmarkStart w:id="53" w:name="__RefHeading___Toc768262_1395250215"/>
      <w:bookmarkStart w:id="54" w:name="_Toc21"/>
      <w:bookmarkEnd w:id="53"/>
      <w:r>
        <w:rPr/>
        <w:t>4</w:t>
      </w:r>
      <w:r>
        <w:rPr>
          <w:rtl w:val="true"/>
        </w:rPr>
        <w:t>ـ</w:t>
      </w:r>
      <w:r>
        <w:rPr/>
        <w:t>1</w:t>
      </w:r>
      <w:r>
        <w:rPr>
          <w:rtl w:val="true"/>
        </w:rPr>
        <w:t xml:space="preserve">. </w:t>
      </w:r>
      <w:r>
        <w:rPr>
          <w:rtl w:val="true"/>
        </w:rPr>
        <w:t>بطلان ترجیح بلا مرجح</w:t>
      </w:r>
      <w:bookmarkEnd w:id="54"/>
    </w:p>
    <w:p>
      <w:pPr>
        <w:pStyle w:val="BookText"/>
        <w:rPr/>
      </w:pPr>
      <w:r>
        <w:rPr>
          <w:rFonts w:ascii="IRNazanin" w:hAnsi="IRNazanin" w:eastAsia="IRNazanin"/>
          <w:color w:val="111111"/>
          <w:sz w:val="28"/>
          <w:sz w:val="28"/>
          <w:szCs w:val="28"/>
          <w:rtl w:val="true"/>
          <w:lang w:bidi="fa-IR"/>
        </w:rPr>
        <w:t xml:space="preserve">از دیگر مبادی عقل نظری که در استنباط و اثبات آموزه‌های کلامی مورد استفاده قرار می‌گیرد،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در بحث لزوم وحدت امام در زمان واحد، از این قاعده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ادلۀ صحت این ادعا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قیام دو امام در زمان واحد، محال لازم می‌آید، چراکه هر دوی آن‌ها با هم مساوی‌اند؛ پس هیچ اولویتی برای تبعیت از یکی از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تبعیت از یکی از آن‌ها، ترجیح بلامرجح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از هردوی آن‌ها نیز ممکن نیست، چون ممکن است با یکدیگر اختلاف داشته باشند، و تبعیت از هیچ‌کدام نیز مستلزم خروج از فرض است، زیرا پیش‌تر اثبات شد که وجود امام و تبعیت از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55" w:name="__RefHeading___Toc768264_1395250215"/>
      <w:bookmarkStart w:id="56" w:name="_Toc22"/>
      <w:bookmarkEnd w:id="55"/>
      <w:r>
        <w:rPr/>
        <w:t>2</w:t>
      </w:r>
      <w:r>
        <w:rPr>
          <w:rtl w:val="true"/>
        </w:rPr>
        <w:t xml:space="preserve">. </w:t>
      </w:r>
      <w:r>
        <w:rPr>
          <w:rtl w:val="true"/>
        </w:rPr>
        <w:t>کاربست عقل عملی</w:t>
      </w:r>
      <w:bookmarkEnd w:id="56"/>
    </w:p>
    <w:p>
      <w:pPr>
        <w:pStyle w:val="Heading4"/>
        <w:numPr>
          <w:ilvl w:val="3"/>
          <w:numId w:val="1"/>
        </w:numPr>
        <w:rPr/>
      </w:pPr>
      <w:bookmarkStart w:id="57" w:name="__RefHeading___Toc768266_1395250215"/>
      <w:bookmarkStart w:id="58" w:name="_Toc23"/>
      <w:bookmarkEnd w:id="57"/>
      <w:r>
        <w:rPr>
          <w:rtl w:val="true"/>
        </w:rPr>
        <w:t>اشاره</w:t>
      </w:r>
      <w:bookmarkEnd w:id="5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مقداد معتقد است همۀ مباحث عدل و حکمت الهی، متوقف بر حسن و قبح عقلی و کارکرد عملی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در بسیاری از مباحث کلامی دیگر نیز از عقل عملی و احکام آن استفاده می‌کند که در ادامه به برخی از آن‌ها اشاره می‌شود</w:t>
      </w:r>
      <w:r>
        <w:rPr>
          <w:rFonts w:eastAsia="IRNazanin" w:cs="IRNazanin"/>
          <w:color w:val="111111"/>
          <w:sz w:val="28"/>
          <w:szCs w:val="28"/>
          <w:rtl w:val="true"/>
          <w:lang w:bidi="fa-IR"/>
        </w:rPr>
        <w:t>.</w:t>
      </w:r>
      <w:bookmarkStart w:id="59" w:name="pg2666_20959"/>
    </w:p>
    <w:p>
      <w:pPr>
        <w:pStyle w:val="BookText"/>
        <w:rPr/>
      </w:pPr>
      <w:bookmarkEnd w:id="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علاوه بر آن‌که حسن و قبح به طور مستقیم به متکلم در استنباط آموزه‌های کلامی کمک می‌کند، با اثبات برخی قواعد مهمّ کلامی که خودشان دسته‌ای از مسائل کلامی دیگر را در بر می‌گیرند، به صورت غیرمستقیم نیز در استنباط مسائل کلامی، کارآیی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ابتدا به بیان مسائلی که مستقیم با حسن و قبح اثبات می‌شوند، پرداخته و سپس به ذکر آموزه‌های زیربنایی که هر کدام در استنباط و اثبات دسته‌ای از مسائل کلامی مؤثرند، و در عین حال از طریق عقل عملی و حسن و قبح عقلی کشف شده‌اند، می‌پردازیم</w:t>
      </w:r>
      <w:r>
        <w:rPr>
          <w:rFonts w:eastAsia="IRNazanin" w:cs="IRNazanin"/>
          <w:color w:val="111111"/>
          <w:sz w:val="28"/>
          <w:szCs w:val="28"/>
          <w:rtl w:val="true"/>
          <w:lang w:bidi="fa-IR"/>
        </w:rPr>
        <w:t>.</w:t>
      </w:r>
    </w:p>
    <w:p>
      <w:pPr>
        <w:pStyle w:val="Heading4"/>
        <w:numPr>
          <w:ilvl w:val="3"/>
          <w:numId w:val="1"/>
        </w:numPr>
        <w:rPr/>
      </w:pPr>
      <w:bookmarkStart w:id="60" w:name="__RefHeading___Toc768268_1395250215"/>
      <w:bookmarkStart w:id="61" w:name="_Toc24"/>
      <w:bookmarkEnd w:id="60"/>
      <w:r>
        <w:rPr/>
        <w:t>1</w:t>
      </w:r>
      <w:r>
        <w:rPr>
          <w:rtl w:val="true"/>
        </w:rPr>
        <w:t>ـ</w:t>
      </w:r>
      <w:r>
        <w:rPr/>
        <w:t>2</w:t>
      </w:r>
      <w:r>
        <w:rPr>
          <w:rtl w:val="true"/>
        </w:rPr>
        <w:t xml:space="preserve">. </w:t>
      </w:r>
      <w:r>
        <w:rPr>
          <w:rtl w:val="true"/>
        </w:rPr>
        <w:t>قاعدۀ حسن و قبح</w:t>
      </w:r>
      <w:bookmarkEnd w:id="61"/>
    </w:p>
    <w:p>
      <w:pPr>
        <w:pStyle w:val="BookText"/>
        <w:rPr/>
      </w:pPr>
      <w:r>
        <w:rPr>
          <w:rFonts w:ascii="IRNazanin" w:hAnsi="IRNazanin" w:eastAsia="IRNazanin"/>
          <w:color w:val="111111"/>
          <w:sz w:val="28"/>
          <w:sz w:val="28"/>
          <w:szCs w:val="28"/>
          <w:rtl w:val="true"/>
          <w:lang w:bidi="fa-IR"/>
        </w:rPr>
        <w:t>همان‌طور که ذکر شد، با اثبات حسن و قبح ذاتی افعال، مسائل مختلفی در علم کلام اثبات می‌شود؛ به‌خصوص مباحث مربوط به افعال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قاعده آن است که افعال انسان صرف نظر از اوامر و نواهی شارع، متصف به حسن و قبح می‌شوند و عقل انسان در برخی موارد، این حسن و قبح را درک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پس از اثبات این‌که خداوند فعل قبیح را انجام نمی‌دهد و ترک واجب نمی‌کند، به این مسئله می‌پردازد که خداوند، ارادۀ قبیح و امر به آن و هم‌چنین ترک ارادۀ حسن نیز انجام نمی‌دهد، زیرا تمامی این افعال، قبیحند و خداوند نیز فعل قبیح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خداوند متعال رضایت به فعل قبیح ندارد، زیرا رضایت به قبیح، همانند فعل قبیح، قبیح است و خداوند منزه از افعال قبیح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می‌شود، اثبات این صفات تنها پس از پذیرش کارکرد عملی عقل و اثبات حسن و قبح ذاتی افعال است؛ در غیر این صورت، یعنی اگر عقل قادر به درک حسن و قبح افعال نباشد، اثبات این صفات برای خداوند ممکن نخواهد بود، چراکه اساساً عقل انسان طبق این مبنا، خوبی و بدی فعل را بدون بیان شرع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صدق خداوند را نیز از طریق عقل عملی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خبر خدای متعال حتماً صادق است، زیرا کذب قبیح بوده و خداوند منزه از افعال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نسبتِ اضلال به خداوند را در دو معنا قبیح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ذکر می‌کند که اگر معنای اضلال، فعل گمراهی و گمراه کردن انسان و یا اشاره به خلاف حق باشد، جایز نیست به خداوند نسبت داده شود، زیرا هر دوی این افعال قبیح است و خداوند از انجام فعل قبیح، مبراست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مقداد در مباحث وجوب تکلیف از جانب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وجوب تکلیف بما یطاق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استحقاق ثواب و عقاب</w:t>
      </w:r>
      <w:bookmarkStart w:id="62" w:name="pg2666_20960"/>
    </w:p>
    <w:p>
      <w:pPr>
        <w:pStyle w:val="BookText"/>
        <w:rPr/>
      </w:pPr>
      <w:bookmarkEnd w:id="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کاربست عقل عملی استفاده می‌کند</w:t>
      </w:r>
      <w:r>
        <w:rPr>
          <w:rFonts w:eastAsia="IRNazanin" w:cs="IRNazanin"/>
          <w:color w:val="111111"/>
          <w:sz w:val="28"/>
          <w:szCs w:val="28"/>
          <w:rtl w:val="true"/>
          <w:lang w:bidi="fa-IR"/>
        </w:rPr>
        <w:t>.</w:t>
      </w:r>
    </w:p>
    <w:p>
      <w:pPr>
        <w:pStyle w:val="Heading4"/>
        <w:numPr>
          <w:ilvl w:val="3"/>
          <w:numId w:val="1"/>
        </w:numPr>
        <w:rPr/>
      </w:pPr>
      <w:bookmarkStart w:id="63" w:name="__RefHeading___Toc768270_1395250215"/>
      <w:bookmarkStart w:id="64" w:name="_Toc25"/>
      <w:bookmarkEnd w:id="63"/>
      <w:r>
        <w:rPr/>
        <w:t>2</w:t>
      </w:r>
      <w:r>
        <w:rPr>
          <w:rtl w:val="true"/>
        </w:rPr>
        <w:t>ـ</w:t>
      </w:r>
      <w:r>
        <w:rPr/>
        <w:t>2</w:t>
      </w:r>
      <w:r>
        <w:rPr>
          <w:rtl w:val="true"/>
        </w:rPr>
        <w:t xml:space="preserve">. </w:t>
      </w:r>
      <w:r>
        <w:rPr>
          <w:rtl w:val="true"/>
        </w:rPr>
        <w:t>قاعدۀ لطف</w:t>
      </w:r>
      <w:bookmarkEnd w:id="64"/>
    </w:p>
    <w:p>
      <w:pPr>
        <w:pStyle w:val="BookText"/>
        <w:rPr/>
      </w:pPr>
      <w:r>
        <w:rPr>
          <w:rFonts w:ascii="IRNazanin" w:hAnsi="IRNazanin" w:eastAsia="IRNazanin"/>
          <w:color w:val="111111"/>
          <w:sz w:val="28"/>
          <w:sz w:val="28"/>
          <w:szCs w:val="28"/>
          <w:rtl w:val="true"/>
          <w:lang w:bidi="fa-IR"/>
        </w:rPr>
        <w:t>قاعدۀ لطف یکی از قواعدی است که از طریق کارکرد عملی عقل به دست می‌آید و در اثبات برخی آموزه‌های مهم کلامی،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این است که بر خداوند واجب است اموری را که موجب می‌شود مکلف به انجام طاعات نزدیک شود و از ارتکاب مناهی دور شود</w:t>
      </w:r>
    </w:p>
    <w:p>
      <w:pPr>
        <w:pStyle w:val="BookText"/>
        <w:rPr/>
      </w:pPr>
      <w:r>
        <w:rPr>
          <w:rFonts w:ascii="IRNazanin" w:hAnsi="IRNazanin" w:eastAsia="IRNazanin"/>
          <w:color w:val="111111"/>
          <w:sz w:val="28"/>
          <w:sz w:val="28"/>
          <w:szCs w:val="28"/>
          <w:rtl w:val="true"/>
          <w:lang w:bidi="fa-IR"/>
        </w:rPr>
        <w:t xml:space="preserve">ـ مشروط به شرایطی ـ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وجوب بعثت نبی را با استفاده از قاعدۀ لطف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ذکر می‌کند که انجام مستمر نماز و روزه و دیگر تکالیف سمعی، موجب می‌شود انسان میل به شناخت خداوند و صفات او پیدا کند تا بداند که عبادت او سزاوار خداوند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تکالیف سمعی انسان را به تکالیف عقلی که شناخت خداوند است، نزدیک می‌کند؛ پس لطف است و لطف نیز از خداوند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تکالیف سمعی واجب باشد، بعثت انبیا نیز واجب خواهد بود، چراکه جز از راه ارسال رسل به دست نمی‌آیند؛ بنابراین بعثت انبیا بر خداوند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Heading4"/>
        <w:numPr>
          <w:ilvl w:val="3"/>
          <w:numId w:val="1"/>
        </w:numPr>
        <w:rPr/>
      </w:pPr>
      <w:bookmarkStart w:id="65" w:name="__RefHeading___Toc768272_1395250215"/>
      <w:bookmarkStart w:id="66" w:name="_Toc26"/>
      <w:bookmarkEnd w:id="65"/>
      <w:r>
        <w:rPr/>
        <w:t>3</w:t>
      </w:r>
      <w:r>
        <w:rPr>
          <w:rtl w:val="true"/>
        </w:rPr>
        <w:t>ـ</w:t>
      </w:r>
      <w:r>
        <w:rPr/>
        <w:t>2</w:t>
      </w:r>
      <w:r>
        <w:rPr>
          <w:rtl w:val="true"/>
        </w:rPr>
        <w:t xml:space="preserve">. </w:t>
      </w:r>
      <w:r>
        <w:rPr>
          <w:rtl w:val="true"/>
        </w:rPr>
        <w:t>دفع خوف و دفع ضرر محتمل</w:t>
      </w:r>
      <w:bookmarkEnd w:id="66"/>
    </w:p>
    <w:p>
      <w:pPr>
        <w:pStyle w:val="BookText"/>
        <w:rPr/>
      </w:pPr>
      <w:r>
        <w:rPr>
          <w:rFonts w:ascii="IRNazanin" w:hAnsi="IRNazanin" w:eastAsia="IRNazanin"/>
          <w:color w:val="111111"/>
          <w:sz w:val="28"/>
          <w:sz w:val="28"/>
          <w:szCs w:val="28"/>
          <w:rtl w:val="true"/>
          <w:lang w:bidi="fa-IR"/>
        </w:rPr>
        <w:t>یکی دیگر از متفرعات حسن و قبح عقلی، قاعدۀ دفع ضرر محتمل و دفع خوف است که برخی مسائل کلامی با استفاده از این قاعده،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می‌گوید دفع ضرر حسن بوده و لذا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خوف نیز اَلَم نفسانی است که اگر کسی بتواند آن را دفع کند، ولی این‌کار را نکند، مستحق ذم می‌باشد؛ بنابراین دفعش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مقداد در اولین مسئله کلامی، یعنی وجوب شناخت خداوند، می‌گوید معرفت خدای متعال واجب عقلی است، زیرا این شناخت دفع خوف می‌کند، به این صورت که مکلفی که خدا را نمی‌شناسد، به جهت اختلافات مردم در اعتقادات، احتمال می‌دهد خالقی برای او وجود داشته باشد که او را تکلیف به شناخت کرده، و در صورتی که به او شناخت نداشته باشد، او را عقاب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خوف احتمال عقاب برای او پیدا می‌شود که دفع آن با شناخت</w:t>
      </w:r>
      <w:bookmarkStart w:id="67" w:name="pg2666_20961"/>
    </w:p>
    <w:p>
      <w:pPr>
        <w:pStyle w:val="BookText"/>
        <w:rPr/>
      </w:pPr>
      <w:bookmarkEnd w:id="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خداوند حاصل می‌شود و چون دفع خوف واجب است، پس معرفت خداوند نیز که دافع خوف است، واجب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مباحث وجوب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قاعده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ملاحظه می‌شود، عقل عملی در بسیاری از مباحث و آموزه‌های کلامی کاربرد دارد و استنباط و اثبات بسیاری از آموزه‌ها در گرو کارکرد عملی عقل و اثبات حسن و قبح ذاتی افعال است</w:t>
      </w:r>
      <w:r>
        <w:rPr>
          <w:rFonts w:eastAsia="IRNazanin" w:cs="IRNazanin"/>
          <w:color w:val="111111"/>
          <w:sz w:val="28"/>
          <w:szCs w:val="28"/>
          <w:rtl w:val="true"/>
          <w:lang w:bidi="fa-IR"/>
        </w:rPr>
        <w:t>.</w:t>
      </w:r>
    </w:p>
    <w:p>
      <w:pPr>
        <w:pStyle w:val="Heading3"/>
        <w:numPr>
          <w:ilvl w:val="2"/>
          <w:numId w:val="1"/>
        </w:numPr>
        <w:rPr/>
      </w:pPr>
      <w:bookmarkStart w:id="68" w:name="__RefHeading___Toc768274_1395250215"/>
      <w:bookmarkStart w:id="69" w:name="_Toc27"/>
      <w:bookmarkEnd w:id="68"/>
      <w:r>
        <w:rPr/>
        <w:t>3</w:t>
      </w:r>
      <w:r>
        <w:rPr>
          <w:rtl w:val="true"/>
        </w:rPr>
        <w:t xml:space="preserve">. </w:t>
      </w:r>
      <w:r>
        <w:rPr>
          <w:rtl w:val="true"/>
        </w:rPr>
        <w:t>کاربست عقل استنباطی</w:t>
      </w:r>
      <w:bookmarkEnd w:id="69"/>
    </w:p>
    <w:p>
      <w:pPr>
        <w:pStyle w:val="Heading4"/>
        <w:numPr>
          <w:ilvl w:val="3"/>
          <w:numId w:val="1"/>
        </w:numPr>
        <w:rPr/>
      </w:pPr>
      <w:bookmarkStart w:id="70" w:name="__RefHeading___Toc768276_1395250215"/>
      <w:bookmarkStart w:id="71" w:name="_Toc28"/>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همان‌گونه که از مباحث مقدماتی روشن شد، عقل در این کارکرد به کشف مراد و مقصود از متن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برای کشف مقصود از متن با توجه به این کارکرد عقل، از روش‌های متعددی استفاده کرده است که به نقل آن‌ها می‌پردازیم</w:t>
      </w:r>
      <w:r>
        <w:rPr>
          <w:rFonts w:eastAsia="IRNazanin" w:cs="IRNazanin"/>
          <w:color w:val="111111"/>
          <w:sz w:val="28"/>
          <w:szCs w:val="28"/>
          <w:rtl w:val="true"/>
          <w:lang w:bidi="fa-IR"/>
        </w:rPr>
        <w:t>.</w:t>
      </w:r>
    </w:p>
    <w:p>
      <w:pPr>
        <w:pStyle w:val="Heading4"/>
        <w:numPr>
          <w:ilvl w:val="3"/>
          <w:numId w:val="1"/>
        </w:numPr>
        <w:rPr/>
      </w:pPr>
      <w:bookmarkStart w:id="72" w:name="__RefHeading___Toc768278_1395250215"/>
      <w:bookmarkStart w:id="73" w:name="_Toc29"/>
      <w:bookmarkEnd w:id="72"/>
      <w:r>
        <w:rPr/>
        <w:t>1</w:t>
      </w:r>
      <w:r>
        <w:rPr>
          <w:rtl w:val="true"/>
        </w:rPr>
        <w:t>ـ</w:t>
      </w:r>
      <w:r>
        <w:rPr/>
        <w:t>3</w:t>
      </w:r>
      <w:r>
        <w:rPr>
          <w:rtl w:val="true"/>
        </w:rPr>
        <w:t xml:space="preserve">. </w:t>
      </w:r>
      <w:r>
        <w:rPr>
          <w:rtl w:val="true"/>
        </w:rPr>
        <w:t>تمسک به ظهور</w:t>
      </w:r>
      <w:bookmarkEnd w:id="73"/>
    </w:p>
    <w:p>
      <w:pPr>
        <w:pStyle w:val="BookText"/>
        <w:rPr/>
      </w:pPr>
      <w:r>
        <w:rPr>
          <w:rFonts w:ascii="IRNazanin" w:hAnsi="IRNazanin" w:eastAsia="IRNazanin"/>
          <w:color w:val="111111"/>
          <w:sz w:val="28"/>
          <w:sz w:val="28"/>
          <w:szCs w:val="28"/>
          <w:rtl w:val="true"/>
          <w:lang w:bidi="fa-IR"/>
        </w:rPr>
        <w:t>همان‌گونه که پیش‌تر گفته شد، صرف نقل آیه و روایت، فعالیت کلامی به حساب نمی‌آید؛ البته این به معنای انکار نقش عقل در فهم معنا نیست، ولی در جایی که عقل به تحلیل و پیوند بین گزاره‌ها می‌پردازد، فعالیت کلامی و کارکرد عقل ابزاری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آموزه‌های کلامی، گاه با توجه به ظهور عبارات و الفاظ نقل صورت می‌گیرد که به نقل مثال‌هایی از استفادۀ فاضل مقداد از این روش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مقداد در بحث افضلیت انبیا بر ملائکه، به ظهور آیۀ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مبارکۀ آل‌عمران تمسک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درستی که خداوند آدم و نوح و آل ابراهیم و آل عمران را بر عالمیان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معنای فضیلت است، و از 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عمومیت بر همۀ عالم ـ عالم جن و انس و ملائکه ـ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روشن می‌شود که با توجه به ظهور آیه، خداوند این پیامبران را بر همۀ ملائکه و موجودات دیگر، برتری داده است و نمی‌توان قائل به افضلیت خصوص پیامبران مذکور در آیه شد، چراکه هر که قائل به برتری این پیامبران است، همۀ پیامبران را نیز افضل می‌داند؛ لذا قول به افضلیت خصوص این پیامبران خرق اجماع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او در تحقیق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با توجه به ظهور برخی آیات، ایمان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سه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جاءَهُمْ ما عَرَفُوا کَفَرُوا بِهِ؛ هنگامی که آنچه را</w:t>
      </w:r>
      <w:bookmarkStart w:id="74" w:name="pg2666_20962"/>
    </w:p>
    <w:p>
      <w:pPr>
        <w:pStyle w:val="BookText"/>
        <w:rPr/>
      </w:pPr>
      <w:bookmarkEnd w:id="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می‌شناختند، آمد، به آن کفر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 وَ اسْتَیْقَنَتْها أَنْفُسُهُمْ؛ و آن را انکار کردند، در حالی که به آن یقین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 ما أَنْزَلَ هؤُلاءِ إِلَّا رَبُّ السَّماواتِ وَ الْأَرْضِ؛ به تحقیق که دانستی، جز پروردگار آسمان‌ها و زمین اینان را نازل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و می‌گوید اگر ایمان صرف معرفت باشد، خداوند متعال در این آیات این‌گونه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آیۀ اول برای کافران معرفت اثبات شده، ولی ایمان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آیۀ سوم که از زبان حضرت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خطاب به فرعون است، معرفت به خالق و رب به فرعون نسبت داده شده، در حالی که فرعون ایمان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ظهور این آیات استفاده می‌شود که ایمان، صرف معرفت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او با استفاده از ظهور آیات دیگری اثبات می‌کند که ایمان، انجام واجبات و ترک محرمات و یا امری متشکل از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معتقد است در آیه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لَمْ یَلْبِسُوا إِیمانَهُمْ بِظُلْمٍ؛ کسانی‌که ایمان آوردند و ایمان خود را با ظلم نیالودند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مقید به نفی ظلم شده است؛ بنابراین نفی ظلم نمی‌تواند خود ایمان و یا جزء آن باشد، چراکه قید چیزی غیر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 کسانی‌که ایمان آوردند و اعمال صالح انجام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صالح عطف بر ایمان شده است، و اگر انجام اعمال صالح خود ایمان و یا جزء آن باشد، عطفِ چیزی بر خودش و یا عطف جزء بر کل لازم می‌آید، که هر دو نوع عطف، در کلام عرب شناخته‌شده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ایشان اثبات می‌کند ایمان تصدیق قلبی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شد، فاضل مقداد با تحلیل ظهور عبارات، و تقدیم و تأخیر الفاظ، به خوبی مقصود آیات را با استفاده از عقل ابزاری بیان کرد</w:t>
      </w:r>
      <w:r>
        <w:rPr>
          <w:rFonts w:eastAsia="IRNazanin" w:cs="IRNazanin"/>
          <w:color w:val="111111"/>
          <w:sz w:val="28"/>
          <w:szCs w:val="28"/>
          <w:rtl w:val="true"/>
          <w:lang w:bidi="fa-IR"/>
        </w:rPr>
        <w:t>.</w:t>
      </w:r>
    </w:p>
    <w:p>
      <w:pPr>
        <w:pStyle w:val="Heading4"/>
        <w:numPr>
          <w:ilvl w:val="3"/>
          <w:numId w:val="1"/>
        </w:numPr>
        <w:rPr/>
      </w:pPr>
      <w:bookmarkStart w:id="75" w:name="__RefHeading___Toc768280_1395250215"/>
      <w:bookmarkStart w:id="76" w:name="_Toc30"/>
      <w:bookmarkEnd w:id="75"/>
      <w:r>
        <w:rPr/>
        <w:t>2</w:t>
      </w:r>
      <w:r>
        <w:rPr>
          <w:rtl w:val="true"/>
        </w:rPr>
        <w:t>ـ</w:t>
      </w:r>
      <w:r>
        <w:rPr/>
        <w:t>3</w:t>
      </w:r>
      <w:r>
        <w:rPr>
          <w:rtl w:val="true"/>
        </w:rPr>
        <w:t xml:space="preserve">. </w:t>
      </w:r>
      <w:r>
        <w:rPr>
          <w:rtl w:val="true"/>
        </w:rPr>
        <w:t>تواتر معنوی</w:t>
      </w:r>
      <w:bookmarkEnd w:id="7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تواتر بر دو قسم است؛ گاهی تواتر لفظی است در جایی که الفاظ راویان در خبر به صورت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تواتر معنوی است؛ و آن در جایی است که الفاظ راویان متعدد است، ولی هر کدام از آن اخبار بر معنایی مشترک دلالت می‌کند؛ یا به صورت تضمنی و یا التزامی، و به سبب کثرت اخبار به آن قدر مشترک علم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کشیدن معنای مشترک از بین روایات متعدد و مختلف‌الالفاظ، به وسیلۀ عقل ابزاری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تواتر معنوی و دست‌یابی به آن، یکی از شیوه‌هایی است که برای قطع‌آور کردن نقل به کار می‌رود</w:t>
      </w:r>
      <w:r>
        <w:rPr>
          <w:rFonts w:eastAsia="IRNazanin" w:cs="IRNazanin"/>
          <w:color w:val="111111"/>
          <w:sz w:val="28"/>
          <w:szCs w:val="28"/>
          <w:rtl w:val="true"/>
          <w:lang w:bidi="fa-IR"/>
        </w:rPr>
        <w:t>.</w:t>
      </w:r>
      <w:bookmarkStart w:id="77" w:name="pg2666_20963"/>
    </w:p>
    <w:p>
      <w:pPr>
        <w:pStyle w:val="BookText"/>
        <w:rPr/>
      </w:pPr>
      <w:bookmarkEnd w:id="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فاضل مقداد در اثبات ظهور معجزه از جانب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معنوی اخبار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اگرچه تک تک روایاتی که از معجزات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به صورت خبر واحد نقل شده و به دست ما رسیده است، ولی همۀ آن‌ها در یک معنای واحد، یعنی ظهور معجزه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مشترکند که نقل این معنا برای ما به صورت تواتر معنوی خواهد بود؛ به عبارت دیگر، همۀ این اخبار دلالت دارند که اموری خارق عادت از ایشان سر زده، که انجام آن‌ها توسط مردم ممکن نیست، و این معنا به تواتر معنوی اثبات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4"/>
        <w:numPr>
          <w:ilvl w:val="3"/>
          <w:numId w:val="1"/>
        </w:numPr>
        <w:rPr/>
      </w:pPr>
      <w:bookmarkStart w:id="78" w:name="__RefHeading___Toc768282_1395250215"/>
      <w:bookmarkStart w:id="79" w:name="_Toc31"/>
      <w:bookmarkEnd w:id="78"/>
      <w:r>
        <w:rPr/>
        <w:t>3</w:t>
      </w:r>
      <w:r>
        <w:rPr>
          <w:rtl w:val="true"/>
        </w:rPr>
        <w:t>ـ</w:t>
      </w:r>
      <w:r>
        <w:rPr/>
        <w:t>3</w:t>
      </w:r>
      <w:r>
        <w:rPr>
          <w:rtl w:val="true"/>
        </w:rPr>
        <w:t xml:space="preserve">. </w:t>
      </w:r>
      <w:r>
        <w:rPr>
          <w:rtl w:val="true"/>
        </w:rPr>
        <w:t>توصیف</w:t>
      </w:r>
      <w:bookmarkEnd w:id="79"/>
    </w:p>
    <w:p>
      <w:pPr>
        <w:pStyle w:val="BookText"/>
        <w:rPr/>
      </w:pPr>
      <w:r>
        <w:rPr>
          <w:rFonts w:ascii="IRNazanin" w:hAnsi="IRNazanin" w:eastAsia="IRNazanin"/>
          <w:color w:val="111111"/>
          <w:sz w:val="28"/>
          <w:sz w:val="28"/>
          <w:szCs w:val="28"/>
          <w:rtl w:val="true"/>
          <w:lang w:bidi="fa-IR"/>
        </w:rPr>
        <w:t>گاهی در انتقال آموزه‌های دینی صرف ظهورگیری و بیان ظاهر معانی الفاظ به‌کار‌رفته در متن، کافی نیست و مخاطب به مقصود اصلی دست پیدا نمی‌کند، بلکه متکلم در این‌گونه موارد، باید به تبیین و توصیف الفاظ منقول بپردازد، تا مخاطب به فهم مطلوب از آموزه برسد و ابهامی در ذهن او باقی نماند؛ برای مثال گاهی در متون دینی، الفاظ و صفاتی برای خداوند به کار رفته که صرف نقل معنا، موجب ابهام در فهم می‌شود و متکلم باید آن صفت را توصیف کند، تا مراد گویندۀ سخن روشن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مقداد در بحث صفات خداوند متعال پس از اثبات این‌که خداوند فعل قبیح انجام نمی‌دهد و ارادۀ آن را نیز نمی‌کند، به نقل آیه‌ای می‌پردازد که در آن به خداوند متعال شر و سیئه ـ که امور قبیحی هستند ـ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تُصِبْهُمْ حَسَنَةٌ یَقُولُوا هذِهِ مِنْ عِنْدِ اللَّهِ وَ إِنْ تُصِبْهُمْ سَیِّئَةٌ یَقُولُوا هذِهِ مِنْ عِنْدِکَ قُلْ کُلٌّ مِنْ عِنْدِ اللَّهِ؛ اگر به آن‌ها خوبی برسد، گویند از جانب خداست و اگر به آن‌ها سیئه‌ای برسد، گویند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همه از ناحیۀ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حسنه و سیئه را از جانب خداوند بیان می‌کند، در حالی که سیئه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در توصیف این آیه می‌گوید خیر و شر به دو معنا استعمال می‌شوند؛ گاهی مراد از خیر، ملائم با طبع است، مانند لذات، و مراد از شر، ناملایم با طبع می‌باشد، مانند خلق مار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هم مراد از خیر، خوبی و مطلحت و حسن می‌باشد و مراد از شر، قبیح و مفسده و نظایر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آیۀ شریفه به خداوند نسبت داده شده، معنای اول شر، یعنی غیرملایم با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مراد از حسنه، طاعت است و گاهی آنچه مطلوب است، مراد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مراد از سیئه، معصیت و گاهی هم به آنچه مورد کراهت انسان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خداوند نسبت داده می‌شود معنای دوم آن‌ها، یعنی مطلوب</w:t>
      </w:r>
      <w:bookmarkStart w:id="80" w:name="pg2666_20964"/>
    </w:p>
    <w:p>
      <w:pPr>
        <w:pStyle w:val="BookText"/>
        <w:rPr/>
      </w:pPr>
      <w:bookmarkEnd w:id="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 مکروه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فاضل مقداد با توصیف معنای شر و سیئه، این صفت را که خداوند خالق شر و سیئه است، بیان می‌کند</w:t>
      </w:r>
      <w:r>
        <w:rPr>
          <w:rFonts w:eastAsia="IRNazanin" w:cs="IRNazanin"/>
          <w:color w:val="111111"/>
          <w:sz w:val="28"/>
          <w:szCs w:val="28"/>
          <w:rtl w:val="true"/>
          <w:lang w:bidi="fa-IR"/>
        </w:rPr>
        <w:t>.</w:t>
      </w:r>
    </w:p>
    <w:p>
      <w:pPr>
        <w:pStyle w:val="Heading4"/>
        <w:numPr>
          <w:ilvl w:val="3"/>
          <w:numId w:val="1"/>
        </w:numPr>
        <w:rPr/>
      </w:pPr>
      <w:bookmarkStart w:id="81" w:name="__RefHeading___Toc768284_1395250215"/>
      <w:bookmarkStart w:id="82" w:name="_Toc32"/>
      <w:bookmarkEnd w:id="81"/>
      <w:r>
        <w:rPr/>
        <w:t>4</w:t>
      </w:r>
      <w:r>
        <w:rPr>
          <w:rtl w:val="true"/>
        </w:rPr>
        <w:t>ـ</w:t>
      </w:r>
      <w:r>
        <w:rPr/>
        <w:t>3</w:t>
      </w:r>
      <w:r>
        <w:rPr>
          <w:rtl w:val="true"/>
        </w:rPr>
        <w:t xml:space="preserve">. </w:t>
      </w:r>
      <w:r>
        <w:rPr>
          <w:rtl w:val="true"/>
        </w:rPr>
        <w:t>تأویل</w:t>
      </w:r>
      <w:bookmarkEnd w:id="82"/>
    </w:p>
    <w:p>
      <w:pPr>
        <w:pStyle w:val="BookText"/>
        <w:rPr/>
      </w:pPr>
      <w:r>
        <w:rPr>
          <w:rFonts w:ascii="IRNazanin" w:hAnsi="IRNazanin" w:eastAsia="IRNazanin"/>
          <w:color w:val="111111"/>
          <w:sz w:val="28"/>
          <w:sz w:val="28"/>
          <w:szCs w:val="28"/>
          <w:rtl w:val="true"/>
          <w:lang w:bidi="fa-IR"/>
        </w:rPr>
        <w:t>در برخی متون دینی، صفاتی به خداوند نسبت داده شده که معنای ظاهری آن‌ها موجب اثبات برخی صفات نقصی، در خداوند می‌شود؛ لذا آشکار است که مقصود از این الفاظ و صفات معنایی غیر از معنای ظاهری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متکلم برای این‌که در ظلمات تجسیم و تشبیه گرفتار نشود، دست به تأویل صفات مذکور در متون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در کتاب اللوامع الالهیه، پس از استدلال بر نفی صفات سلبی خداوند، به نقل آیاتی که در آن‌ها به ظاهر برخی صفات سلبی برای خداوند اثبات شده و موجب گمراهی برخی فرق متکلمان مانند مجسمه و مشبهه شده، می‌پردازد و تک تک آن‌ها را تأویل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نقل برخی تأویلات فاضل مقداد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مقداد دربارۀ آیاتی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خداوند نسبت داده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اصْنَعِ الْفُلْکَ بِأَعْیُنِنا؛ کشتی را جلوی چشمان ما بساز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لِحُکْمِ رَبِّکَ فَإِنَّکَ بِأَعْیُنِنا؛ بر حکم پروردگارت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جلوی چشمان ما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این آیات را نمی‌توان به ظاهرشان حمل کرد، چراکه علاوه بر اشعار به جسمیت، لازم می‌آید در وجه واحد چشم‌های متعددی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مراد از این آیات، معنای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باید این آیات را بر شدت عنایت و مراقبت خداوند حمل کنیم و سپس در وجه حسن این مجازگویی، بیان می‌کند که هرگاه کسی به چیزی عنایت شدید و زیادی داشته باشد، به او بسیار نظر می‌کند؛ لذا خداوند نیز به جهت این‌که شدت عنایت خود را بیان کند، این استعمال را به کار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مقداد دستۀ دیگر آیات را، آیاتی می‌داند که صفات جسمانی را به خداوند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این آیات را نیز باید تأویل برد؛ برای مثال، آیه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 بَعُوضَةً؛ خداوند از این‌که به موجودات کوچکی مثل پشه، مثال بزند، شرم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این روایت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اللّه حیّ کریم یستحیی إذا رفع العبد یدیه إلیه أن یردّهما صفرا حتّی یضع فیهما خیرا </w:t>
      </w:r>
      <w:r>
        <w:rPr>
          <w:rStyle w:val="FootnoteAnchor"/>
          <w:rtl w:val="true"/>
        </w:rPr>
        <w:footnoteReference w:id="9"/>
      </w:r>
      <w:r>
        <w:rPr>
          <w:rFonts w:ascii="IRNazanin" w:hAnsi="IRNazanin" w:eastAsia="IRNazanin"/>
          <w:color w:val="111111"/>
          <w:sz w:val="28"/>
          <w:sz w:val="28"/>
          <w:szCs w:val="28"/>
          <w:rtl w:val="true"/>
          <w:lang w:bidi="fa-IR"/>
        </w:rPr>
        <w:t>خداوند حیّ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w:t>
      </w:r>
      <w:bookmarkStart w:id="83" w:name="pg2666_20965"/>
    </w:p>
    <w:p>
      <w:pPr>
        <w:pStyle w:val="BookText"/>
        <w:rPr/>
      </w:pPr>
      <w:bookmarkEnd w:id="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دستانش را به سوی او بلند می‌کند، حیا می‌کند که آن‌ها را خالی رد کند تا در آن خیر را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صفتِ تغیر و شکستگی است که به خاطر ترس از عقوبت و یا مذمت به انسان عارض می‌شود؛ بنابراین نمی‌توان این صفت را به خداوند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در این آیات و به طور کلی، همۀ متونی که صفات جسمانی را به خداوند نسبت داده‌اند، قانون کلی برای تأویل آن‌ها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در این موارد باید آن صفات را بر نهایت غرض از آن صفت، حمل کرد، نه بر مبادی این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توضیح این قاعده، همین آیه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می‌زند و می‌گوید حیا که به انسان عارض می‌شود، هم مبدأ دارد و هم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این صفت همان تغیر و انکساری است که در بالا گفته شد، اما نهایت این صفت این است که آن فعل ترک می‌شود؛ به عبارت دیگر، نتیجۀ عروض این صفت به انسان این است که آن فعل خودش را ترک می‌کند و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هنگامی که این صفت به خداوند نسبت داده می‌شود، مقصود از آن تغیر و انکسار که مبدأ این صفت است، نمی‌باشد، بلکه مراد، ترک فعل که نتیجه و نهایت این صفت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این صفت در روایت مذکور این است که خداوند دست بندگانش را خالی 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این قاعده را در مورد غضب نیز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حالتی است که به انسان عارض می‌شود و مبدئی دارد که به جوشش درآمدن خون قلب و میل به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غایت و نتیجه‌ای هم دارد و آن رساندن عقوبت به کسی است که از او عصبانی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صفت، به خداوند نسبت داده شود، مراد از آن، مبدأ این صفت که موجب نقص و جسمیت در خداوند است، نمی‌باشد، بلکه مقصود از آن نتیجۀ این صفت، یعنی عقاب کردن فرد مغضوب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4"/>
        <w:numPr>
          <w:ilvl w:val="3"/>
          <w:numId w:val="1"/>
        </w:numPr>
        <w:rPr/>
      </w:pPr>
      <w:bookmarkStart w:id="84" w:name="__RefHeading___Toc768286_1395250215"/>
      <w:bookmarkStart w:id="85" w:name="_Toc33"/>
      <w:bookmarkEnd w:id="84"/>
      <w:r>
        <w:rPr/>
        <w:t>5</w:t>
      </w:r>
      <w:r>
        <w:rPr>
          <w:rtl w:val="true"/>
        </w:rPr>
        <w:t>ـ</w:t>
      </w:r>
      <w:r>
        <w:rPr/>
        <w:t>3</w:t>
      </w:r>
      <w:r>
        <w:rPr>
          <w:rtl w:val="true"/>
        </w:rPr>
        <w:t xml:space="preserve">. </w:t>
      </w:r>
      <w:r>
        <w:rPr>
          <w:rtl w:val="true"/>
        </w:rPr>
        <w:t>پاسخ به شبهه</w:t>
      </w:r>
      <w:bookmarkEnd w:id="85"/>
    </w:p>
    <w:p>
      <w:pPr>
        <w:pStyle w:val="BookText"/>
        <w:rPr/>
      </w:pPr>
      <w:r>
        <w:rPr>
          <w:rFonts w:ascii="IRNazanin" w:hAnsi="IRNazanin" w:eastAsia="IRNazanin"/>
          <w:color w:val="111111"/>
          <w:sz w:val="28"/>
          <w:sz w:val="28"/>
          <w:szCs w:val="28"/>
          <w:rtl w:val="true"/>
          <w:lang w:bidi="fa-IR"/>
        </w:rPr>
        <w:t>گاهی برخی متون دینی، موجب ایجاد شبهه در آموزه‌های کلامی می‌شود و مخاطب را از فهم صحیح آموزه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باید برای انتقال روان و بدون ابهام آموزه، به آن نصوص نیز بپردازد و شبهاتی که به واسطۀ آن‌ها بر آموزه‌ها وارد شده است،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عقل ابزاری، با توجه به مقصود گویندۀ کلام، به توضیح آن متون بپردازد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بحث برتر بودن انبیا بر ملائکه، متکلمان امامیه معتقدند انبیا بر ملائکه برتری دارند و بر این مطلب استدلال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معتزله این را قبول نداشته و ملائکه</w:t>
      </w:r>
      <w:bookmarkStart w:id="86" w:name="pg2666_20966"/>
    </w:p>
    <w:p>
      <w:pPr>
        <w:pStyle w:val="BookText"/>
        <w:rPr/>
      </w:pPr>
      <w:bookmarkEnd w:id="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مقرب را افضل از انبیا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معتزلیان در مقابل شیعه برای اثبات آموزۀ خود و ردّ اعتقاد شیعه، به دو آیه از قرآن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در آیه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نَهاکُما رَبُّکُما عَنْ هذِهِ الشَّجَرَةِ إِلَّا أَنْ تَکُونا مَلَکَیْنِ؛ پروردگار شما، نهی نکرد از این درخت، مگر به خاطر این‌که شما ملک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آدم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خاطر امید رسیدن به مقام ملائک و یا خلود در بهشت، تشویق به خوردن ثمره درخت کرد؛ یعنی به آن‌ها گفت اگر از آن درخت می‌خوردند، به این دو مقام می‌رسیدند؛ لذا پروردگارشان آنان را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روشن می‌شود که آدم ملائک را بالاتر از خود می‌دانسته؛ لذا اقدام به خوردن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معتزله آیه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یَسْتَنْکِفَ الْمَسِیحُ أَنْ یَکُونَ عَبْداً لِلَّهِ وَ لَا الْمَلائِکَةُ الْمُقَرَّبُونَ؛ هرگز مسیح ابا نداشت که عبد خدا باشد و نه ملائک مقرب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عادت عرب بر این است که هنگام تعظیم شخص به وسیله نفی فعلی از جانب دیگری، ابتدا فرد ادنی را ذکر می‌کنند و سپس فرد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خداوند متعال که نفی ملائکه را مؤخر آورده، به جهت اعظم و اعلی بودن مقام ملائکه مقرب از حضرت مسیح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در ادامه به پاسخ‌گویی به شبهات معتزله پرداخته و مراد از آیات ذکرشدۀ آنان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در آیه اول مراد این نیست که آدم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مقام و مرتبه ملائک برسد، بلکه مقصود ابلیس این بوده که او در عدم احتیاج به غذا و مجرد شدن، به ملائکه شباهت پیدا کند و کمالات نفسانی برای او حاصل شود و در عین بقای بدنش و رسیدن به کمالات جسمی، از خالدین باشد و کمالات نفسانی هم داشته باشد، و این هیچ ارتباطی به افضلیت ملائکه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این معنا با توجه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تردید باشد، اما محتمل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صورت اساساً نیاز به توضیح نخواهد بود و ربطی به ادعای معتزلیان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آیۀ دوم، آنچه معتزلیان بیان کرده‌اند، مبنی بر این است که این آیه کلام واحدی باشد، در حالی که این‌طور نیست، بلکه دو کلام مستقل است که در یکی مخاطب، برخی از نصاری هستند که معتقد بودند مسیح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فرزند خداست و آیه بیان می‌کند که او عبد خداست، و قسمت دوم مخاطب، برخی مشرکان عرب هستند که ملائکه را دختران خداوند می‌دانستند و آیۀ شریفه حرف آنان را رد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Heading4"/>
        <w:numPr>
          <w:ilvl w:val="3"/>
          <w:numId w:val="1"/>
        </w:numPr>
        <w:rPr/>
      </w:pPr>
      <w:bookmarkStart w:id="87" w:name="__RefHeading___Toc768288_1395250215"/>
      <w:bookmarkStart w:id="88" w:name="_Toc34"/>
      <w:bookmarkEnd w:id="87"/>
      <w:r>
        <w:rPr/>
        <w:t>6</w:t>
      </w:r>
      <w:r>
        <w:rPr>
          <w:rtl w:val="true"/>
        </w:rPr>
        <w:t>ـ</w:t>
      </w:r>
      <w:r>
        <w:rPr/>
        <w:t>3</w:t>
      </w:r>
      <w:r>
        <w:rPr>
          <w:rtl w:val="true"/>
        </w:rPr>
        <w:t xml:space="preserve">. </w:t>
      </w:r>
      <w:r>
        <w:rPr>
          <w:rtl w:val="true"/>
        </w:rPr>
        <w:t>اعتباربخشی به نقل</w:t>
      </w:r>
      <w:bookmarkEnd w:id="8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متون دینی، نمی‌توان آموزه‌ای را با توجه صرف به محتوای آن، اثبات کرد، بلکه باید عقل محتوای آموزه را در قالب استدلال عقلی بیان کند و آن را معقول و مستند سازد، 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آموزۀ مورد نظر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این‌جا عقل به عنوان منبع مستقل در نظر گرفته نشده، بلکه همان محتوای نقلی را به صورت مستدل و عقلی تبیین می‌کند تا مورد پذیرش مخاطب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حکم عقاب صاحب کبیره، بین متکلمان اسلامی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قائل به دوام عقاب صاحب کبیره هستند و در مقابل اشاعره و متکلمان شیعه، عذاب او را منقطع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برای اثبات این آموزه از آیه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 وَ مَنْ یَعْمَلْ مِثْقالَ ذَرَّةٍ شَرًّا یره؛ هرکس هم‌وزنِ ذره‌ای کار خیر انجام دهد، می‌بیند و هرکس هم‌وزنِ ذره‌ای کار بد کرده،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کرده و مفاد آن را در غالب استدلال عقلی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با توجه به آیه، مؤمن هنگامی که از او معصیتی سر می‌زند، به سبب ایمانش، مستحق ثواب، و به سبب گناهش مستحق عقاب است، چراکه احباط و موازنه، صحیح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هم ثواب و هم عقاب، دائمی باشد، که اجتماع ضدین لازم می‌آید و غیرممکن است، یا باید هر دوی آن‌ها منقطع باشند، که در این صورت به صورت ضمنی مطلوب اثبات شده است و یا باید یکی از آن‌ها دائمی باشد و دیگری منقطع، که در این فرض انقطاع ثواب اجماعاً باطل است؛ بنابراین حتماً باید عذاب منقطع باشد که همان مطلوب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فاضل مقداد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 ما دُونَ ذلِکَ لِمَنْ یَشاءُ؛ خداوند شرک ورزیدن به خودش را نمی‌بخشد و پایین‌تر از آن‌را برای هر که بخواهد،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استناد می‌کند و می‌گوید گناه کبیره از شرک پایین‌تر است، و در آیه مغفرت را از شرک سلب کرده و برای پایین‌تر از آن ثابت می‌داند؛ بنابراین در عقاب کبیره و شرک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عقاب کبیره نیز دائمی باشد، لازم می‌آید بینشان هیچ تفاوتی نباشد و غفران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بی‌معنا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متون دینی، به تنهایی، برای استنباط و اثبات آموزۀ کلامی به کار نمی‌آید، بلکه باید محتوای نقل را با یک مقدمه و یا مقدمات عقلی ترکیب کرد، تا آموزۀ مورد نظر به دست آید و مورد پذیرش مخاطب قرار گیرد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مقداد در اثبات امامت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چند دسته از ادله تمسک می‌کند؛ گاهی با دلیل عقلی اثبات می‌کند و گاهی با 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ادله نقلی را به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جلی و نص خفی تقسیم می‌کند و مراد خود از نص خفی را، آیات و روایاتی می‌داند که به تنهایی، اثبات امامت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نمی‌کند، بلکه باید یک مقدمه و یا مقدماتی را به آن‌ها ضمیمه کرد و سپس به تفصیل به بیان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نصوص خفی که او ذکر می‌کند، آیه</w:t>
      </w:r>
      <w:bookmarkStart w:id="89" w:name="pg2666_20968"/>
    </w:p>
    <w:p>
      <w:pPr>
        <w:pStyle w:val="BookText"/>
        <w:rPr/>
      </w:pPr>
      <w:bookmarkEnd w:id="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 به درستی که تنها ولیّ شما، خداوند و رسولش و کسانی هستند که ایمان آوردند و نماز را اقامه کردند و در حال رکوع زکات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اعتباربخشی و تکمیل استدلال 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مؤمنان هستند، زیرا اگر مراد همه باشند، لازم می‌آید هرکس ولیّ خودش باشد، و نیز به دلیل وصفشان به دادن زکات در حال رکوع، مدلول آیه چنین می‌شود که هیچ اولی بالتصرفی بین شما نیست، مگر الله و رسولش و مؤمنی که در حال رکوعش زکات داده است، و این شخص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به دلیل اتفاق اکثر مفسران بر این‌که این آیه در شأن ایشان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هرکس گفته مراد بعضی مؤمنان هستند، آن بعض را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قطعاً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 است، زیرا مراد از امام،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Heading3"/>
        <w:numPr>
          <w:ilvl w:val="2"/>
          <w:numId w:val="1"/>
        </w:numPr>
        <w:rPr/>
      </w:pPr>
      <w:bookmarkStart w:id="90" w:name="__RefHeading___Toc768290_1395250215"/>
      <w:bookmarkStart w:id="91" w:name="_Toc35"/>
      <w:bookmarkEnd w:id="90"/>
      <w:r>
        <w:rPr>
          <w:rtl w:val="true"/>
        </w:rPr>
        <w:t>جمع بندی</w:t>
      </w:r>
      <w:bookmarkEnd w:id="91"/>
    </w:p>
    <w:p>
      <w:pPr>
        <w:pStyle w:val="BookText"/>
        <w:rPr/>
      </w:pPr>
      <w:r>
        <w:rPr>
          <w:rFonts w:ascii="IRNazanin" w:hAnsi="IRNazanin" w:eastAsia="IRNazanin"/>
          <w:color w:val="111111"/>
          <w:sz w:val="28"/>
          <w:sz w:val="28"/>
          <w:szCs w:val="28"/>
          <w:rtl w:val="true"/>
          <w:lang w:bidi="fa-IR"/>
        </w:rPr>
        <w:t>فاضل مقداد در روش عقلی، از هر دو کارکرد عملی و نظری عقل برای استنباط آموزه‌های کلامی فراوان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کارکرد نظری عقل با استفاده از روش کشف استلزامات و برقراری ارتباط بین آموزه‌های پیشین و آموزه‌های جدید، به کشف و صحت آن‌ها اذعان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روش در آثار او به وفور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با استفاده از بطلان دور و تسلسل، استحالۀ تحصیل حاصل و بطلان ترجیح بلامرجح، به استنباط برخی دیگر از مسائل کلامی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کارکرد عملی عقل، همان حسن و قبح عقلی است که به اعتقاد فاضل مقداد همۀ مباحث عدل و حکمت الهی متوقف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استفاده از این قاعده، برخی قواعد مهمّ کلامی، مانند قاعدۀ لطف و دفع خوف و دفع ضرر محتمل را کشف و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فاضل مقداد با استفاده از وجوب لطف و دفع خوف و دفع ضرر محتمل، برخی از آموزه‌های کلامی را استنباط 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مقداد از عقل به عنوان ابزاری در خدمت نقل نیز استفاده کرده و با استفاده از روش‌های تمسک به ظهور، تواتر معنوی، توصیف، تأویل و اعتباربخشی به نقل، به کشف مقصود از متن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با روش پاسخ به شبهه، به شبهاتی که بر اثر بدفهمی متن، طرح شده نیز پاسخ می‌دهد</w:t>
      </w:r>
      <w:r>
        <w:rPr>
          <w:rFonts w:eastAsia="IRNazanin" w:cs="IRNazanin"/>
          <w:color w:val="111111"/>
          <w:sz w:val="28"/>
          <w:szCs w:val="28"/>
          <w:rtl w:val="true"/>
          <w:lang w:bidi="fa-IR"/>
        </w:rPr>
        <w:t>.</w:t>
      </w:r>
      <w:bookmarkStart w:id="92" w:name="pg2666_20969"/>
    </w:p>
    <w:p>
      <w:pPr>
        <w:pStyle w:val="BookText"/>
        <w:rPr/>
      </w:pPr>
      <w:bookmarkEnd w:id="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Heading3"/>
        <w:numPr>
          <w:ilvl w:val="2"/>
          <w:numId w:val="1"/>
        </w:numPr>
        <w:rPr/>
      </w:pPr>
      <w:bookmarkStart w:id="93" w:name="__RefHeading___Toc768292_1395250215"/>
      <w:bookmarkStart w:id="94" w:name="_Toc36"/>
      <w:bookmarkEnd w:id="93"/>
      <w:r>
        <w:rPr>
          <w:rtl w:val="true"/>
        </w:rPr>
        <w:t>منابع</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برنجکار، رضا و نصرتیان،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کاربست عقل ابزاری در استنباط آموزه‌های کلامی با تکیه بر متون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معرفت کلامی، ش</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برنجکار، رضا،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روش‌شناسی 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استنباط و دفاع در عقاید، قم،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أصول الحدیث و أحکامه فی علم الدرایة، موسسه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مؤسسه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فی شرح تجرید الاعتقاد، جعفر سبحانی، مؤسسه امام 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الاعتماد فی شرح واجب الاعتقاد، ضیاء‌الدین بصری، مجمع البحوث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الباب الحادی عشر مع شرحیه، مهدی محقق، مؤسسه مطالعات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الطالبین الی نهج المسترشدین، سیدمهدی رجایی، قم، انتشارات کتابخانه آیةالله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الانوار الجلالیة، علی حاجی‌آبادی و عباس جلالی‌نیا، مجمع البحوث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اللوامع الالهیه، شهید قاضی طباطبائی،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میرزاحسین،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و مستنبط المسائل، مؤسسه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95" w:name="pg2666_20970"/>
    </w:p>
    <w:p>
      <w:pPr>
        <w:pStyle w:val="BookText"/>
        <w:rPr/>
      </w:pPr>
      <w:bookmarkEnd w:id="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Heading2"/>
        <w:numPr>
          <w:ilvl w:val="1"/>
          <w:numId w:val="1"/>
        </w:numPr>
        <w:rPr/>
      </w:pPr>
      <w:bookmarkStart w:id="96" w:name="__RefHeading___Toc768294_1395250215"/>
      <w:bookmarkStart w:id="97" w:name="_Toc37"/>
      <w:bookmarkEnd w:id="96"/>
      <w:r>
        <w:rPr>
          <w:rtl w:val="true"/>
        </w:rPr>
        <w:t>بررسی و نقد دیدگاه دکتر عابد الجابری دربارۀ مهدویت</w:t>
      </w:r>
      <w:bookmarkEnd w:id="97"/>
    </w:p>
    <w:p>
      <w:pPr>
        <w:pStyle w:val="Heading3"/>
        <w:numPr>
          <w:ilvl w:val="2"/>
          <w:numId w:val="1"/>
        </w:numPr>
        <w:rPr/>
      </w:pPr>
      <w:bookmarkStart w:id="98" w:name="__RefHeading___Toc768296_1395250215"/>
      <w:bookmarkStart w:id="99" w:name="_Toc38"/>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حمزه علی اسلامی نسب</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علیرضا آل بویه</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1393/08/23</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1394/01/10</w:t>
      </w:r>
    </w:p>
    <w:p>
      <w:pPr>
        <w:pStyle w:val="Heading3"/>
        <w:numPr>
          <w:ilvl w:val="2"/>
          <w:numId w:val="1"/>
        </w:numPr>
        <w:rPr/>
      </w:pPr>
      <w:bookmarkStart w:id="100" w:name="__RefHeading___Toc768298_1395250215"/>
      <w:bookmarkStart w:id="101" w:name="_Toc39"/>
      <w:bookmarkEnd w:id="100"/>
      <w:r>
        <w:rPr>
          <w:rtl w:val="true"/>
        </w:rPr>
        <w:t>چکیده</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عابد الجابری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متفکران معاصر جهان عرب است که توانست با تألیفات متنوع و بسیار خود جایگاه قابل توجهی در جهان عرب و غرب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برون‌رفت از بحران هایی که جهان عرب در آن‌ها غوطه ور است، به بررسی میراث های پنج گانۀ ایرانی، یونانی، صوفیانه، اسلامی خالص و عربی خالص پرداخت و معتقد شد که تمام عقب‌ماندگی‌های جهان عرب ریشه در تفکرات میراث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افرادی مانند عبدالله بن سبأ، مختار و یمنی ها توانستند با نفوذ در اسلام، آموزه های ایرانی و اسرائیلیاتی مانند مهدویت، رجعت، وصایت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تشیع در بین مسلمانان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تنها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آن، در اندیشۀ جابری دنبال می‌شود و ضمن گزارشی دقیق از اندیشۀ مهدویت در آثار عابد جابری، خطاها، لغزش ها، ادعاهای فاقد سند و پیش‌داورهای ناقص او تماماً بر اساس منابع اصیل اهل‌سنت نشان داده می شود</w:t>
      </w:r>
      <w:r>
        <w:rPr>
          <w:rFonts w:eastAsia="IRNazanin" w:cs="IRNazanin"/>
          <w:color w:val="111111"/>
          <w:sz w:val="28"/>
          <w:szCs w:val="28"/>
          <w:rtl w:val="true"/>
          <w:lang w:bidi="fa-IR"/>
        </w:rPr>
        <w:t>.</w:t>
      </w:r>
    </w:p>
    <w:p>
      <w:pPr>
        <w:pStyle w:val="Heading3"/>
        <w:numPr>
          <w:ilvl w:val="2"/>
          <w:numId w:val="1"/>
        </w:numPr>
        <w:rPr/>
      </w:pPr>
      <w:bookmarkStart w:id="102" w:name="__RefHeading___Toc768300_1395250215"/>
      <w:bookmarkStart w:id="103" w:name="_Toc40"/>
      <w:bookmarkEnd w:id="102"/>
      <w:r>
        <w:rPr>
          <w:rtl w:val="true"/>
        </w:rPr>
        <w:t>واژگان کلیدی</w:t>
      </w:r>
      <w:bookmarkEnd w:id="10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الجابری، عبدالله بن سبأ، مختار، تشیع، مهدویت</w:t>
      </w:r>
      <w:r>
        <w:rPr>
          <w:rFonts w:eastAsia="IRNazanin" w:cs="IRNazanin"/>
          <w:color w:val="111111"/>
          <w:sz w:val="28"/>
          <w:szCs w:val="28"/>
          <w:rtl w:val="true"/>
          <w:lang w:bidi="fa-IR"/>
        </w:rPr>
        <w:t>.</w:t>
      </w:r>
      <w:bookmarkStart w:id="104" w:name="pg2666_20971"/>
    </w:p>
    <w:p>
      <w:pPr>
        <w:pStyle w:val="BookText"/>
        <w:rPr/>
      </w:pPr>
      <w:bookmarkEnd w:id="1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Heading3"/>
        <w:numPr>
          <w:ilvl w:val="2"/>
          <w:numId w:val="1"/>
        </w:numPr>
        <w:rPr/>
      </w:pPr>
      <w:bookmarkStart w:id="105" w:name="__RefHeading___Toc768302_1395250215"/>
      <w:bookmarkStart w:id="106" w:name="_Toc41"/>
      <w:bookmarkEnd w:id="105"/>
      <w:r>
        <w:rPr>
          <w:rtl w:val="true"/>
        </w:rPr>
        <w:t>مقدمه</w:t>
      </w:r>
      <w:bookmarkEnd w:id="106"/>
    </w:p>
    <w:p>
      <w:pPr>
        <w:pStyle w:val="BookText"/>
        <w:rPr/>
      </w:pPr>
      <w:r>
        <w:rPr>
          <w:rFonts w:ascii="IRNazanin" w:hAnsi="IRNazanin" w:eastAsia="IRNazanin"/>
          <w:color w:val="111111"/>
          <w:sz w:val="28"/>
          <w:sz w:val="28"/>
          <w:szCs w:val="28"/>
          <w:rtl w:val="true"/>
          <w:lang w:bidi="fa-IR"/>
        </w:rPr>
        <w:t>تشیع در طول تاریخ برای حفظ کیان خود تلاش های گسترده ای انجام داده است، اما گروهی از اهل‌سنت در موارد متعدد با تشیع به عنوان قومی متخاصم برخورد کرده و با آنان به مبارزه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در علوم درایه، رجال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جرح راویان شیعی پرداخته اند و در احادیثی که تمام روایان آن از دیدگاه اهل‌سنت ثقه باشند، لکن یکی از آن‌ها شیعه یا متمایل به تشیع باشد، تردید کرده و آن‌ها را از درجۀ اعتبار ساقط کرده اند</w:t>
      </w:r>
      <w:r>
        <w:rPr>
          <w:rStyle w:val="FootnoteAnchor"/>
          <w:rtl w:val="true"/>
        </w:rPr>
        <w:footnoteReference w:id="12"/>
      </w:r>
      <w:r>
        <w:rPr>
          <w:rFonts w:ascii="IRNazanin" w:hAnsi="IRNazanin" w:eastAsia="IRNazanin"/>
          <w:color w:val="111111"/>
          <w:sz w:val="28"/>
          <w:sz w:val="28"/>
          <w:szCs w:val="28"/>
          <w:rtl w:val="true"/>
          <w:lang w:bidi="fa-IR"/>
        </w:rPr>
        <w:t xml:space="preserve">و حتی در برخی کتاب ها تشیع به شرک و الحاد متهم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هیتمی،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دلایل این نوع برخوردها این است که برای اولین بار طبری با روایت ساختگی سیف بن عمر تمیمی، ریشۀ پیدایش تشیع را در افکار عبدالله بن سبأ یهودی جست وجو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بلافاصله بعد از وی مقالات الاسلامیین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الفرق بین الفرق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الملل و 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پیموده و به آن رنگ واقعیت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مرور زمان این کتا ب ها به منابع اصلی تاریخ فرقه های اسلامی تبدیل شد و مستشرقان در ترجمه ها و تألیفات خود فقط به همین منابع بسنده کردند؛ چنان‌که ولهاوزن با ترجمۀ همین کتابها میان مبانی تشیع و یهودیت، ارتباط معناداری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ولهاوزن تفکر نبی ـ پادشاه را بدعتی یهودی معرفی کرده و ادعا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تفکری که بر آن است پیامبر پادشاهی است که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روی زمین است، از یهودیت به اسلام منتقل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فلهوزن،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گلدزیهر نیز دربارۀ تاریخ سیاسی عربی و تشیع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حوادثی که برای علویان اتفاق افتاد، ناشی از سوء تدبیر و ضعف در سیاست بود و این شکست، آنان را به رجعت امام عادل معتقد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ادامه داشت تا این‌که برخی متفکران جهان عرب مانند هشام شرابی، نصر حامد ابوزید، محمد آرکون، حسن حنفی و محمد عابد جابری</w:t>
      </w:r>
      <w:r>
        <w:rPr>
          <w:rStyle w:val="FootnoteAnchor"/>
          <w:rtl w:val="true"/>
        </w:rPr>
        <w:footnoteReference w:id="13"/>
      </w:r>
      <w:r>
        <w:rPr>
          <w:rFonts w:ascii="IRNazanin" w:hAnsi="IRNazanin" w:eastAsia="IRNazanin"/>
          <w:color w:val="111111"/>
          <w:sz w:val="28"/>
          <w:sz w:val="28"/>
          <w:szCs w:val="28"/>
          <w:rtl w:val="true"/>
          <w:lang w:bidi="fa-IR"/>
        </w:rPr>
        <w:t>به بازخوانی میراث گذشته پرداختند</w:t>
      </w:r>
      <w:r>
        <w:rPr>
          <w:rFonts w:eastAsia="IRNazanin" w:cs="IRNazanin"/>
          <w:color w:val="111111"/>
          <w:sz w:val="28"/>
          <w:szCs w:val="28"/>
          <w:rtl w:val="true"/>
          <w:lang w:bidi="fa-IR"/>
        </w:rPr>
        <w:t>.</w:t>
      </w:r>
      <w:bookmarkStart w:id="107" w:name="pg2666_20972"/>
    </w:p>
    <w:p>
      <w:pPr>
        <w:pStyle w:val="BookText"/>
        <w:rPr/>
      </w:pPr>
      <w:bookmarkEnd w:id="1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یکی از اجزای پروژۀ جابری، در نقد میراث گذشته و عمدتاً مبانی مذهب تشیع و از جمله مهدویت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در پی بررسی و نقد اندیشه او دربارۀ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العقل السیاسی العربی به نقد مبانی تشیع پرداخت و معتقد شد یهودیان به وسیله عبدالله بن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از طریق مختار و 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مهدویت را پایه‌ریزی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نقدهای جابری به اندیشۀ مهدویت در چهار عنوان ذیل دسته‌بندی می‌گردد</w:t>
      </w:r>
      <w:r>
        <w:rPr>
          <w:rFonts w:eastAsia="IRNazanin" w:cs="IRNazanin"/>
          <w:color w:val="111111"/>
          <w:sz w:val="28"/>
          <w:szCs w:val="28"/>
          <w:rtl w:val="true"/>
          <w:lang w:bidi="fa-IR"/>
        </w:rPr>
        <w:t>.</w:t>
      </w:r>
    </w:p>
    <w:p>
      <w:pPr>
        <w:pStyle w:val="Heading3"/>
        <w:numPr>
          <w:ilvl w:val="2"/>
          <w:numId w:val="1"/>
        </w:numPr>
        <w:rPr/>
      </w:pPr>
      <w:bookmarkStart w:id="108" w:name="__RefHeading___Toc768304_1395250215"/>
      <w:bookmarkStart w:id="109" w:name="_Toc42"/>
      <w:bookmarkEnd w:id="108"/>
      <w:r>
        <w:rPr/>
        <w:t>1</w:t>
      </w:r>
      <w:r>
        <w:rPr>
          <w:rtl w:val="true"/>
        </w:rPr>
        <w:t xml:space="preserve">. </w:t>
      </w:r>
      <w:r>
        <w:rPr>
          <w:rtl w:val="true"/>
        </w:rPr>
        <w:t>نبود روایات مهدویت در صحیح بخاری و مسلم</w:t>
      </w:r>
      <w:bookmarkEnd w:id="109"/>
    </w:p>
    <w:p>
      <w:pPr>
        <w:pStyle w:val="BookText"/>
        <w:rPr/>
      </w:pPr>
      <w:r>
        <w:rPr>
          <w:rFonts w:ascii="IRNazanin" w:hAnsi="IRNazanin" w:eastAsia="IRNazanin"/>
          <w:color w:val="111111"/>
          <w:sz w:val="28"/>
          <w:sz w:val="28"/>
          <w:szCs w:val="28"/>
          <w:rtl w:val="true"/>
          <w:lang w:bidi="fa-IR"/>
        </w:rPr>
        <w:t>جابری تنها راه قبول مهدویت را این می داند که در صحیح بخاری و مسلم ذکر شده باشد و حتی اگر کتاب های حدیثی دیگری به این اندیشه پرداخته و یا نام امام مهدی هم در آن‌ها وجود داشته باشد،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مهدویت، احادیث مشکوکی هستند و بخاری و مسلم آن‌ها را ذکر نکرده، لکن کتاب های حدیثی دیگری آن‌ها را ذکر</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الدنیا حتی یملک العرب رجل من أهل بیتی یواطئ اسمه اسمی؛ دنیا به پایان نمی رسد تا این‌که مردی از اهل‌بیتم بر عرب حکومت کند که 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الدهر إلا یوم لبعث الله رجلا من أهل بیتی یملؤها عدلاً کما ملئت جوراً؛ اگر از دنیا فقط یک روز باقی مانده باشد، خداوند مردی از اهل‌بیتم را مبعوث می کند تا دنیا را همان گونه که از ظلم پر شده از عدالت پر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3"/>
        <w:numPr>
          <w:ilvl w:val="2"/>
          <w:numId w:val="1"/>
        </w:numPr>
        <w:rPr/>
      </w:pPr>
      <w:bookmarkStart w:id="110" w:name="__RefHeading___Toc768306_1395250215"/>
      <w:bookmarkStart w:id="111" w:name="_Toc43"/>
      <w:bookmarkEnd w:id="110"/>
      <w:r>
        <w:rPr/>
        <w:t>2</w:t>
      </w:r>
      <w:r>
        <w:rPr>
          <w:rtl w:val="true"/>
        </w:rPr>
        <w:t xml:space="preserve">. </w:t>
      </w:r>
      <w:r>
        <w:rPr>
          <w:rtl w:val="true"/>
        </w:rPr>
        <w:t>اختصاص مهدویت به شیعیان</w:t>
      </w:r>
      <w:bookmarkEnd w:id="111"/>
    </w:p>
    <w:p>
      <w:pPr>
        <w:pStyle w:val="BookText"/>
        <w:rPr/>
      </w:pPr>
      <w:r>
        <w:rPr>
          <w:rFonts w:ascii="IRNazanin" w:hAnsi="IRNazanin" w:eastAsia="IRNazanin"/>
          <w:color w:val="111111"/>
          <w:sz w:val="28"/>
          <w:sz w:val="28"/>
          <w:szCs w:val="28"/>
          <w:rtl w:val="true"/>
          <w:lang w:bidi="fa-IR"/>
        </w:rPr>
        <w:t>جابری در بیان چگونگی نقش مختار در شکل‌گیری مهدویت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مهدویت، مهم‌ترین اندیشه ای بود که مختار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مختار ادعای مهدویت نداشت و این لقب را برای ابن‌حنفیه به کار برد و ابن‌حنفیه نیز با کمال میل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ابن‌حنفیه در پاسخ مردی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این‌چنین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مهدی‌ام و به سوی رشد و خیر هدایت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نام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خواست بر من سلام کند،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یا محمد، سلام بر تو یا اباالقاسم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جابری به نقل از طبری نقل می‌کند که چون مختار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جنگ هایش به عنوان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 یکی از مروجان و سازندگان مهدویت قلمداد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گرچه در پانوشت بیان می‌کند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w:t>
      </w:r>
      <w:bookmarkStart w:id="112" w:name="pg2666_20973"/>
    </w:p>
    <w:p>
      <w:pPr>
        <w:pStyle w:val="BookText"/>
        <w:rPr/>
      </w:pPr>
      <w:bookmarkEnd w:id="1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بعضی جنگ ها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 داد، اما کوچک‌ترین ارتباطی بین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قائل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و نبود ابن‌حنفیه، زمینه را برای مختار آماده کرد تا اندیشۀ مهدویت و رجعت را به کار گیرد، اما زمانی که ابن‌حنفیه از دنیا رفت، احتیاج به این دو اندیشه بسیار بیشتر شد و به همین دلیل وفاتش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حرکت مختار باب آرزوها را برای موالی و ضعفای 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بجیله، خثعم، کنده، عجل و بنی عبدالقیس گشود که نمی‌توانستند با نیروی سلاح به جنگ برخیزند؛ لذا با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 و 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کمک افسانه به مبارزه برخاستند و برای این کار به هر اندیشه و طرحی که نیاز بود تمسک جستند؛ گرچه مصدرش یهودی، هرمسی و یا بت‌پرستی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تفاوتی می کند؟ ظهور در همۀ زمان‌ها یکی است و آرزوی نجات نیز در تمامی اعصار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جابری از ابن‌سبأ به ابن‌حنفیه گریز زده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که خداوند متعال می‌فرماید که یهودیان مسیح را نکشتند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شبّه لهم؛ بلکه امر بر آنان مشتبه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ابن‌سبأ نیز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قبول نکرد و ادعا کرد که علی از دنیا نرفته است و به زودی بازخواهد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ابن‌حنفیه نیز وفات ابن‌حنفیه را انکار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به شرح عقاید کیسانیه پرداخته و به نقل از کتاب‌های فرق الشیعه، الکیسانیة فی التاریخ و الادب، الفرق بین الفرق و مقالات الاسلامیین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حنفیه هرگز نمرده، بلکه در کوه رضوی بین مکه و مدینه است و از شیرهای آن‌جا آشامیده و از گوشت‌ها و چشمه آب و چشمه عسل که در آن‌جا وجود دارد، تغذیه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3"/>
        <w:numPr>
          <w:ilvl w:val="2"/>
          <w:numId w:val="1"/>
        </w:numPr>
        <w:rPr/>
      </w:pPr>
      <w:bookmarkStart w:id="113" w:name="__RefHeading___Toc768308_1395250215"/>
      <w:bookmarkStart w:id="114" w:name="_Toc44"/>
      <w:bookmarkEnd w:id="113"/>
      <w:r>
        <w:rPr/>
        <w:t>3</w:t>
      </w:r>
      <w:r>
        <w:rPr>
          <w:rtl w:val="true"/>
        </w:rPr>
        <w:t xml:space="preserve">. </w:t>
      </w:r>
      <w:r>
        <w:rPr>
          <w:rtl w:val="true"/>
        </w:rPr>
        <w:t>یهودی بودن اندیشۀ مهدویت</w:t>
      </w:r>
      <w:bookmarkEnd w:id="114"/>
    </w:p>
    <w:p>
      <w:pPr>
        <w:pStyle w:val="BookText"/>
        <w:rPr/>
      </w:pPr>
      <w:r>
        <w:rPr>
          <w:rFonts w:ascii="IRNazanin" w:hAnsi="IRNazanin" w:eastAsia="IRNazanin"/>
          <w:color w:val="111111"/>
          <w:sz w:val="28"/>
          <w:sz w:val="28"/>
          <w:szCs w:val="28"/>
          <w:rtl w:val="true"/>
          <w:lang w:bidi="fa-IR"/>
        </w:rPr>
        <w:t>جابری به نقش یمن در شکل‌گیری مبانی تشیع پرداخته 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اندیشۀ یهودی تبار مهدویت از طریق قبایل یمنی، به‌خصوص قبیلۀ کنده به کوفه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قبیلۀ کنده در انتظارِ قحطانی ای بود که سرزمینشان را به آن‌ها بازگرداند؛ لذا مهدویت را بازسازی کردند و بعد از آن‌که به کوفه کوچیدند،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کوفه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جابری اندیشۀ رجعت را اندیشه ای یهودی دانسته،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گمان کردند اخنوخ، زنده به آسمان رفته و ناامیدی نیز این چنین به آسمان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اخنوخِ پیامبر روزی باز</w:t>
      </w:r>
      <w:bookmarkStart w:id="115" w:name="pg2666_20974"/>
    </w:p>
    <w:p>
      <w:pPr>
        <w:pStyle w:val="BookText"/>
        <w:rPr/>
      </w:pPr>
      <w:bookmarkEnd w:id="1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خواهد گشت تا زمین را از عدالت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سبأ نیز این‌گونه رفتار کرد و از پذیرش خبر وفات علی بن ابیطالب امتناع کرد و گفت که او بازخواهد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جابری برای تأیید گفتۀ خویش، قولی از جاحظ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به این علت مسیح نامیده شد که با روغن برکت مسح داده شد و مسح در تورات به معنای هدایت و تأیید الهی است و مأموریت مسیح و یا همان مهدی در زمین، همان گونه که تورات بیان کرده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مساکین با عدالت رفتار کند و بین بینوایان زمین با انصاف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را با دمی از دهانش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گرگ و گوسفند با آسودگی زندگی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اندیشۀ مهدویت در صحاح سته و قریب به اتفاق کتاب های روایی اهل‌سنت آمده است، ولی جابری در ریشۀ یهودی داشتن آن اصرار ورزیده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مهدویت در زبان های بیگانه </w:t>
      </w:r>
      <w:r>
        <w:rPr>
          <w:rFonts w:eastAsia="Times New Roman" w:cs="Times New Roman" w:ascii="Times New Roman" w:hAnsi="Times New Roman"/>
          <w:color w:val="111111"/>
          <w:sz w:val="28"/>
          <w:szCs w:val="28"/>
          <w:lang w:val="en-US" w:bidi="en-US"/>
        </w:rPr>
        <w:t>Messie – Messiah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بوده و معنای آن ممسوح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بین گذشتگان نیز معروف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3"/>
        <w:numPr>
          <w:ilvl w:val="2"/>
          <w:numId w:val="1"/>
        </w:numPr>
        <w:rPr/>
      </w:pPr>
      <w:bookmarkStart w:id="116" w:name="__RefHeading___Toc768310_1395250215"/>
      <w:bookmarkStart w:id="117" w:name="_Toc45"/>
      <w:bookmarkEnd w:id="116"/>
      <w:r>
        <w:rPr/>
        <w:t>4</w:t>
      </w:r>
      <w:r>
        <w:rPr>
          <w:rtl w:val="true"/>
        </w:rPr>
        <w:t xml:space="preserve">. </w:t>
      </w:r>
      <w:r>
        <w:rPr>
          <w:rtl w:val="true"/>
        </w:rPr>
        <w:t>ارتباط مهدویت و فقرا و شکست خوردگان</w:t>
      </w:r>
      <w:bookmarkEnd w:id="117"/>
    </w:p>
    <w:p>
      <w:pPr>
        <w:pStyle w:val="BookText"/>
        <w:rPr/>
      </w:pPr>
      <w:r>
        <w:rPr>
          <w:rFonts w:ascii="IRNazanin" w:hAnsi="IRNazanin" w:eastAsia="IRNazanin"/>
          <w:color w:val="111111"/>
          <w:sz w:val="28"/>
          <w:sz w:val="28"/>
          <w:szCs w:val="28"/>
          <w:rtl w:val="true"/>
          <w:lang w:bidi="fa-IR"/>
        </w:rPr>
        <w:t>از نظر جابری چون شیعیان به مهدویت، رجعت، وصیت و غیب قائلند، درماندگان و بینوایانی هستند که هم دنیا و هم آخرت آنان در 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جابری علم به غیب را ایدئولوژی درماندگان و بینوایان و اندیشۀ مهدویت و وصیت را ابزار فقرا و شکست خوردگانی می‌داند که سعی دارند شرایط نامساعد زندگی خویش را تسکین دهند و اندیشۀ مهدویت اساساً در عدالت و انتقام از ظالمان نهفته است تا به واسطۀ آن از شرایط نامساعد زندگی به آینده منتقل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 مهدویت کاملاً مشتمل بر اندیشۀ درماندگان است و توان دفع ظلمی را که به آنان شده، ندارند؛ لذا در انتظار شخصی هستند تا آنان را نجات داده و در زمین به عدالت رفتار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بین رجعت و مهدویت تفاوتی قائل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را وسیله ای می داند که شیعیان را به رهبرشان که در بین آن‌ها سمبل و رمز به شمار می رفت، متصل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رهبران تشیع نمی توانستند آرزوهای پیروانشان را که از آنان انتظار داشتند برآورده کنند، لذا شیعیانی که در برخی جنگ ها شکست می خوردند، در پی راهی بودند تا از یأس و ناامیدی که ناشی از اعتراف به شکست بود، فرار کنند؛ از این روی گفتند که او برمی گردد و از همین جا اندیشۀ رجعت با مهدویت ارتباط پیدا کرد؛ رجعت همان رجعتِ مهدی است که آنچه را در زمان خود نمی‌توانست محقق کند، می تواند در آینده برآورده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bookmarkStart w:id="118" w:name="pg2666_20975"/>
    </w:p>
    <w:p>
      <w:pPr>
        <w:pStyle w:val="BookText"/>
        <w:rPr/>
      </w:pPr>
      <w:bookmarkEnd w:id="1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Heading3"/>
        <w:numPr>
          <w:ilvl w:val="2"/>
          <w:numId w:val="1"/>
        </w:numPr>
        <w:rPr/>
      </w:pPr>
      <w:bookmarkStart w:id="119" w:name="__RefHeading___Toc768312_1395250215"/>
      <w:bookmarkStart w:id="120" w:name="_Toc46"/>
      <w:bookmarkEnd w:id="119"/>
      <w:r>
        <w:rPr>
          <w:rtl w:val="true"/>
        </w:rPr>
        <w:t>برسی دلایل جابری</w:t>
      </w:r>
      <w:bookmarkEnd w:id="120"/>
    </w:p>
    <w:p>
      <w:pPr>
        <w:pStyle w:val="Heading4"/>
        <w:numPr>
          <w:ilvl w:val="3"/>
          <w:numId w:val="1"/>
        </w:numPr>
        <w:rPr/>
      </w:pPr>
      <w:bookmarkStart w:id="121" w:name="__RefHeading___Toc768314_1395250215"/>
      <w:bookmarkStart w:id="122" w:name="_Toc47"/>
      <w:bookmarkEnd w:id="121"/>
      <w:r>
        <w:rPr>
          <w:rtl w:val="true"/>
        </w:rPr>
        <w:t>اول</w:t>
      </w:r>
      <w:r>
        <w:rPr>
          <w:rtl w:val="true"/>
        </w:rPr>
        <w:t>:</w:t>
      </w:r>
      <w:bookmarkEnd w:id="122"/>
    </w:p>
    <w:p>
      <w:pPr>
        <w:pStyle w:val="Heading5"/>
        <w:numPr>
          <w:ilvl w:val="4"/>
          <w:numId w:val="1"/>
        </w:numPr>
        <w:rPr/>
      </w:pPr>
      <w:bookmarkStart w:id="123" w:name="__RefHeading___Toc768316_1395250215"/>
      <w:bookmarkStart w:id="124" w:name="_Toc48"/>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جابری</w:t>
      </w:r>
      <w:r>
        <w:rPr>
          <w:rStyle w:val="FootnoteAnchor"/>
          <w:rtl w:val="true"/>
        </w:rPr>
        <w:footnoteReference w:id="14"/>
      </w:r>
      <w:r>
        <w:rPr>
          <w:rFonts w:ascii="IRNazanin" w:hAnsi="IRNazanin" w:eastAsia="IRNazanin"/>
          <w:color w:val="111111"/>
          <w:sz w:val="28"/>
          <w:sz w:val="28"/>
          <w:szCs w:val="28"/>
          <w:rtl w:val="true"/>
          <w:lang w:bidi="fa-IR"/>
        </w:rPr>
        <w:t>در نقد مهدویت دچار خطاهای بسیاری شده 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مشکوکی هستند و بخاری و مسلم آن‌ها را ذکر نکرده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روی به انکار مهدویت برخاسته، آن را اندیشه‌ای یهودی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اهل‌سنت، صحاح سته را معتبرترین کتب خود بعد از قرآن می دانند که در میان آن‌ها هیچ صحیحی در میزان اعتبار به صحیح بخاری و مسلم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مواقعی که قبول اندیشه ای با تفکرات آن‌ها سازگاری ندارد، پذیرش آن را منوط به وجود آن اندیشه در صحیحین می کنند؛ در حالی که در این شیوۀ برخورد با اندیشه، اشکالات چندی نهفته است که به برخی از آن‌ها اشاره می کنیم</w:t>
      </w:r>
      <w:r>
        <w:rPr>
          <w:rFonts w:eastAsia="IRNazanin" w:cs="IRNazanin"/>
          <w:color w:val="111111"/>
          <w:sz w:val="28"/>
          <w:szCs w:val="28"/>
          <w:rtl w:val="true"/>
          <w:lang w:bidi="fa-IR"/>
        </w:rPr>
        <w:t>.</w:t>
      </w:r>
    </w:p>
    <w:p>
      <w:pPr>
        <w:pStyle w:val="Heading5"/>
        <w:numPr>
          <w:ilvl w:val="4"/>
          <w:numId w:val="1"/>
        </w:numPr>
        <w:rPr/>
      </w:pPr>
      <w:bookmarkStart w:id="125" w:name="__RefHeading___Toc768318_1395250215"/>
      <w:bookmarkStart w:id="126" w:name="_Toc49"/>
      <w:bookmarkEnd w:id="125"/>
      <w:r>
        <w:rPr/>
        <w:t>1</w:t>
      </w:r>
      <w:r>
        <w:rPr>
          <w:rtl w:val="true"/>
        </w:rPr>
        <w:t>.</w:t>
      </w:r>
      <w:bookmarkEnd w:id="126"/>
    </w:p>
    <w:p>
      <w:pPr>
        <w:pStyle w:val="BookText"/>
        <w:rPr/>
      </w:pPr>
      <w:r>
        <w:rPr>
          <w:rFonts w:ascii="IRNazanin" w:hAnsi="IRNazanin" w:eastAsia="IRNazanin"/>
          <w:color w:val="111111"/>
          <w:sz w:val="28"/>
          <w:sz w:val="28"/>
          <w:szCs w:val="28"/>
          <w:rtl w:val="true"/>
          <w:lang w:bidi="fa-IR"/>
        </w:rPr>
        <w:t>اگر حدیثی در صحیحین وارد نشده باشد، به هیچ عنوان نشانۀ ضعف آن حدیث نیست، چون مسلم و بخاری تمام روایات اهل‌سنت را در صحیح خود گردآوری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صدد جمع آوری تمام احادیث بوده اند، ولی ادعای جمع آوری این‌چنینی را نداشته اند؛ چنان که خود بخاری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أدخلت فِی کتاب الْجَامِع إِلَّا مَا صَحَّ وَترکت من الصِّحَاح کی لَایطول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جامع جز روایاتی را که نزد من صحیح بوده اند، نیاورده ام و برخی روایات صحیح را نیز نیاورده ام تا کتابم طولانی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کتاب های حدیثی بسیاری، از جمله چهار جامع حدیثی دیگر و نیز مستدرک الصحیحین در میان اهل‌سنت تدوین شد تا روایت های صحیحی را که در صحیحین نیامده است، در بر داشته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البخاری ما کتبت فی کتاب الصحیح حدیثا الا اغتسلت قبل ذلک وصلیت رکعتین و قال أبو علی الغسانی روی عنه أنه قال خرجت الصحیح من ستمائة ألف حدیث و روی الإسماعیلی عنه قال لم أخرج فی هذا الکتاب الا صحیحاً و ما ترکت من الصحیح و ترکت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من الصحیح حتی لا یطول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صحیح هیچ حدیثی را ننوشتم، مگر این‌که پیش از آن غسل کردم و دو رکعت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ابوعلی الغسانی از بخاری روایت کرده که 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خود را از بین شش‌صد هزار حدیث تخریج کردم و اسماعیلی نیز از بخاری روایت می کند که در کتابم فقط احادیث صحیح را ذکر کردم و برخی از آن‌ها را نیز ذکر نکردم تا کتابم طولانی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و مسلم تمامی احادیث صحیح را در صحیح شان ذکر نکرده و التزامی نیز بدان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بخاری نقل کردیم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احادیث صحیح را در کتاب خود آورده ام و برخی از آن‌ها را نیز ذکر نکردم تا کتابم طولانی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 نیز روایت شده است که تمام احادیث صحیح را که نزد من هست، در کتابم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احادیثی را که بر آن‌ها اجماع وجود دارد ذکر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ـ خداوند عالم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روایاتی را که نزد او شرایط مجمع علیه در صحت آن وجود داشته، در کتابش قرار نداده است، هرچند اجتماع شرایط مذکوره در بعضی از این احادیث در نظر بعضی از اهل حدیث ظاهر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ابوعبدالله بن اَخرم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اندکی از احادیث ثابت در کتاب های صحیح بخاری و مسلم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فردی در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 حاکم نیشابوری کتاب بزرگی است که بسیاری از احادیثی را که از صحیح بخاری و مسلم فوت شده، در خود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صدهزار حدیث صحیح و دویست‌هزار حدیث غیرصحیح را حفظ هستم، در حالی که در کتاب الجامع الصحیح بیش از </w:t>
      </w:r>
      <w:r>
        <w:rPr>
          <w:rFonts w:eastAsia="IRNazanin" w:cs="IRNazanin"/>
          <w:color w:val="111111"/>
          <w:sz w:val="28"/>
          <w:szCs w:val="28"/>
          <w:lang w:bidi="fa-IR"/>
        </w:rPr>
        <w:t>7270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 احادیث مکرر نقل نکرده و بنا بر نظر برخی با حذف احادیث تکراری، چهارهزار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ابن‌الصلاح،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شارحان صحاح از بخاری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مئة ألف حدیث صحیح و مائتی ألف حدیث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صدهزار حدیث صحیح و دویست‌هزار حدیث غیرصحیح را حفظ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عسقلانی،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ابن‌عساکر،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خطیب بغدادی،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سیوطی،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سیوطی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جملة ما فی البخاری سبعة آلاف و مائتان و خمسة و سبعون حدیثاً بالمکررة و بحذف المکررة أربعة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احادیث بخاری با مجموع تکراری‌ها </w:t>
      </w:r>
      <w:r>
        <w:rPr>
          <w:rFonts w:eastAsia="IRNazanin" w:cs="IRNazanin"/>
          <w:color w:val="111111"/>
          <w:sz w:val="28"/>
          <w:szCs w:val="28"/>
          <w:lang w:bidi="fa-IR"/>
        </w:rPr>
        <w:t>7275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و با حذف احادیث تکراری چهارهزار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ادعای حفظ صدهزار حدیث صحیح و دویست‌هزار حدیث غیرصحیح تشکیک کرده و سعی در توجیه آن داشته اند، چنان که سیوطی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عراقی گفته که این کلام</w:t>
      </w:r>
      <w:bookmarkStart w:id="127" w:name="pg2666_20977"/>
    </w:p>
    <w:p>
      <w:pPr>
        <w:pStyle w:val="BookText"/>
        <w:rPr/>
      </w:pPr>
      <w:bookmarkEnd w:id="1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محل تأمل است و شاید منظور بخاری احادیثی بوده که سند تکراری داشته و موقوف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حدیثی را که دارای دو سند بوده، دو حدیث به 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ابن‌جماعه نیز علاوه بر توجیه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مبالغۀ در کثرت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سیوطی، بی‌تا،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آن، کدام عالم رجالیِ اهل‌سنت احادیثی را که در صحیح بخاری و مسلم روایت نشده ضعیف شمرده است؟ اگر این گونه بوده، باید کتا ب‌های بعد از صحیح بخاری را مانند المستدرک علی الصحیحین که حاکم نیشابوری در آن احادیث صحیح را مطابق با قواعد بخاری و مسلم گردآوری نموده و احادیث مربوط به مهدویت را نیز ذکر کرده اند، مردود شمرد، در حالی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وَ الْعیُّ شُعْبَتَانِ مِنَ الْإِیمَانِ، وَ الْبَذَاءُ وَ الْبَیَانُ شُعْبَتَانِ مِنَ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المستدرک خود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عَلَی شَرْطِ الشَّیْخَیْنِ، وَ لَمْ یُخَرِّجَاهُ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حدیث بر مبنا و شرط شیخین صحیح است، ولی آن را نیاورده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نیسابوری،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نبود یک روایت در آن دو کتاب، دلیل بر بطلان یا ضعف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بسیای از علمای اهل‌سنت هر حدیثی را که در صحیحین نیامده باشد، باطل نمی دانند؛ چنان‌که احادیث بسیاری وجود دارند که در صحیحین به آن‌ها اشاره نشده، ولی اهل‌سنت آن‌ها را قبول کرده و در صحت آن‌ها شک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ابن‌صلاح</w:t>
      </w:r>
    </w:p>
    <w:p>
      <w:pPr>
        <w:pStyle w:val="BookText"/>
        <w:rPr/>
      </w:pPr>
      <w:r>
        <w:rPr>
          <w:rFonts w:ascii="IRNazanin" w:hAnsi="IRNazanin" w:eastAsia="IRNazanin"/>
          <w:color w:val="111111"/>
          <w:sz w:val="28"/>
          <w:sz w:val="28"/>
          <w:szCs w:val="28"/>
          <w:rtl w:val="true"/>
          <w:lang w:bidi="fa-IR"/>
        </w:rPr>
        <w:t>کتاب هایی مانند کتاب ابن‌خزیمه، ابو‌عوانه اسفراینی، ابوبکر اسماعیلی، ابو‌بکر باقلانی، ابوعبدالله حمیدی، حاکم نیشابوری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کند که علاوه بر این‌که احادیث صحیح داشته اند، نویسندگان کتاب های مذکور نیز بر صحت احادیث اصرار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ابن‌الصلاح،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5"/>
        <w:numPr>
          <w:ilvl w:val="4"/>
          <w:numId w:val="1"/>
        </w:numPr>
        <w:rPr/>
      </w:pPr>
      <w:bookmarkStart w:id="128" w:name="__RefHeading___Toc768320_1395250215"/>
      <w:bookmarkStart w:id="129" w:name="_Toc50"/>
      <w:bookmarkEnd w:id="128"/>
      <w:r>
        <w:rPr/>
        <w:t>2</w:t>
      </w:r>
      <w:r>
        <w:rPr>
          <w:rtl w:val="true"/>
        </w:rPr>
        <w:t>.</w:t>
      </w:r>
      <w:bookmarkEnd w:id="129"/>
    </w:p>
    <w:p>
      <w:pPr>
        <w:pStyle w:val="BookText"/>
        <w:rPr/>
      </w:pPr>
      <w:r>
        <w:rPr>
          <w:rFonts w:ascii="IRNazanin" w:hAnsi="IRNazanin" w:eastAsia="IRNazanin"/>
          <w:color w:val="111111"/>
          <w:sz w:val="28"/>
          <w:sz w:val="28"/>
          <w:szCs w:val="28"/>
          <w:rtl w:val="true"/>
          <w:lang w:bidi="fa-IR"/>
        </w:rPr>
        <w:t>با بررسی کتاب های اهل‌سنت به روشنی می توان فهمید که صحیح بخاری و مسلم از جانب دشمنان مهدویت تحریف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بزرگان اهل‌سنت، صحیح بخاری و مسلم همان هایی نیستند که توسط بخاری و مسلم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بیش از هفتاد کتاب نقل کرده اند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حق و هو من ولد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حق است و از اولاد فاطمه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ابن‌ابی‌خثیمه، بی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سلمی شافعی،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خزاعی مروزی،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بخاری، بی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ازدی سجستانی،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دانی،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130" w:name="pg2666_20978"/>
    </w:p>
    <w:p>
      <w:pPr>
        <w:pStyle w:val="BookText"/>
        <w:rPr/>
      </w:pPr>
      <w:bookmarkEnd w:id="1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ابن‌حجر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عِتْرَتِی من 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خود آورده،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ابوداود، نسائی، ابن‌ماجه، بیهقی و دیگران این روایت را در کتاب های خود آورده اند و برخی نیز مانند احمد، ابوداود، ترمذی و ابن‌ماجه نیز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الدَّهْر إِلَّا یَوْم لبعث الله فِیهِ رجلا من عِتْرَتِی؛ اگر از دنیا تنها یک روز باقی مانده باشد، خداوند مردی از عترتم را در آن روز مبعوث می‌کند را در کتاب هایشان ذکر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هیتمی،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کنزالعمال کتاب های روایی، از جمله صحیح بخاری و مسلم را که از آن‌ها روایت نقل کرده، رمزگذاری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 من حدیث البشیر 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فیه جمع الأحادیث النبویة بأسرها و هذه رموزه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را الجامع الصغیر من حدیث البشیر النذیر نامیدم و قصد کردم تمامی احادیث نبوی را ذکر کنم و این چنین رمزگذاری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احادیث بخاری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احادیث صحیح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همین کتاب به نام مبارک مهدی اشاره می کند که در صحیح مسلم و از امّ‌سلمه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المهدی من عترتی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 ـ عن أم‌سلمة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از عترت من و از اولاد فاطمه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از ام‌ّسلمه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بن علی 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إسعاف الراغبین فی سیرة المصطفی فضائل اهل بیته الطاهرین که در حاشیه مشارق الانوار حمزاوی مصری به چاپ رسیده،</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مسلم و أبوداود و النسائی و ابن‌ماجه و البیهقی و آخرون ألمهدی من عترتی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 ابوداود، نسائی، ابن‌ماجه، بیهقی و دیگران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ألمهدی من عترتی من 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کتاب‌هایشان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صبان،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فردی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عترتی من ولد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صحیح مسلم دیده، شیخ حسن عدوی حمزاوی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مسلم و أبوداود و النسائی و ابن‌ماجه و البیهقی و آخرین ألمهدی من عترتی من ولد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الحمزاوی،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گونه که در صحیح بخاری نام مهدی حذف شده، صحیح مسلم نیز به همان سرنوشت دچار شده است</w:t>
      </w:r>
      <w:r>
        <w:rPr>
          <w:rFonts w:eastAsia="IRNazanin" w:cs="IRNazanin"/>
          <w:color w:val="111111"/>
          <w:sz w:val="28"/>
          <w:szCs w:val="28"/>
          <w:rtl w:val="true"/>
          <w:lang w:bidi="fa-IR"/>
        </w:rPr>
        <w:t>.</w:t>
      </w:r>
    </w:p>
    <w:p>
      <w:pPr>
        <w:pStyle w:val="Heading5"/>
        <w:numPr>
          <w:ilvl w:val="4"/>
          <w:numId w:val="1"/>
        </w:numPr>
        <w:rPr/>
      </w:pPr>
      <w:bookmarkStart w:id="131" w:name="__RefHeading___Toc768322_1395250215"/>
      <w:bookmarkStart w:id="132" w:name="_Toc51"/>
      <w:bookmarkEnd w:id="131"/>
      <w:r>
        <w:rPr/>
        <w:t>3</w:t>
      </w:r>
      <w:r>
        <w:rPr>
          <w:rtl w:val="true"/>
        </w:rPr>
        <w:t>.</w:t>
      </w:r>
      <w:bookmarkEnd w:id="13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بخاری و مسلم احادیث فراوانی ذکر شده که جز بر امام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در سه گروه جای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خروج دجال</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متعرض احادیث خروج دجال شده است</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قشیری نیشابوری، بی‌تا،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 این احادیث که از جانب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نشانه های برپا شدن قیامت را بیان می کند که حتمی بوده و باید پیش از قیامت به وقوع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آن‌ها، نشانه های خروج امام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خروج عیسی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خروج دجال، طلوع خورشید از غرب، بالا رفتن قرآن و باز شدن سد یأجوج و مأجوج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مجموع احادیث برپا شدن قیامت، به روشنی می توان دریافت که این احادیث جز با ظهور امام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ترمذی بابی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فی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بی‌تا،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ذکر دو حدیث، احادیثی که مربوط به هم‌نام بودنِ نام منجی آخرالزمان با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احادیث خروج دجال را ذکر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بی‌تا،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نزول عیسی بن مریم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شارحان صحیحین مانند ابن‌حجر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عبدالملک قسطلانی قتیبی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قسطلانی قتیبی،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مربوط به حضرت عیسی،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در تفسیرش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نزل ابن مریم فیکم و إمامکم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المشهور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بدمشق و الناس فی صلاة الصبح فیتأخر الإمام و هو المهدی فیقدمه عیسی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یصلی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خواهید بود آن هنگام که پسر مریم در بین شما نازل شود و امامتان از بین خود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این است که عیسی</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در حالی که مردم در نماز صبح هستند، در دمشق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تأخیر می‌کند و عیسی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او را مقدم می‌کند و پشت سر او نماز می‌گزارد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ادلۀ دیگر بر امام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است که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بخشش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قشیری نیسابوری، بی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2234</w:t>
      </w:r>
      <w:r>
        <w:rPr>
          <w:rFonts w:ascii="IRNazanin" w:hAnsi="IRNazanin" w:eastAsia="IRNazanin"/>
          <w:color w:val="111111"/>
          <w:sz w:val="28"/>
          <w:sz w:val="28"/>
          <w:szCs w:val="28"/>
          <w:rtl w:val="true"/>
          <w:lang w:bidi="fa-IR"/>
        </w:rPr>
        <w:t xml:space="preserve">؛ ترمذی، بی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 ابن‌حنبل،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معرفی خلیفه ای می پردازد که صفات متعددی دارد؛ از جمله این‌که در عصر او برکت، خیر و فراوانی همه‌جا را پر می کند و این خلیفه سخی و گشاده‌دست بوده و بدون حساب و کتاب اموال را به مخلوقات خداوند می دهد و تا زمان آن خلیفه هیچ فردی مثل او حکومت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به دست کسی محقق می شود که حکومت جهانی را به دست گرفته و به عدالت رفتار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صحیحین، نامی از خلیفه ای این‌چنین قدرتمند و باشکوه پیدا نمی کنیم، اما با تتبع دقیق و کنار هم قرار دادن احادیث به روشنی درمی یابیم که این خلیفه جز مهدی موعود نیست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به ظهورش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از قول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بدون این‌که به نام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کند ـ به برخی ویژگی های بارز امام مهدی اشاره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فِی آخِرِ أُمَّتِی خَلِیفَةٌ یَحْثِی الْمَالَ حَثْیًا لاَ یَعُدُّهُ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پایان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ای هست که مال را بدون شمارش تقسیم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قشیری نیسابوری، بی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2234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خلفائکم خلیفة یحثو المال حثیا لا یعده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خلفای شما، خلیفه ای خواهد بود که به مقداری به مردم مال خواهد داد که از شماره بیرون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قشیری نیسابوری، بی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فی آخر الزمان خلیفة یقسم المال و لا یعده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آخرالزمان خلیفه‌ای است که مال را بدون شمارش تقسیم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قشیری نیسابوری، بی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ویژگیِ منحصر‌به‌فرد در احادیث دیگر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شده است؛ چنان‌که ترمذی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فیجیء إلیه رجل فیقول یا مهدی اعطنی اعطنی قال فیحثی له فی ثوبه ما استطاع أن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به سوی او می‌آید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چیزی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چیزی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آن مرد توان حمل مال را دارد، در دامن او می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بی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ابن‌حنبل نیز همین‌گونه نقل</w:t>
      </w:r>
    </w:p>
    <w:p>
      <w:pPr>
        <w:pStyle w:val="BookText"/>
        <w:rPr/>
      </w:pP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ابن‌حنبل،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مناوی در التیسیر بشرح الجامع الصغیر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خلفائکم خَلیفَة یحثو المَال حثیا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لَایعده 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خلفای شما خلیفه ای خواهد بود که به مقداری به مردم مال خواهد داد که از</w:t>
      </w:r>
      <w:bookmarkStart w:id="133" w:name="pg2666_20981"/>
    </w:p>
    <w:p>
      <w:pPr>
        <w:pStyle w:val="BookText"/>
        <w:rPr/>
      </w:pPr>
      <w:bookmarkEnd w:id="1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شماره بیرون باشد، به نقل از ابوسعید خدری می‌گوید که مراد از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Heading4"/>
        <w:numPr>
          <w:ilvl w:val="3"/>
          <w:numId w:val="1"/>
        </w:numPr>
        <w:rPr/>
      </w:pPr>
      <w:bookmarkStart w:id="134" w:name="__RefHeading___Toc768324_1395250215"/>
      <w:bookmarkStart w:id="135" w:name="_Toc52"/>
      <w:bookmarkEnd w:id="134"/>
      <w:r>
        <w:rPr>
          <w:rtl w:val="true"/>
        </w:rPr>
        <w:t>دوم</w:t>
      </w:r>
      <w:r>
        <w:rPr>
          <w:rtl w:val="true"/>
        </w:rPr>
        <w:t>:</w:t>
      </w:r>
      <w:bookmarkEnd w:id="135"/>
    </w:p>
    <w:p>
      <w:pPr>
        <w:pStyle w:val="BookText"/>
        <w:rPr/>
      </w:pPr>
      <w:r>
        <w:rPr>
          <w:rFonts w:ascii="IRNazanin" w:hAnsi="IRNazanin" w:eastAsia="IRNazanin"/>
          <w:color w:val="111111"/>
          <w:sz w:val="28"/>
          <w:sz w:val="28"/>
          <w:szCs w:val="28"/>
          <w:rtl w:val="true"/>
          <w:lang w:bidi="fa-IR"/>
        </w:rPr>
        <w:t>جابری با کمی دقت در منابع سَلف خود می توانست به نیکی متوجه شود که روایات مهدویت از عقاید اختصاصی شیعه که به وسیلۀ مختار و ابن‌حنفیه</w:t>
      </w:r>
      <w:r>
        <w:rPr>
          <w:rStyle w:val="FootnoteAnchor"/>
          <w:rtl w:val="true"/>
        </w:rPr>
        <w:footnoteReference w:id="17"/>
      </w:r>
      <w:r>
        <w:rPr>
          <w:rFonts w:ascii="IRNazanin" w:hAnsi="IRNazanin" w:eastAsia="IRNazanin"/>
          <w:color w:val="111111"/>
          <w:sz w:val="28"/>
          <w:sz w:val="28"/>
          <w:szCs w:val="28"/>
          <w:rtl w:val="true"/>
          <w:lang w:bidi="fa-IR"/>
        </w:rPr>
        <w:t>پایه‌ریزی شده است، نیست، بلکه اندیشۀ مذکور در میان علمای اهل‌سنت به گونه ای شیوع دارد که آن‌ها نه تنها بدان معتقد بوده، بلکه بزرگان آنان به تواترِ روایات مهدویت تصریح کرده‌اند و مسئله مهدویت و اعتقاد به ظهور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جزئی از عقاید ثابت و خدشه‌ناپذیر اهل‌سنت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که به تواترِ روایات مهدویت تصریح کرده‌اند، می‌توان به افراد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متواتر و بسیاری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مهدی روایت شده که از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هفت سال حکومت می‌کند و زمین را پر از عدل می‌کند و عیسی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خروج می‌کند و او را در قتلِ دجال یاری می‌کند و امامتِ این امت را در نماز بر عهده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ابوالحسن الآبری السجستانی، صاحب کتاب مناقب الامام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مهدویت به علت کثرت راویانش که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به حدّ تواتر و استفاضه 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هفت سال حکومت می‌کند و زمین را پر از عدالت می‌کند و عیسی بن مریم با او خروج می‌کند و او را در کشتن دجال در باب لد در فلسطین یاری می‌رساند و مهدی امامِ امت می‌شود و عیسی پشت سر او نماز می‌گزارد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آبری سجستانی،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البرزنجی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وجود مهدی و خروج وی در آخرالزمان و این‌که از عترت پیامبر گرامی اسلام و از فرزندان فاطمه است، به حدّ تواتر معنوی رسیده و به هیچ وجه نمی‌توان آن را انکار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العباد البدر،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السفارینی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اقوال دربارۀ مهدی به حدی زیاد است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همان عیسی است؛ در حالی که مطلب صحیح این است که مهدی، عیسی نبوده، بلکه پیش از عیسی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در مورد مهدی به حدی زیاد است که به حدّ تواتر معنوی رسیده و به حدی در بین علمای اهل‌سنت شیوع پیدا کرده که از جملۀ اعتقادات آن‌ها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سفارینی،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صدیق حسن القنوجی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الإذاعة لما کان و ما یکون بین یدی الساعة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احادیثی که دربارۀ مهدی وارد شده است، با وجود اختلاف بسیاری که با یکدیگر دارند، به حد تواتر معنوی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مهدی در آخرالزمان بدون این‌که ماه و سالِ خروج مشخص باشد، خروج خواهد کرد، چراکه اخبار در این باب متواتر بوده و جمهور امت از گذشته تا حال بر این امر اتفاق دارند، جز برخی که نظریات خلاف آن‌ها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تردیدی در امر آن فاطمیِ موعودِ منتظر که ادله بر آن دلالت دارند، نیست، بلکه انکار آن در مقابل نصوص مستفیض و مشهوری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تواتر رسیده، جرئت بسیار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العباد البدر،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جعفر الکتانی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علمای اهل‌سنت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طرق گوناگون و متعدد از صحابه نقل، و بعد از آنان، از تابعان نقل شده است، به گونه ای که مجموع آن ها مفید علم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ایمان به ظهور مهدی واجب است، همان گونه که این وجوب نزد اهل علم ثابت بوده و در عقاید اهل‌سنت و جماعت مدوّن شده است</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bookmarkStart w:id="136" w:name="pg2666_20983"/>
    </w:p>
    <w:p>
      <w:pPr>
        <w:pStyle w:val="BookText"/>
        <w:rPr/>
      </w:pPr>
      <w:bookmarkEnd w:id="1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از مطالبی که از بزرگان اهل‌سنت نقل شد معلوم می شود که مسئله مهدویت و اعتقاد به ظهور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از جمله معتقدات آنان به شمار می آید و نیز برخی بزرگان اهل‌سنت منحصراً دربارۀ امام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کتاب نوشته اند؛ مانند ابونعیم اصفهانی که کتاب های الأربعون حدیثاً فی المهدیّ، صفة المهدی و مناقب المهدی را تألیف کرده است که متأسفانه دو کتاب اخیر موجود نیست و نیز جلال‌الدین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الوردی فی اخبار المهدی را به رشتۀ تألیف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ابن‌کثیر نیز در البدایه و النهایه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در آخرالزمان می آید و زمین را پر از عدل و قسط می کند، همان گونه که پر از جور و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احادیث مربوط به مهدی را در جلد جداگانه ای گرد آوردیم، همان گونه که ابوداود در سنن خود، کتاب جداگانه ای را به آن اختصاص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4"/>
        <w:numPr>
          <w:ilvl w:val="3"/>
          <w:numId w:val="1"/>
        </w:numPr>
        <w:rPr/>
      </w:pPr>
      <w:bookmarkStart w:id="137" w:name="__RefHeading___Toc768326_1395250215"/>
      <w:bookmarkStart w:id="138" w:name="_Toc53"/>
      <w:bookmarkEnd w:id="137"/>
      <w:r>
        <w:rPr>
          <w:rtl w:val="true"/>
        </w:rPr>
        <w:t>سوم</w:t>
      </w:r>
      <w:r>
        <w:rPr>
          <w:rtl w:val="true"/>
        </w:rPr>
        <w:t>:</w:t>
      </w:r>
      <w:bookmarkEnd w:id="138"/>
    </w:p>
    <w:p>
      <w:pPr>
        <w:pStyle w:val="BookText"/>
        <w:rPr/>
      </w:pPr>
      <w:r>
        <w:rPr>
          <w:rFonts w:ascii="IRNazanin" w:hAnsi="IRNazanin" w:eastAsia="IRNazanin"/>
          <w:color w:val="111111"/>
          <w:sz w:val="28"/>
          <w:sz w:val="28"/>
          <w:szCs w:val="28"/>
          <w:rtl w:val="true"/>
          <w:lang w:bidi="fa-IR"/>
        </w:rPr>
        <w:t>دیدگاه دیگر جابری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اندیشۀ مهدویت، اصلی یهودی داشته و ترجمۀ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این مدعا باید گفت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اندیشۀ رجعت و مهدویت را در ادیان یهودی جست وجو کنیم که ابن سبأ و طرف‌دارن ابن حنفیه باعث رواج آن در میان شیعه شدند، آیا بهتر نیست ریشۀ این تفکر را در خلیفۀ دوم جست وجو کرد؟ چون در سنن دارمی به نقل از عکرمه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عمر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نیافته است، بلکه روحش عروج کرده است، همان گونه که روح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پیامبر خدا نمی‌میرد تا آن هنگام که دست و زبان کسانی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هم‌چنان سخن می گفت تا آن‌که دهانش از سخن گفتن کف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ابن‌حنبل،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ابن‌سعد بغدادی،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این است که اکثر آموزه های اسلام، پیش‌تر در ادیان گذشته نیز موجود بود و در واقع دین مبین اسلام تکمیل‌کنندۀ ادیان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گذشته توحید، معاد، نبوت و احکام فرعی ای مانند روزه</w:t>
      </w:r>
      <w:r>
        <w:rPr>
          <w:rStyle w:val="FootnoteAnchor"/>
          <w:rtl w:val="true"/>
        </w:rPr>
        <w:footnoteReference w:id="2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و حتی مبانی تشیع </w:t>
      </w:r>
      <w:r>
        <w:rPr>
          <w:rStyle w:val="FootnoteAnchor"/>
          <w:rtl w:val="true"/>
        </w:rPr>
        <w:footnoteReference w:id="21"/>
      </w:r>
      <w:r>
        <w:rPr>
          <w:rFonts w:ascii="IRNazanin" w:hAnsi="IRNazanin" w:eastAsia="IRNazanin"/>
          <w:color w:val="111111"/>
          <w:sz w:val="28"/>
          <w:sz w:val="28"/>
          <w:szCs w:val="28"/>
          <w:rtl w:val="true"/>
          <w:lang w:bidi="fa-IR"/>
        </w:rPr>
        <w:t>، چنانچه جابری آن‌ها</w:t>
      </w:r>
      <w:bookmarkStart w:id="139" w:name="pg2666_20984"/>
    </w:p>
    <w:p>
      <w:pPr>
        <w:pStyle w:val="BookText"/>
        <w:rPr/>
      </w:pPr>
      <w:bookmarkEnd w:id="1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را اندیشه ای یهودی می دانست، آموزۀ جدیدی در اسلام نیست، چون در قرآن کریم به امامت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ابْتَلی إِبْراهیمَ رَبُّهُ بِکَلِماتٍ فَأَتَمَّهُنَّ قالَ إِنِّی جاعِلُکَ لِلنَّاسِ إِماماً قالَ وَ مِنْ ذُرِّیَّتی قالَ 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یاد آر هنگامی که پروردگارِ ابراهیم، او را به آزمایش‌هایی مبتلا ساخت و چون ابراهیم آن آزمایش‌ها را به اتمام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مردم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فرزندان من هم امام خواهد بود؟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ظالمین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اگر استدلال جابری درست باشد، باید به لوازم این استدلال نیز پای‌بند باشد و علاوه بر آموزه های مشترک بین تشیع و اهل‌سنت مانند توحید، نبوت،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مبانی اختصاصی اهل‌سنت را در مسیحیت، برخی را در یهود و برخی را نیز در آیین هندو جست وجو کند</w:t>
      </w:r>
      <w:r>
        <w:rPr>
          <w:rFonts w:eastAsia="IRNazanin" w:cs="IRNazanin"/>
          <w:color w:val="111111"/>
          <w:sz w:val="28"/>
          <w:szCs w:val="28"/>
          <w:rtl w:val="true"/>
          <w:lang w:bidi="fa-IR"/>
        </w:rPr>
        <w:t>.</w:t>
      </w:r>
    </w:p>
    <w:p>
      <w:pPr>
        <w:pStyle w:val="Heading4"/>
        <w:numPr>
          <w:ilvl w:val="3"/>
          <w:numId w:val="1"/>
        </w:numPr>
        <w:rPr/>
      </w:pPr>
      <w:bookmarkStart w:id="140" w:name="__RefHeading___Toc768328_1395250215"/>
      <w:bookmarkStart w:id="141" w:name="_Toc54"/>
      <w:bookmarkEnd w:id="140"/>
      <w:r>
        <w:rPr>
          <w:rtl w:val="true"/>
        </w:rPr>
        <w:t>چهارم</w:t>
      </w:r>
      <w:r>
        <w:rPr>
          <w:rtl w:val="true"/>
        </w:rPr>
        <w:t>:</w:t>
      </w:r>
      <w:bookmarkEnd w:id="141"/>
    </w:p>
    <w:p>
      <w:pPr>
        <w:pStyle w:val="BookText"/>
        <w:rPr/>
      </w:pPr>
      <w:r>
        <w:rPr>
          <w:rFonts w:ascii="IRNazanin" w:hAnsi="IRNazanin" w:eastAsia="IRNazanin"/>
          <w:color w:val="111111"/>
          <w:sz w:val="28"/>
          <w:sz w:val="28"/>
          <w:szCs w:val="28"/>
          <w:rtl w:val="true"/>
          <w:lang w:bidi="fa-IR"/>
        </w:rPr>
        <w:t>جابری، علم به غیب را ایدئولوژی درماندگان و بینوایان، و اندیشۀ مهدویت و وصیت را ابزار فقرا و شکست‌خوردگانی می داند که سعی دارند شرایط نامساعد زندگی خویش را تسکین دهند و اندیشۀ مهدویت اساساً در عدل و انتقام از ظالمان نهفته است تا به واسطۀ آن از شرایط نامساعد زندگی به آینده منتقل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الجابری،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 نحوۀ تفکر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شیوۀ تحلیل دربارۀ عقاید فرقه ای صحیح باشد، باید تا انتهای منطقی آن پیش رفت و نه تنها باور این یا آن فرقۀ دینی، بلکه اصل باور به دین را نتیجۀ توهم و خودفریبی دانست؛ یعنی همان تحلیل فوئر باخر و مارکس را کاملاً به کار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اگر قرار باشد با عینک جابری به ادیان الهی و آموزه های دینی نگاه کنیم، بیش از همه عقاید خود جابری در معرض خطر قرار می گیرد، چون ایمان به خدا، معاد و اعتقاد به بهشت را باید ایدئولوژی درماندگانی دانست که توان دفع ظلم را از خود نداشته و در انتظار محکمه ای هستند تا ظلم بر خویشتن رفته را از ظالم بستانند و آسایشی را که در دنیا از آن محروم بوده اند، در بهشت تجربه کنند</w:t>
      </w:r>
      <w:r>
        <w:rPr>
          <w:rFonts w:eastAsia="IRNazanin" w:cs="IRNazanin"/>
          <w:color w:val="111111"/>
          <w:sz w:val="28"/>
          <w:szCs w:val="28"/>
          <w:rtl w:val="true"/>
          <w:lang w:bidi="fa-IR"/>
        </w:rPr>
        <w:t>.</w:t>
      </w:r>
    </w:p>
    <w:p>
      <w:pPr>
        <w:pStyle w:val="Heading3"/>
        <w:numPr>
          <w:ilvl w:val="2"/>
          <w:numId w:val="1"/>
        </w:numPr>
        <w:rPr/>
      </w:pPr>
      <w:bookmarkStart w:id="142" w:name="__RefHeading___Toc768330_1395250215"/>
      <w:bookmarkStart w:id="143" w:name="_Toc55"/>
      <w:bookmarkEnd w:id="142"/>
      <w:r>
        <w:rPr>
          <w:rtl w:val="true"/>
        </w:rPr>
        <w:t>نتیجه گیری</w:t>
      </w:r>
      <w:bookmarkEnd w:id="14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خطای جابری در نقد مذهب تشیع و به‌خصوص اندیشۀ مهدویت این است که از دیدگاه وی، اندک مشابهتِ بین این اندیشه و اندیشه هایی که در ادیان دیگر وجود دارد، می تواند دلیلی کافی و موجه برای انکار اندیشه مذکور باشد؛ از این رو، هیچ توجهی به منابع اولیه سلف خویش نکرده و مغرضانه در اندیشۀ مذکور تشکیک کرده است</w:t>
      </w:r>
      <w:r>
        <w:rPr>
          <w:rFonts w:eastAsia="IRNazanin" w:cs="IRNazanin"/>
          <w:color w:val="111111"/>
          <w:sz w:val="28"/>
          <w:szCs w:val="28"/>
          <w:rtl w:val="true"/>
          <w:lang w:bidi="fa-IR"/>
        </w:rPr>
        <w:t>.</w:t>
      </w:r>
      <w:bookmarkStart w:id="144" w:name="pg2666_20985"/>
    </w:p>
    <w:p>
      <w:pPr>
        <w:pStyle w:val="BookText"/>
        <w:rPr/>
      </w:pPr>
      <w:bookmarkEnd w:id="1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جابری اگر به منابع اهل‌سنت نگاهی گذرا می کرد، متوجه می شد که اندیشه مهدویت در صحیح بخاری و مسلم تا ابتدای قرن چهاردهم وجود داشته و امثال حمزوای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آن در صحیحین شهادت داده اند و در یک قرن اخیر نام امام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صحیحین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بزرگان بی شماری از اهل‌سنت چون ابن‌کثیر، ابونعیم اصفهانی، ابن‌جعفر الکتانی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روایات مهدویت را در کتاب‌هایشان ذکر کرده اند، بلکه برخی کتاب‌های مستقلی را نیز در این باب نگاشته اند و برخی نیز مانند ابن‌حجر عسقلانی، آبری سجزی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روایات مهدویت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اندیشه مذکور نه تنها اندیشۀ شکست خوردگان نیست، بلکه اندیشه ای مترقی است که معتقدان به آن به هیچ وجه احساس شکست نمی کنند</w:t>
      </w:r>
      <w:r>
        <w:rPr>
          <w:rFonts w:eastAsia="IRNazanin" w:cs="IRNazanin"/>
          <w:color w:val="111111"/>
          <w:sz w:val="28"/>
          <w:szCs w:val="28"/>
          <w:rtl w:val="true"/>
          <w:lang w:bidi="fa-IR"/>
        </w:rPr>
        <w:t>.</w:t>
      </w:r>
    </w:p>
    <w:p>
      <w:pPr>
        <w:pStyle w:val="Heading3"/>
        <w:numPr>
          <w:ilvl w:val="2"/>
          <w:numId w:val="1"/>
        </w:numPr>
        <w:rPr/>
      </w:pPr>
      <w:bookmarkStart w:id="145" w:name="__RefHeading___Toc768332_1395250215"/>
      <w:bookmarkStart w:id="146" w:name="_Toc56"/>
      <w:bookmarkEnd w:id="145"/>
      <w:r>
        <w:rPr>
          <w:rtl w:val="true"/>
        </w:rPr>
        <w:t>منابع</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ابن‌ابی‌خیثمة زهیر بن حرب، ابوبکر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التاریخ الکبیر،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سِّفْر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ابن‌الصلاح، تقی‌الدین،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معرفة أنواع علوم الحدیث، و یُعرف بمقدمة ابن‌الصلاح، سوریه، دارلفکر،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المعاصر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ابن‌حنبل، احمد،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الإمام أحمد بن حنبل،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وآخرون، بیروت، مؤسسة الرساله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ابن‌عساکر، هبة‌الله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مدینة دمشق و ذکر فضلها و تسمیة من حلها من الاماثل أو اجتاز بنواحیها من واردیها و أهلها، دراسة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ابن‌کثیر، ابوالفداء اسماعیل،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 النهایة،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الازدی السجستانی، ابوداود سلیمان بن الاشعث،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أبی‌داود،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ـ محَمَّد کامِل قره بللی، بیروت، دارالرسالة العالمیة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اسلامی، سیدحسن،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چهارگانه جابری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عربی از ادعا تا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آینه پژوهش، سال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الاشعری، ابوالحسن علی بن اسماعیل،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الإسلامیین و اختلاف المصلین، عنی بتصحیحه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هلموت ریتر؛ ألمانیا، دار فرانز شتایز، بمدینة فیسبادن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الأصبهانی، الحافظ ابی‌نُعیم،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الأربعون حدیثاً فی المهدیّ،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جلال باقر، قم، مرکز الأبحاث العقائدیة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الألوسی، شهاب الدین محمود بن عبد الله،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المعانی فی تفسیر القرآن العظیم والسبع المثانی،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 الباری عطیة، بیروت، دار الکتب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الجعفی، 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البخاری،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زهیر بن ناصر الناصر، شرح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دیب‌البغا، بیروت، دار طوق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مصورة عن السلطانیة بإضافة ترقیم محمدفؤاد عبدالباقی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التاریخ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الندوی،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البغدادی المعروف بابن‌سعد، ابو‌عبد‌الله محمد بن سعد،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عباس، بیروت، 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البغدادی، عبدالقاهر بن طاهر،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 بین الفرق و بیان الفرقة الناجیة، بیروت، دارالآفاق الجدیدة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الترمذی السلمی، محمد بن عیسی ابوعیسی،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الصحیح سنن الترمذی،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 شاکر و آخرون، بیروت،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الجابری، محمدعابد،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العقل السیاسی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محدداته و تجلیاته، بیروت، مرکز دراسات الوحدة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الحمزاوی المصری، شیخ حسن،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مشارق الانوار، مصر، قاهره، المطبعة العثمانیه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الخزاعی المروزی، ابوعبدالله نعیم بن حماد،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الفتن،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 أمین الزهیری، القاهرة، مکتبة التوحید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 البغدادی، احمد بن علی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بغداد،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الدارمی، عبد‌الله بن عبدالرحمن،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الدارمی،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فواز احمد زمرلی، خالد السبع العلمی، بیروت، 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الدانی، عثمان بن سعید بن عثمان بن عمر ابوعمرو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السنن الواردة فی الفتن و غوائلها و الساعة و أشراطها،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رضاء‌الله بن محمد إدریس المبارک فوری، الریاض، دارالعاصمه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شمس‌الدین ابوعبدالله،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تذکرة الحفاظ،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السفارینی الحنبلی، شمس‌الدین أبوالعون،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لوامع الأنوار البهیة و سواطع الأسرار الأثریة لشرح الدرة المضیة فی عقد الفرقة المرضیة، دمشق، مؤسسة الخافقین و مکتبتها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جلال‌الدین عبدالرحمن،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الحاوی للفتاوی فی الفقه و علوم التفسیر و الحدیث و الأصول و النحو و الإعراب و سائر الفنون،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عبداللطیف حسن عبدالرحمن،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تدریب الراوی فی شرح تقریب النواوی،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عبداللطیف، الریاض، مکتبة الریاض الحدیثه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الشهرستانی، محمد بن عبدالکریم،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سید کیلانی،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الصبان، محمدعلی،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إسعاف الراغبین فی سیرة المصطفی فی فضائل اهل بیته الطاهرین، مصر، قاهره، المطبعة العثمانیة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محمد بن جریر ابوجعفر،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الطبری، بیروت، دارالتراث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العباد البدر، عبدالمحسن،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أهل السنة و الأثر فی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مجلة الجامعة الإسلامیة بالمدینة المنورة، السنة الأولی، العدد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العسقلانی الشافعی، ابن‌حجر،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التهذیب، هند، مطبعة دائرة المعارف النظامیة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الباری شرح صحیح البخاری،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تغلیق التَّعْلِیق علی صحیح البُخاری، بیروت، المکتب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الآبری السجستانی، محمد بن الحسین،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الإمام الشافعی،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عزون، اردن، الدارالأثریة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فلهوزن، یولیوس،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احزاب المعارضة السیاسیة الدینیة فی صدر الاسلام،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البدوی، مکتبة النهضة المصریه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القسطلانی القتیبی المصری، ابوالعباس شهاب‌الدین،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إرشاد الساری لشرح صحیح البخاری، مصر، المطبعة الکبری الأمیریه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القشیری النیسابوری،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المسند الصحیح المختصر بنقل العدل عن العدل إلی رسول الله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بیروت،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الکتانی،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نظم المتناثر من الحدیث المتواتر،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حجازی، مصر، دارالکتب السلفیه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المتقی الهندی، علی بن حسام‌الدین،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کنزالعمال فی سنن الأقوال و الأفعال، بیروت، مؤسسة الرساله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المِزّی، یوسف،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الکمال فی أسماء الرجال،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المقدسی السلمی الشافعی، یوسف بن یحیی،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 الدرر فی أخبار المنتظر و هو المهدی علیه‌السلام، حققه و راجع نصوصه و علق علیه و خرج أحادیثه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مهیب بن صالح بن عبدالرحمن البورینی، الاردن، الزرقاء، مکتبة المنار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المناوی القاهری، عبدالرئوف،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فیض القدیر شرح الجامع الصغیر، تعلیقات یسیرة لماجد الحموی، مصر، المکتبة التجاریة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التیسیر بشرح الجامع الصغیر، الریاض، مکتبة الإمام الشافعی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النیسابوری، ابوعبدالله الحاکم،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المستدرک علی الصحیحین،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عبدالقادر عطا،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الهاشمی، کامل،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دراسات نقدیه فی الفکر العربی المعاصر، بیروت، مؤسسة ام‌القری للتحقیق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هانی، ادریس،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محنة التراث الآخر النزعات العقلانیة فی الموروث الإمامی، بیروت، الغدیر للدراسات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الهیتمی، ابن‌حجر،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الصواعق المحرقة علی أهل الرفض و الضلال و الزندقة،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عبدالله الترکی و کامل محمد الخراط، بیروت، مؤسسة الرساله</w:t>
      </w:r>
      <w:r>
        <w:rPr>
          <w:rFonts w:eastAsia="IRNazanin" w:cs="IRNazanin"/>
          <w:color w:val="111111"/>
          <w:sz w:val="28"/>
          <w:szCs w:val="28"/>
          <w:rtl w:val="true"/>
          <w:lang w:bidi="fa-IR"/>
        </w:rPr>
        <w:t>.</w:t>
      </w:r>
      <w:bookmarkStart w:id="147" w:name="pg2666_20988"/>
    </w:p>
    <w:p>
      <w:pPr>
        <w:pStyle w:val="BookText"/>
        <w:rPr/>
      </w:pPr>
      <w:bookmarkEnd w:id="1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Heading2"/>
        <w:numPr>
          <w:ilvl w:val="1"/>
          <w:numId w:val="1"/>
        </w:numPr>
        <w:rPr/>
      </w:pPr>
      <w:bookmarkStart w:id="148" w:name="__RefHeading___Toc768334_1395250215"/>
      <w:bookmarkStart w:id="149" w:name="_Toc57"/>
      <w:bookmarkEnd w:id="148"/>
      <w:r>
        <w:rPr>
          <w:rtl w:val="true"/>
        </w:rPr>
        <w:t>معنای زندگی، ضرورت و کارکرد نبوت</w:t>
      </w:r>
      <w:bookmarkEnd w:id="149"/>
    </w:p>
    <w:p>
      <w:pPr>
        <w:pStyle w:val="Heading3"/>
        <w:numPr>
          <w:ilvl w:val="2"/>
          <w:numId w:val="1"/>
        </w:numPr>
        <w:rPr/>
      </w:pPr>
      <w:bookmarkStart w:id="150" w:name="__RefHeading___Toc768336_1395250215"/>
      <w:bookmarkStart w:id="151" w:name="_Toc58"/>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محمدمهدی قائمی امیری</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1393/08/15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1393/11/08</w:t>
      </w:r>
    </w:p>
    <w:p>
      <w:pPr>
        <w:pStyle w:val="Heading3"/>
        <w:numPr>
          <w:ilvl w:val="2"/>
          <w:numId w:val="1"/>
        </w:numPr>
        <w:rPr/>
      </w:pPr>
      <w:bookmarkStart w:id="152" w:name="__RefHeading___Toc768338_1395250215"/>
      <w:bookmarkStart w:id="153" w:name="_Toc59"/>
      <w:bookmarkEnd w:id="152"/>
      <w:r>
        <w:rPr>
          <w:rtl w:val="true"/>
        </w:rPr>
        <w:t>چکیده</w:t>
      </w:r>
      <w:bookmarkEnd w:id="153"/>
    </w:p>
    <w:p>
      <w:pPr>
        <w:pStyle w:val="BookText"/>
        <w:rPr/>
      </w:pPr>
      <w:r>
        <w:rPr>
          <w:rFonts w:ascii="IRNazanin" w:hAnsi="IRNazanin" w:eastAsia="IRNazanin"/>
          <w:color w:val="111111"/>
          <w:sz w:val="28"/>
          <w:sz w:val="28"/>
          <w:szCs w:val="28"/>
          <w:rtl w:val="true"/>
          <w:lang w:bidi="fa-IR"/>
        </w:rPr>
        <w:t>نبوت، نقشی اساسی در معنابخشی به حیات بشر دارد و این حرکت صرفاً در انحصار نبوت و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مکتب بشری و نیز نیروی عقلی توانِ آن ندارد که زندگانی جدیدی را پس از مرگ به تصویر کشیده و آن رابه بشر ارائه کند؛برای دنیا نقش مقدمی در تأمین سعادت ابدی و اخروی قائل شده و بدین ترتیب زندگی را هدف‌مند سازد؛ امید و نشاط به زندگی را افزایش داده و با راه‌کارهایی معنابخش به زندگی از قبیل تفسیر واقع‌بینانۀ مرگ و شرور، به حیات او امید بخشد؛با توصیه به عدم وابستگی به دنیا و آرامش در سایۀ اتصال به مبدأ اعلا از او رفع غربت کرده و اضطرابات درون را فرو نشاند؛ با تثبیت نظام خانواده و ایجاد هم‌بستگی اجتماعی و رفع اختلافات قومی و نژادی، حیات هدف‌مند جمعی را برای او رقم زده و او را قرین کمال و سعادت مطلوب سازد</w:t>
      </w:r>
      <w:r>
        <w:rPr>
          <w:rFonts w:eastAsia="IRNazanin" w:cs="IRNazanin"/>
          <w:color w:val="111111"/>
          <w:sz w:val="28"/>
          <w:szCs w:val="28"/>
          <w:rtl w:val="true"/>
          <w:lang w:bidi="fa-IR"/>
        </w:rPr>
        <w:t>.</w:t>
      </w:r>
    </w:p>
    <w:p>
      <w:pPr>
        <w:pStyle w:val="Heading3"/>
        <w:numPr>
          <w:ilvl w:val="2"/>
          <w:numId w:val="1"/>
        </w:numPr>
        <w:rPr/>
      </w:pPr>
      <w:bookmarkStart w:id="154" w:name="__RefHeading___Toc768340_1395250215"/>
      <w:bookmarkStart w:id="155" w:name="_Toc60"/>
      <w:bookmarkEnd w:id="154"/>
      <w:r>
        <w:rPr>
          <w:rtl w:val="true"/>
        </w:rPr>
        <w:t>واژگان کلیدی</w:t>
      </w:r>
      <w:bookmarkEnd w:id="15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حیات طیبه، معنای زندگی، رضایت‌مندی، جاودانگی</w:t>
      </w:r>
      <w:r>
        <w:rPr>
          <w:rFonts w:eastAsia="IRNazanin" w:cs="IRNazanin"/>
          <w:color w:val="111111"/>
          <w:sz w:val="28"/>
          <w:szCs w:val="28"/>
          <w:rtl w:val="true"/>
          <w:lang w:bidi="fa-IR"/>
        </w:rPr>
        <w:t>.</w:t>
      </w:r>
      <w:bookmarkStart w:id="156" w:name="pg2666_20989"/>
    </w:p>
    <w:p>
      <w:pPr>
        <w:pStyle w:val="BookText"/>
        <w:rPr/>
      </w:pPr>
      <w:bookmarkEnd w:id="1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Heading3"/>
        <w:numPr>
          <w:ilvl w:val="2"/>
          <w:numId w:val="1"/>
        </w:numPr>
        <w:rPr/>
      </w:pPr>
      <w:bookmarkStart w:id="157" w:name="__RefHeading___Toc768342_1395250215"/>
      <w:bookmarkStart w:id="158" w:name="_Toc61"/>
      <w:bookmarkEnd w:id="157"/>
      <w:r>
        <w:rPr>
          <w:rtl w:val="true"/>
        </w:rPr>
        <w:t>مقدمه</w:t>
      </w:r>
      <w:bookmarkEnd w:id="158"/>
    </w:p>
    <w:p>
      <w:pPr>
        <w:pStyle w:val="BookText"/>
        <w:rPr/>
      </w:pPr>
      <w:r>
        <w:rPr>
          <w:rFonts w:ascii="IRNazanin" w:hAnsi="IRNazanin" w:eastAsia="IRNazanin"/>
          <w:color w:val="111111"/>
          <w:sz w:val="28"/>
          <w:sz w:val="28"/>
          <w:szCs w:val="28"/>
          <w:rtl w:val="true"/>
          <w:lang w:bidi="fa-IR"/>
        </w:rPr>
        <w:t>تلاش ادیان آسمانی بر آن است که معنای زندگی را با معرفی هویت انسان و حیات واقعی از سویی و با ارائه دستوراتی مطابق با ساختار آدمیان و در جهت تحقق هدف و آرمان واقعی انسان که مطابق با هدف خلقت اوست نمایان کرده و او را از رنج و محنت بی‌معنایی و پوچی رهایی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معنای زندگی در فرهنگ دینی به صورتی کاملاً برجسته و مرتبط با هدف بعثت انبیا، اغراض خلقت الهی و همراه با تبیین غایت‌شناختی هستی و آفرینش و به‌خصوص خلقت انسان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نیاز انسان به دین از جهت کارکرد معنابخشی و واقع‌نمایی حیات،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کارکردهای نبوت و کارنامۀ پیامبران در طول تاریخ نشان‌گر آن است که متدینان در نهایت با آرامش و سکون و نشاط بیشتری ادامۀ حیات داده و از یأس و افسردگی و اضطراب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معناداری زندگی و وحی و نبوت، ارتباط وثیقی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متکلمان مسلمان از این رویکرد با عنوانی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نبوت یاد کرده و از فواید دین شمرده‌اند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البعثة حسنة لاشتمالها علی فواید کازالة الخوف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معاصر نیز این رهیافت مورد اهتمام فیلسوفان اگزیستانسیالیسم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سورن کی‌یر کگارد </w:t>
      </w:r>
      <w:r>
        <w:rPr>
          <w:rFonts w:eastAsia="IRNazanin" w:cs="IRNazanin"/>
          <w:color w:val="111111"/>
          <w:sz w:val="28"/>
          <w:szCs w:val="28"/>
          <w:rtl w:val="true"/>
          <w:lang w:bidi="fa-IR"/>
        </w:rPr>
        <w:t>(</w:t>
      </w:r>
      <w:r>
        <w:rPr>
          <w:rFonts w:eastAsia="IRNazanin" w:cs="IRNazanin"/>
          <w:color w:val="111111"/>
          <w:sz w:val="28"/>
          <w:szCs w:val="28"/>
          <w:lang w:bidi="fa-IR"/>
        </w:rPr>
        <w:t>1813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فیلسوف دانمارکی، چنین مسئله و دغدغه‌ای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گزارش پایکین و استرول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پایکین و استرول،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Heading3"/>
        <w:numPr>
          <w:ilvl w:val="2"/>
          <w:numId w:val="1"/>
        </w:numPr>
        <w:rPr/>
      </w:pPr>
      <w:bookmarkStart w:id="159" w:name="__RefHeading___Toc768344_1395250215"/>
      <w:bookmarkStart w:id="160" w:name="_Toc62"/>
      <w:bookmarkEnd w:id="159"/>
      <w:r>
        <w:rPr>
          <w:rtl w:val="true"/>
        </w:rPr>
        <w:t>نبی و قلمرو او</w:t>
      </w:r>
      <w:bookmarkEnd w:id="16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جای 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 و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صوت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استعمال آن در مورد اول حقیقی و در سایر موارد،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انسانی است که از سوی خداوند خبر می‌دهد و مأموریت هدایت انسان‌ها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جزئیات معنای نبی و در تفضلی و یا اکتسابی بودن آن، وجوب و جواز بعثت و اموری دیگر بین متکلمان اشاعره و معتزله، ماتریدی و امامیه و سایر فرق اسلامی،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امامیه بر لطف و غیراکتسابی بودن نبوت معتقدند و علاوه بر نقش معنوی پیامبران در جامعه، بر نقش آنان در تأمین نیازهای دنیوی و معیشتی و رضایت‌مندی، آرامش روانی و روحی و حیات فردی و اجتماعی او تأکید و اهتمام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فاضل مقداد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هو الانسان المأمور من السماء باصلاح الناس فی معاشهم و معادهم العالم بکیفیة ذلک المستغنی فی علمه و امره عن واسطة البشر المتقرنه، دعواه بظهور المعجزه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نبی انسانی است که از طرف آسمان مأمور اصلاح مردم در معاش و معادشان شده که به چگونگی مأموریت خود، عالم و در علم و امر خود از دیگران بی‌نیاز است و ادعای نبوت با ظهور معجزه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مأخوذ من النبأ سمّی به النبی لانه عنده نبأ الغیب یوحی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یبین للناس صلاح معاشهم و معادهم من اصول الدین و فروعه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وپیامبر بدین جهت نبی نامیده شده است که اخبار غیب که از جانب خداوند بدو وحی می‌شود، نزد اوست و اوست که مصلحت معاش و معاد انسان‌ها را از طریق اصول و یا فروع برای آن‌ها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دیدگاه، ورود دین در عرصۀ دین و دنیا و نوعی برنامه برای وفاق بین دو حیات و جهت‌داری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دستورات شرایع به تبع نیازها در زمان‌های گوناگون متغیر است، اما در نیازهای ثابت یک سری احکام جاودان وجود دارد؛ برای مثال، اصل پرستش آفریدگار به عنوان یک نیاز درونی ثابت انسان‌ها، اصل عدالت و نیکوکاری، ردّ ظلم و بی‌عدالتی از امور ثابت ادیان و در مسیر کمال و سعادت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پاسخ‌گوی نیازهای معرفتی و درونی انسان‌هاست که با فطرت آدمیان و عقل بشر هماهنگ است و سر ناسازگاری با علوم ندارد؛ هم‌چنیناز سهولت، سادگی، انسجام و استحکام درونی برخوردار است و برای رسیدن به مقصود اصلی، یعنی تکامل معنوی و خدا و آخرت، دنیا و آسایش انسان‌ها را به مخاطره نمی‌اندازد، بلکه زندگی معقول و طیب در دنیا را به همراه ایمان و عمل صالح رقم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 نَصِیبَکَ مِنَ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هرگز از مظاهر دنیا و زیبایی‌های آن که جهت رشد و کمال انسان‌ها خلق شده است، غافل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مَنْحَرَّمَ زِینَةَ اللَّهِ الَّتِی أَخْرَجَ لِعِبادِهِ وَ الطَّیِّباتِ مِنَ الرِّزْقِ قُلْ هِیَ لِلَّذِینَ آمَنُوا فِی الْحَیاةِ الدُّنْیاخالِصَةً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به آیات و روایات بسیاری اشاره کرد که به صورت‌های گوناگون در آن‌ها ترغیب علوم و توسعه و آبادانی و انتخاب زندگی معقول و معتدل دنیوی سفارش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این دیدگاه، دین علاوه بر تأمین سعادت معنوی و اخروی، در عرصۀ دنیا نیز بر تأمین نیازهای انسان کوشاست؛ هرچند طبق دیدگاه ما، دین در حوزۀ دنیوی به ارائه مبانی و</w:t>
      </w:r>
      <w:bookmarkStart w:id="161" w:name="pg2666_20991"/>
    </w:p>
    <w:p>
      <w:pPr>
        <w:pStyle w:val="BookText"/>
        <w:rPr/>
      </w:pPr>
      <w:bookmarkEnd w:id="1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راه‌کارهای کلی، اصول، اهداف و چشم‌اندازها می‌پردازد و جزئیات آن را عقل تجربی به دست می‌آورد</w:t>
      </w:r>
      <w:r>
        <w:rPr>
          <w:rFonts w:eastAsia="IRNazanin" w:cs="IRNazanin"/>
          <w:color w:val="111111"/>
          <w:sz w:val="28"/>
          <w:szCs w:val="28"/>
          <w:rtl w:val="true"/>
          <w:lang w:bidi="fa-IR"/>
        </w:rPr>
        <w:t>.</w:t>
      </w:r>
    </w:p>
    <w:p>
      <w:pPr>
        <w:pStyle w:val="Heading3"/>
        <w:numPr>
          <w:ilvl w:val="2"/>
          <w:numId w:val="1"/>
        </w:numPr>
        <w:rPr/>
      </w:pPr>
      <w:bookmarkStart w:id="162" w:name="__RefHeading___Toc768346_1395250215"/>
      <w:bookmarkStart w:id="163" w:name="_Toc63"/>
      <w:bookmarkEnd w:id="162"/>
      <w:r>
        <w:rPr>
          <w:rtl w:val="true"/>
        </w:rPr>
        <w:t>ضرورت و نیاز به دین و معنای زندگی</w:t>
      </w:r>
      <w:bookmarkEnd w:id="163"/>
    </w:p>
    <w:p>
      <w:pPr>
        <w:pStyle w:val="BookText"/>
        <w:rPr/>
      </w:pPr>
      <w:r>
        <w:rPr>
          <w:rFonts w:ascii="IRNazanin" w:hAnsi="IRNazanin" w:eastAsia="IRNazanin"/>
          <w:color w:val="111111"/>
          <w:sz w:val="28"/>
          <w:sz w:val="28"/>
          <w:szCs w:val="28"/>
          <w:rtl w:val="true"/>
          <w:lang w:bidi="fa-IR"/>
        </w:rPr>
        <w:t>بحث نیاز به دین و پیامبران آسمانی، از مباحث جدید کلامی است که مطمح نظر فیلسوفان دین و متکلمانقرار دارد؛ هرچند در کلام سنتی، بنیان این بحث به شکل‌هایی چون ضرورت بعثت و نبوت مطرح بود که متکلمان متدین در برابر براهمه ـ که منکران ضرورت بوده‌اند ـ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از نظر برون‌دینی منطقاً قابل بررسی است و ارتباط وثیقی با معنای زندگی دارد، چراکه معنای زندگی، چرایی خلقت و سؤال از ارزش، هدف و کارکرد زندگی را در پی داشته و این سؤالات بدون دین قابل پاسخ دادن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رهیافت‌های عقلی در این مجال، عمدتاً ناظر بر اصول حکمت و لطف الهی است و وجود خدا و صفات کمالی او، از جمله حکمت و خیرخواهی، پیش‌فرض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واجب‌الوجود است که صفات پیش‌گفته را به صورت مطلق واجد است؛ از جمله حکمت که همۀ اعمال الهی و از جمله آفرینش عالم امکان و انسان، حکیمانه و غایت‌مند است و فلسفۀ آفرینش انسان، راهیابی او به کمال و اتصال به عالم مجردات و تقرب به مقام الوهی است و این نیاز در درون آدمیان تعبیه شده و با هدف‌داری و جهت‌بخشی اختیارمند، انسان با تلاش خود، زندگی را در این مسیر قرار داده و معنادار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پیمودن راه سعادت و تقرب برای انسان وانهاده با قوای عقلی و با وجود دام‌های گوناگون و شیاطین درون و برون به تنهایی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محتاج مرشد و راهنمایی است تا او را در مقام شناخت و عمل مدد رساند؛ به عبارت دیگر، برانگیختن رسولان و سفیران آسمانی شرط هدایت و کامیابی اوست و بدون آن انسان نمی‌تواند به غایت و مقصد آفرینش دست یابد؛یعنی زندگی بدون هادیان مسیر سعادت، نمی‌تواند غایت خود را بشناسد و دست یابد؛لذا به سردرگمی و پوچی دچار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 بعثت را به دلیل فواید آن، حسن می‌داند و به دلیل اشتمال آن بر لطف، آن را واجب تلقی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البعثة حسنة لاشتمالها علی 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واجبة لاشتمالها علی اللطف فی التکالیف العقلیه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بعثت نیکوست، چراکه مشتمل بر فوایدی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آن‌جا که مشتمل بر لطف در تکالیف عقلی است،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ابن‌میثم بحرانی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النبی ضروری فی بقاء نوع الانسان و اصلاح احواله فی معاشه و معاده و کل ما کان ضروریاً فی ذلک فهو واجب فی الحکمة الالهیة فوجود النبی واجب فی</w:t>
      </w:r>
      <w:bookmarkStart w:id="164" w:name="pg2666_20992"/>
    </w:p>
    <w:p>
      <w:pPr>
        <w:pStyle w:val="BookText"/>
        <w:rPr/>
      </w:pPr>
      <w:bookmarkEnd w:id="1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الحکمة 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پیامبر برای ماندن نوع انسانی و نیکویی معاش و معاد او لازم و ضروری است و هرچه که دارای ضرورت این‌چنینی باشد، در حکمت الهی واجب و لازم است؛ بنابراین با توجه به حکمت الهی، وجود پیامبر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عبدالجبار، از عالمان بنام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ابومنصور ماتریدی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حکمت بر وجوب بعثت پیامبران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قابل توجه آن‌کهدلیل لطف و حکمت، ضرورت وحی را ثابت می‌کند، نه نیاز بشر به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این دو مقوله، حلقۀ ارتباطی برقرار است و این رهیافت در واقع ناظر به نیاز واقعی بشر به دین است</w:t>
      </w:r>
      <w:r>
        <w:rPr>
          <w:rFonts w:eastAsia="IRNazanin" w:cs="IRNazanin"/>
          <w:color w:val="111111"/>
          <w:sz w:val="28"/>
          <w:szCs w:val="28"/>
          <w:rtl w:val="true"/>
          <w:lang w:bidi="fa-IR"/>
        </w:rPr>
        <w:t>.</w:t>
      </w:r>
    </w:p>
    <w:p>
      <w:pPr>
        <w:pStyle w:val="Heading3"/>
        <w:numPr>
          <w:ilvl w:val="2"/>
          <w:numId w:val="1"/>
        </w:numPr>
        <w:rPr/>
      </w:pPr>
      <w:bookmarkStart w:id="165" w:name="__RefHeading___Toc768348_1395250215"/>
      <w:bookmarkStart w:id="166" w:name="_Toc64"/>
      <w:bookmarkEnd w:id="165"/>
      <w:r>
        <w:rPr>
          <w:rtl w:val="true"/>
        </w:rPr>
        <w:t>رهیافت عرفانی</w:t>
      </w:r>
      <w:bookmarkEnd w:id="166"/>
    </w:p>
    <w:p>
      <w:pPr>
        <w:pStyle w:val="BookText"/>
        <w:rPr/>
      </w:pPr>
      <w:r>
        <w:rPr>
          <w:rFonts w:ascii="IRNazanin" w:hAnsi="IRNazanin" w:eastAsia="IRNazanin"/>
          <w:color w:val="111111"/>
          <w:sz w:val="28"/>
          <w:sz w:val="28"/>
          <w:szCs w:val="28"/>
          <w:rtl w:val="true"/>
          <w:lang w:bidi="fa-IR"/>
        </w:rPr>
        <w:t>طبق برداشت عرفانی و متعالی، انسان دارای دو حیات مادی و معقول است و چگونگی حیات معقول و راه‌کارهای وصول دوبارۀ انسان به عالم قدس، از قلمرو عقل انسانی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و چرخ و انجم سربه‌سر بازیستی گـرنه ایـن روز دراز دهـر را فـرداستی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ناصر خسرو قصیدۀ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روح بشر با راهنمایی امری ورای آن و مسلط بر آن است که همان آفریدگاری است که با غایتی ویژه او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حیات انسانی به همین حیات مادی منحصر بود، می‌توانستیم مدعی شویم عقل بشر در تدبیر آن از دین مستغنی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سازنده می‌تواند از حیات معنوی و طیب، تصویری ارائه دهد و چگونگی وصول بدان راتبیین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پنداری، عوائق و موانعی جهت شهود حضرت حقّند که این حجاب‌ها با عقل و هوش بشری زدودنی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شهان کشتیم مـا خصم بـرون ماند خصمی زان بتـر در انـدرون</w:t>
      </w:r>
    </w:p>
    <w:p>
      <w:pPr>
        <w:pStyle w:val="BookText"/>
        <w:rPr/>
      </w:pPr>
      <w:r>
        <w:rPr>
          <w:rFonts w:ascii="IRNazanin" w:hAnsi="IRNazanin" w:eastAsia="IRNazanin"/>
          <w:color w:val="111111"/>
          <w:sz w:val="28"/>
          <w:sz w:val="28"/>
          <w:szCs w:val="28"/>
          <w:rtl w:val="true"/>
          <w:lang w:bidi="fa-IR"/>
        </w:rPr>
        <w:t>کشتن آن کار عقل و هوش نیست شیر باطن سخرۀ خرگوش نیست</w:t>
      </w:r>
    </w:p>
    <w:p>
      <w:pPr>
        <w:pStyle w:val="BookText"/>
        <w:rPr/>
      </w:pPr>
      <w:r>
        <w:rPr>
          <w:rFonts w:ascii="IRNazanin" w:hAnsi="IRNazanin" w:eastAsia="IRNazanin"/>
          <w:color w:val="111111"/>
          <w:sz w:val="28"/>
          <w:sz w:val="28"/>
          <w:szCs w:val="28"/>
          <w:rtl w:val="true"/>
          <w:lang w:bidi="fa-IR"/>
        </w:rPr>
        <w:t>ورگشــادی عـقـد او را عقـل‌هــا انبیا را کــی فــرستـادی خــدا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معتقدند حقیقت نبوت به اعیان ثابتۀ پیامبران، به‌ویژه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که در آن عالَم به مرتبۀ نبوت نایل آمده‌اند و در دنیا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واسطۀ انتقال فیض الهی در 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وجود و شناسایی خداوند و پیمودن راه به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بدین جهت، انسان‌ها بدون انبیا قابلیت دریافت این فیض الهی را ندارند</w:t>
      </w:r>
      <w:r>
        <w:rPr>
          <w:rFonts w:eastAsia="IRNazanin" w:cs="IRNazanin"/>
          <w:color w:val="111111"/>
          <w:sz w:val="28"/>
          <w:szCs w:val="28"/>
          <w:rtl w:val="true"/>
          <w:lang w:bidi="fa-IR"/>
        </w:rPr>
        <w:t>.</w:t>
      </w:r>
      <w:bookmarkStart w:id="167" w:name="pg2666_20993"/>
    </w:p>
    <w:p>
      <w:pPr>
        <w:pStyle w:val="BookText"/>
        <w:rPr/>
      </w:pPr>
      <w:bookmarkEnd w:id="1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طبق این رهیافت، عبور از حجاب‌ها و ورود به مراتب قرب که حاصل آن اطمینان و آرامش است و زندگی را به منبع لایزال وحدت متصل می‌کند، صرفاً در گرو رهنمایی و هدایت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دریافت فیض آسمانی و الوهی و بهره‌وری از شهودات و دریافت حضور در بارگاه الهی و غوطه‌وری در اتصال به مبدأ، مرهون نبوت است و معنای زندگی با این نوع حیات گره خورده و حتی عینیت دارد</w:t>
      </w:r>
      <w:r>
        <w:rPr>
          <w:rFonts w:eastAsia="IRNazanin" w:cs="IRNazanin"/>
          <w:color w:val="111111"/>
          <w:sz w:val="28"/>
          <w:szCs w:val="28"/>
          <w:rtl w:val="true"/>
          <w:lang w:bidi="fa-IR"/>
        </w:rPr>
        <w:t>.</w:t>
      </w:r>
    </w:p>
    <w:p>
      <w:pPr>
        <w:pStyle w:val="Heading3"/>
        <w:numPr>
          <w:ilvl w:val="2"/>
          <w:numId w:val="1"/>
        </w:numPr>
        <w:rPr/>
      </w:pPr>
      <w:bookmarkStart w:id="168" w:name="__RefHeading___Toc768350_1395250215"/>
      <w:bookmarkStart w:id="169" w:name="_Toc65"/>
      <w:bookmarkEnd w:id="168"/>
      <w:r>
        <w:rPr>
          <w:rtl w:val="true"/>
        </w:rPr>
        <w:t>رهیافت روان‌شناسانۀ ضرورت نبوت</w:t>
      </w:r>
      <w:bookmarkEnd w:id="169"/>
    </w:p>
    <w:p>
      <w:pPr>
        <w:pStyle w:val="BookText"/>
        <w:rPr/>
      </w:pPr>
      <w:r>
        <w:rPr>
          <w:rFonts w:ascii="IRNazanin" w:hAnsi="IRNazanin" w:eastAsia="IRNazanin"/>
          <w:color w:val="111111"/>
          <w:sz w:val="28"/>
          <w:sz w:val="28"/>
          <w:szCs w:val="28"/>
          <w:rtl w:val="true"/>
          <w:lang w:bidi="fa-IR"/>
        </w:rPr>
        <w:t>زندگی انسانی قرین محدودیت‌ها، رنج‌ها، آلام و هراس‌هاست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نارسایی‌ها، تهدیدها و فقر و نابسامانی‌ها انسان را به دغدغه‌ای عظیم واداشته که در رأس همۀ این آلام، اضطراب از نیستی 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ناقص‌الخلقه از نقص عضوشاندر رنجند، برخی بر اثر حادثه و یا بیماری از درد می‌نالند، بعضی از فقر و ناداری در فغانند، گروهی از نداشتن فرزند و یا نابسامانی آنان گرفتار اندوهند و یا با از دست دادن و بلای عزیزان مبتلا به غم جانکاهند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نابسامانی‌ها گاه همراه مشکلات روحی و اخلاقی است که آزارش بسی جانکاه‌تر از پیش‌گفته‌هاست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بشری و طبیعت حیات، اقتضایی جز همراهی و مواجهه با این رنج‌ها ندارد، اما اگر فرض را بر این بگذاریم که عبور از این رنج‌ها میسر شد و یا بسیاری از آن‌ها در زندگی نبود، درد و اندوهی گریبان انسان را رها نمی‌کند که غریزۀ درونی و میل و کششِ تعبیه‌شده در قلب انسان‌هاست و آن عبارت از غریزۀ بی‌نهایت‌طلبی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میل به جلب منفعت، لذت و ثروت و اشتهای تحصیل این امور سیرناشدنی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آدمی منافع را به نحو حداکثری می‌طلبد و در صورت امکان، همۀ منابع را انحصاراً می‌خواهد و چون منافع و ثروت‌ها محدود و مشتریان آن بسیارند، محرومیت دامن‌گیر اوست و این ابتدای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تأمین این نیاز و خواستۀ درونی و پاسخ بدان، متحمل رنج‌های بسیاری شده و چه بسا در این مسیر جان خویش و دیگران را به مخاطره می‌افکند و یا سلب جان از دیگری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دیگر سخن، رنج‌ها و آلام فکری و درونی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برآمده از عالم مجردات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دیاری دیگر است و با تنزل از آن عالم و با آمیختن در عالم ماده و تعلقات و با ورود به کالبد مادی بدن، از موطن اصلی خود بازمانده و در غربتی دهشتناک گرفتار گشته و برای بازگشت بدان می‌نالد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نی چون حکایت می‌کند وز جدایی‌هـا شکایت می‌کنـد</w:t>
      </w:r>
    </w:p>
    <w:p>
      <w:pPr>
        <w:pStyle w:val="BookText"/>
        <w:rPr/>
      </w:pPr>
      <w:r>
        <w:rPr>
          <w:rFonts w:ascii="IRNazanin" w:hAnsi="IRNazanin" w:eastAsia="IRNazanin"/>
          <w:color w:val="111111"/>
          <w:sz w:val="28"/>
          <w:sz w:val="28"/>
          <w:szCs w:val="28"/>
          <w:rtl w:val="true"/>
          <w:lang w:bidi="fa-IR"/>
        </w:rPr>
        <w:t>وز نیستـان تـا مـــرا ببـریده‌اند از نفیرم مـرد و زن نـالیده‌انـد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این احساس غربت و تنهایی که مانع معناداری زندگی است، شامل همگان است؛از دین‌مدار و معتقد به معاد تا مادی‌گرایان و دنیاپرستان که ندای درون غربت، او را به غربت و تفرد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دیگر درونی و روانی او، حسّ کنجکاوی و پرسش‌هایی است که با بلوغ فکری در او شکل گرفته و نمایان شده و بانگ مداومِ این سؤال‌ها او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آفرینش، فلسفۀ خلقت و غایت آن، معاد و فرجام زندگی اموری‌اند که از بدو توجه فکری انسان خود را بر او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مبدأ این عالم و آفریدگار او کیست، این جهان و انسان‌ها به چه منظور خلق شده‌اند، نسخه و برنامۀ صحیح برای زندگی بی‌بازگشت به قبل چگونه است، سرانجام و فرجام زندگی منتهی به کجاست، آیا مرگ، نیستی و اعدام است یا انتقال و عروج و یا هبوط و تاریکی، نتایج این اعمال در آیندۀ انسان‌ها چگونه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دغدغۀ همه متفکران و اندیشه‌ورزان است؛ دغدغه‌ای که ناخودآگاه انسان را می‌گزد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فکر من این است و همه شب سخنم که چرا غافل از احوال دل خویشتنم</w:t>
      </w:r>
    </w:p>
    <w:p>
      <w:pPr>
        <w:pStyle w:val="BookText"/>
        <w:rPr/>
      </w:pPr>
      <w:r>
        <w:rPr>
          <w:rFonts w:ascii="IRNazanin" w:hAnsi="IRNazanin" w:eastAsia="IRNazanin"/>
          <w:color w:val="111111"/>
          <w:sz w:val="28"/>
          <w:sz w:val="28"/>
          <w:szCs w:val="28"/>
          <w:rtl w:val="true"/>
          <w:lang w:bidi="fa-IR"/>
        </w:rPr>
        <w:t>از کـجـا آمـده ام آمـدنـم بـهـر چـه بــود بـه کجـا می روم آخـر ننمایی وطنم</w:t>
      </w:r>
    </w:p>
    <w:p>
      <w:pPr>
        <w:pStyle w:val="BookText"/>
        <w:rPr/>
      </w:pPr>
      <w:r>
        <w:rPr>
          <w:rFonts w:ascii="IRNazanin" w:hAnsi="IRNazanin" w:eastAsia="IRNazanin"/>
          <w:color w:val="111111"/>
          <w:sz w:val="28"/>
          <w:sz w:val="28"/>
          <w:szCs w:val="28"/>
          <w:rtl w:val="true"/>
          <w:lang w:bidi="fa-IR"/>
        </w:rPr>
        <w:t>در این بیان، عقل انسان برای پاسخ به پرسش‌های پیشین، به‌ویژه در رابطه با فرجام حیات و آخرت، تصویر شفاف و امیدوارکننده‌ای ارائه نمی‌دهد و به تعبیری نمی‌تواند خود را از گرداب این دغدغه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معناداری زندگی که ملازم با آرامش ودور از اضطراب و دلهره است، از ره‌آورد عقل حاصل نمی‌آید، اما پیامبران با پاسخ‌های شفاف و امیدوارکننده به حیات آدمی معنا بخشیده و درخت امید و نشاط را در آن می‌کارند و به اصطلاح کتاب زندگی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اضطراب‌های روحی و روانی، پوچ‌گرایی و دلهرۀ نیستی، سایۀ شوم خود را بر زندگی خواهد افکند و شیرینی زندگی حتی مادی را از او سلب خواهد کرد؛ از این روی که افرادی ملحد چون میخاییل باکویین </w:t>
      </w:r>
      <w:r>
        <w:rPr>
          <w:rFonts w:eastAsia="IRNazanin" w:cs="IRNazanin"/>
          <w:color w:val="111111"/>
          <w:sz w:val="28"/>
          <w:szCs w:val="28"/>
          <w:rtl w:val="true"/>
          <w:lang w:bidi="fa-IR"/>
        </w:rPr>
        <w:t>(</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 که یگانه امید جامعه، در نابودی آن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الیاده،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متکلمان مسلمان از این رویکرد با عنوانی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نبوت یاد کرده‌اند و از فواید دین شمرده‌اند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البعثة حسنة لاشتمالها علی فواید کازالة الخوف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معاصر نیز این رهیافت مورد اهتمام فیلسوفان اگزیستانسیالیسم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سورن کی‌یر کگارد چنین مسئله و دغدغه‌ای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گزارش پایکین و استرول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اصلی حیات چیست؟ به هستی انسانی چه معنایی می‌توان داد؟ غایت رویدادهای انسانی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کی‌یر کگارد در آثار ادبی خویش کوشید تا تصویری از حیات انسانی که دل‌تنگ و</w:t>
      </w:r>
      <w:bookmarkStart w:id="170" w:name="pg2666_20995"/>
    </w:p>
    <w:p>
      <w:pPr>
        <w:pStyle w:val="BookText"/>
        <w:rPr/>
      </w:pPr>
      <w:bookmarkEnd w:id="1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غمگین، پوچ و عبث، جان‌آزار و دل‌خراش و بی‌معناست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بنفسه قابل و مستعد وصول به معرفت یقینی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نجات انسان از جهل این است که وضع و حالت غم‌انگیز و فاجعه‌آمیز خود را بشناسد و سپس چشم‌بسته، نه به وسیلۀ عقل و منطق، بلکه به نور ایمان در جست‌وجوی راهی برآید خارج از آن وضع و حالت نکبت‌بار، زیرا فقط ایمان است که می‌تواند صورتی از رابطه و اتصال میان انسان و خدا در تجربۀ تاریخی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پایکین و استرول،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در فلسفۀ اگزیستانسیالیسم حایز توجه است که انسان همیشه دل‌نگران است و خود را پرتاب‌شده در این عالم می‌پندارد این توجه و اهتمام ویژۀ اگزیستانسیالیست‌ها به انسان و تلاش برای حل مشکلات روحی، اضطراب، دلهره، ترس و یأس سبب ابداع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و اساس این مکتب بر آن است که همۀ نابسامانی‌های حیات انسان در اثر بی‌معنایی زندگی است و باید با دستورالعمل‌هایی معنا را به زندگی برگرداند و عشق و امید را جای‌گزین ترس و دلهره کرد</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فرانکل،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171" w:name="__RefHeading___Toc768352_1395250215"/>
      <w:bookmarkStart w:id="172" w:name="_Toc66"/>
      <w:bookmarkEnd w:id="171"/>
      <w:r>
        <w:rPr>
          <w:rtl w:val="true"/>
        </w:rPr>
        <w:t>رهیافت اجتماعی</w:t>
      </w:r>
      <w:bookmarkEnd w:id="172"/>
    </w:p>
    <w:p>
      <w:pPr>
        <w:pStyle w:val="BookText"/>
        <w:rPr/>
      </w:pPr>
      <w:r>
        <w:rPr>
          <w:rFonts w:ascii="IRNazanin" w:hAnsi="IRNazanin" w:eastAsia="IRNazanin"/>
          <w:color w:val="111111"/>
          <w:sz w:val="28"/>
          <w:sz w:val="28"/>
          <w:szCs w:val="28"/>
          <w:rtl w:val="true"/>
          <w:lang w:bidi="fa-IR"/>
        </w:rPr>
        <w:t>بسیاری از اندیشمندان اسلامی برای اثبات ضرورت بعثت، از رهیافت‌های اجتماعی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نخست زیستن جمعی انسان‌ها را اصل طبیعی و ضروری خلقت و غریزی او دانسته و به دنبال آن، وضع و تدوین قوانین را لازمۀ جدایی‌ناپذیر این اصل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جمعی بودن، از درون سرچشمه گرفته و قانونِ جامع و رافع نیازها ضرورتی برای آن است و چون عقلِ محدود احاطه به این نیاز نداشته و یا دچار غفلت و خطا شده و یا از روی غرض‌ورزی و روحیۀ جلب منفعت به تدوین نادرست آن می‌پردازد، لذا قانون جامع، عادلانه و رافع نیازها باید ناشی از منبع فراانسانی، یعنی مقام الوهی باشد که از قوانین موضوعۀ خود نفع و ضرری نبیند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ژان ژاک روسو در این باره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کشف بهترین قوانین که برای ملت‌ها مفید باشد، یک عقل کامل لازم است که تمام شهوات انسان را ببیند، اما خود هیچ حسی نکند؛ با طبیعت رابطه‌ای نداشته باشد، اما کاملاً آن را بشناسد؛ سعادت او مربوط به او نباشد، ولی حاضر باشد به سعادت کمک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روسو،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فارابی نیز پس از اثبات مدنی بالطبع بودن انسان معتقد است رهبری این جمع باید به عهدۀ اکمل افراد و اجزای مدینه باشد که پیامبرانند و عقلشان فعلیت یافته و متصل به عقل فعالند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زیست اجتماعی انسان نه به دلیل طبیعت و مدنی بالطبع بودن او، بلکه به دلیل روحیۀ استخدام‌گری و جلب منافع به سوی خویش است که سبب تشکل اجتماع است و همین روحیه موجب اختلاف و فساد در شئون زندگی انسانی است که برای رفع آن، عقل به دلیل همان غریزۀ جلب منفعت کفایت نمی‌کند، بلکه برای رفع آن قوانین و سفیران آسمانی کارگر خواهد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فیلسوفان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بوعلی‌سینا،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اشراق،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ملامحسن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جانب‌داری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دیدگاه، سعادت و ثبات و جامعیت قوانین اجتماعی که لازمۀ زیستن برآمده از درون است، در گرو پیام آسمانی و سفیران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سلامت اجتماعی که زندگی انسان‌ها را معنادار ساخته و به سمت ثبات، قرار، آرامش و رضایت‌مندی سوق دهد، باید در پرتو وحی و نبوت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حایز اهمیت آن‌که بی‌تردید تاریخ و جوامع معاصر، شاهد مصادیق اجتماعی بسیاری است که بدون رعایت آموزه‌های نبوی به زندگی جمعی خود بدون مشکلی خاص ادامه داده و چه بسا به توفیقات زیادی نیز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نه تنها امکان تشکیل نوعی زندگی عاری از اختلاف، بدون رویکرد وحیانی را نفی نمی‌کند، بلکه وقوع آن را هم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أُمَّةً واحِدَةً فَبَعَثَ اللَّهُ النَّبِیِّینَ مُبَشِّرِینَ وَ مُنْذِرِینَ وَ أَنْزَلَ مَعَهُمُ الْکِتابَ بِالْحَقِّ لِیَحْکُمَ بَیْنَ النَّاسِ فِیَما اخْتَلَفُوا فِیهِ وَ مَااخْتَلَفَ فِیهِ إِلاَّ الَّذِینَ أُوتُوهُ مِنْ بَعْدِ ما جاءَتْهُمُ الْبَیِّناتُ بَغْیاً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قبل از بعثت انبیا همه یک 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اختلافی که در میان آن‌ها پدید آمد، انبیایی به بشارت و انذار برگزید و با آنان کتاب را به حق نازل فرمود تا طبق آن در میان مردم و در آنچه اختلاف کرده‌اند،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در خود دین و کتاب اختلاف کردند و این اختلاف پدید نیامد، مگر از ناحیۀ کسانی که اهل آن بودند و انگیزه‌شان در اختلاف حسادت و طغیان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bookmarkStart w:id="173" w:name="pg2666_20997"/>
    </w:p>
    <w:p>
      <w:pPr>
        <w:pStyle w:val="BookText"/>
        <w:rPr/>
      </w:pPr>
      <w:bookmarkEnd w:id="1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 این آیه، به سبب و علت تشریعِ اصل دین اشاره شده است و این‌که چرا انسان‌ها مکلف به پیروی از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انسان موجودی اجتماعی به حسب فطرت است، در اولین اجتماعی که تشکیل داد یک امت بود؛ آن‌گاه همان فطرتش وادارش کرد تا برای اختصاص منافع به خود با یکدیگر اختلاف کنند و از این‌جا احتیاج به وضع قوانین که اختلافات پدید‌آمده را برطرف سازد،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لباس دین به خود گرفت و مستلزم بشارت و انذار و ثواب و عقاب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برای حل اختلاف آمده بود، اما عده‌ای با ظلم و طغیان خویش، خود دین را علی‌رغم شفافیت اصول و معارفش مایۀ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بنابراین،اختلافات گاهی در دین است که منشأ آن طغیان است و گاه در امور دنیاست که منشأ آن غریزۀ بشری است و سبب تشریع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تنها وسیلۀ سعادت برای نوع بشر است و یگانه عاملی است که حیات بشر را اصلاح می‌کند</w:t>
      </w:r>
      <w:r>
        <w:rPr>
          <w:rFonts w:eastAsia="IRNazanin" w:cs="IRNazanin"/>
          <w:color w:val="111111"/>
          <w:sz w:val="28"/>
          <w:szCs w:val="28"/>
          <w:rtl w:val="true"/>
          <w:lang w:bidi="fa-IR"/>
        </w:rPr>
        <w:t>.</w:t>
      </w:r>
    </w:p>
    <w:p>
      <w:pPr>
        <w:pStyle w:val="Heading3"/>
        <w:numPr>
          <w:ilvl w:val="2"/>
          <w:numId w:val="1"/>
        </w:numPr>
        <w:rPr/>
      </w:pPr>
      <w:bookmarkStart w:id="174" w:name="__RefHeading___Toc768354_1395250215"/>
      <w:bookmarkStart w:id="175" w:name="_Toc67"/>
      <w:bookmarkEnd w:id="174"/>
      <w:r>
        <w:rPr>
          <w:rtl w:val="true"/>
        </w:rPr>
        <w:t>رهیافت واقعیت تاریخی</w:t>
      </w:r>
      <w:bookmarkEnd w:id="175"/>
    </w:p>
    <w:p>
      <w:pPr>
        <w:pStyle w:val="BookText"/>
        <w:rPr/>
      </w:pPr>
      <w:r>
        <w:rPr>
          <w:rFonts w:ascii="IRNazanin" w:hAnsi="IRNazanin" w:eastAsia="IRNazanin"/>
          <w:color w:val="111111"/>
          <w:sz w:val="28"/>
          <w:sz w:val="28"/>
          <w:szCs w:val="28"/>
          <w:rtl w:val="true"/>
          <w:lang w:bidi="fa-IR"/>
        </w:rPr>
        <w:t>ادلۀ پیشینِ ضرورت نبوت در معناداری زندگی هرچند فرادینی و برون‌دینی بوده و ضرورت و وجوب را برای نبوت در نظام هستی تصویر می‌کرد و به تعبیر عقل کاشف این ضرورت بود و به عبارت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سنخ براهینی لمّی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رهیافت واقعیت‌های تاریخی، انسان به طور پسینی مواجه با واقعیت انکارناپذیر تاریخی به نام وحی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قطع نظر از استدلال عقلی وجوب و یا عدم وجوب، در طول تاریخ با انسان‌هایی پاک، صادق و راست‌کردار مواجه است که مدعی ارتباط با مبدأ الوهی امور، پیام سعادت و وعدۀ پاداش و جاودانگی و یا وعید کیفر و عقاب را برای موافقان و مخالفان آن مسیر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عقل و عاقلان حکم می‌کنند که انسان برای جلب منفعت مهم و رفع خطر محتمل، به جست‌وجوی این ادعا پرداخته و با التفات به آن، به سعادت و منفعت و دفع ضرر و عقوبت بیندیشد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رهیافت به تعبیر استاد مطهری، برهانی انّی و در غرب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معقولیت و شرط پاسکال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و معاد، برگ برندۀ زندگی انسان است، اما بالضروره با واقعیت خارجی به نام اخبار و گزاره‌هایی دربارۀ خدا و معاد روبه‌رو هستیم که دو راه بیشتر نداریم؛ یا اخبار آن را تصدیق کنیم و یا به تکذیب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اول موجب سعادت و نجات است و در صورت کذب بودن آن ضرری متوجه ما نیست، اما فرض دوم موجب تحمل عقوبت و ضرر و عذاب است؛ پس عقل حکم به تصدیق دین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پاسکال،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w:t>
      </w:r>
      <w:r>
        <w:rPr>
          <w:rFonts w:eastAsia="IRNazanin" w:cs="IRNazanin"/>
          <w:color w:val="111111"/>
          <w:sz w:val="28"/>
          <w:szCs w:val="28"/>
          <w:rtl w:val="true"/>
          <w:lang w:bidi="fa-IR"/>
        </w:rPr>
        <w:t>).</w:t>
      </w:r>
      <w:bookmarkStart w:id="176" w:name="pg2666_20998"/>
    </w:p>
    <w:p>
      <w:pPr>
        <w:pStyle w:val="BookText"/>
        <w:rPr/>
      </w:pPr>
      <w:bookmarkEnd w:id="1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حکمای مسلمان از این دلیل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معناداری زندگی با اعتقاد به معاد و خداوند سامان می‌گیرد، به گونه‌ای که بسیاری گفته‌اند معنای زندگی صرفاً در فرض وجود خدا و معاد قابل طرح است</w:t>
      </w:r>
      <w:r>
        <w:rPr>
          <w:rFonts w:eastAsia="IRNazanin" w:cs="IRNazanin"/>
          <w:color w:val="111111"/>
          <w:sz w:val="28"/>
          <w:szCs w:val="28"/>
          <w:rtl w:val="true"/>
          <w:lang w:bidi="fa-IR"/>
        </w:rPr>
        <w:t>.</w:t>
      </w:r>
    </w:p>
    <w:p>
      <w:pPr>
        <w:pStyle w:val="Heading3"/>
        <w:numPr>
          <w:ilvl w:val="2"/>
          <w:numId w:val="1"/>
        </w:numPr>
        <w:rPr/>
      </w:pPr>
      <w:bookmarkStart w:id="177" w:name="__RefHeading___Toc768356_1395250215"/>
      <w:bookmarkStart w:id="178" w:name="_Toc68"/>
      <w:bookmarkEnd w:id="177"/>
      <w:r>
        <w:rPr>
          <w:rtl w:val="true"/>
        </w:rPr>
        <w:t>کارکرد نبوت و معنای زندگی</w:t>
      </w:r>
      <w:bookmarkEnd w:id="178"/>
    </w:p>
    <w:p>
      <w:pPr>
        <w:pStyle w:val="Heading4"/>
        <w:numPr>
          <w:ilvl w:val="3"/>
          <w:numId w:val="1"/>
        </w:numPr>
        <w:rPr/>
      </w:pPr>
      <w:bookmarkStart w:id="179" w:name="__RefHeading___Toc768358_1395250215"/>
      <w:bookmarkStart w:id="180" w:name="_Toc69"/>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فلسفه و ضرورت نبوت، و هم‌چنین اهداف آن از مباحث نظری و عقلانی و با قطع نظر از واقعیت خارجی است، هرچند در رهیافتی از این ضرورت، به طور پسینی، سخن از واقعیت خارجی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کالبدشکافی نبوت در واقعیت تاریخی، بررسی نقش و عملکرد و آثار آن در بحث کارکرد نبوت می‌گنجد و مراد تمامی خدمات، آثار، نتایج و نقش فردی و اجتماعی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مسلمان از این بحث با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گرایشات علم‌زدگان در سنت کلام غربی سعی بر این دارند که علم و صنعت و تکنولوژی و قوانین موضوعۀ بشری را به عنوان رقیب و جای‌گزین دین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مسائل زیادی را در حوزۀ معرفتی و عملی به عنوان کارکرد انبیا می‌توان مطرح کرد که ضمن بیان اجمالی و اشاره به آن‌ها، به بهداشت روانی که مستقیماً مرتبط با معنای زندگی است، می‌پردازیم</w:t>
      </w:r>
      <w:r>
        <w:rPr>
          <w:rFonts w:eastAsia="IRNazanin" w:cs="IRNazanin"/>
          <w:color w:val="111111"/>
          <w:sz w:val="28"/>
          <w:szCs w:val="28"/>
          <w:rtl w:val="true"/>
          <w:lang w:bidi="fa-IR"/>
        </w:rPr>
        <w:t>.</w:t>
      </w:r>
    </w:p>
    <w:p>
      <w:pPr>
        <w:pStyle w:val="Heading4"/>
        <w:numPr>
          <w:ilvl w:val="3"/>
          <w:numId w:val="1"/>
        </w:numPr>
        <w:rPr/>
      </w:pPr>
      <w:bookmarkStart w:id="181" w:name="__RefHeading___Toc768360_1395250215"/>
      <w:bookmarkStart w:id="182" w:name="_Toc70"/>
      <w:bookmarkEnd w:id="181"/>
      <w:r>
        <w:rPr>
          <w:rtl w:val="true"/>
        </w:rPr>
        <w:t>الف</w:t>
      </w:r>
      <w:r>
        <w:rPr>
          <w:rtl w:val="true"/>
        </w:rPr>
        <w:t xml:space="preserve">) </w:t>
      </w:r>
      <w:r>
        <w:rPr>
          <w:rtl w:val="true"/>
        </w:rPr>
        <w:t>معرفت زایی</w:t>
      </w:r>
      <w:bookmarkEnd w:id="182"/>
    </w:p>
    <w:p>
      <w:pPr>
        <w:pStyle w:val="BookText"/>
        <w:rPr/>
      </w:pPr>
      <w:r>
        <w:rPr>
          <w:rFonts w:ascii="IRNazanin" w:hAnsi="IRNazanin" w:eastAsia="IRNazanin"/>
          <w:color w:val="111111"/>
          <w:sz w:val="28"/>
          <w:sz w:val="28"/>
          <w:szCs w:val="28"/>
          <w:rtl w:val="true"/>
          <w:lang w:bidi="fa-IR"/>
        </w:rPr>
        <w:t>پیامبران اساس آموزه‌های خود را بر پایۀ بصیرت و آگاهی بنا نهادند واصل امکان و ثبات شناخت، پیش‌فرض انبیاست و به جای بحث در آن، به تشویق و به‌کارگیری صحیح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نخستین معلم آدم است و علم اسما را به او تعلیم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ابزار و مقدمات علم را برایش مهیا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کتاب و حکمت را بر انسان‌ها تعلیم دادندو در مبدأشناسی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فلسفۀ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خرافه‌زدایی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تکویر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معرفت و شناخت بشر افزودند</w:t>
      </w:r>
      <w:r>
        <w:rPr>
          <w:rFonts w:eastAsia="IRNazanin" w:cs="IRNazanin"/>
          <w:color w:val="111111"/>
          <w:sz w:val="28"/>
          <w:szCs w:val="28"/>
          <w:rtl w:val="true"/>
          <w:lang w:bidi="fa-IR"/>
        </w:rPr>
        <w:t>.</w:t>
      </w:r>
    </w:p>
    <w:p>
      <w:pPr>
        <w:pStyle w:val="Heading4"/>
        <w:numPr>
          <w:ilvl w:val="3"/>
          <w:numId w:val="1"/>
        </w:numPr>
        <w:rPr/>
      </w:pPr>
      <w:bookmarkStart w:id="183" w:name="__RefHeading___Toc768362_1395250215"/>
      <w:bookmarkStart w:id="184" w:name="_Toc71"/>
      <w:bookmarkEnd w:id="183"/>
      <w:r>
        <w:rPr>
          <w:rtl w:val="true"/>
        </w:rPr>
        <w:t>ب</w:t>
      </w:r>
      <w:r>
        <w:rPr>
          <w:rtl w:val="true"/>
        </w:rPr>
        <w:t xml:space="preserve">) </w:t>
      </w:r>
      <w:r>
        <w:rPr>
          <w:rtl w:val="true"/>
        </w:rPr>
        <w:t>بهداشت روان</w:t>
      </w:r>
      <w:bookmarkEnd w:id="18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عملی، پیامبران به سلامت روان و ذهن آدمیان توجه داشتند و مسیر سعادت را جدای از این معنا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با برنامه‌های خود سؤالات، مشکلات، اضطراب و افسردگی‌های مختلف موجود در ذهن، عقل، روح و روان انسان‌ها را شناسایی کرده و به رفع آن پرداخته‌اند و با پاسخ به این نکات، به انسان آرامش و امنیت روانی را اهدا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برای سلامت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ذهن و روح که بسی بااهمیت‌تر از سلامت جسم است ـ علاوه بر تدابیر ارائه‌شدۀ کلی در بهداشت جسمی ـ تدابیر و راه‌کارهایی را ارائه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بند قبلی گذشت، زمینه‌ساز تأمین سلامت روان آدمیان است و معنابخشی به حیات با ارائه تصویری شفاف از آیندۀ بشر، نتیجه و عدالت حاکم بر جهان و ضایع نبودن هیچ عمل در هستی، مایه‌های امید و آرامش را به بشر هدیه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نشاط‌داری حیات و رهایی از کابوس یأس و اضطراب از دل‌ها و اذهان، منحصر به انبیاست، چراکه هیچ عقل و مکتب بشری قادر به ارائه تصویری از جهان دیگر و فرجام انسان‌ها با وعده و وعید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انبیا، مرگ پایان حیات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که دشمنِ سرسخت معناداری زندگی است، اتمام هستی است که هدف را می‌ستاند، ارزش زندگی را از بین می‌برد و کارکرد آن را در مجموعه‌ای منقطع، مثبت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زمانی معنادار است که انسان با باور به خدا و معاد، مرگ را نه پایان زندگی،بلکه شروع زندگی حقیقی و نقطۀ اتصال به سعادت واقعی ببیند و هراس و اضطراب نیستی او را احاطه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در سلامت روان و رهایی از ترس و یأس و اضطراب، نگاه واقع‌بینانه به مسئله شرور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کم یا بیش مبتلا به رنج و عذاب و اندوهند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بدون اتصال به وحی و نبوت، توجیه روشنی از شرور ندارد و اندوه و رنج را ناگزیر از تحمل است؛ او باید بسوزد و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انسان متصل به وحی، بر اساس قاعدۀ عدالت و جبران باور دارد که با هر سختی، آسایشی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هیچ ذره‌ای را تلف‌شده و بی‌اثر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خداوند در ازای غم‌ها و اندوه‌های ناگزیر جهان مادی، آن‌قدر بدو عطا خواهد کرد که او خشنود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 در بهداشت روانی آدمیان، رفع غربت و تفرد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 عرفا معتقدند انسان به جهت انس قبلی با عالم مفارقات و تنزل به این دنیا و جدایی از موطن اصلی، گهگاه گرفتار رنج غربت است، اما انسانِ وحی‌باور با اتصال به مبدأ اعلا و قرب به حضرتش، راه امید و دوری از غربت و ورود در انس و محبت را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با یاد محبوب آرام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لذت انس و مناجات و قرب، او را در دریای رحمت غوطه‌ور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المحبین، مناجات خمس‌عشره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بدون اتصال به وحی، هیچ توجیه و معنایی از این درد و تنهایی درونی و ذاتی خویش ندارد و لذا نشاط و امید از حیات او رخت بربسته و چه بسا این تفرد او را تا مرز خودکشی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کارکرد دیگر نبوت در معناداری حیات، ایجاد شور و نشاط و هیجان زندگی اجتماعی در چارچوب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احساس مثبت هم‌دردی، ایثار و گذشت، عفو و صفا، نرمی و مدارا، نفی کینه و حسد و حقد و اموری از این قبیل، از هر گونه فشارهای روانی کاسته و انسان را به وادی امنیت اجتماعی و روانی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دادن حیات آخرت و نعمت‌های وافر و غیر قابل مقایسه با نعمت‌های ظاهری دنیا، نقطۀ امید را در دل کسانی می‌نهد که نمی‌توانند آن‌گونه که حسّ منفعت‌طلبی آنان مقتضی است، جلب ثروت و منفعت کنندو یا با از دست دادن امور مادی زانوی غم به بغل گرفته و حسرت بی‌پایان بر آن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زندگی واقعی را آخرت معرفی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اعلی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نعمت‌های آن را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نعمت‌های در دست انسان دنیایی را فانی و زودگذر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نباید با از دست دادن آن، اندوهگین و با به دست آوردن آن فرحناک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کارکردها که برای معنابخشی زندگی از اصول اساسی به حساب می‌آید، مورد انکار ملحدان نیست تا جایی که برخی ملحدان به دلیل کارکردهای انحصاری و بعثت ادیان، انسان‌ها را به چنین باورهایی سوق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زیگموند فروید، روان‌شناس برجسته، دربارۀ کارکرد دین در تسکین آلام روحی انسان‌ها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ملاحظه می‌شود که دین چه مایۀ زورمند و تسکین‌دهنده‌ای ارائه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شکل است که دشواری‌ها، رنج‌ها، محرومیت‌ها و نادادگری‌های این جهان پرآشوب قابل تحمل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پایان همه‌چیز محسوب نمی‌شود، بلکه مرز یا پلی است میان دو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فروید،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ویلیام جیمز، از فلاسفۀ معاصر، دربارۀ زندگی مذهبی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دارای مزه و طعمی می‌گردد که گویا رحمت محض می‌شود و به شکل یک زندگی سرشار از نشاط شاعرانه و با سرور و بهجت دلبرانه درمی‌آید؛یک اطمینان و آرامش باطنی ایجاد می‌گردد که آثار ظاهری آن، نیکویی و احسان بی‌دریغ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جیمز،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آلکسیس کارل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زندگی چیست؟ ما چرا در این‌جا هستیم، از کجا آمده‌ایم؟ در کجا هستیم؟ معنای مرگ چیست؟ کجا داریم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هرگز نتوانسته است به این‌گونه افراد پاسخ‌های قانع‌کننده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سقراط و نه افلاطون موفق نشده‌اند به اضطراب بشری که با زندگی روبه‌روست، جواب تسکین‌بخش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دین است که راه‌حل جامعی برای مسئله انسانی فراهم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r>
        <w:rPr>
          <w:rFonts w:eastAsia="IRNazanin" w:cs="IRNazanin"/>
          <w:color w:val="111111"/>
          <w:sz w:val="28"/>
          <w:szCs w:val="28"/>
          <w:rtl w:val="true"/>
          <w:lang w:bidi="fa-IR"/>
        </w:rPr>
        <w:t>).</w:t>
      </w:r>
      <w:bookmarkStart w:id="185" w:name="pg2666_21001"/>
    </w:p>
    <w:p>
      <w:pPr>
        <w:pStyle w:val="BookText"/>
        <w:rPr/>
      </w:pPr>
      <w:bookmarkEnd w:id="1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از دیگر عوامل بهداشت روانی، الفت‌های اجتماعی و تقویت هم‌بستگی‌هاست که از پیام‌های اصلی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دین تشویق به نهاد خانواده و انسجام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و مدنی یا برگرفته از فطرت و یا ضرورت است و در گرو اجتماع سالم و عاری از اختلاف و تشتت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شاید بتوان نوعی وحدت را در جوامع بدون در نظر گرفتن دین نشان داد، اما عامل معنویت، شعائر مذهبی، عبادتگاه‌ها و اموری از این دست به طور طبیعی وحدت‌بخش و انسجام‌دهندۀ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توجه، عامل وحدت و عدم تفرقه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کارکردهای دین که در معنابخشی زندگی نقش بسزایی داشته و چهرۀ عبوس و ظالم دنیا را به انبساط عدالت مبدل می‌سازد، برقراری اصل آزادی و عدالت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منکر خدا و قیامت از آن‌جا که زندگی را در این جهان می‌داند و اعتقادی به رستاخیز ندارد، از تعدی و تجاوز به حقوق دیگران باکی ندارد، مگر آن‌که به ندای رسول باطنی و فطرت پاسخ دهد، اما انسان متدین از ترس عدالت و عذاب قیامت و با توجه به تشویق پاسخ به فطرت، از تعدی دور است و جهان را با سنت عدالت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تمامی عوامل معنابخشی به زندگی را می‌توان در کارکرد نبوت و انبیا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زمانی معنادار است که التزام به وحی باشد</w:t>
      </w:r>
      <w:r>
        <w:rPr>
          <w:rFonts w:eastAsia="IRNazanin" w:cs="IRNazanin"/>
          <w:color w:val="111111"/>
          <w:sz w:val="28"/>
          <w:szCs w:val="28"/>
          <w:rtl w:val="true"/>
          <w:lang w:bidi="fa-IR"/>
        </w:rPr>
        <w:t>.</w:t>
      </w:r>
    </w:p>
    <w:p>
      <w:pPr>
        <w:pStyle w:val="Heading3"/>
        <w:numPr>
          <w:ilvl w:val="2"/>
          <w:numId w:val="1"/>
        </w:numPr>
        <w:rPr/>
      </w:pPr>
      <w:bookmarkStart w:id="186" w:name="__RefHeading___Toc768364_1395250215"/>
      <w:bookmarkStart w:id="187" w:name="_Toc72"/>
      <w:bookmarkEnd w:id="186"/>
      <w:r>
        <w:rPr>
          <w:rtl w:val="true"/>
        </w:rPr>
        <w:t>جمع بندی</w:t>
      </w:r>
      <w:bookmarkEnd w:id="187"/>
    </w:p>
    <w:p>
      <w:pPr>
        <w:pStyle w:val="BookText"/>
        <w:rPr/>
      </w:pPr>
      <w:r>
        <w:rPr>
          <w:rFonts w:ascii="IRNazanin" w:hAnsi="IRNazanin" w:eastAsia="IRNazanin"/>
          <w:color w:val="111111"/>
          <w:sz w:val="28"/>
          <w:sz w:val="28"/>
          <w:szCs w:val="28"/>
          <w:rtl w:val="true"/>
          <w:lang w:bidi="fa-IR"/>
        </w:rPr>
        <w:t>با توجه به این‌که نبوت دارای کارکردهای مختلف در جنبه‌های معرفتی، اجتماعی و فردی است و می‌تواند مطابق نیازها و درون‌مایه‌های آدمیان در پی ارائه راه‌کارهایی برای تصویری واضح از زندگی و آیندۀ حیات و ترسیم حیات در سایۀ اتصال به منبع رحمت و مبدأ اعلی باشد، پس قادر به ارائه زندگی ارزش‌مند و هدف‌دار بوده و بدین‌سان به حیات آدمیان معنا بخشد و</w:t>
      </w:r>
    </w:p>
    <w:p>
      <w:pPr>
        <w:pStyle w:val="BookText"/>
        <w:rPr/>
      </w:pPr>
      <w:r>
        <w:rPr>
          <w:rFonts w:ascii="IRNazanin" w:hAnsi="IRNazanin" w:eastAsia="IRNazanin"/>
          <w:color w:val="111111"/>
          <w:sz w:val="28"/>
          <w:sz w:val="28"/>
          <w:szCs w:val="28"/>
          <w:rtl w:val="true"/>
          <w:lang w:bidi="fa-IR"/>
        </w:rPr>
        <w:t>او را از هرگونه غربت و وانهادگی برهاند و رضایت‌مندی و سعادت را مطابق با فطرت او تأمین</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3"/>
        <w:numPr>
          <w:ilvl w:val="2"/>
          <w:numId w:val="1"/>
        </w:numPr>
        <w:rPr/>
      </w:pPr>
      <w:bookmarkStart w:id="188" w:name="__RefHeading___Toc768366_1395250215"/>
      <w:bookmarkStart w:id="189" w:name="_Toc73"/>
      <w:bookmarkEnd w:id="188"/>
      <w:r>
        <w:rPr>
          <w:rtl w:val="true"/>
        </w:rPr>
        <w:t>منابع</w:t>
      </w:r>
      <w:bookmarkEnd w:id="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ابن‌فارس،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اللغه، قم، مکتب الاعلام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قم، نشر ادب الحوزه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راغب،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 فی غریب القرآن، بیروت، دارالتعرفة للطباعة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ابن‌میثم،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المرام، قم، کتاب‌خانه آیت‌الله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بلخی، جلال‌الدین،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مثنوی معنوی،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نیکلسون، تهران،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بوعلی‌سینا،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النجاه، تهران، المکتبة المرتضویه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پایکین، ریچارد و استرول، اوروم،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کلیات فلسفه،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مجتبوی، تهران،</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مبدأ و معاد، تهران،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جیمز، ویلیام،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و روان،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قائنی، قم،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روسو، ژانژاک،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قرارداد اجتماعی،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زیرک‌زاده، تهران، شرکت سهامی چهر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ملاهادی،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اسرار الحکم، مقدمه و حواشی ابوالحسن شعرانی، تهران، کتاب‌فروشی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اشراق،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مصنفات، تهران، انجمن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صدرالمتألهین شیرازی،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الربوبیه با حواشی سبزواری، مشهد، مرکز نشر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اسلامی و بیروت،اعلمی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یا شعور مرموز، قم،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شیعه، قم،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نصیر‌الدین،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ناصری، تهران،خوارزمی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قم، 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ابونصر،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اندیشه‌های اهل مدینه فاضله،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تهران، وزارت 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فرانکل، ویکتور،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جستجوی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و نظر،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معارفی، ش</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فروید، زیگموند،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آینده یک پندار،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رضی، تهران، مؤسسه انتشارات آسیا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 محسن،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الیقین، قم، 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اصول الخمسه، مصر، وهبة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کارل، الکسیس،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و رسم زندگی،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مهری، تهران، اسکندری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عبد‌الرزاق،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گوهر مراد، تهران، سازمان چاپ و انتشارات وزارت 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ماتریدی، ابومنصور،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التوحید،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فتح‌الله خلیفه، مصر، دارالجامعات المصریة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مشایخی، رضا،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پاسکال اندیشه و رسالات، تهران،ابن‌سینا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تهران، صدرا،چاپ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مقداد، جلال‌الدین،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اللوامع الالهیه،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قاضی طباطبایی، تبریز، 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الیاده، میرچیا،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دین‌پژوهی،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 تهران، پژوهشگاه علوم انسانی و مطالعات فرهنگی</w:t>
      </w:r>
      <w:r>
        <w:rPr>
          <w:rFonts w:eastAsia="IRNazanin" w:cs="IRNazanin"/>
          <w:color w:val="111111"/>
          <w:sz w:val="28"/>
          <w:szCs w:val="28"/>
          <w:rtl w:val="true"/>
          <w:lang w:bidi="fa-IR"/>
        </w:rPr>
        <w:t>.</w:t>
      </w:r>
      <w:bookmarkStart w:id="190" w:name="pg2666_21004"/>
    </w:p>
    <w:p>
      <w:pPr>
        <w:pStyle w:val="BookText"/>
        <w:rPr/>
      </w:pPr>
      <w:bookmarkEnd w:id="1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Heading2"/>
        <w:numPr>
          <w:ilvl w:val="1"/>
          <w:numId w:val="1"/>
        </w:numPr>
        <w:rPr/>
      </w:pPr>
      <w:bookmarkStart w:id="191" w:name="__RefHeading___Toc768368_1395250215"/>
      <w:bookmarkStart w:id="192" w:name="_Toc74"/>
      <w:bookmarkEnd w:id="191"/>
      <w:r>
        <w:rPr>
          <w:rtl w:val="true"/>
        </w:rPr>
        <w:t xml:space="preserve">کاربستِ </w:t>
      </w:r>
      <w:r>
        <w:rPr>
          <w:rtl w:val="true"/>
        </w:rPr>
        <w:t>«</w:t>
      </w:r>
      <w:r>
        <w:rPr>
          <w:rtl w:val="true"/>
        </w:rPr>
        <w:t>رسول</w:t>
      </w:r>
      <w:r>
        <w:rPr>
          <w:rtl w:val="true"/>
        </w:rPr>
        <w:t xml:space="preserve">» </w:t>
      </w:r>
      <w:r>
        <w:rPr>
          <w:rtl w:val="true"/>
        </w:rPr>
        <w:t xml:space="preserve">و </w:t>
      </w:r>
      <w:r>
        <w:rPr>
          <w:rtl w:val="true"/>
        </w:rPr>
        <w:t>«</w:t>
      </w:r>
      <w:r>
        <w:rPr>
          <w:rtl w:val="true"/>
        </w:rPr>
        <w:t>نبی</w:t>
      </w:r>
      <w:r>
        <w:rPr>
          <w:rtl w:val="true"/>
        </w:rPr>
        <w:t xml:space="preserve">» </w:t>
      </w:r>
      <w:r>
        <w:rPr>
          <w:rtl w:val="true"/>
        </w:rPr>
        <w:t>در عقاید اسلامی</w:t>
      </w:r>
      <w:bookmarkEnd w:id="192"/>
    </w:p>
    <w:p>
      <w:pPr>
        <w:pStyle w:val="Heading3"/>
        <w:numPr>
          <w:ilvl w:val="2"/>
          <w:numId w:val="1"/>
        </w:numPr>
        <w:rPr/>
      </w:pPr>
      <w:bookmarkStart w:id="193" w:name="__RefHeading___Toc768370_1395250215"/>
      <w:bookmarkStart w:id="194" w:name="_Toc75"/>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عبدالمجید طالب تاش</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1393/12/17</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1394/05/12</w:t>
      </w:r>
    </w:p>
    <w:p>
      <w:pPr>
        <w:pStyle w:val="Heading3"/>
        <w:numPr>
          <w:ilvl w:val="2"/>
          <w:numId w:val="1"/>
        </w:numPr>
        <w:rPr/>
      </w:pPr>
      <w:bookmarkStart w:id="195" w:name="__RefHeading___Toc768372_1395250215"/>
      <w:bookmarkStart w:id="196" w:name="_Toc76"/>
      <w:bookmarkEnd w:id="195"/>
      <w:r>
        <w:rPr>
          <w:rtl w:val="true"/>
        </w:rPr>
        <w:t>چکیده</w:t>
      </w:r>
      <w:bookmarkEnd w:id="196"/>
    </w:p>
    <w:p>
      <w:pPr>
        <w:pStyle w:val="BookText"/>
        <w:rPr/>
      </w:pPr>
      <w:r>
        <w:rPr>
          <w:rFonts w:ascii="IRNazanin" w:hAnsi="IRNazanin" w:eastAsia="IRNazanin"/>
          <w:color w:val="111111"/>
          <w:sz w:val="28"/>
          <w:sz w:val="28"/>
          <w:szCs w:val="28"/>
          <w:rtl w:val="true"/>
          <w:lang w:bidi="fa-IR"/>
        </w:rPr>
        <w:t xml:space="preserve">نحوة گویش قرآن در نام‌آوریِ پیامبران با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خاستگاه اظهار نظر عالمان مسلمان دربارۀ تفاوت آن 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در آیات، روایات و متون کلامی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گویش قرآن، هم‌سان‌انگاری این دو مفهوم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 که نبی، صدای فرشته را می‌شنود یا در خواب مشاهده می‌کند، اما رسول در بیداری هم می‌بیند؛ لذا ارتباط آن‌ها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مقطعی که آثار آن را در قرن سوم یافتیم، شهرت یافته که ارتباط آن‌ها عموم و خصوص مطلق با معیار شریعت، کتاب و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تفاوت‌گذاری جدید، نوع مأموریت و مبانی قول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البته هم‌چنان با مخالفت برخی متأخران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آیۀ‌الله مصباح یزدی بر اساس قول علامه طباطبائی، تفاوت را در اتمام حجتِ رسول دانسته که استدلال ایشان را ناکافی یافتیم</w:t>
      </w:r>
      <w:r>
        <w:rPr>
          <w:rFonts w:eastAsia="IRNazanin" w:cs="IRNazanin"/>
          <w:color w:val="111111"/>
          <w:sz w:val="28"/>
          <w:szCs w:val="28"/>
          <w:rtl w:val="true"/>
          <w:lang w:bidi="fa-IR"/>
        </w:rPr>
        <w:t>.</w:t>
      </w:r>
    </w:p>
    <w:p>
      <w:pPr>
        <w:pStyle w:val="Heading3"/>
        <w:numPr>
          <w:ilvl w:val="2"/>
          <w:numId w:val="1"/>
        </w:numPr>
        <w:rPr/>
      </w:pPr>
      <w:bookmarkStart w:id="197" w:name="__RefHeading___Toc768374_1395250215"/>
      <w:bookmarkStart w:id="198" w:name="_Toc77"/>
      <w:bookmarkEnd w:id="197"/>
      <w:r>
        <w:rPr>
          <w:rtl w:val="true"/>
        </w:rPr>
        <w:t>واژگان کلیدی</w:t>
      </w:r>
      <w:bookmarkEnd w:id="19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رسول، وحی، فرشتة وحی، عقاید اسلامی</w:t>
      </w:r>
      <w:r>
        <w:rPr>
          <w:rFonts w:eastAsia="IRNazanin" w:cs="IRNazanin"/>
          <w:color w:val="111111"/>
          <w:sz w:val="28"/>
          <w:szCs w:val="28"/>
          <w:rtl w:val="true"/>
          <w:lang w:bidi="fa-IR"/>
        </w:rPr>
        <w:t>.</w:t>
      </w:r>
      <w:bookmarkStart w:id="199" w:name="pg2666_21005"/>
    </w:p>
    <w:p>
      <w:pPr>
        <w:pStyle w:val="BookText"/>
        <w:rPr/>
      </w:pPr>
      <w:bookmarkEnd w:id="1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Heading3"/>
        <w:numPr>
          <w:ilvl w:val="2"/>
          <w:numId w:val="1"/>
        </w:numPr>
        <w:rPr/>
      </w:pPr>
      <w:bookmarkStart w:id="200" w:name="__RefHeading___Toc768376_1395250215"/>
      <w:bookmarkStart w:id="201" w:name="_Toc78"/>
      <w:bookmarkEnd w:id="200"/>
      <w:r>
        <w:rPr>
          <w:rtl w:val="true"/>
        </w:rPr>
        <w:t>مقدمه</w:t>
      </w:r>
      <w:bookmarkEnd w:id="201"/>
    </w:p>
    <w:p>
      <w:pPr>
        <w:pStyle w:val="BookText"/>
        <w:rPr/>
      </w:pPr>
      <w:r>
        <w:rPr>
          <w:rFonts w:ascii="Amiri" w:hAnsi="Amiri" w:eastAsia="Amiri" w:cs="Amiri"/>
          <w:color w:val="111111"/>
          <w:sz w:val="28"/>
          <w:sz w:val="28"/>
          <w:szCs w:val="28"/>
          <w:rtl w:val="true"/>
          <w:lang w:bidi="ar-SA"/>
        </w:rPr>
        <w:t>نخستین ساختارِ نظام‌یافتة جوامع بشری از منظر قرآن، امت واحد است که بر اثر اختلاف، به امت‌ها تقسیم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النَّاسُ إِلاَّ أُمَّةً وَاحِدَةً فَاخْتَلَفُواْ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رسولان با هدف اختلاف‌زدایی آمدند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 أُمَّةٍ رَّسُولٌ فَإِذَا جَاء رَسُولُهُمْ قُضِیَ بَیْنَهُم بِالْقِسْطِ وَهُمْ لاَ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همین کارکرد را برای انبیا ذکر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گویش، زمینة تفاوت‌انگاری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گویش قرآن در</w:t>
      </w:r>
    </w:p>
    <w:p>
      <w:pPr>
        <w:pStyle w:val="BookText"/>
        <w:rPr/>
      </w:pPr>
      <w:r>
        <w:rPr>
          <w:rFonts w:ascii="IRNazanin" w:hAnsi="IRNazanin" w:eastAsia="IRNazanin"/>
          <w:color w:val="111111"/>
          <w:sz w:val="28"/>
          <w:sz w:val="28"/>
          <w:szCs w:val="28"/>
          <w:rtl w:val="true"/>
          <w:lang w:bidi="fa-IR"/>
        </w:rPr>
        <w:t>نام‌آوریِ هم‌سان‌انگارانة رسول و نبی، زمینة جست‌وجوی مصداق‌یابنده و معناشناسانة این دو مفهوم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بیان دیگر قرآن که پیامبر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دربارۀ خاتم‌الرّسل بودن سکوت اختیار نموده، زمینة این جست‌وجو را دوچندان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 وَلَکِن رَّسُولَ اللَّهِ وَخَاتَمَ النّبیینَ وَکَانَ اللَّهُ بِکُلِّ شَیْءٍ عَلِیمًا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دیرباز این پرسش فعال مانده که چه تفاوتی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نوشتار حاضر با تأمل در آیات، احادیث و دیدگاه‌های متکلمان و مفسران، به این پرسش پاسخ می‌دهد</w:t>
      </w:r>
      <w:r>
        <w:rPr>
          <w:rFonts w:eastAsia="IRNazanin" w:cs="IRNazanin"/>
          <w:color w:val="111111"/>
          <w:sz w:val="28"/>
          <w:szCs w:val="28"/>
          <w:rtl w:val="true"/>
          <w:lang w:bidi="fa-IR"/>
        </w:rPr>
        <w:t>.</w:t>
      </w:r>
    </w:p>
    <w:p>
      <w:pPr>
        <w:pStyle w:val="Heading3"/>
        <w:numPr>
          <w:ilvl w:val="2"/>
          <w:numId w:val="1"/>
        </w:numPr>
        <w:rPr/>
      </w:pPr>
      <w:bookmarkStart w:id="202" w:name="__RefHeading___Toc768378_1395250215"/>
      <w:bookmarkStart w:id="203" w:name="_Toc79"/>
      <w:bookmarkEnd w:id="202"/>
      <w:r>
        <w:rPr>
          <w:rtl w:val="true"/>
        </w:rPr>
        <w:t xml:space="preserve">معناشناسی واژۀ </w:t>
      </w:r>
      <w:r>
        <w:rPr>
          <w:rtl w:val="true"/>
        </w:rPr>
        <w:t>«</w:t>
      </w:r>
      <w:r>
        <w:rPr>
          <w:rtl w:val="true"/>
        </w:rPr>
        <w:t>رسول</w:t>
      </w:r>
      <w:r>
        <w:rPr>
          <w:rtl w:val="true"/>
        </w:rPr>
        <w:t>»</w:t>
      </w:r>
      <w:bookmarkEnd w:id="20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س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جماعتی از شتران، قطعه‌ای از چیزی، هیأت و سکون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مدارایی هم معنا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به نامه، بادها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به شترِ آسان‌رو و تیر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گلة گوسفند و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یادآوری می‌کند که رسول به فرستاده و حامل پیام و نامه اطلاق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معنای ثانویة انبعاث و امتداد هم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رسول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 معنای مصدری و اسم مفعولی کاربرد دارد، در اصطلاح به کسی اطلاق می‌شود که فرستاده شده و خبرهایی را که به او سپرده‌اند، دنبال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رسول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دلیل است که فعول و فعیل برای مفرد و جمع، مذکر و مؤنث کاربرد یک‌سان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به معنای رساندن نامه یا پیام و یا چیز دیگری از سوی یک نفر برای دیگری است که این معنا در انفاذ یافت نمی شود؛ بر همین پایه است که اگر کسی بخواهد که زید را نزد او ببریم،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أنفذتُ زیدٌ الیه؛ و نمی گوییم</w:t>
      </w:r>
      <w:r>
        <w:rPr>
          <w:rFonts w:eastAsia="IRNazanin" w:cs="IRNazanin"/>
          <w:color w:val="111111"/>
          <w:sz w:val="28"/>
          <w:szCs w:val="28"/>
          <w:rtl w:val="true"/>
          <w:lang w:bidi="fa-IR"/>
        </w:rPr>
        <w:t>:</w:t>
      </w:r>
      <w:bookmarkStart w:id="204" w:name="pg2666_21006"/>
    </w:p>
    <w:p>
      <w:pPr>
        <w:pStyle w:val="BookText"/>
        <w:rPr/>
      </w:pPr>
      <w:bookmarkEnd w:id="2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ارسلتُهُ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فرهنگ قرآنی گاهی به فرشتگان و گاهی به پیامبران اطلاق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زخرف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دستگاه زبانی علمای علوم قرآن که از معنادهی قرآن به واژگان تأثیر پذیرفته، رسول به انسان وارسته‌ای اطلاق می شود که از سوی خداوند برگزیده شده و به سوی مردم گسیل می شود تا پیام خداوند را به آنان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205" w:name="__RefHeading___Toc768380_1395250215"/>
      <w:bookmarkStart w:id="206" w:name="_Toc80"/>
      <w:bookmarkEnd w:id="205"/>
      <w:r>
        <w:rPr>
          <w:rtl w:val="true"/>
        </w:rPr>
        <w:t xml:space="preserve">معناشناسی واژة </w:t>
      </w:r>
      <w:r>
        <w:rPr>
          <w:rtl w:val="true"/>
        </w:rPr>
        <w:t>«</w:t>
      </w:r>
      <w:r>
        <w:rPr>
          <w:rtl w:val="true"/>
        </w:rPr>
        <w:t>نبی</w:t>
      </w:r>
      <w:r>
        <w:rPr>
          <w:rtl w:val="true"/>
        </w:rPr>
        <w:t>»</w:t>
      </w:r>
      <w:bookmarkEnd w:id="20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صفت مشبهه و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اصل به معنای از جایی به جای دیگر آمدن است؛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انتقال اطلاعات است نبأ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نبأ می گویند، به این دلیل که آمدن صوت از مکانی به مکان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نبی گفته‌اند، زیرا خبر خداوند را برای مردم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ابن‌فارس،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همزۀ آن مبدل به یاء، و در هم ادغام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ابن‌منظورمی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أَنْبَأَه إِیّاه و به، و کذلک نَبَّأَه، متعدیة بحرف و غیر حرف، أَی أَخبر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چنانچه این فعل متعدی شود و در ساختارهای أَنبَأَ، نَبَأَ به، نَبَّأَ بیاید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اِستَنبَأَه النّبأَ یعنی در جست‌وجوی خبر برآمد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تأکید می‌کند که به هر خبری نبأ گفته نمی شود، بلکه نبأ به خبری گفته می شود که سه خصوصیت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فایدة بزرگی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 مبرّا باشد و مفید علم باشد؛ لذا انبأته یعنی اعلمته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راغب، نبوت به معنای مقام پیام‌رسانی میان خدا با بندگان واجد عقل و خرد اوست، برای حلّ مشکلات آن‌ها در امور مربوط به معاش و معاد؛ و به کسی که دارای چنین مقامی است، نبی گفته می شود، زیرا خردهای با ذکاوت را به چیزهایی آگاهی می دهد که سبب آرامش آن‌هامی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یادآوری می‌کند که نبی بر وزن فعیل می تواند در معنای اسم فاعل بیاید که در این صورت یعنی آورندة خبر مهم و بزرگی که سبب آرامش مردم می شود؛ و می تواند در معنای اسم مفعول بیاید که به معنای کسی است که خبر مهم و بزرگی به او داده می شود تا به انسان‌هابرساند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برخی گفته‌اند نبی از ریشة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معتلّ واوی ن 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زمین بلندی است که با آن راه می‌یابند؛ لذا در دستگاه زبانی قرآن نبی، انسان بلندمرتبه‌ای است که دارای درجة رفیع و والاست و خداوند او را برگزیده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 تأکید می‌کند که این کلمه از ریشة نبأ نیست و نزدیکی</w:t>
      </w:r>
      <w:bookmarkStart w:id="207" w:name="pg2666_21007"/>
    </w:p>
    <w:p>
      <w:pPr>
        <w:pStyle w:val="BookText"/>
        <w:rPr/>
      </w:pPr>
      <w:bookmarkEnd w:id="2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و شباهت ظاهری لفظ، سبب این برداشت شده و امر بر زبان‌شناسان مشتبه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دیدگاه، علاوه بر مستندات زبانی، به این آیة شریفه استناد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وَاذْکُرْ فِی الْکِتَابِ إِدْرِیسَ إِنَّهُ کَانَ صِدِّیقًا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وَرَفَعْنَاهُ مَکَانًا عَلِیًّا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سورآبادی همین موضع را برگزیده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نبی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نبوت ارتفاع بوَد و در لغت جای بلند را نبی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سورآبادی،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این قول را ابلغ می‌داند و روایت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می‌افزاید که در برابر شخصی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بنبی‌ء الله ولکن نبیّ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معاصران هر دو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خبر دادن از غیب یا آینده گرفته‌اند که از جانب خداوند به شخص الهام شده باشد؛ در نتیجه، نبیّ کسی است که با الهام از خداوند، خبرهای غیبی می‌آورد و یا از آینده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معلوف،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نبوت منزلتی مخصوص است و نبیّ به واسطۀ علمی که خدا به او داده و مقام قربی که ارزانی‌اش داشته، بر دیگران برتری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دو معنای پیشین، معناهای دیگری برای این واژه ذکر شده است؛ مثلاً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یقال للطریق الواضح یأخذک إلی حیث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نبی به راه روشنی اطلاق می شود که رهرو را به جایی که می خواهد برود، به پیش می برد؛ از این رو، به دشت صاف و هموار نبیء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به گاوی که از زمینی خارج می شود برای ورود به زمینی دیگر، ثورٌ نابیء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ابن‌منظور برخی از معناهای دیگر را نیز گزارش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نَبَأْتُ من الأَرض إلی أَرض أُخری إذا خرجتَ منها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نَبَأَ من بلد کذا یَنْبَأُ نَبْأً و نُبُوءاً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النَّشْزُ، و النَبِی‌ءُ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هی الجَرْسُ أَیّاً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علیهم یَنْبَأُ نَبْأً و نُبُوءاً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هَجَم و طَلَع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که بر اساس این گزارش،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باشد، از گسترة معنایی وسیعی برخوردار است و علاوه بر معنای خبر رسانی، معناهای دیگری نیز در این واژه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واژه، معناهای خروج، ترک کردن، سر برآوردن، صدای زنگ، صدای خفیّ و آهسته، روی آوردن و طلوع کردن وجود دارد که هر کدام به نوعی با مسألة نبوت مرتبط است</w:t>
      </w:r>
      <w:r>
        <w:rPr>
          <w:rFonts w:eastAsia="IRNazanin" w:cs="IRNazanin"/>
          <w:color w:val="111111"/>
          <w:sz w:val="28"/>
          <w:szCs w:val="28"/>
          <w:rtl w:val="true"/>
          <w:lang w:bidi="fa-IR"/>
        </w:rPr>
        <w:t>.</w:t>
      </w:r>
    </w:p>
    <w:p>
      <w:pPr>
        <w:pStyle w:val="Heading3"/>
        <w:numPr>
          <w:ilvl w:val="2"/>
          <w:numId w:val="1"/>
        </w:numPr>
        <w:rPr/>
      </w:pPr>
      <w:bookmarkStart w:id="208" w:name="__RefHeading___Toc768382_1395250215"/>
      <w:bookmarkStart w:id="209" w:name="_Toc81"/>
      <w:bookmarkEnd w:id="208"/>
      <w:r>
        <w:rPr>
          <w:rtl w:val="true"/>
        </w:rPr>
        <w:t xml:space="preserve">دیدگاه‌ها دربارۀ تفاوت‌های </w:t>
      </w:r>
      <w:r>
        <w:rPr>
          <w:rtl w:val="true"/>
        </w:rPr>
        <w:t>«</w:t>
      </w:r>
      <w:r>
        <w:rPr>
          <w:rtl w:val="true"/>
        </w:rPr>
        <w:t>رسول</w:t>
      </w:r>
      <w:r>
        <w:rPr>
          <w:rtl w:val="true"/>
        </w:rPr>
        <w:t xml:space="preserve">» </w:t>
      </w:r>
      <w:r>
        <w:rPr>
          <w:rtl w:val="true"/>
        </w:rPr>
        <w:t xml:space="preserve">و </w:t>
      </w:r>
      <w:r>
        <w:rPr>
          <w:rtl w:val="true"/>
        </w:rPr>
        <w:t>«</w:t>
      </w:r>
      <w:r>
        <w:rPr>
          <w:rtl w:val="true"/>
        </w:rPr>
        <w:t>نبی</w:t>
      </w:r>
      <w:r>
        <w:rPr>
          <w:rtl w:val="true"/>
        </w:rPr>
        <w:t>»</w:t>
      </w:r>
      <w:bookmarkEnd w:id="209"/>
    </w:p>
    <w:p>
      <w:pPr>
        <w:pStyle w:val="Heading4"/>
        <w:numPr>
          <w:ilvl w:val="3"/>
          <w:numId w:val="1"/>
        </w:numPr>
        <w:rPr/>
      </w:pPr>
      <w:bookmarkStart w:id="210" w:name="__RefHeading___Toc768384_1395250215"/>
      <w:bookmarkStart w:id="211" w:name="_Toc82"/>
      <w:bookmarkEnd w:id="210"/>
      <w:r>
        <w:rPr>
          <w:rtl w:val="true"/>
        </w:rPr>
        <w:t>اشاره</w:t>
      </w:r>
      <w:bookmarkEnd w:id="21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علوم قرآنی، سه دیدگاه اصلی و یک دیدگاه جانبی دربارۀ تفاوت‌های رسول و نبی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نخست به یک‌سان‌انگاری رسول و نبی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 به استناد احادیث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تفاوت‌گذاری مبتنی بر نوع ارتباط با فرشته معتقد است که رابطة آن دو را</w:t>
      </w:r>
      <w:bookmarkStart w:id="212" w:name="pg2666_21008"/>
    </w:p>
    <w:p>
      <w:pPr>
        <w:pStyle w:val="BookText"/>
        <w:rPr/>
      </w:pPr>
      <w:bookmarkEnd w:id="2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عموم و خصوص مطلق به 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سوم قول مشهور است که به تفاوت‌گذاری مبتنی بر داشتن یا نداشتن کتاب و شریعت معتقد است و رابطۀ نبی و رسول را عموم و خصوص مطلق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جانبی مربوط به آیۀالله مصباح است که آن را بر پایة بیان علامه طباطبائی 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بررسی و تحلیل این چهار دیدگاه و استدلال‌های آن‌ها می پردازیم</w:t>
      </w:r>
      <w:r>
        <w:rPr>
          <w:rFonts w:eastAsia="IRNazanin" w:cs="IRNazanin"/>
          <w:color w:val="111111"/>
          <w:sz w:val="28"/>
          <w:szCs w:val="28"/>
          <w:rtl w:val="true"/>
          <w:lang w:bidi="fa-IR"/>
        </w:rPr>
        <w:t>.</w:t>
      </w:r>
    </w:p>
    <w:p>
      <w:pPr>
        <w:pStyle w:val="Heading4"/>
        <w:numPr>
          <w:ilvl w:val="3"/>
          <w:numId w:val="1"/>
        </w:numPr>
        <w:rPr/>
      </w:pPr>
      <w:bookmarkStart w:id="213" w:name="__RefHeading___Toc768386_1395250215"/>
      <w:bookmarkStart w:id="214" w:name="_Toc83"/>
      <w:bookmarkEnd w:id="213"/>
      <w:r>
        <w:rPr>
          <w:rtl w:val="true"/>
        </w:rPr>
        <w:t>یکم</w:t>
      </w:r>
      <w:r>
        <w:rPr>
          <w:rtl w:val="true"/>
        </w:rPr>
        <w:t xml:space="preserve">: </w:t>
      </w:r>
      <w:r>
        <w:rPr>
          <w:rtl w:val="true"/>
        </w:rPr>
        <w:t xml:space="preserve">یک‌سان‌انگاری </w:t>
      </w:r>
      <w:r>
        <w:rPr>
          <w:rtl w:val="true"/>
        </w:rPr>
        <w:t>«</w:t>
      </w:r>
      <w:r>
        <w:rPr>
          <w:rtl w:val="true"/>
        </w:rPr>
        <w:t>رسول</w:t>
      </w:r>
      <w:r>
        <w:rPr>
          <w:rtl w:val="true"/>
        </w:rPr>
        <w:t xml:space="preserve">» </w:t>
      </w:r>
      <w:r>
        <w:rPr>
          <w:rtl w:val="true"/>
        </w:rPr>
        <w:t xml:space="preserve">و </w:t>
      </w:r>
      <w:r>
        <w:rPr>
          <w:rtl w:val="true"/>
        </w:rPr>
        <w:t>«</w:t>
      </w:r>
      <w:r>
        <w:rPr>
          <w:rtl w:val="true"/>
        </w:rPr>
        <w:t>نبی</w:t>
      </w:r>
      <w:r>
        <w:rPr>
          <w:rtl w:val="true"/>
        </w:rPr>
        <w:t>»</w:t>
      </w:r>
      <w:bookmarkEnd w:id="214"/>
    </w:p>
    <w:p>
      <w:pPr>
        <w:pStyle w:val="Heading5"/>
        <w:numPr>
          <w:ilvl w:val="4"/>
          <w:numId w:val="1"/>
        </w:numPr>
        <w:rPr/>
      </w:pPr>
      <w:bookmarkStart w:id="215" w:name="__RefHeading___Toc768388_1395250215"/>
      <w:bookmarkStart w:id="216" w:name="_Toc84"/>
      <w:bookmarkEnd w:id="215"/>
      <w:r>
        <w:rPr>
          <w:rtl w:val="true"/>
        </w:rPr>
        <w:t>اشاره</w:t>
      </w:r>
      <w:bookmarkEnd w:id="21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نام‌آوری فردی یا جمعی پیامبران، ره‌یافتی برای جدا انگاری رسول و نبیّ به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آتی که به نام‌آوری قرآن از پیامبران الهی با عنوان‌های رسول یا نبیّ پرداخته، حاکی از همین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نام‌آوری، دلیلی بر نبودن تفاوت میان رسول و نبی نیست، بلکه تنها این رأی را به همراه دارد که نمی توان از آیات قرآن، تفاوت میان رسول و نبی را دریافت و برای آگاهی از این تفاوت می بایست به منبع دیگری مراجعه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در هم آمیختن دو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قرآن، سبب شده برخی عالمان علوم قرآنی بگویند هر رسولی نبی و هر نبیّ‌ای رسول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معتزله قائل به هم‌سانی رسول و نبی در مصداق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عنوانی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الفرق بین النبی و غیره فیما یجب أن یختص به من صفاته و أحواله و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وقتی می خواهد به تفاوت میان نبی و دیگران بپردازد، به جای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بیّنا من قبل الفرق بین المعجز و غیره، و أن من حق الرسول أن یبین به من کل من لیس برسول، و دللنا علی ذلک بما 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سنذکر الآن جملة مما یجب اختصاص الرسول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حقّه أن یکون منزّها عما یقتضی خروجه من ولایة اللّه تعالی إلی عداوته، قبل النبوة و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قاضی‌عبدالجبار، بی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گویش جای‌گزین‌سازی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 معتزله بر اساس روش نام‌آوری قرآن، به هم‌سانی رسول و نبی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فرّاء، ادیب قرن دوم، سخنی مشابه در دست است که نشان می دهد به دلیل همین هم‌سان‌انگاری، تا آن زمان در گویش برخی علمای علوم قرآن، تفاوتی میان رسول و نبی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یصطفی من الملئکه 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أصطفی جبریل و میکائیل و ملک الموت و أشباههم و یصطفی من النّاس من الانبیاء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فرّاء،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جانشین‌انگارانة وی از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آن است که تا قرن دوم میان نام‌آوری رسول و نبی، تفاوت قائل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مفسر قرن پنجم هجری، در تفسیر آیة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حج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دلالت دارد بر این‌که هر رسولی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أَرْسَلْنَا مِن قَبْلِکَ مِن رَّسُولٍ وَلَا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اختلاف در فایدة معنای دو واژه است، زیرا رسول کسی است که خداوند او را ارسال کرده است و نبیّ کسی است که دارای منزلت رفیع است و از خداوند متعال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بی‌تا،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حاکی از یکی شمردن رسول و نبی در مصداق و قائل شدن به اختلاف در معنای واژگان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که از طوسی تأثیر پذیرفته، همین معنا را مورد تأکید قرار داده و آرای دیگر از جمله رأی جاحظ را که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دارای شریعت است و احکام وضع می‌کند، امّا نبیّ دارای شریعت نیست و مبلّغ شریعت و احکام یک رسول است، نادرست می‌داند و بر رأی خودش، یعنی هم‌سان‌انگاری رسول و نبی تأکید می‌کند؛ و دلیل درستی آن را این می‌داند که خداوند،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رسول خطاب کرده و هم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نحاس از قولی گزارش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به کسی نبیّ گفت، مگر این‌که فرستاده‌شده و رسول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نحاس،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نیز همین معنا را تکرار کرده و تأکید می‌کند که نبیّ کسی است که از خدا خبر می‌دهد و معنای خبر دادن از خداوند همان رسالت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که دیدگاه خود را بر پایة هم‌سان‌انگاری بنا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نبیّ کسی است که از ذات و صفات حق‌تعالی و دیگر مسائلی که برای عقول بشری مستقلاً قابل دریافت نیست، خبر می‌دهد و رسول کسی است که مأموریت اصلاح نوع بشر را بر دوش دارد؛ لذا نبوت مربوط به جنبة خبردهی پیامبر از خداوند است و رسالت مربوط به جنبة بعثت و ارسال آن‌ها به سوی بشر است؛ هرچند دومی‌اخصّ از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که تفاوت‌گذاری گروه‌های کلامی مانند معتزله و مفسرانی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میبدی، آلوسی، قرطبی، طوسی و طبرسی، تنها بر پایة معنای لغوی این دو واژه استوار است؛ به این معنا که مصداق رسول و نبی را واحد می دانند، لکن هر پیامبری از آن جهت که ارتباط وحیانی دارد، نبی است و از آن جهت که آورندة پیام وحی به سوی مردم است، رسول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پایة دیدگاه این گروه، روش قرآن در نام‌آوری رسولان و انبیاست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آیۀالله سبحانی با بررسی آیات قرآن به دیدگاهی مشابه و نزدیک به این گروه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قرآن، مانند آیۀ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کرده، به این نتیجه می رسیم که میان این دو اصطلاح، تفاوت‌هایی وجود دارد و این‌ها دو طایفه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طایفۀ انبیا و طایفۀ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نمی توانیم به ترادف معنایی این دو واژه حکم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احتمال این‌که مصداق رسول غیر از مصداق نبی باشد از آیات قرآن دریافت نمی شود، چراکه هر دو وصف نبوت و رسالت را به گونه‌ای به کار گرفته که گویا وصف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نتیجه می گیرد که این دو لفظ در مفهوم مغایرند، اما در مصداق و انطباق خارجی گاهی مساوی‌اند؛ به این معنا که نبی همان رسول است؛ یعنی مسئولیت ابلاغ و ارشاد بر دوش دارد؛ هم‌چنان‌که هر رسولی نبی‌ای است که به او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یادآوری می‌کند که اکثریت انبیا در همان زمان نزول وحی، مأمور رسالت و ابلاغ هم می شوند؛ هرچند حالت‌های نادری از نبوت خاصه یافت می شود که شخص به نبوت می رسد، اما مأمور رسالت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تأکید می‌کند که نسبتِ میان مفهوم نبی و رسول، نسبت خاص است؛ به این معنا که اغلب انبیا رسول هستند،اما به ندرت و شاذّ نبی رسول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bookmarkStart w:id="217" w:name="pg2666_21012"/>
    </w:p>
    <w:p>
      <w:pPr>
        <w:pStyle w:val="BookText"/>
        <w:rPr/>
      </w:pPr>
      <w:bookmarkEnd w:id="2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Heading5"/>
        <w:numPr>
          <w:ilvl w:val="4"/>
          <w:numId w:val="1"/>
        </w:numPr>
        <w:rPr/>
      </w:pPr>
      <w:bookmarkStart w:id="218" w:name="__RefHeading___Toc768390_1395250215"/>
      <w:bookmarkStart w:id="219" w:name="_Toc85"/>
      <w:bookmarkEnd w:id="218"/>
      <w:r>
        <w:rPr>
          <w:rtl w:val="true"/>
        </w:rPr>
        <w:t>بررسی و تحلیل این قول</w:t>
      </w:r>
      <w:bookmarkEnd w:id="219"/>
    </w:p>
    <w:p>
      <w:pPr>
        <w:pStyle w:val="BookText"/>
        <w:rPr/>
      </w:pPr>
      <w:r>
        <w:rPr>
          <w:rFonts w:ascii="IRNazanin" w:hAnsi="IRNazanin" w:eastAsia="IRNazanin"/>
          <w:color w:val="111111"/>
          <w:sz w:val="28"/>
          <w:sz w:val="28"/>
          <w:szCs w:val="28"/>
          <w:rtl w:val="true"/>
          <w:lang w:bidi="fa-IR"/>
        </w:rPr>
        <w:t xml:space="preserve">هرچند صاحبان این قول پایة استدلال خود را قرآن گرفته‌اند،اما این قول نمی تواند درست باشد، زیرا گویش قرآن در آیة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 که این دو مفهوم را به یک‌دیگر عطف کرده، حاکی از مغایرت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بر اساس همین معیار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الآیة دلالة واضحة علی اختلاف معنی النبوة و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همین استدلال را پایة دیدگاه خود قرار می دهد و به مغایرت میان رسول و نبی حکم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آیۀالله مصباح رأی علامه طباطبائی را منطقی می داند و استدلال می‌کند که آوردن دو واژة کاملاً مترادف در یک جمله، خلاف حکمت است و نتیجه می گیرد که این دو واژه به یک معنا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مصباح‌یزدی،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ربانی‌گلپایگانی در تحلیل این قول، معنای عام رسول را با معنای خاصّ نبیّ مساوی می داند، ولی معنای خاصّ رسول را با معنای نبیّ یک‌سان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واژۀ رسول دو کاربرد دارد که یکی به معنای عام است و دیگری به 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عامّ رسول از نظر مصداق با کاربرد خاصّ نبی برابر و یک‌سان است و بیان‌گر شأن پیام‌رسانی انبیای الهی است، چنان‌که نبوّت بیان‌گر شأن دریافت‌های پیام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کاربرد خاصّ رسول به عده‌ای از پیامبران الهی اختصاص دارد که فرشتۀ وحی به هنگام رساندن پیام الهی به آنان، به صورت بشری تمثّل یافته و آنان تمثّل بشری فرشتۀ وحی را در بیداری می دیدند و با او گفت‌وگو می کردند؛ با همین توجیه است که می بینیم در برخی روایات، تعداد رسولان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ربانی‌گلپایگانی،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4"/>
        <w:numPr>
          <w:ilvl w:val="3"/>
          <w:numId w:val="1"/>
        </w:numPr>
        <w:rPr/>
      </w:pPr>
      <w:bookmarkStart w:id="220" w:name="__RefHeading___Toc768392_1395250215"/>
      <w:bookmarkStart w:id="221" w:name="_Toc86"/>
      <w:bookmarkEnd w:id="220"/>
      <w:r>
        <w:rPr>
          <w:rtl w:val="true"/>
        </w:rPr>
        <w:t>دوم</w:t>
      </w:r>
      <w:r>
        <w:rPr>
          <w:rtl w:val="true"/>
        </w:rPr>
        <w:t xml:space="preserve">: </w:t>
      </w:r>
      <w:r>
        <w:rPr>
          <w:rtl w:val="true"/>
        </w:rPr>
        <w:t>مصداق‌یابی این دو مفهوم در روایات ائمه</w:t>
      </w:r>
      <w:r>
        <w:rPr/>
        <w:t></w:t>
      </w:r>
      <w:bookmarkEnd w:id="22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محاورات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اسنادی یافت می شود که حاکی از دغدغة دیرپای مسلمانان در تفاوت‌گذاری میان رسول و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الانبیاء والرّسل و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 روایت در این باب می آورد که هشت روایت به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دو روایت به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یک روایت به امام باقر و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یک روایت به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نخستینِ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یکی از روایت‌های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راوی یکی از روایت‌های اختصاصی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روایت مشترک امام صادق و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زراره یک بار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پرسیده و یک بار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در نتیجه روایت‌های نقل‌شده با راویان متفاوت، همگی به نقل زراره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برید هم از زراره شنیده و به واسطۀ زراره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روایت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المعروفی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فروخی روایت ذیل را با سه واسطه از زراره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محمد عن الحسن بن محبوب عن الأحول قال سمعت زرارة یسأل أبا 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الرسول و النبی و المحدث فقال أبوجعفر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الرسول الذی یأتیه جبرئیل قبلا فیراه و یکلمه فهذا الرسول و أما النبی فإنه یری فی منامه علی نحو ما رأی إبراهیم و نحوه ما کان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أسباب النبوة قبل الوحی حتی أتاه جبرئیل من عند الله بالرسالة کان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جمع له النبوة و جاءته الرسالة من عند الله یجیئه بها جبرئیل و یکلمه بها قبلاً و من الانبیاء من جمع له النبوة و یری فی منامه یأتیه الروح فیکلمه و یحدثه من غیر أن یکون رآه فی الیقظة و أما المحدث فهو الذی یحدث فیسمع و لا یعاین و لا یری فی منامه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صحیح است، چراکه همۀ راویان این روایت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چند نفر را، از جمله احمد بن محمد و حسن بن محبوب که در سند این روایت جای دارند، توثیق کرده‌اند و روایت آن‌ها راصحیح دانسته‌اند و آن‌ها را به فقه و علم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احول را هم ثقه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رجالیون، زراره را از اصحاب اجماع به شمارش آورده‌اند که روایت او حمل به صحت است؛ هم‌چنان‌که برخی احمد بن محمد و حسن بن محبوب را هم جزء اصحاب اجماع 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خویی،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روایتی با همین مضمون را از احمد بن حسن نقل می‌کند که سلسلۀ سند آن هم به زراره می رسد که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دربارۀ تفاوت رسول و نبی پرسیده است و ایشان پاسخی مشابه پاسخ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صحیح‌السند است، چراکه ابراهیم بن هاشم از اصحاب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و گفته‌اند حدیث کوفیان را به قم نشر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ابن‌بکیر را فطحی‌المذهب دانسته‌اند، روایات او قابل اعتماد است و او را در نقل روایت ثقه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کشی دربارۀ او و دربارۀ حسن بن علی بن فضال از قول فطحیه آورده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فقهاء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از اجلّة العلماء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روایت مشابهی را از ابراهیم بن هاشم نقل می‌کند که سند به عباس بن معروف می رسد که از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دربارۀ تفاوت رسول و نبی می پرسد و ایشان فرق رسول و نبی را همان‌گونه بیان می‌کند که امام باقر و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معرفی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از اصحاب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که حدیث کوفیان را به قم نشر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مهران را ثقه و قابل اعتماد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ابن‌داود دربارۀ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ثقۀ و الاقوی الاعتماد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ابن‌داود،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و کشی هم او را ثقه و معتمد علیه معرفی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نیز که مجموعه حدیثی خود را در اواخر قرن سوم گردآوری کرده،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الرّسل و النبی و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روایات مشابهی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نقل از گروهی از راویان شیعی روایتی می آورد که به زراره ختم می شود که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دربارۀ فرق میان رسول و نبی پرسیده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أَبِی نَصْرٍ عَنْ ثَعْلَبَةَ بْنِ مَیْمُونٍ عَنْ زُرَارَةَ قَالَ سَأَلْتُ أَبَاجَعْفَرٍ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عَنْ قَوْلِ اللَّهِ عَزَّ وَ جَلَّ وَ کانَ رَسُولًا نبیا مَا الرَّسُولُ وَ مَا النبی قَالَ النبی الَّذِی یَرَی فِی مَنَامِهِ وَ یَسْمَعُ الصَّوْتَ وَ لَا یُعَایِنُ الْمَلَکَ وَ الرَّسُولُ الَّذِی یَسْمَعُ الصَّوْتَ وَ یَرَی فِی الْمَنَامِ وَ یُعَایِنُ الْمَلَکَ قُلْتُ الْإِمَامُ مَا مَنْزِلَتُهُ قَالَ یَسْمَعُ الصَّوْتَ وَ لَا یَرَی وَ لَا یُعَایِنُ الْمَلَکَ ثُمَّ تَلَا هَذِهِ الْآیَةَ وَ ما أَرْسَلْنا مِنْ قَبْلِکَ مِنْ رَسُولٍ وَ لا نبی وَ لَا مُحَدَّثٍ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علمای شیعه، روایات احمد بن محمد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ثعلبۀ بن میمون از سوی کشی و علامه حلی فقیه، قاری، زاهد و کثیرالعمل معرفی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زراره از اصحاب اجماع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پایه و اساس بسیاری از اقوال و‌اندیشه‌های عالمان شیعه و سنّی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مفسر سنّی قرن پنجم، دیدگاهی مبتنی بر این‌گونه روایات دارد که نشان می‌دهد خاستگاه اندیشۀ رایج در میان متقدمان در این مسأله، بیان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کسی است که جبرئیل در عیان و به طور شفاهی برای او وحی می‌آورد، اما نبی کسی است که نبوتش از طریق الهام و یا خواب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سورآبادی، دیگر مفسر قرن پنجم یادآوری می‌کند که رسول صاحب معجزه است،اما نبی ممکن است معجزه نداشته باشد و هاتفی او را آواز دهد یا در خواب به او بنمایانند و یا رسولی به او خبر دهد که نبی شده است؛ از این رو ممکن است شخصی نبی باشد،اما رسول نباشد؛ اما کسی رسول نمی شود، مگر این‌که نبی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سورآبادی،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1615</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ابن‌خلدون که در حیطة معناشناسی واژگان کلیدی قرآن، روشی محققانه در پیش گرفته است، دیدگاهش با این قول هم‌سویی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شود که پیامبر بانگی رعد‌آسا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بانگ همچون رمزی است که از آن مفهوم آنچه به وی القا شده استنباط می‌کند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 چون تمام شد، مطلب وحی‌شده رامی‌فهمد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دیگر این است که فرشته به صورت انسانی تمثل می‌یابد و با او سخن می‌گوید و پیامبر آنچه را که فرشته به او القا می‌کند، درک کرده و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حالت نخستین را به پیامبران نامرسل، و حالت دوم را مقام و منزلت پیامبران مرسل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معنای حدیثِ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حارث بن هشام همین است که وقتی از ایشان دربارة چگونگی وحی سؤال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احیاناً یأتینی مثل صلصله الجرس و هو اشدّه علیّ فینفصم عنّی و قد وعیتُ ما قال و احیاناً یتمثّل لیَ الملک فیکلّمنی فَأَعی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حالت نخستین که تنها قوة شنیداری فعال است، سخت‌تر است و مربوط به اوایل پیامبری ایشان است که شروعِ خارج شدن از قوه به فعل است؛ لذا قدری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بعدها که وحی تکرار می‌شود و ایشان به مقام رسالت می‌رسند، ارتباط شنیداری و دیداری می شود و فرشتة وحی به صورت رو در رو با او سخن می گوید؛ در نتیجه دریافت وحی برای پیامبر آسان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ابن‌خلدون،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منظر،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مقام نبوت نایل آمده و سپس به مقام رسالت رسید؛ لذا از آن زمان به بعد، فرشته را به عیان و رو در رو مشاهده می‌کرد و با او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مفسر سنّی قرن ششم، در گویشی هم‌سو با این قول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کسی است که برانگیخته شده و فرشته بر او ظاهر می‌شود و به او فرمان می‌دهد که مردم را به دین خدا فراخواند، اما نبی کسی است که فرشته را در خواب می‌بیند و یا به او الهام می‌شود که پیامبر شده یا رسولی به او خبر می‌دهد که مبعوث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به استناد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می‌کند که فرشته بر رسول ظاهر می‌شود و با او سخن می‌گوید، اما نبی فرشته را در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می‌کند که چه بسا رسالت و نبوت در یک نفر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یادآور می‌شود محدثان که منظور،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فقط صدای فرشته را می‌شنوند و او را در خواب یا در ظاهر نمی‌بینند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فیض‌کاشانی،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بیان اخیرِ وی، روایت امام باقر و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که به راوی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تحدیث می‌کند و اخبار را به او می‌رساند؟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یحدثه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فرشته‌ای به او تحدیث می‌کند و اخبار عالم و آدم را به 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شریف‌لاهیجی،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انبیا و رسولان را به چهار طبقه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اول نبی‌ای که فقط در نفسش خبردار شود و نبیّ نفس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دوم کسی است که فرشته را در خواب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می‌بیند و صدای او را می‌شنود،اما در بیداری فرشته را مشاهده نمی‌کند؛ و این نبی‌ای است که بر دیگران مبعوث نشده و بر او امامی است؛ مثل لوط که ابراهیم بر او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سوم آن کسی است که در خواب ملک را می‌بیند و صدای او را می‌شنود و ملک را به عیان می‌بیند و او بر طایفه‌ای، کم یا زیاد،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یونس که خداوند درباره‌اش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أَرْسَلْناهُ إِلی مِائَةِ أَلْفٍ أَوْ یَزِیدُونَ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نفرند؛ یعنی چنین کسی بر جماعتی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طبقۀ چهارم پیامبری است که در خواب ملک را می‌بیند و صدای او را می‌شنود و در بیداری هم او را به عیانمی‌بیند و چنین کسی، امامِ دیگران است؛ یعنی پیشوای تمام خلق است؛ مانند پیامبران اولو‌العزم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پیامبران اولوالعزم، هم نبی بودند و هم رسول؛ لذا قرآن، پیامبر خاتم را گاهی به نبی و دفعه‌ای به رسول ستوده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بانوی اصفهانی،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منطبق بر همین روایات، دیدگاه خود دربارۀ تفاوت رسول و نبی را بیان می‌کند و سایر دیدگاه‌ها در این باره را نادرست می داند و به ردّ آن‌ها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گنابادی، نبی در مقام نبوت از جانب خدا آگاه و آگاه‌کننده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فرشته را در خواب و بیداری می‌شنود و او را در خواب می‌بیند، اما در بیداری نمی‌بیند، اما رسول در مقام رسالت از طرف خدا به سوی خلق فرستاده می‌شود و در حال بیداری و خواب، فرشته را مشاهده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گنابادی،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پایه‌گذاری در مصداق‌یابی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متقدمان، تعداد انبیا را بیشتر از رسولان بدانند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 أخص من النبی و کثیر من الانبیا لم یرسلوا و کل رسول 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ابن‌عطیه،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طوسی، بی‌تا،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ملاحظه می‌شود، همة این اقوال یا برگرفته از روایات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با آن هم‌سویی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با روایتی که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از زاویة دیگری به مسأله نگاه کرده است،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آمده که ابوذر غفاری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تعداد انبیا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الف و اربعة و عشرون 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صد‌و‌بیست‌و‌چهار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 الرسول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آن‌ها رسول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مائة و ثلاث عشر جمّاً غفیراً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سیصد‌و‌سیزده نفر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حاکی از این است که تعدادی از انبیا به مقام رسالت نرسیده‌اند که با آنچه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هم‌خوانی دارد، زیرا بیان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تعداد بیشترِ انبیا نسبت به رسولان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گویش، پاسخ روشنی به سؤال کسانی است که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در</w:t>
      </w:r>
      <w:bookmarkStart w:id="222" w:name="pg2666_21017"/>
    </w:p>
    <w:p>
      <w:pPr>
        <w:pStyle w:val="BookText"/>
        <w:rPr/>
      </w:pPr>
      <w:bookmarkEnd w:id="2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سورۀ احزاب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ایشان سخنی به میان نیاورد؟ وقتی ایشان را خاتم انبیا معرفی کرد، به یقین خاتم رسولان نیز خواهد بود، زیرا هر رسولی ابتدا باید نبی شود تا پس از آن به مرتبة رسالت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آن است که چون از سویی،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دارای مقام نبوت است و هم دارای مقام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سوی دیگر، بر اساس آنچه از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مقام رسالت بعد از مقام نبوت است و هر کس رسول باشد، علاوه بر این‌که فرشته را در بیداری می بیند، او را در خواب هم مشاهده می‌کند و صدای او را هم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انسانی حتماً می بایست مقام نبوت را پشت سر گذاشته باشد، زیرا فرشته را در خواب مشاهده می‌کند و صدایش را هم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ممکن است کسی به مقام نبوت برسد،اما به مقام رسالت دست نیابد؛ از این رو قرآن کریم،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مصداق‌های آن از تعدّد بیشتری برخوردار است، معرفی کرده تا به طور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w:t>
      </w:r>
    </w:p>
    <w:p>
      <w:pPr>
        <w:pStyle w:val="Heading4"/>
        <w:numPr>
          <w:ilvl w:val="3"/>
          <w:numId w:val="1"/>
        </w:numPr>
        <w:rPr/>
      </w:pPr>
      <w:bookmarkStart w:id="223" w:name="__RefHeading___Toc768394_1395250215"/>
      <w:bookmarkStart w:id="224" w:name="_Toc87"/>
      <w:bookmarkEnd w:id="223"/>
      <w:r>
        <w:rPr>
          <w:rtl w:val="true"/>
        </w:rPr>
        <w:t>سوم</w:t>
      </w:r>
      <w:r>
        <w:rPr>
          <w:rtl w:val="true"/>
        </w:rPr>
        <w:t xml:space="preserve">: </w:t>
      </w:r>
      <w:r>
        <w:rPr>
          <w:rtl w:val="true"/>
        </w:rPr>
        <w:t>قول مشهور و طرف‌داران آن</w:t>
      </w:r>
      <w:bookmarkEnd w:id="224"/>
    </w:p>
    <w:p>
      <w:pPr>
        <w:pStyle w:val="Heading5"/>
        <w:numPr>
          <w:ilvl w:val="4"/>
          <w:numId w:val="1"/>
        </w:numPr>
        <w:rPr/>
      </w:pPr>
      <w:bookmarkStart w:id="225" w:name="__RefHeading___Toc768396_1395250215"/>
      <w:bookmarkStart w:id="226" w:name="_Toc88"/>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بنا بر قولی که در میان علمای علوم قرآنی و مفسران از شهرت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کسی است که فقط به نبوت مبعوث شده و دارای معجزه، کتاب و شریعتِ مستقل نیست، بلکه مبلّغ آیین و شریعت رسولی است که پیش از او مبعوث شده و یا هم‌عصرِ با اوست؛اما رسول کسی است که دارای معجزه، کتاب و شریعت مخصوص به خود است و مردم را به آیین و شریعتی که خود بر آن مبعوث شده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رسولی نبی هم هست، اما هر نبی‌ای رسول نیست و ارتباط میان آن‌ها عموم و خصوص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سورآبادی،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1614</w:t>
      </w:r>
      <w:r>
        <w:rPr>
          <w:rFonts w:ascii="IRNazanin" w:hAnsi="IRNazanin" w:eastAsia="IRNazanin"/>
          <w:color w:val="111111"/>
          <w:sz w:val="28"/>
          <w:sz w:val="28"/>
          <w:szCs w:val="28"/>
          <w:rtl w:val="true"/>
          <w:lang w:bidi="fa-IR"/>
        </w:rPr>
        <w:t xml:space="preserve">؛ ملافتح‌الله کاشانی،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آلوسی،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قول، کسانی که از جانب خدا مبعوث شده‌اند، اما مأموریت تبلیغ نداشته‌اند، نبی به شمار می آیند و رسول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ربانی‌گلپایگانی،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ابن‌عربی که از جمله طرف‌داران این قول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پس از این‌که در مقام ولایت به فناء فی الله رسید، با وجود موهبتی‌اش به مقام استقامت برمی‌گردد، در حالی که عارفِ به حق شده، به دستور حق از او و از ذات و صفات و افعال و احکام او خبر می‌دهد و مردم را به شریعت رسولی فرا می‌خواند که پیش از او برانگیخته شده، زیرا خودش شریعت و حکم جدید ندارد؛ اما رسول کسی است که شریعت و حکم وضع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بین ولیّ و رسول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bookmarkStart w:id="227" w:name="pg2666_21018"/>
    </w:p>
    <w:p>
      <w:pPr>
        <w:pStyle w:val="BookText"/>
        <w:rPr/>
      </w:pPr>
      <w:bookmarkEnd w:id="2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ملافتح‌الله کاشانی بر این قول تأکید می‌کند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صاحب شریعت است و نبیّ تابع وی در آن شریعت؛ مانند لوط</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به شریعت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دعوت می‌کرد و هم‌چنین است یوشع</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شمعون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به شریعت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عیسی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تفاوت‌گذاری، وجود کتاب و شریعت جدید برای رسول است؛ لکن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کسی است که دارای معجزه و کتاب است و شریعتِ پیش از خود را نسخ کرده و نبی کسی است که این مختصّات در او جمع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5"/>
        <w:numPr>
          <w:ilvl w:val="4"/>
          <w:numId w:val="1"/>
        </w:numPr>
        <w:rPr/>
      </w:pPr>
      <w:bookmarkStart w:id="228" w:name="__RefHeading___Toc768398_1395250215"/>
      <w:bookmarkStart w:id="229" w:name="_Toc89"/>
      <w:bookmarkEnd w:id="228"/>
      <w:r>
        <w:rPr>
          <w:rtl w:val="true"/>
        </w:rPr>
        <w:t>تحلیل این قول</w:t>
      </w:r>
      <w:bookmarkEnd w:id="229"/>
    </w:p>
    <w:p>
      <w:pPr>
        <w:pStyle w:val="BookText"/>
        <w:rPr/>
      </w:pPr>
      <w:r>
        <w:rPr>
          <w:rFonts w:ascii="IRNazanin" w:hAnsi="IRNazanin" w:eastAsia="IRNazanin"/>
          <w:color w:val="111111"/>
          <w:sz w:val="28"/>
          <w:sz w:val="28"/>
          <w:szCs w:val="28"/>
          <w:rtl w:val="true"/>
          <w:lang w:bidi="fa-IR"/>
        </w:rPr>
        <w:t>گویا نخستین کاربرد این‌گونه جدا انگاری به قرن سوم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این قول را به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 و آن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إنّ الرّسول هو المبتدئ بوضع الشرائع و الأحکام و النبی الّذی یحفظ شریعة غیره عن الجاحظ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توان گفت، قول مشهور از قرن سوم هجری به متون تفسیری متقدمان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بررسی اقوال عالمان دین، مواردی یافت می شود که با تحلیل جایگاه و مقام نبوت و رسالت، به مقایسۀ این دو مقام پرداخته‌اند و در نتیجه قول راه‌یافته به دستگاه زبانی متقدمان، مورد اقبال و پذیرش متأخران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با هدف چنین مقایسه‌ای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کسی است که برای عمل کردن به او وحی می شود، اما رسول کسی است که برای عمل و ابلاغ به او 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نبی‌ای رسول است، اما هر رسولی نبی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رسولی نیست، مگر این‌که نبوتش مقدّم بر رسالت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باطن رسالت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فیض‌کاشانی،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مقایسۀ این دو مقام، به برتری مقام نبوت رأی می دهد و برای آن چند دلیل می آورد؛ از این رو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دلیل این است که باطن هر چیزی اشرف و اعظم از ظاهر آن است، زیرا ظاهر به باطن نیازمند است و باطن به ظاهر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است که باطن به حقیقت نزدیک‌تر است تا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بعدی این است که نبوتِ صادر‌شده از جانب خداست و مرتبط با خداوند است، لکن رسالت صادرشده از خداست، اما مرتبط با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رسالت متعلّق به مصلحتِ زمانی است، اما رسالت تعلّقی به زمان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فیض‌کاشانی،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فیض کاشانی قابل مناقشه است، زیرا در مقایسۀ مقام رسول و نبی، باید گفت که رسول همة مقامات نبی را دارد، لکن نبی همة مقامات رسول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رسول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مقامی والاتر از نبی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ایشان تنها به مقایسۀ مقام نبوت و رسالت بدون در نظر گرفتن شخص نبی و رسول بپردازند، ممکن است بتوان گفت که رسول، دارای دو مقام است؛ یکی مقام نبوت و دیگر مقام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 نبوت او از جایگاه والاتری نسبت به مقام رسالت او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آیۀالله سبحانی، بی آن‌که به مقایسۀ این دو مقام بپردازد، به گونه‌ای تحلیل می‌کند که گویا مقام نبوت رسولان الهی برتر از مقام رسالت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تحلیل گویش قرآن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می‌کند که نبوت، اساس و پایة رسالت از جانب خداوند است؛ به همین لحاظ ختم نبوت مستلزم ختم رسالت است، زیرا وقتی که مقام اتصال به وحی و تلقی رسالت و اوامر قطع شد، در این صورت به یقین موضوع رسالت نیز قطع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حنفی، نویسندۀ معاصر که رویکردی سیاست‌گذارانه به مسأله دارد، مقام رسول را با مقام نبی مقایسه کرده و رسول را برتر از نبی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نبی تنها در محدودة نظری و اعتقادی مسئولیت دارد و مأمور ایجاد نظام اجتماعی و یا شریعت نیست،اما رسول کسی است که تلاش می‌کند نظام برپا کند و شریعت را از مرحلۀتصور به مرحلة تحقق برساند و آن را در شکل نظام اجتماعی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نبی تنها در فرایند ارتباط طولی با خداوند مسئولیت دارد، در حالی که رسول علاوه بر این ارتباط طولی، می بایست به ارتباط افقی با ناس بپردازد و رسالتی را که بر دوش گرفته، حمل کند و به مردم ابلاغ نموده و امانت رسالت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رسول دارای چهار صفت صدق، امانت، تبلیغ و فطانت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حنفی،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یکی از بسترهایی که به جدا انگاری نبی و رسول با معیار شریعت و تبلیغ منجر شده، همین رویکرد مقایسه‌ای مقام نبوت و رسالت بر اساس نوع ارتباط و مأموریت بعدی آن‌هاست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دیگری که در تحلیل علت راه‌یابی معیار شریعت برای تفاوت‌گذاری قابل پی‌گیری است، تفاوت‌هایی است که هم در لسان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و هم برخی دیگر از متقدمان به آن معتقد بودند که پیش از این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رسول کسی است که فرشته علاوه بر نوع ارتباطش با نبی، در شکل انسان برای او متمثّل می شود و به صورت رو در رو با وی مکالمه و گفت‌وگومی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این گونه‌های ارتباط دریافته باشند که مأموریت نبی محدودتر است؛ به همین دلیل، فرشته تنها با او از طریق شنیداری و یا در خواب ارتباط برقرار می‌کند،</w:t>
      </w:r>
      <w:bookmarkStart w:id="230" w:name="pg2666_21020"/>
    </w:p>
    <w:p>
      <w:pPr>
        <w:pStyle w:val="BookText"/>
        <w:rPr/>
      </w:pPr>
      <w:bookmarkEnd w:id="2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اما رسول از مأموریت و مسئولیتی برخوردار است که از حیطة مسئولیت ِنبی فراتر است و به همین دلیل با او از طریق دیداری هم ارتباط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از این موضوع برداشت کرده باشند که رسول برای انجام مأموریت و برقراری ارتباط با مردم، به شریعت و کتاب نیازمند است؛ این در حالی است که نبی از چنین مسئولیتی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رسول الهی وقتی به میان مردم می آید و می خواهد به تبلیغ امانت الهی بپردازد، برای اثبات صدق ادعای نبوتش نیاز به ارائه معجزه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نبی به دلیل این‌که مأمور ابلاغ شریعت خودش نیست، نیازی به ارائه معجزه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شده برخی به تفاوت میان نبوت و رسالت با معیار معجزه در کنار شریعت رأی دهند و در شهرت و مقبولیت این قول تأثیرگذار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متأخران با این قولِ مشهورمخالفت کرده و آن را فاقد مبنای نقلی و عقلی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ابتدا قول مشهور را ذکر می‌کند که طبق آن رسول کسی است که دارای شریعت جدید باشد و نبی اعمّ از اوست؛ یعنی کسی است که شریعت سابق را تبلیغ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نادرستی آن تأکید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الهی بیش از پنج شریعت، یعنی شریعت نوح، ابراهیم، موسی،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با این‌که قرآن به رسالت تعداد بسیاری از انبیا تصریح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ربانی‌گلپایگانی با چنین رویکردی تأکید می‌کند که از نظر عقلی، فلسفۀ بعثت پیامبران الهی، هدایت و راهنمایی بشر بوده است؛ و این هدف جز با رساندن آیات، معارف و احکام الهی به مردم تحقق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مبعوث کردن پیامبر برای هدایت و راهنمایی مردم و مأموریت نداشتن ابلاغ پیام‌های الهی به آنان، تناقض‌آلود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ربانی‌گلپایگانی،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4"/>
        <w:numPr>
          <w:ilvl w:val="3"/>
          <w:numId w:val="1"/>
        </w:numPr>
        <w:rPr/>
      </w:pPr>
      <w:bookmarkStart w:id="231" w:name="__RefHeading___Toc768400_1395250215"/>
      <w:bookmarkStart w:id="232" w:name="_Toc90"/>
      <w:bookmarkEnd w:id="231"/>
      <w:r>
        <w:rPr>
          <w:rtl w:val="true"/>
        </w:rPr>
        <w:t>چهارم</w:t>
      </w:r>
      <w:r>
        <w:rPr>
          <w:rtl w:val="true"/>
        </w:rPr>
        <w:t xml:space="preserve">: </w:t>
      </w:r>
      <w:r>
        <w:rPr>
          <w:rtl w:val="true"/>
        </w:rPr>
        <w:t>تفاوت‌گذاری بر اساس اتمام حجت</w:t>
      </w:r>
      <w:bookmarkEnd w:id="232"/>
    </w:p>
    <w:p>
      <w:pPr>
        <w:pStyle w:val="Heading5"/>
        <w:numPr>
          <w:ilvl w:val="4"/>
          <w:numId w:val="1"/>
        </w:numPr>
        <w:rPr/>
      </w:pPr>
      <w:bookmarkStart w:id="233" w:name="__RefHeading___Toc768402_1395250215"/>
      <w:bookmarkStart w:id="234" w:name="_Toc91"/>
      <w:bookmarkEnd w:id="233"/>
      <w:r>
        <w:rPr>
          <w:rtl w:val="true"/>
        </w:rPr>
        <w:t>اشاره</w:t>
      </w:r>
      <w:bookmarkEnd w:id="23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مصباح‌یزدی بر پایة گفتار علامه طباطبائی، بر این باور است که رسول برتر از نبی است و تفاوت آن‌ها در این است که پس از آمدن رسولان الهی، حجت بر مردم تمام می شود، اما با آمدن نبی، حجت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و رسول، هر دو فرستادۀ خداوند و دارای پیامی از جانب اویند؛ با این تفاوت که رسول برتر از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نبی مأمور رساندن خبر غیب الهی به مردم است و امور لازم را برای سامان بخشیدن به زندگی دنیوی و اخروی مردم، شامل اصول و فروع دین به مردم ابلاغ می‌کند، اما رسول علاوه بر مقام نبوت، دارای یک رسالت ویژه، یعنی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مصباح‌یزدی،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bookmarkStart w:id="235" w:name="pg2666_21021"/>
    </w:p>
    <w:p>
      <w:pPr>
        <w:pStyle w:val="BookText"/>
        <w:rPr/>
      </w:pPr>
      <w:bookmarkEnd w:id="2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او قول خود را به این آیه مستند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أُمَّةٍ رَّسُولٌ فَإِذَا جَاء رَسُولُهُمْ قُضِیَ بَیْنَهُم بِالْقِسْطِ وَ هُمْ لاَ یُظْلَمُونَ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می گیرد که تنها با آمدن رسول، حجت بر مردم تمام می شود و خداوند حکم نهایی را دربارة هلاکت قوم یا ابقای ایشان و برخورداری‌شان از نعمت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می کند که رسول، علاوه بر پیام‌آوری، خصیصۀ اتمام حجت را نیز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امعان نظر به آیة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 که رسول قبل از نبی آمده، تأکید می‌کندکه رسول، اخص مصداقی از نبی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قَبْلِکَ مِن رَّسُولٍ وَلَا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رسول را قبل از نبی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مصباح‌یزدی،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همین رویکرد در آیات دیگری از قرآن هم مشهود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بر این تقدم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وی این است که ممکن است اشکال گرفته شود که در این‌جا خاص بر عام مقدم شده است که قبیح عقلایی است؛ لذا یادآوری می‌کند آنچه گفته می شود که ذکر عام بعد از خاص قبیح است، مشمول این گویش قرآنی نمی شود، زیرا در این‌جا تقدم رسول بر نبی، تقدم مصداقی اخصّ است بر اعمّ و تقدم مفهومی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مصباح‌یزدی،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مفهومی اخص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بگوییم ذکر عام بعد از خاص شده است، بلکه نبی از نظر مصداق اعمّ از رسول است؛ چنان‌که برخی گفته‌اند کاربرد عامّ رسول از نظر مصداق با کاربرد خاصّ نبی برابر و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ربانی‌گلپایگانی،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برگرفته از دیدگاه علامه طباطبائی است که در تفسیر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إلهی منحل إلی قضاءین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لکل أمة من الأمم رسولا یحمل رسالة الله إلیهم و یبلغها إیاهم؛ و ثانیهما أنه إذا جاءهم و بلغهم رسالته فاختلفوا من مصدق له و مکذب؛ فإنّ الله یقضی و یحکم بینهم بالقسط و العدل من غیر أن یظلمهم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یعطیه سیاق الکلام من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رَسُولُهُمْ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إیجاز بالحذف و الإضمار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رسولهم إلیهم و بلغ الرسالة فاختلف قومه بالتکذیب و التصدیق، و یدل علی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بَیْنَهُمْ بِالْقِسْطِ 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القضاء إنما یکون فیما اختلف فیه، و لذا کان السؤال عن القسط و عدم الظلم فی القضاء فی مورد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علامه و نحوة استدلال آیۀالله مصباح که پایة بحث خود را مبانی فکری علامه طباطبائی قرار داده، سبب شده کسانی این قول به عنوان یک نظریه را به علامه طباطبائی نسبت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ربانی‌گلپایگانی،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5"/>
        <w:numPr>
          <w:ilvl w:val="4"/>
          <w:numId w:val="1"/>
        </w:numPr>
        <w:rPr/>
      </w:pPr>
      <w:bookmarkStart w:id="236" w:name="__RefHeading___Toc768404_1395250215"/>
      <w:bookmarkStart w:id="237" w:name="_Toc92"/>
      <w:bookmarkEnd w:id="236"/>
      <w:r>
        <w:rPr>
          <w:rtl w:val="true"/>
        </w:rPr>
        <w:t>برسی این نظریه</w:t>
      </w:r>
      <w:bookmarkEnd w:id="23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نظریه چند مانع وجود دارد</w:t>
      </w:r>
      <w:r>
        <w:rPr>
          <w:rFonts w:eastAsia="IRNazanin" w:cs="IRNazanin"/>
          <w:color w:val="111111"/>
          <w:sz w:val="28"/>
          <w:szCs w:val="28"/>
          <w:rtl w:val="true"/>
          <w:lang w:bidi="fa-IR"/>
        </w:rPr>
        <w:t>:</w:t>
      </w:r>
      <w:bookmarkStart w:id="238" w:name="pg2666_21022"/>
    </w:p>
    <w:p>
      <w:pPr>
        <w:pStyle w:val="BookText"/>
        <w:rPr/>
      </w:pPr>
      <w:bookmarkEnd w:id="2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ربانی‌گلپایگانی در مخالفت با این قول تأکید می‌کند که اتمام حجّت الهی بر مردم به فرستادن گروهی از پیامبران که رسول نامیده شده‌اند، اختصاص ندارد، بلکه این مطلب ویژگی همة پیامبران الهی است که آیات قرآن گویای آن است که از عموم پیامبران،به عنوان رسولان الهی یاد کرده که با ارسال آنان، حجّت الهی بر بشر تمام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ربانی‌گلپایگانی،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ربانی‌گلپایگانی وارد است و با گویش قرآن هم‌خوانی دارد، چرا که قرآن، همان‌گونه که مسأله اتمام حجت را به رسولان نسبت می دهد، به انبیا هم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را هم در دنیا و هم در آخرت مطرح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أَوْحَیْنَا إِلَیْکَ کَمَا أَوْحَیْنَا إِلَی نُوحٍ وَالنبیینَ مِن بَعْدِهِ وَأَوْحَیْنَا إِلَی إِبْرَاهِیمَ وَإِسْمَاعِیلَ وَإِسْحَاقَ وَیَعْقُوبَ وَالأَسْبَاطِ وَعِیسَی وَأَیُّوبَ وَیُونُسَ وَهَارُونَ وَسُلَیْمَانَ وَ آتَیْنَا دَاوُودَ زَبُورًا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وَرُسُلًا قَدْ قَصَصْنَاهُمْ عَلَیْکَ مِن قَبْلُ وَرُسُلًا لَّمْ نَقْصُصْهُمْ عَلَیْکَ وَکَلَّمَ اللّهُ مُوسَی تَکْلِیمًا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رُّسُلًا مُّبَشِّرِینَ وَمُنذِرِینَ لِئَلاَّ یَکُونَ لِلنَّاسِ عَلَی اللّهِ حُجَّةٌ بَعْدَ الرُّسُلِ وَکَانَ اللّهُ عَزِیزًا حَکِیمًا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هم‌سان‌انگارانه و عطف مترادف به مترادف است؛ از این رو حجت بودن رسل، قابل توسّع است که حاکی از حجت بودن انبیا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در جریان قیامت نیز رخ می دهد و آمدن نبی در معنای اتمام حجت و تمام شدن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وَأَشْرَقَتِ الْأَرْضُ بِنُورِ رَبِّهَا وَوُضِعَ الْکِتَابُ وَجِیءَ بِالنبیینَ وَالشُّهَدَاء وَقُضِیَ بَیْنَهُم بِالْحَقِّ وَهُمْ لَا یُظْلَمُونَ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مصباح‌یزدی برای اثبات قول خود از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أُمَّةٍ رَّسُولٌ فَإِذَا جَاء رَسُولُهُمْ قُضِیَ بَیْنَهُم بِالْقِسْطِ وَهُمْ لاَ یُظْلَمُونَ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کرده است که رسول، علاوه بر پیام‌آوری، خصیصة اتمام حجت را نیز دارد؛ در نتیجه نبوت و رسالت، دو مقام جداگانه‌اند که هریک از آن دو خصوصیاتی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مصباح‌یزدی،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گفت، این‌که مقصود از رسول در آیه، عده‌ای از پیامبران الهی باشد دلالت ندارد، بلکه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أُمَّةٍ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برخلاف آن دلالت می‌کند، زیرا مفاد آن عمومیت رسالت برای امت‌هاست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ناظر به نبوت عامّه است و از قضای الهی دربارة منکران انبیا که عبارت از هلاکت و نابودی به واسطة عذاب الهی است،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آن‌که از دیدگاه قرآن کریم، تفاوت رسول و نبی را نمی توان در چیزی که موجب اتمام حجت و نزول عذاب الهی بوده است،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ربانی‌گلپایگانی،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239" w:name="__RefHeading___Toc768406_1395250215"/>
      <w:bookmarkStart w:id="240" w:name="_Toc93"/>
      <w:bookmarkEnd w:id="239"/>
      <w:r>
        <w:rPr>
          <w:rtl w:val="true"/>
        </w:rPr>
        <w:t>نتیجه گیری</w:t>
      </w:r>
      <w:bookmarkEnd w:id="24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گویش قرآن، حاکی از هم‌سان‌انگاری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فرشتۀ الهی را به عیان مشاهده می‌کند ،اما نبی کلام او را بدون رؤیت استماع می‌کند و یا</w:t>
      </w:r>
      <w:bookmarkStart w:id="241" w:name="pg2666_21023"/>
    </w:p>
    <w:p>
      <w:pPr>
        <w:pStyle w:val="BookText"/>
        <w:rPr/>
      </w:pPr>
      <w:bookmarkEnd w:id="2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او را در رؤیا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مرجع دینی، تفاوت میان نبی و رسول را بیان کرده‌اند؛ لذا می‌توان در بیان تفاوت‌ها از این گفتمان مرجعی بهره برد و به استناد قول معصوم، تفاوت را در نحوة ارتباط پیامبر با فرشتة وحی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دیگری در میان علمای علوم قرآنی شهرت یافته که با معیار نوع تبلیغ، میان رسول و نبی تفاوت‌گذاری می‌کند و رابطة آن دو را عموم و خصوص مطلق با معیار داشتن یا نداشتن شریعت و کتاب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هرچنداین قول در مبنای تفاوت‌گذاری باقول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است، لکن با نتیجه‌ای که از این قول به دست می آید، هم‌سان است و نتیجة هر دو قول این است که رابطة میان نبی و رسول، عموم و خصوص مطلق است؛ به این معنا که هر رسولی نبی است،اما هر نبی‌ای رسول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چهارمی هم هست که می گوید معیار تفاوت‌گذاری، اتمام حجت است که مستندات قرآنی کافی ندارد</w:t>
      </w:r>
      <w:r>
        <w:rPr>
          <w:rFonts w:eastAsia="IRNazanin" w:cs="IRNazanin"/>
          <w:color w:val="111111"/>
          <w:sz w:val="28"/>
          <w:szCs w:val="28"/>
          <w:rtl w:val="true"/>
          <w:lang w:bidi="fa-IR"/>
        </w:rPr>
        <w:t>.</w:t>
      </w:r>
    </w:p>
    <w:p>
      <w:pPr>
        <w:pStyle w:val="Heading3"/>
        <w:numPr>
          <w:ilvl w:val="2"/>
          <w:numId w:val="1"/>
        </w:numPr>
        <w:rPr/>
      </w:pPr>
      <w:bookmarkStart w:id="242" w:name="__RefHeading___Toc768408_1395250215"/>
      <w:bookmarkStart w:id="243" w:name="_Toc94"/>
      <w:bookmarkEnd w:id="242"/>
      <w:r>
        <w:rPr>
          <w:rtl w:val="true"/>
        </w:rPr>
        <w:t>منابع</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ابن‌خلدون، عبدالرحمن بن محمد،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ابن‌خلدون،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ابن‌عربی، محیی‌الدین محمد،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ابن‌عربی،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ابن‌عطیه، عبدالحق بن غالب،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المحرر الوجیز فی تفسیر الکتاب العزیز،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ابن‌فارس، ابوالحسین احمد،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المقاییس فی اللغه،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سیدمحمود،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المعانی فی تفسیر القرآن العظیم،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اصفهانی، سیده‌نصرت امین،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مخزن العرفان در تفسیر قرآن، تهران، نهضت زنان مسلمان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عبدالله بن عمر،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انوار التنزیل و اسرار التأویل،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نیشابوری، احمد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الکشف و البیان عن تفسیر القرآن،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قم، دار الذخائر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ابن داود حسن بن علی،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ابن داود، تهران، انتشارات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فی شرح تجرید الاعتقاد، قم،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حنفی،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الدین و الثوره فی مصر، مصر، مکتبة مدبولی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خویی، سید ابوالقاسم،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رجال الحدیث و تفصیل صفات الرواه، قم، دفتر آیت الله العظمی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مفردات الفاظ القرآن، تهران، انتشارات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ربانی‌گلپایگانی، علی،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وحی‌شناسی ماهیت و ویژگی‌ها، قم، انتشارات رائد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جارالله محمود،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الکشاف عن حقائق غوامض التنزیل، بیروت، 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الفکر الخالد فی بیان العقائد، قم، مؤسسه الامام الصادق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سورآبادی، ابوبکر عتیق بن محمد نیشابوری،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سورآبادی، تهران،فرهنگ نشر 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لاهیجی، محمد بن علی،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شریف لاهیجی، تهران، دفتر نشر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قمی،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الاخبار،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بن فروخ،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قم، کتاب خانه آیةالله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سیدمحمدحسین،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بنیاد فکری علامه 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محمدحسن،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ابوجعفرمحمد بن جریر،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البیان فی تفسیر القرآن،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عسکری، سید مرتضی،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عقاید الاسلامیه، تهران، مؤسسه علمی و فرهنگی علامه عسکری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غفاری، علی اکبر،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مقباس الهدایه للعلامه مامقانی، جامعه الامام 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فراء، ابوزکریا یحیی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القرآن، بیروت، دارالمصریه للتألیف و الترجمه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العین، تهران،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ملامحسن،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انوار الحکمه،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بیدارفر، قم، 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الصافی، تهران،الصدر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عبدالجبار، ابن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فی ابواب التوحید و العدل، مصر، الدار المصریه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سید‌علی‌اکبر،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قرآن،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لاحکام القرآن، تهران، ناصرخسرو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ملافتح‌الله،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منهج الصادقین فی الزام المخالفین، تهران، کتابفروشی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کشی، مشهد، مرکز تحقیقات و مطالعات دانشگاه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الاصول من الکافی،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گنابادی، سلطان محمد،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السعاده فی مقامات العباده، بیروت، مؤسسه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مصباح‌یزدی، محمدتقی،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و راهنماشناسی، قم، مؤسسه پژوهشی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فی کلمات القرآن الکریم، تهران، بنگاه ترجمه و نشر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معلوف، لوییس،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المنجد فی الطلاب، تهران،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میبدی، ابوالفضل،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الاسرار و عده الابرار، تهران، انتشارات امیر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 علی،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نجاشی، قم، دار الذخائر</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نحاس، احمد بن محمد،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اعراب القرآن، بیروت، دارالکتب العلمیه</w:t>
      </w:r>
      <w:r>
        <w:rPr>
          <w:rFonts w:eastAsia="IRNazanin" w:cs="IRNazanin"/>
          <w:color w:val="111111"/>
          <w:sz w:val="28"/>
          <w:szCs w:val="28"/>
          <w:rtl w:val="true"/>
          <w:lang w:bidi="fa-IR"/>
        </w:rPr>
        <w:t>.</w:t>
      </w:r>
      <w:bookmarkStart w:id="244" w:name="pg2666_21026"/>
    </w:p>
    <w:p>
      <w:pPr>
        <w:pStyle w:val="BookText"/>
        <w:rPr/>
      </w:pPr>
      <w:bookmarkEnd w:id="2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Heading2"/>
        <w:numPr>
          <w:ilvl w:val="1"/>
          <w:numId w:val="1"/>
        </w:numPr>
        <w:rPr/>
      </w:pPr>
      <w:bookmarkStart w:id="245" w:name="__RefHeading___Toc768410_1395250215"/>
      <w:bookmarkStart w:id="246" w:name="_Toc95"/>
      <w:bookmarkEnd w:id="245"/>
      <w:r>
        <w:rPr>
          <w:rtl w:val="true"/>
        </w:rPr>
        <w:t>مؤلفه‌های بنیادین امامت در نامه‌های معصومان؛ از امام علی</w:t>
      </w:r>
      <w:r>
        <w:rPr/>
        <w:t></w:t>
      </w:r>
      <w:r>
        <w:rPr>
          <w:rtl w:val="true"/>
        </w:rPr>
        <w:t xml:space="preserve"> تا امام باقر</w:t>
      </w:r>
      <w:r>
        <w:rPr/>
        <w:t></w:t>
      </w:r>
      <w:bookmarkEnd w:id="246"/>
    </w:p>
    <w:p>
      <w:pPr>
        <w:pStyle w:val="Heading3"/>
        <w:numPr>
          <w:ilvl w:val="2"/>
          <w:numId w:val="1"/>
        </w:numPr>
        <w:rPr/>
      </w:pPr>
      <w:bookmarkStart w:id="247" w:name="__RefHeading___Toc768412_1395250215"/>
      <w:bookmarkStart w:id="248" w:name="_Toc96"/>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علی راد</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فاطمه شریعتی کمال آبادی</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1393/12/17</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1394/05/15</w:t>
      </w:r>
    </w:p>
    <w:p>
      <w:pPr>
        <w:pStyle w:val="Heading3"/>
        <w:numPr>
          <w:ilvl w:val="2"/>
          <w:numId w:val="1"/>
        </w:numPr>
        <w:rPr/>
      </w:pPr>
      <w:bookmarkStart w:id="249" w:name="__RefHeading___Toc768414_1395250215"/>
      <w:bookmarkStart w:id="250" w:name="_Toc97"/>
      <w:bookmarkEnd w:id="249"/>
      <w:r>
        <w:rPr>
          <w:rtl w:val="true"/>
        </w:rPr>
        <w:t>چکیده</w:t>
      </w:r>
      <w:bookmarkEnd w:id="250"/>
    </w:p>
    <w:p>
      <w:pPr>
        <w:pStyle w:val="BookText"/>
        <w:rPr/>
      </w:pPr>
      <w:r>
        <w:rPr>
          <w:rFonts w:ascii="IRNazanin" w:hAnsi="IRNazanin" w:eastAsia="IRNazanin"/>
          <w:color w:val="111111"/>
          <w:sz w:val="28"/>
          <w:sz w:val="28"/>
          <w:szCs w:val="28"/>
          <w:rtl w:val="true"/>
          <w:lang w:bidi="fa-IR"/>
        </w:rPr>
        <w:t>میراث مکتوب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که به بیان و بنان خود ایشان نگاشته شده، از اهمیتی دوچندان در اکتشاف دیدگاه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ساحت‌های گوناگون معرفت دینی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نگاشته‌ها، سنجۀ عیار ارزیابی سایر گزاره ها و متون نیز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معصومان، از جمله میراث مکتوب و لکن مغفولی است که چندان در مطالعات امامت‌پژوهی شیعی مورد واکاوی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پژوهه، ابعاد امامت با تکیه بر نامه‌های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تا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تحلیل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نصوص مکتوب، امامت یک مفهوم چندبُعدی است که این ابعاد از یکدیگر قابل انفکاک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پیشوایی امت، دارا بودن اوصاف الاهی، اتصاف به پیامبر و بهره‌مندی از صفات شخصی بارز است</w:t>
      </w:r>
      <w:r>
        <w:rPr>
          <w:rFonts w:eastAsia="IRNazanin" w:cs="IRNazanin"/>
          <w:color w:val="111111"/>
          <w:sz w:val="28"/>
          <w:szCs w:val="28"/>
          <w:rtl w:val="true"/>
          <w:lang w:bidi="fa-IR"/>
        </w:rPr>
        <w:t>.</w:t>
      </w:r>
    </w:p>
    <w:p>
      <w:pPr>
        <w:pStyle w:val="Heading3"/>
        <w:numPr>
          <w:ilvl w:val="2"/>
          <w:numId w:val="1"/>
        </w:numPr>
        <w:rPr/>
      </w:pPr>
      <w:bookmarkStart w:id="251" w:name="__RefHeading___Toc768416_1395250215"/>
      <w:bookmarkStart w:id="252" w:name="_Toc98"/>
      <w:bookmarkEnd w:id="251"/>
      <w:r>
        <w:rPr>
          <w:rtl w:val="true"/>
        </w:rPr>
        <w:t>واژگان کلیدی</w:t>
      </w:r>
      <w:bookmarkEnd w:id="25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مکاتیب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نصوص امامت، نظریۀ کلامی</w:t>
      </w:r>
      <w:r>
        <w:rPr>
          <w:rFonts w:eastAsia="IRNazanin" w:cs="IRNazanin"/>
          <w:color w:val="111111"/>
          <w:sz w:val="28"/>
          <w:szCs w:val="28"/>
          <w:rtl w:val="true"/>
          <w:lang w:bidi="fa-IR"/>
        </w:rPr>
        <w:t>.</w:t>
      </w:r>
      <w:bookmarkStart w:id="253" w:name="pg2666_21027"/>
    </w:p>
    <w:p>
      <w:pPr>
        <w:pStyle w:val="BookText"/>
        <w:rPr/>
      </w:pPr>
      <w:bookmarkEnd w:id="2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Heading3"/>
        <w:numPr>
          <w:ilvl w:val="2"/>
          <w:numId w:val="1"/>
        </w:numPr>
        <w:rPr/>
      </w:pPr>
      <w:bookmarkStart w:id="254" w:name="__RefHeading___Toc768418_1395250215"/>
      <w:bookmarkStart w:id="255" w:name="_Toc99"/>
      <w:bookmarkEnd w:id="254"/>
      <w:r>
        <w:rPr>
          <w:rtl w:val="true"/>
        </w:rPr>
        <w:t>درآمد</w:t>
      </w:r>
      <w:bookmarkEnd w:id="25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از گذشته تا کنون با مسائل و شبهاتی روبه‌رو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اثرگذاری روش‌های رایج در مطالعات استشراقی چون پدیدارشناسی تاریخی به معنای بررسی زمینه‌های پدیداری، تحولات و تطورات یک آموزۀ اعتقادی در بستر تاریخی با روش تاریخ تحلیلی، تلاش دارد شکل‌گیری آموزۀ امامت شیعی را امری تدریجی و اقتضایی معرفی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مادلونگ،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مدرسی‌طباطبایی،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عبدالجبار ناجی،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راد،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هاشمی،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نگره‌ای دیگر می کوشد شخصیت امامان را عادی پنداشته و نهایت در سطح عالمان نیک‌سرشت رده‌بندی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گذشتۀ اندیشۀ اسلامی نیز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امامتِ جامعۀ اسلامی به مهم‌ترین و چالش برانگیزترین مسئله معرفت دینی تبدیل شد و به دلیل برخورد سیاسی و قومیتی برخی جریان‌های فکری با این آموزۀ ناب قرآنی و عقلانی، رویکردهای متفاوتی در اصل و شرایط آن پدید آمد و پرسش‌ها و شبهاتی را منجر شد که همۀ آن‌ها ریشه در قرائت اجتهاد در مقابل نص و قومیت‌گرایی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پرتلاطم، اندیشۀ امامت دچار چالش‌های بنیادی شد و قرائت‌های متفاوتی از آن پدید آمد که هر یک داعیۀ دینی بودن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جریان‌ها و قرائت‌ها،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تقریر دیدگاه اصیل امامت اسلامی مبتنی بر نصوص قرآنی و سنّت نبوی، به ادعاهای مدعیان پاسخ داده و مبانی و ادلۀ آن‌ها را نقد و ابطال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توجهی از براهین و ادلۀ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در نامه‌های آنان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نامه‌های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ابتدائاً و گاه در مقام پاسخ‌گویی به پرسش‌ها و نامه‌های اشخاص نگاشته شده است؛ از این رو حاکی از نیازهای عصر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سیاسی ـ فرهنگی آن دوره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نسبت به سایر احادیث از این امتیاز برخوردار است که به صورت مکتوب بوده و کمترین دگرگونی، حتی نقل به معنا در آن‌ها متصور است؛ از این رو، افزون بر ارزش تاریخی در جریان‌شناسی نحله‌های اعتقادی، وثاقت استنادی در تحلیل و اسناد آموزه‌های کلامی، از اهمیت مضاعفی در تبیین نظریۀ کلامی اهل‌بیت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منطق تحقیق و ضوابط اخلاق پژوهش، ایجاب می کند که نظریۀ کلامی هر مذهبی مستند به منابع اصیل آن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منابع اصیل، مجموعۀ داده‌ها و مواد علمی است که نظریة کلامی یک مذهب از درون آن‌ها قابل بازیابی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نقلی باید از نظر تاریخی، قدمتی هم‌پای تکوین و پیدایش مذهب داشته باشد؛ از این رو منابعِ متأخر از عهد تکوین مذهب، ارزش استنادی و اکتشافی در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پردازی ندارند، مگر این‌که از نظر تاریخی تعلق آن‌ها به عهد تکوین مذهب، اثبات گردد و اعتبار متنی آن‌ها نیز به</w:t>
      </w:r>
      <w:bookmarkStart w:id="256" w:name="pg2666_21028"/>
    </w:p>
    <w:p>
      <w:pPr>
        <w:pStyle w:val="BookText"/>
        <w:rPr/>
      </w:pPr>
      <w:bookmarkEnd w:id="2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تأیید عقل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فرعی، منابع مأخوذ از منابع اصلی‌اند که در آرای متفکران نام‌دار مذهب تبلور می یابند؛ به‌ویژه در آثار متفکرانی که نزدیک به عهد پیدایش منابع اصلی بوده یا اشراف عمیق و گسترده‌ای بر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اصیل مذهب امامیه در استخراج نظریۀ کلامی اهل‌بیت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 ین نامه‌ها به صورت پراکنده در کتب روایی انعکاس یافته است و مجموعۀ آن‌ها را در مکاتیب الائمه آیت‌الله احمدی‌میانجی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اصلی این پژوهه، تبیین ماهیت امر امامت، رابطۀ امامت با نبوت و خصایصِ امام در دیدگاه کلامی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نامه‌های معصومان از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تا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ـ است که در نوع خود فاقد پیشینۀ نشریافته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نوآمدی این پژوهه در نشان دادن گفتمان امامت در عهد معصومان، روش‌شناسی اهل‌بیت در اثبات امامت و ادلۀ آن، و برخی از مؤلفه‌های بنیادی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آن در نقد فرضیۀ تکاملی بودن فرایند شکل‌گیری امامت شیعی و هر تقریری در عادی‌نمایی شخصیت امامان می‌تواند به کار آید</w:t>
      </w:r>
      <w:r>
        <w:rPr>
          <w:rFonts w:eastAsia="IRNazanin" w:cs="IRNazanin"/>
          <w:color w:val="111111"/>
          <w:sz w:val="28"/>
          <w:szCs w:val="28"/>
          <w:rtl w:val="true"/>
          <w:lang w:bidi="fa-IR"/>
        </w:rPr>
        <w:t>.</w:t>
      </w:r>
    </w:p>
    <w:p>
      <w:pPr>
        <w:pStyle w:val="Heading3"/>
        <w:numPr>
          <w:ilvl w:val="2"/>
          <w:numId w:val="1"/>
        </w:numPr>
        <w:rPr/>
      </w:pPr>
      <w:bookmarkStart w:id="257" w:name="__RefHeading___Toc768420_1395250215"/>
      <w:bookmarkStart w:id="258" w:name="_Toc100"/>
      <w:bookmarkEnd w:id="257"/>
      <w:r>
        <w:rPr/>
        <w:t>1</w:t>
      </w:r>
      <w:r>
        <w:rPr>
          <w:rtl w:val="true"/>
        </w:rPr>
        <w:t xml:space="preserve">. </w:t>
      </w:r>
      <w:r>
        <w:rPr>
          <w:rtl w:val="true"/>
        </w:rPr>
        <w:t>امامت؛ امر الاهی</w:t>
      </w:r>
      <w:bookmarkEnd w:id="258"/>
    </w:p>
    <w:p>
      <w:pPr>
        <w:pStyle w:val="Heading4"/>
        <w:numPr>
          <w:ilvl w:val="3"/>
          <w:numId w:val="1"/>
        </w:numPr>
        <w:rPr/>
      </w:pPr>
      <w:bookmarkStart w:id="259" w:name="__RefHeading___Toc768422_1395250215"/>
      <w:bookmarkStart w:id="260" w:name="_Toc101"/>
      <w:bookmarkEnd w:id="259"/>
      <w:r>
        <w:rPr>
          <w:rtl w:val="true"/>
        </w:rPr>
        <w:t>اشاره</w:t>
      </w:r>
      <w:bookmarkEnd w:id="26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شیعی، ریشه در علم و ربوبیت الاهی داشته و امام شخصی است که به اراده و تربیت ویژۀ الاهی متناسب با این مقام، کمال وجودی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الاهی اقتضا می‌کند که امام واجد لوازم مقام امامت بوده و امام خود بدان معرفت وجدانی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نصوص نامه‌های معصومان، از مهم‌ترین شرایط و لوازم امامت، ارتباط دوسویۀ امام با مبدأ هستی است تا از سویی، بتواند مجرای فیوض الهی بوده و ارادۀ الاهی را متناسب با مقتضیات حیات بشری در هدایت انسان نهادینه کند و از سوی دیگر، واسطۀ بین انسان و ارادۀ الاهی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مقام، اتصاف امام به اوصافی برجسته و متمایز از دیگران است و ناگزیر امام باید از ظرفیت وجودی و تربیت ویژه برخوردار باشد که دست‌یابی به این سطح از رشد برای دیگران میسور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 وجودی امام، اقتضای مقام امامت بوده و دارندۀ این مقام باید واجد آن‌ها باشد و بدون این اوصاف، شأنیت ثبوتی و اثباتی این مقام را نخواهد داشت، هرچند ممکن است فردی از روی نادانی یا عناد تشبّه به این مقام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نامه‌های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بُعد از امامت با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دست‌پروردگی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ناظر به فاعلیت خداوند </w:t>
      </w:r>
      <w:r>
        <w:rPr>
          <w:rStyle w:val="FootnoteAnchor"/>
          <w:rtl w:val="true"/>
        </w:rPr>
        <w:footnoteReference w:id="27"/>
      </w:r>
      <w:r>
        <w:rPr>
          <w:rFonts w:ascii="IRNazanin" w:hAnsi="IRNazanin" w:eastAsia="IRNazanin"/>
          <w:color w:val="111111"/>
          <w:sz w:val="28"/>
          <w:sz w:val="28"/>
          <w:szCs w:val="28"/>
          <w:rtl w:val="true"/>
          <w:lang w:bidi="fa-IR"/>
        </w:rPr>
        <w:t xml:space="preserve">در امر امامت است،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الاهی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w:t>
      </w:r>
      <w:bookmarkStart w:id="261" w:name="pg2666_21029"/>
    </w:p>
    <w:p>
      <w:pPr>
        <w:pStyle w:val="BookText"/>
        <w:rPr/>
      </w:pPr>
      <w:bookmarkEnd w:id="2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نامه‌ها برمی‌آید که امامان معرفت وجدانی به این اوصاف داشتند و بالفعل در وجود آنان تحقق داشته است؛ از این رو معصومان در برابر خصم، به انحصار این اوصاف در شأن خود استدلال داشته و تحقق آن‌ها در غیر خود را نفی کرده‌اند، زیرا خلاف حکمت است که حکیم برخورداری از چنین شأن وجودی را به غیر امام واگذار کرده باشد</w:t>
      </w:r>
      <w:r>
        <w:rPr>
          <w:rFonts w:eastAsia="IRNazanin" w:cs="IRNazanin"/>
          <w:color w:val="111111"/>
          <w:sz w:val="28"/>
          <w:szCs w:val="28"/>
          <w:rtl w:val="true"/>
          <w:lang w:bidi="fa-IR"/>
        </w:rPr>
        <w:t>.</w:t>
      </w:r>
    </w:p>
    <w:p>
      <w:pPr>
        <w:pStyle w:val="Heading4"/>
        <w:numPr>
          <w:ilvl w:val="3"/>
          <w:numId w:val="1"/>
        </w:numPr>
        <w:rPr/>
      </w:pPr>
      <w:bookmarkStart w:id="262" w:name="__RefHeading___Toc768424_1395250215"/>
      <w:bookmarkStart w:id="263" w:name="_Toc102"/>
      <w:bookmarkEnd w:id="262"/>
      <w:r>
        <w:rPr/>
        <w:t>1</w:t>
      </w:r>
      <w:r>
        <w:rPr>
          <w:rtl w:val="true"/>
        </w:rPr>
        <w:t>ـ</w:t>
      </w:r>
      <w:r>
        <w:rPr/>
        <w:t>1</w:t>
      </w:r>
      <w:r>
        <w:rPr>
          <w:rtl w:val="true"/>
        </w:rPr>
        <w:t xml:space="preserve">. </w:t>
      </w:r>
      <w:r>
        <w:rPr>
          <w:rtl w:val="true"/>
        </w:rPr>
        <w:t>تربیت الاهی</w:t>
      </w:r>
      <w:bookmarkEnd w:id="26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امامت اقتضا می‌کند امام، تحت نظر الاهی تربیت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چنین الزامی را می‌پذیرد که حکیم، جانشینان خود را چنان تربیت کند که بتوانند از عهدۀ این رسالت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فرایندی ویژه در گزینش و تربیت الاهی داشته و ریشه در علم و قدرت خداوند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کربلایی،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نامه‌ای به معاویه این بُعد از امر امامت را چنین تبیین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دست‌پروردگان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هستیم و مردم دست‌پروردگان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صنیعه و به معنای برگزیده و ادب‌شده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شخصی اطلاق می‌شود که پادشاه او را تربیت کرده و مقام او را بالا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ابن‌ابی‌الحدید،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به معنای مخلوق به کار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ملاصالح مازندرانی،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خطاب به حضرت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اصْطَنَعْتُکَ 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تو را برای خود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اخلاص است و مقصود این است که من تو را برای خودم خالص گردانیدم و تمام نعمت‌هایی که نزد توست، همه از من و احسان من است و غیر از من کسی در آن شراکت ندارد؛ پس تو خالص برای من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سخن امیرمؤمنان، ائمه دست‌پروردگان مخصوص الاهی هستند و مردم تربیت‌شدگان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ابن‌ابی‌الحدید در بیان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صنائع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ائمه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مقامی والاست که ظاهرش همان است که شنیدی و باطنش این است که ایشان عبید خدایند و مردم عبید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ابن‌ابی‌الحدید،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بلاواسطه تربیت‌یافته و پروردۀ پروردگارش باشد و مردم بعد از او و به واسطۀ وی، پروردۀ پروردگار باشند، هیچ کس نمی‌تواند در شرافت و فضیلت با او برابری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میثم،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روست که امیرمؤمنان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ادامۀ نامه به بیان فضایل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فضایح بنی‌امیه پرداخته‌اند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دیرین و بزرگی پیشین ما بر شما، مانع از اختلاط و آمیختگی ما با شما نشد؛ همانند اقوام هم‌سان از شما همسر گرفته و به شما همسر دادیم، در صورتی که شما به این مقام و و منزلت نبودید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امامان بدون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واسطه با خدا در ارتباطند، هرکس از راه ایشان روی گرداند، در حقیقت از صراط مستقیم منحرف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طالب علم، حکمت و اسرار دین است، باید به سوی ایشان بازگردد و درخواست کند، چراکه ائمه سرچشمۀ آنند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ملاصالح مازندرانی،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علوی، حاکی از قطع ایشان در اثبات این شأن برای خود و دیگر امامان است و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زدودن زمینه‌های تردید و انکار، به مصادیقی از تحقق این مقام در مرحلۀ اثباتی از باب مثال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دست‌یابی به مقامات یاد‌شده در بیان علوی بدون ارادۀ الاهی در تربیت این بزرگوران میسور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 دوم سخن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بَعْدُ صَنَائِعُ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حصر مفهوم بخش اول به دست می‌آید و معلوم می‌شود که جز دارندگان مقام امامت، توفیق چنین تربیت خاص الاهی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 با استناد به سیاق سخن علوی، این مطلب را چنین تقریر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سیاق این عبارت حاکی از این مطلب است که هرکس به این مرتبه و جایگاه برسد، به واسطۀ اکرام خداوند متعال است تا جایی که خدا او را برمی‌گزیند و به عنوان صنیعه و دست‌پروردۀ خود اتخاذ می‌کند و مردم را دست‌پروردۀ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غیر او را همانند او از جهت برتری قرار دهد و کسی را برتر از او قرار دهد، هرچند دیگران نسبت به پیامبر دارای قرب صوری و ظاهری بودند و چگونه این منزلت اعتباری باشد، در حالی که او از جمله کسانی است که خداوند متعال او را برگزیده و برای خویش خالص گردانیده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لطف الاهی را در شرح این عبارت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اگر به خود بیایید و در وضع ما و دیگران بیندیشید، به خوبی درک خواهید کرد که ما خاندان عصمت با کمال تنزه از شهوات و مال و منال دنیا و مقام‌پرستی و استکبار و خود‌محوری، نزدیک‌ترین رابطه را با پروردگار بزرگ برقرار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عنایتی است که خداوند به جهت اعراض از غیر او به ما ارزانی داشته و ما را الگو و شاهد و شهید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لطف و عنایت، امتیازی بی‌علت برای ما نداده است، بلکه نتیجه‌ای را برای راهی که در زندگانی پیش گرفته‌ایم، برای ما مقرر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راوندی نیز بر الاهی بودن این گزینش چنین تصریح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اشاره دارد به این‌که انتخاب ایشان منصوص از جانب خدا و رسول است و این امر به اختیار خلق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bookmarkStart w:id="264" w:name="pg2666_21031"/>
    </w:p>
    <w:p>
      <w:pPr>
        <w:pStyle w:val="BookText"/>
        <w:rPr/>
      </w:pPr>
      <w:bookmarkEnd w:id="2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Heading4"/>
        <w:numPr>
          <w:ilvl w:val="3"/>
          <w:numId w:val="1"/>
        </w:numPr>
        <w:rPr/>
      </w:pPr>
      <w:bookmarkStart w:id="265" w:name="__RefHeading___Toc768426_1395250215"/>
      <w:bookmarkStart w:id="266" w:name="_Toc103"/>
      <w:bookmarkEnd w:id="265"/>
      <w:r>
        <w:rPr/>
        <w:t>2</w:t>
      </w:r>
      <w:r>
        <w:rPr>
          <w:rtl w:val="true"/>
        </w:rPr>
        <w:t>ـ</w:t>
      </w:r>
      <w:r>
        <w:rPr/>
        <w:t>1</w:t>
      </w:r>
      <w:r>
        <w:rPr>
          <w:rtl w:val="true"/>
        </w:rPr>
        <w:t xml:space="preserve">. </w:t>
      </w:r>
      <w:r>
        <w:rPr>
          <w:rtl w:val="true"/>
        </w:rPr>
        <w:t>گزینش الاهی</w:t>
      </w:r>
      <w:bookmarkEnd w:id="266"/>
    </w:p>
    <w:p>
      <w:pPr>
        <w:pStyle w:val="Heading5"/>
        <w:numPr>
          <w:ilvl w:val="4"/>
          <w:numId w:val="1"/>
        </w:numPr>
        <w:rPr/>
      </w:pPr>
      <w:bookmarkStart w:id="267" w:name="__RefHeading___Toc768428_1395250215"/>
      <w:bookmarkStart w:id="268" w:name="_Toc104"/>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دومین بُعد الاهی امامت، گزینش وحیانی امام برای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بر این مهم تأکید دارد که تنها معیار گزینش برای منصب امامت، ارادۀ الاهی و اعلام وحیانی است و غیر آن از هیچ اعتباری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الاهی در امتداد تربیت ربوبی فرد برای این منصب است که در بُعد تربیت الاهی اثبات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امامت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اختلافات زیادی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بیشتر از انکار نصب الاهی امام و تحریف در مفهوم امامت نشئت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اعتقاد شیعه، امامت همانند نبوت مقام و منصبی الاهی است و امام ادامه‌دهندۀ تمام وظایف نبی غیر از دریافت وحی است و مقتضای این امر این است که امام دارای همان شرایط مذکور در نبی باشد؛ از این رو، راه اثبات امامت نص از جانب خدا و نصب از جانب نبی یا امام قبلی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نمی‌توان فردی را با انتخاب مردم یا انتخاب شورای حل و عقد به این مقام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امامیه، نصب امام را لطف از جانب خدای تعالی قلمداد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نامه‌ها نیز به کرات به تنصیصی بودن امامت اشاره شده است که این استدلال‌ها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نصوص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می‌گیرد</w:t>
      </w:r>
      <w:r>
        <w:rPr>
          <w:rFonts w:eastAsia="IRNazanin" w:cs="IRNazanin"/>
          <w:color w:val="111111"/>
          <w:sz w:val="28"/>
          <w:szCs w:val="28"/>
          <w:rtl w:val="true"/>
          <w:lang w:bidi="fa-IR"/>
        </w:rPr>
        <w:t>.</w:t>
      </w:r>
    </w:p>
    <w:p>
      <w:pPr>
        <w:pStyle w:val="Heading5"/>
        <w:numPr>
          <w:ilvl w:val="4"/>
          <w:numId w:val="1"/>
        </w:numPr>
        <w:rPr/>
      </w:pPr>
      <w:bookmarkStart w:id="269" w:name="__RefHeading___Toc768430_1395250215"/>
      <w:bookmarkStart w:id="270" w:name="_Toc105"/>
      <w:bookmarkEnd w:id="269"/>
      <w:r>
        <w:rPr>
          <w:rtl w:val="true"/>
        </w:rPr>
        <w:t>ادلۀ قرآنی</w:t>
      </w:r>
      <w:bookmarkEnd w:id="270"/>
    </w:p>
    <w:p>
      <w:pPr>
        <w:pStyle w:val="BookText"/>
        <w:rPr/>
      </w:pPr>
      <w:r>
        <w:rPr>
          <w:rFonts w:ascii="IRNazanin" w:hAnsi="IRNazanin" w:eastAsia="IRNazanin"/>
          <w:color w:val="111111"/>
          <w:sz w:val="28"/>
          <w:sz w:val="28"/>
          <w:szCs w:val="28"/>
          <w:rtl w:val="true"/>
          <w:lang w:bidi="fa-IR"/>
        </w:rPr>
        <w:t xml:space="preserve">از مهم‌ترین ادلۀ تنصیصی بودن امامت، برگزیدگی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ءَادَمَ وَ نُوحًا وَ ءَالَ إِبْرَاهِیمَ وَ ءَالَ عِمْرَانَ عَلیَ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یحْسُدُونَ النَّاسَ عَلیَ مَا ءَاتَئهُمُ اللَّهُ مِن فَضْلِهِ فَقَدْ ءَاتَیْنَا ءَالَ إِبْرَاهِیمَ الْکِتَابَ وَ الحْکْمَةَ وَ ءَاتَیْنَاهُم مُّلْکا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گرفتن و برگزیدن پاکی چیزی است و برگزیده شدن بنده توسط خدا ممکن است به معنای آفرینش باشد که خدای تعالی بعضی بندگانش را پاک و خالص از آلودگی‌هایی که در غیر از آن هست، آفریده و یا این است که آفرینش آن‌ها به مقتضای حکم و اختیار اوست، هرچند این معنا از معنای نخست، خالی و جدا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ملک عظیم نیز معنایی اعم از ملک مادی بوده و شامل ملک معنوی، یعنی نبوت و ولایت حقیقی بر هدایت خلق و ارشاد آنان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اثبات امامتشان، نخست خویشتن را مصداق آل ابراهیم معرفی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امامت و فرمانروایی خویش، به</w:t>
      </w:r>
      <w:bookmarkStart w:id="271" w:name="pg2666_21032"/>
    </w:p>
    <w:p>
      <w:pPr>
        <w:pStyle w:val="BookText"/>
        <w:rPr/>
      </w:pPr>
      <w:bookmarkEnd w:id="2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برتری آل ابراهیم بر عالمیان استناد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انحصاری بودن مقام امامت در ابراهیم و فرزندان ایشان را مطرح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از آن ابراهیم و ذریۀ آن حضرت است و مؤمنان پیرو آنانند و از آیین ایشان روی نمی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قرابت و اولی به طاعت بودن خویش را این‌چنین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آنچه را برای ما پراکنده نمودند، جمع کرده است و آن همان سخن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مؤمنان از خودشان سزاوارتر است و همسران ایشان، مادران مؤمنان هستند و در کتاب خدا خویشاوندان نسبی به یکدیگر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یک بار به قرابت و یک بار به اطاعت شایسته‌تریم و هنگامی که مهاجران برای انصار قرابتشان به رسول خدا را حجت آوردند و بر آنان برتری می‌جستند، اگر بنا باشد پیوستگی به پیغمبر باعث برتری و غلبه باشد، پس دین حق برای ما ثابت است نه شما و اگر این مطلب باعث اثبات حقانیت نباشد، پس گروه انصار باید بر دعوی خویش پایدار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قسمت از سخنان خویش برای اثبات امامتشان به دو امر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 و اطاعت که هردو از قرآن کریم برداشت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اثبات آل ابراهیم بودن خویش و شایستگی خود نسبت به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 عظیم اعطا‌شده به آل ابراهیم را تعبیری دیگر از امامت معرفی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ملک عظیم این است که از آن‌ها امامانی قرار داد که هرکس آنان را اطاعت کند، خدا را اطاعت کرده و هرکس آنان را نافرمانی کند، خدا را نافرمانی کرده است و به آنان کتاب، حکمت و نبوت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کتاب، حکمت و 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آل ابراهیم می‌پذیرید و دربارۀ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مهم‌ترین استناد امیرمؤمنان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اثبات تنصیصی بودن امامت و شایستگی خود بر جانشینی پیامبر، ملک عظیمی است که خداوند به آل ابراهیم عطا کرده است</w:t>
      </w:r>
      <w:r>
        <w:rPr>
          <w:rFonts w:eastAsia="IRNazanin" w:cs="IRNazanin"/>
          <w:color w:val="111111"/>
          <w:sz w:val="28"/>
          <w:szCs w:val="28"/>
          <w:rtl w:val="true"/>
          <w:lang w:bidi="fa-IR"/>
        </w:rPr>
        <w:t>.</w:t>
      </w:r>
    </w:p>
    <w:p>
      <w:pPr>
        <w:pStyle w:val="Heading5"/>
        <w:numPr>
          <w:ilvl w:val="4"/>
          <w:numId w:val="1"/>
        </w:numPr>
        <w:rPr/>
      </w:pPr>
      <w:bookmarkStart w:id="272" w:name="__RefHeading___Toc768432_1395250215"/>
      <w:bookmarkStart w:id="273" w:name="_Toc106"/>
      <w:bookmarkEnd w:id="272"/>
      <w:r>
        <w:rPr>
          <w:rtl w:val="true"/>
        </w:rPr>
        <w:t>ادلۀ روایی</w:t>
      </w:r>
      <w:bookmarkEnd w:id="27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آشکاری در بیان خلافت و جانشینی امیرمؤمنان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می‌توان به حدیث غدیر اشاره کرد که یکی از استنادات امیرمؤمنان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اثبات امامتشان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 به شیعیان چنین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از آنِ کسی است که آزاد کرده است؛ پیامبر بندگان را از آتش رهانید و آن‌ها را از بندگی نجات داد؛ بنابراین ولایت این امت از ایشان است و بعد از پیامبر آنچه از ایشان است،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فضیلت و برتری به واسطۀ پیامبر بر قریش جایز است، به طریق اولی بر بنی‌هاشم نسبت به قریش جایز است و نیز بر من نسبت به بنی‌هاشم جایز است، زیرا پیامبر در روز غدیر خم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من مولای اویم، پس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قریش مدعی برتری بر عرب بدون پیامبر باشد که اگر می‌خواهند چنین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استنادات امیرمؤمنان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می‌توان به سخن پیامبر هنگام اعزام لشگر به جنگ یمن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نامه به شیعیان خود، پس از ابراز تعجب از نحوۀ تعیین جانشین توسط ابوبکر چنین نگاشتند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حکومت پس از خود را از من دور نمود و به جانب دیگر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سخن پیامبر به بریده اسلمی و خالد بن ولید، هنگامی که ما را به یمن می‌فرستادند، شنیده بود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هم جدا شدید، هر کدام فرماندۀ سپاه خود باشد و هر جا که به هم رسیدید، فرماندۀ کلّ سپاه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جنگیدیم و به اسرایی دست یافتیم که در میان آن‌ها خولۀ بن جعفر جار الصفا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 را به غنیمت گرفتم و خالد او را از من به غنیمت گرفت و بریده را برای شکایت نزد پیامبر فرستاد و ایشان را از غنیمت گرفتن من باخبر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او از خمس بیشتر از آن است که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ولیّ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 اشاره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با من عهدی بستند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و ولایت امت من بر عهدۀ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سلامت ولایت تو را پذیرفتند و با رضایت نزد تو گرد آمدند، ادارۀ امور را به دست بگیر و اگر علیه تو اختلاف کردند، آن‌ها را رها کن که خدا برای تو راه خروجی قرار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استناد به سخنان نبوی از جمله استدلال‌های امیرمؤمنان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حقانیت خویشتن برای خلافت و جانشینی پیامبر است که به نحوی روشن دال بر تنصیصی بودن مقام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 امامیه بر این است که مسئولیت نصب امام بر عهدۀ خداوند و از طریق پیامبر و یا امام قبلی است؛ از این روست که امام حسن مجتبی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نامه به معاویه برای اثبات امامت خویش بیان می‌کنند که از طریق تعیین امیرمؤمنان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بدین سِمت دست یافته‌اند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در وصیت‌نامۀ خویش خطاب به محمد حنفیه،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برای امامت برگزیدند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برای امر امامت انتخاب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هرچند برابر نصوص یاد‌شده، امام در اندیشۀ اصیل اسلامی برگزیدۀ الاهی است، لکن پس از رحلت پیامبر آرمان‌های بلند آن بزرگوار جامۀ عمل نپوشید و جامۀ خلافت را کسی به تن کرد که خود نیز از جایگاه سرنوشت‌ساز و بلند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آگاه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مهدوی‌راد،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بدن شریف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بود که عده‌ای از مهاجران و انصار در سقیفه گرد هم آمدند و ماجرا با بیعت با ابوبکر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تعیین وی به عنوان خلیفه مسلمین نه از طریق نص، بلکه از طریق شورا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خلیفه از طریق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دیری نپایید که نقض شد و ابوبکر سفارش کرد که بعد از وی عمر خلیفه باشد و این دومین موردی بود که ابوبکر و پیروانش، در مقابل نصّ صریح، اجتهاد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شرف‌الدین،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است اختلاف این قوم زمانی که گمان کردند پیامبر، ابوبکر را به خلافت برگزیده که اگر چنین بود از انصار در هراس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روی شورا با او بیعت کردند و سپس ابوبکر از روی نظر شخصی خود خلافت را برای عمر قرار داد و سپس عمر تعیین خلیفه را از طریق شورا در بین شش نفر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عجبم از اختلافشان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با استناد به متن یکی از نامه‌ها خطاب به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شورایی بودن انتخاب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ابن‌ابی‌الحدید،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به این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تحت بیعت من بیرون نیستی، اگرچه در شام باشی، چراکه همان مردمی که با ابوبکر، عمر و عثمان بیعت کردند، با همان قید و شرط‌ها با من نیز بیعت کردند؛ بنابراین، نه آن‌که حاضر بود، اختیار فسخ دارد و نه آن‌که غایب بود، اجازۀ 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تنها از آن مهاجران و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به طور اتفاق کسی را امام دانستند، خداوند از این امر راضی و خشنود است و اگر کسی از فرمان آنان با زور سرنیزه یا از روی بدعت خارج شود، او را به جای خود می‌نشانند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سرپیچی کند با او نبرد می‌کنند، چراکه از غیر طریق اهل ایمان پیروی کرده و خدا او را در بی‌راهه رها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این سخن امام، از باب جدال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مدت‌ها استاندار عمر و پس از وی استاندار عثمان در سرزمین شام بود و آن‌ها را خلیفۀ رسول خدا و خود را نمایندۀ خلفا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یادآور می‌شود که هرگاه احترام به خلافت آنان به خاطر این بود که آنان از طرف مهاجر و انصار، انتخاب شده بودند، عین همین انتخاب دربارۀ امام به طور واضح و کامل انجام گرفته است، دیگر دلیلی ندارد یکی را محترم شمرده، دیگری را 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نیز سخن امام را حمل بر تقیه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پدید‌آمده در جامعۀ اسلامی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bookmarkStart w:id="274" w:name="pg2666_21035"/>
    </w:p>
    <w:p>
      <w:pPr>
        <w:pStyle w:val="BookText"/>
        <w:rPr/>
      </w:pPr>
      <w:bookmarkEnd w:id="2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تمسک جستن به هر شیوه‌ای در تعیین خلافت و جانشینی پیامبر، نتیجه‌ای جز تشتت و خارج شدن خلافت از مسیر اصلی‌اش و به تبع جا ماندن جامعۀ اسلامی از اهداف والای خویش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امت اسلامی که بعد از گذشت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متوجه این حقیقت شدند، به سوی امیرمؤمنان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شتافتند و از روی اختیار با ایشان 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این بیعت نیز دیری نپایید که نقض شد و عده‌ای چون خوارج، مخالفت با امیرمؤمنان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شروع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اشارات بسیار امیرمؤمنان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مسئله بیعت، شایسته است به جایگاه بیعت مردم در تنفیذ امامت و خلافت بعد از نبی اشاره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بیان شد، نحوۀ تعیین امام همانند تعیین نبی امری است که به اراده و تعیین خداوند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اسلام بالاخص در خط تشیع مسئله امامت را مطرح می‌کند، دقیقاً از حقیقتی سخن می‌گوید که در جامعۀ اسلامی می‌تواند عینیت پیدا کند و باید هم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فقط در عمل و صحنۀ عینی جامعه تحقق‌پذیر است و از آن‌جا که در جامعه هر طرحی بخواهد پیاده شود، اگر بر اساس تحمیل و اجبار نباشد ناگزیر باید در رابطه با خواست و اراده مردم مطرح گردد، لذا مسئله امامت در بعد دیگر با موضوع پذیرش مردم مواجه می‌شود که بدون آن در عینیتش دچار اشکال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امام بدون انتخاب و یا پذیرش مردم واجد صلاحیت نمی‌شود، بلکه بدین معناست که امامتش در جامعه عینیت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پذیرش مردم لازمۀ بُعد اول امامت است، بدون آن‌که در بُعد دوم کوچک‌ترین نقشی داشته باشد و به همین دلیل است که اگر امامت به جز قطبیت و رهبری عینی جامعه دارای آثار و نقش‌های دیگری در خارج از عینیت جامعه باشد، مسئله پذیرش مردم به هیچ وجه در تحقق آن نقشی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زنجانی،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جمع‌بندی کلی می‌توان گفت بر اساس مندرجات نامه‌ها، امامت همانند نبوت منصبی است الاهی و راه اثبات امامت، نص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نصب از جانب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امام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مسئله بیعت مردم تنها عنصر نقش‌دهنده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عنصری تعیین‌کننده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w:t>
      </w:r>
    </w:p>
    <w:p>
      <w:pPr>
        <w:pStyle w:val="Heading3"/>
        <w:numPr>
          <w:ilvl w:val="2"/>
          <w:numId w:val="1"/>
        </w:numPr>
        <w:rPr/>
      </w:pPr>
      <w:bookmarkStart w:id="275" w:name="__RefHeading___Toc768434_1395250215"/>
      <w:bookmarkStart w:id="276" w:name="_Toc107"/>
      <w:bookmarkEnd w:id="275"/>
      <w:r>
        <w:rPr/>
        <w:t>2</w:t>
      </w:r>
      <w:r>
        <w:rPr>
          <w:rtl w:val="true"/>
        </w:rPr>
        <w:t xml:space="preserve">. </w:t>
      </w:r>
      <w:r>
        <w:rPr>
          <w:rtl w:val="true"/>
        </w:rPr>
        <w:t>امامت؛ در امتداد نبوت</w:t>
      </w:r>
      <w:bookmarkEnd w:id="276"/>
    </w:p>
    <w:p>
      <w:pPr>
        <w:pStyle w:val="Heading4"/>
        <w:numPr>
          <w:ilvl w:val="3"/>
          <w:numId w:val="1"/>
        </w:numPr>
        <w:rPr/>
      </w:pPr>
      <w:bookmarkStart w:id="277" w:name="__RefHeading___Toc768436_1395250215"/>
      <w:bookmarkStart w:id="278" w:name="_Toc108"/>
      <w:bookmarkEnd w:id="277"/>
      <w:r>
        <w:rPr>
          <w:rtl w:val="true"/>
        </w:rPr>
        <w:t>اشاره</w:t>
      </w:r>
      <w:bookmarkEnd w:id="27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امری بریده از نبوت نیست، بلکه در امتداد آن بوده و قهراً امام باید با نبیّ عصر خویش پیوندی ویژه داشته باشد؛ این پیوند دارای ابعادی چون علم، نسبت، وصایت و</w:t>
      </w:r>
      <w:bookmarkStart w:id="279" w:name="pg2666_21036"/>
    </w:p>
    <w:p>
      <w:pPr>
        <w:pStyle w:val="BookText"/>
        <w:rPr/>
      </w:pPr>
      <w:bookmarkEnd w:id="2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رشدیافتگی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زمانی نیز، امامت در ابلاغ مکتب هم‌زمان با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به روشنی نشان‌گر ارتباط تنگاتنگ آن دو است و بیان‌گر آن‌که اگر رسالت در قالب ولایت تداوم نیابد، عملاً محتوای آن دگرگون شده، از بازدهی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مهدوی‌راد،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این بُعد از امامت، در نامه‌های ائمه نیز در موارد بسیاری به این مطلب اشاره شده است که از آن میان می‌توان به گزاره‌هایی چون اهل‌بیت پیامبر، وصی نبی، درخت نبوت و جایگاه رسالت اشاره کرد که در ادامه به شرح و بررسی هریک از این عبارات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توصیفات هریک به نحوی دالّ بر این مطلبند که امام در واقع ادامه‌دهندۀ راه نبی و دارای همان شئون است</w:t>
      </w:r>
      <w:r>
        <w:rPr>
          <w:rFonts w:eastAsia="IRNazanin" w:cs="IRNazanin"/>
          <w:color w:val="111111"/>
          <w:sz w:val="28"/>
          <w:szCs w:val="28"/>
          <w:rtl w:val="true"/>
          <w:lang w:bidi="fa-IR"/>
        </w:rPr>
        <w:t>.</w:t>
      </w:r>
    </w:p>
    <w:p>
      <w:pPr>
        <w:pStyle w:val="Heading4"/>
        <w:numPr>
          <w:ilvl w:val="3"/>
          <w:numId w:val="1"/>
        </w:numPr>
        <w:rPr/>
      </w:pPr>
      <w:bookmarkStart w:id="280" w:name="__RefHeading___Toc768438_1395250215"/>
      <w:bookmarkStart w:id="281" w:name="_Toc109"/>
      <w:bookmarkEnd w:id="280"/>
      <w:r>
        <w:rPr/>
        <w:t>1</w:t>
      </w:r>
      <w:r>
        <w:rPr>
          <w:rtl w:val="true"/>
        </w:rPr>
        <w:t>ـ</w:t>
      </w:r>
      <w:r>
        <w:rPr/>
        <w:t>2</w:t>
      </w:r>
      <w:r>
        <w:rPr>
          <w:rtl w:val="true"/>
        </w:rPr>
        <w:t xml:space="preserve">. </w:t>
      </w:r>
      <w:r>
        <w:rPr>
          <w:rtl w:val="true"/>
        </w:rPr>
        <w:t>امام؛ اهل‌بیتِ رسول خدا</w:t>
      </w:r>
      <w:r>
        <w:rPr/>
        <w:t></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تعابیر قرآنی است که در نامه‌های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این عنوان با اضافه به نبی 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با این استناد، بر بُعد ارتباط امامت با نبوت تأکید داشتند و غیر خود را از شایستگیِ احراز این مقام نفی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در مواردی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مردم شهر از جانب خاندان پیامبرتان پاداش نیکو دهد؛ بهترین پاداشی که به فرمانبران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اهل‌بیتی هستیم که خداوند آخرت را برای ما برگزید و پاداش دنیوی را برای ما نپسندید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 که اهل‌بیت پیامبر هستیم، با قریش محاکمه و مجادله کردیم و از آنان خواستیم که منصفانه با ما رفتار کنند، ما را تبعید کردند و برای ستم نمودن بر ما اجتماع کرده و متحد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ذکر کردی، ما نزد خدا و اولیای او، اهل‌بیت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ما اهل‌بیت این‌چنین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ما را دوست نمی‌دارند و مؤمنان از ما بغضی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اهل‌بیت از دیگران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استشهاد معصومان قرار گرفته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پناهگاه انسان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 همراه با تعلق خاطر و وابستگی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به کسانی که نَسب یا دین یا چیزی همانند آن ـ مثل خانه و شهر و بنا ـ آن‌ها را با یکدیگر جمع و مربوط می‌کند، اهل و خانوادۀ آن شخص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به کار رفته است، ناظر به همین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bookmarkStart w:id="282" w:name="pg2666_21037"/>
    </w:p>
    <w:p>
      <w:pPr>
        <w:pStyle w:val="BookText"/>
        <w:rPr/>
      </w:pPr>
      <w:bookmarkEnd w:id="2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این معنا توسعه یافته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یعنی کسانی که نَسَب خانوادگی، وسیلۀ جمع آن‌هاست و اگر به صورت مطلق به کار رود، بر خانوادۀ پیامبر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اهل‌البیت مجرد انتساب نسبی یا سببی نیست، بلکه باید در عقیده، اخلاق و اعمال موافق با ربّ‌البیت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ضعف اهلیت به شدت و ضعف در انس و تعلق بستگی دارد؛ از این رو، ممکن است از کسی که وابستگی و تعلقی با او نیست، سلب اهلیت شود، هرچند جزو فرزندان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خدا به حضرت نوح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 او عملی غیرصالح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آیه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سیاق مدح به کار رفته است؛ مدح آل ابراهیم و تأکید بر گستردگی رحمت و برکات خداوند نسبت به ایشان در جهت رفع تعجبشان از صاحب فرزند شدن آن هم در سنّ کهولت، و دیگری در مدح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بر عصمت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مستند قرآنی اهل‌بیت بودن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مصداق‌یابی اهل‌بیت در آیۀ شریفه، میان مفسران فریقین سخن بسیار رفته است و چهارده نظر ذیل آیه مطرح شده که می‌توان آن را در سه دسته‌بندی کلی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طیب،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همسران ایشان و عترتشان از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میبدی،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سبب نزول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ابن‌بابویه،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آیه ـ آن‌که پیوسته در مواقع نماز به خانه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و 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آیۀ تطهیر را بر آنان قرائت می‌نمودند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 را نُه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نماز صبح تا آخر عمر خود انجام دادند و تنها به این ندا اکتفا نمی‌فرمودند، بلکه با دو دست دو طرف درِ خانه را می‌گرفتند و آن‌گاه این‌چنین ندا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حسینی‌تهرانی،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باید گفت فقط خمسۀ طیبه مصداق اهل‌بیت در آیه شریفه‌اند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4"/>
        <w:numPr>
          <w:ilvl w:val="3"/>
          <w:numId w:val="1"/>
        </w:numPr>
        <w:rPr/>
      </w:pPr>
      <w:bookmarkStart w:id="283" w:name="__RefHeading___Toc768440_1395250215"/>
      <w:bookmarkStart w:id="284" w:name="_Toc110"/>
      <w:bookmarkEnd w:id="283"/>
      <w:r>
        <w:rPr/>
        <w:t>2</w:t>
      </w:r>
      <w:r>
        <w:rPr>
          <w:rtl w:val="true"/>
        </w:rPr>
        <w:t>ـ</w:t>
      </w:r>
      <w:r>
        <w:rPr/>
        <w:t>2</w:t>
      </w:r>
      <w:r>
        <w:rPr>
          <w:rtl w:val="true"/>
        </w:rPr>
        <w:t xml:space="preserve">. </w:t>
      </w:r>
      <w:r>
        <w:rPr>
          <w:rtl w:val="true"/>
        </w:rPr>
        <w:t>امام؛ وصیّ نبی</w:t>
      </w:r>
      <w:bookmarkEnd w:id="28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مطالب مذکور در نامه‌ها که با هدف بیان ارتباط امامت و نبوت به کار رفته، بحث وصایت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نبی، انسانی است که پیامبر با او عهد بسته تا پس از رحلتش، کار شریعت و امت او را بر عهده گیرد</w:t>
      </w:r>
      <w:bookmarkStart w:id="285" w:name="pg2666_21038"/>
    </w:p>
    <w:p>
      <w:pPr>
        <w:pStyle w:val="BookText"/>
        <w:rPr/>
      </w:pPr>
      <w:bookmarkEnd w:id="2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و به انجام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وصایت بعد از نبی‌ّ اکرم نه یک امر جدید و ساخته و پرداختۀ اسلام، بلکه امری است تاریخی که ریشۀ آن را در سیرۀ انبیا باید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نامه‌ای خطاب به معاویه ضمن بیان این مسئله، چنین نگاشتند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پیامبری در میان نزدیکان و فرزندان و خانواده‌اش دعوت‌کننده‌ای دارد و برای هر نبی، وصیتی در خاندان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ثقفی،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 ابراهیم به فرزندش یعقوب و ایشان در هنگام مرگ به فرزندانشان وصیت کردند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اقتدا به انبیا، سنت ابراهیم و پیامبران را به خاندانش، همان‌گونه که خدا امر نموده بود، واگذار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آدم چنین وحی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سپری شده و نبوتت به پایان رسیده و روزگارت کامل شده و اجل تو سر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نبوت و میراث آن و نام بلند خدای را به فرزندت هبة‌الله بسپار، چراکه من زمین را بدون پرچمی راه‌نمایاننده رها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انبیا و اوصیا آن را به ارث می‌بردند تا زمانی که نوبت به من رسید و من این امر را به وصی خویش، علی واگذار می‌کنم و جایگاه او نزد من مانند جایگاه هارون نسبت به موسی است و فرزندان علی آن را از او به ارث می‌برند؛ زندگان از درگذشتگان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Heading4"/>
        <w:numPr>
          <w:ilvl w:val="3"/>
          <w:numId w:val="1"/>
        </w:numPr>
        <w:rPr/>
      </w:pPr>
      <w:bookmarkStart w:id="286" w:name="__RefHeading___Toc768442_1395250215"/>
      <w:bookmarkStart w:id="287" w:name="_Toc111"/>
      <w:bookmarkEnd w:id="286"/>
      <w:r>
        <w:rPr/>
        <w:t>3</w:t>
      </w:r>
      <w:r>
        <w:rPr>
          <w:rtl w:val="true"/>
        </w:rPr>
        <w:t>ـ</w:t>
      </w:r>
      <w:r>
        <w:rPr/>
        <w:t>2</w:t>
      </w:r>
      <w:r>
        <w:rPr>
          <w:rtl w:val="true"/>
        </w:rPr>
        <w:t xml:space="preserve">. </w:t>
      </w:r>
      <w:r>
        <w:rPr>
          <w:rtl w:val="true"/>
        </w:rPr>
        <w:t>امام از تبار شجرۀ نبوت</w:t>
      </w:r>
      <w:bookmarkEnd w:id="28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تعابیر مذکور در 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اهل‌بیت درخت نبوتیم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کاربردهای قرآنی، نبی انسانی است که نزد خدا مقام والایی دارد و به او وحی می‌شود و پروردگار خالق، ایشان را برمی‌انگیزد تا رسولانی بشارت‌دهنده و ترساننده باشند و مردم را هدایت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 و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باب مجاز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مدنی،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ملاصالح مازندرانی آن را استعارۀ مکنیه و تخییلیه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وی، نبوت به خاطر کثرت میوه و زیبایی و دل‌چسبی به بوستانی تشبیه شده و برای آن درختانی اثبات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ملاصالح مازندرانی،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مراد از شجرة طیبة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اصل ثابت، امیرمؤمنان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فرع آن، ائمه شاخه‌های درخت و میوۀ درخت طیبه نیز علم و دانش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ایشان به علت قرابت با</w:t>
      </w:r>
      <w:bookmarkStart w:id="288" w:name="pg2666_21039"/>
    </w:p>
    <w:p>
      <w:pPr>
        <w:pStyle w:val="BookText"/>
        <w:rPr/>
      </w:pPr>
      <w:bookmarkEnd w:id="2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 گیری از علم و حکمت ایشان، درختان بوستان نبوتند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4"/>
        <w:numPr>
          <w:ilvl w:val="3"/>
          <w:numId w:val="1"/>
        </w:numPr>
        <w:rPr/>
      </w:pPr>
      <w:bookmarkStart w:id="289" w:name="__RefHeading___Toc768444_1395250215"/>
      <w:bookmarkStart w:id="290" w:name="_Toc112"/>
      <w:bookmarkEnd w:id="289"/>
      <w:r>
        <w:rPr/>
        <w:t>4</w:t>
      </w:r>
      <w:r>
        <w:rPr>
          <w:rtl w:val="true"/>
        </w:rPr>
        <w:t>ـ</w:t>
      </w:r>
      <w:r>
        <w:rPr/>
        <w:t>2</w:t>
      </w:r>
      <w:r>
        <w:rPr>
          <w:rtl w:val="true"/>
        </w:rPr>
        <w:t xml:space="preserve">. </w:t>
      </w:r>
      <w:r>
        <w:rPr>
          <w:rtl w:val="true"/>
        </w:rPr>
        <w:t>امام؛ موضع رسالت</w:t>
      </w:r>
      <w:bookmarkEnd w:id="290"/>
    </w:p>
    <w:p>
      <w:pPr>
        <w:pStyle w:val="BookText"/>
        <w:rPr/>
      </w:pPr>
      <w:r>
        <w:rPr>
          <w:rFonts w:ascii="IRNazanin" w:hAnsi="IRNazanin" w:eastAsia="IRNazanin"/>
          <w:color w:val="111111"/>
          <w:sz w:val="28"/>
          <w:sz w:val="28"/>
          <w:szCs w:val="28"/>
          <w:rtl w:val="true"/>
          <w:lang w:bidi="fa-IR"/>
        </w:rPr>
        <w:t xml:space="preserve">از دیگر تعابیر به‌کار‌رفته در نامه‌ها در توصیف ائمه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از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رسالتیم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جایگاه رسالت بودن ائمه را به چند وجه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جایگاه رسالتند یعنی مخزن علوم رسالت و اسرار آنند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خوئی،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در شب قدر بر ایشان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محمدباقر،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قبیله یا خانۀ ایشان محل رسالت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وابسته به خاندان رسالت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جمله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متعلق به خانه‌ای هستید که آن خانه جایگاه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ظرفیت مکانی و مادی مقصود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توسعه‌ای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شدیم و افزون بر دریافت وحی و ابلاغ آن، حفظ دین، پاس‌داری و نگاه‌بانی از ره‌آورد وحی، تشریح و تبیین خطوط کلی مذهب و بیان حدود و ثغور و اجرای احکام آن را رسالت الاهی دانستیم، در شرح این تعبیر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شما جایگاه رسالت هستید، زیرا اگر دیگران با مأموریت عام عهده‌دار رسالت حفظ، تبلیغ، ترویج و مجاهده در راه دین شدند، ائمه اطهار این رسالت را با مأموریت خاص بر عهده گرفته‌اند؛ واقعۀ غدیر، که نبی اکرم بر اساس دستور الاهی مأموریت ادامه رسالت را بر عهدۀ شخص معین</w:t>
      </w:r>
    </w:p>
    <w:p>
      <w:pPr>
        <w:pStyle w:val="BookText"/>
        <w:rPr/>
      </w:pPr>
      <w:r>
        <w:rPr>
          <w:rFonts w:ascii="IRNazanin" w:hAnsi="IRNazanin" w:eastAsia="IRNazanin"/>
          <w:color w:val="111111"/>
          <w:sz w:val="28"/>
          <w:sz w:val="28"/>
          <w:szCs w:val="28"/>
          <w:rtl w:val="true"/>
          <w:lang w:bidi="fa-IR"/>
        </w:rPr>
        <w:t>ـ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ـ گذاشت، نمونه‌ای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جز رسالت خاص نیست، در حالی که چنین رسالت ویژه به کسی واگذار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ائمه متصف به شرافت ذات و کرامت اخلاق و صفای نفس و پاکی عقلند و بدین واسطه رسالت پیامبر و تبلیغ آن تا روز قیامت به امر الاهی به ایشان اختصاص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ملاصالح مازندرانی،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4"/>
        <w:numPr>
          <w:ilvl w:val="3"/>
          <w:numId w:val="1"/>
        </w:numPr>
        <w:rPr/>
      </w:pPr>
      <w:bookmarkStart w:id="291" w:name="__RefHeading___Toc768446_1395250215"/>
      <w:bookmarkStart w:id="292" w:name="_Toc113"/>
      <w:bookmarkEnd w:id="291"/>
      <w:r>
        <w:rPr/>
        <w:t>5</w:t>
      </w:r>
      <w:r>
        <w:rPr>
          <w:rtl w:val="true"/>
        </w:rPr>
        <w:t>ـ</w:t>
      </w:r>
      <w:r>
        <w:rPr/>
        <w:t>2</w:t>
      </w:r>
      <w:r>
        <w:rPr>
          <w:rtl w:val="true"/>
        </w:rPr>
        <w:t xml:space="preserve">. </w:t>
      </w:r>
      <w:r>
        <w:rPr>
          <w:rtl w:val="true"/>
        </w:rPr>
        <w:t>میزبانان ملائک</w:t>
      </w:r>
      <w:bookmarkEnd w:id="29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تعابیری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خویش به کار 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از امیرمؤمنان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الملائکه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 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پی در پی هم آمدن است</w:t>
      </w:r>
      <w:bookmarkStart w:id="293" w:name="pg2666_21040"/>
    </w:p>
    <w:p>
      <w:pPr>
        <w:pStyle w:val="BookText"/>
        <w:rPr/>
      </w:pPr>
      <w:bookmarkEnd w:id="2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برای بیان گذر روزها و شب‌ها،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ذیل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یونس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یکی از دو شیء در خلاف جهت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محلّ فرود آمدن و رفت‌و‌آمد و تردد ملائکه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روشنی حکایت از محدَّث بودن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هدف از نزول ملائکه، زیارت و تشرف به محضر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حفاظت از ایشان، مطلع نمودنشان از اخبار زمین، اقتدا به نماز ایشان و عرضۀ اعمال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Heading3"/>
        <w:numPr>
          <w:ilvl w:val="2"/>
          <w:numId w:val="1"/>
        </w:numPr>
        <w:rPr/>
      </w:pPr>
      <w:bookmarkStart w:id="294" w:name="__RefHeading___Toc768448_1395250215"/>
      <w:bookmarkStart w:id="295" w:name="_Toc114"/>
      <w:bookmarkEnd w:id="294"/>
      <w:r>
        <w:rPr/>
        <w:t>3</w:t>
      </w:r>
      <w:r>
        <w:rPr>
          <w:rtl w:val="true"/>
        </w:rPr>
        <w:t xml:space="preserve">. </w:t>
      </w:r>
      <w:r>
        <w:rPr>
          <w:rtl w:val="true"/>
        </w:rPr>
        <w:t>امام؛ خصایص فردی</w:t>
      </w:r>
      <w:bookmarkEnd w:id="295"/>
    </w:p>
    <w:p>
      <w:pPr>
        <w:pStyle w:val="Heading4"/>
        <w:numPr>
          <w:ilvl w:val="3"/>
          <w:numId w:val="1"/>
        </w:numPr>
        <w:rPr/>
      </w:pPr>
      <w:bookmarkStart w:id="296" w:name="__RefHeading___Toc768450_1395250215"/>
      <w:bookmarkStart w:id="297" w:name="_Toc115"/>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مقام امامت اقتضا دارد که امام متصف به ویژگی‌هایی باشد که در پرتو آن‌ها، امرِ امامت را به انجام رساند و هم‌چنین شاخصی برای شناخت عینی امام از غیر برای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صرف اتصاف ثبوتی کافی نبوده و باید در مرحلۀ اثبات نیز این فضایل و کمالات به منصۀ ظهور و تحقق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امامت صرف ادعا نیست، بلکه منش اخلاقی، رفتار انسانی و عملکرد دینی وی باید در اوج بوده و متمایز‌کنندۀ وی از دیگران باشد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خصایص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از امامت هرچند در مقام تحلیل مستقل فرض می‌شود، لکن در حقیقت ریشه در دو بُعد نخست داشته و معلول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در نامه‌های خود گاه در احتجاج علیه مخالفان خود و گاه برای پیروان خویش، به برخی خصایص فردی خود به عنوان نشانه‌های امامت احتجاج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خصایصی که در نامه‌های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یاد شده است، عبارتند از</w:t>
      </w:r>
      <w:r>
        <w:rPr>
          <w:rFonts w:eastAsia="IRNazanin" w:cs="IRNazanin"/>
          <w:color w:val="111111"/>
          <w:sz w:val="28"/>
          <w:szCs w:val="28"/>
          <w:rtl w:val="true"/>
          <w:lang w:bidi="fa-IR"/>
        </w:rPr>
        <w:t>:</w:t>
      </w:r>
    </w:p>
    <w:p>
      <w:pPr>
        <w:pStyle w:val="Heading4"/>
        <w:numPr>
          <w:ilvl w:val="3"/>
          <w:numId w:val="1"/>
        </w:numPr>
        <w:rPr/>
      </w:pPr>
      <w:bookmarkStart w:id="298" w:name="__RefHeading___Toc768452_1395250215"/>
      <w:bookmarkStart w:id="299" w:name="_Toc116"/>
      <w:bookmarkEnd w:id="298"/>
      <w:r>
        <w:rPr/>
        <w:t>1</w:t>
      </w:r>
      <w:r>
        <w:rPr>
          <w:rtl w:val="true"/>
        </w:rPr>
        <w:t>ـ</w:t>
      </w:r>
      <w:r>
        <w:rPr/>
        <w:t>3</w:t>
      </w:r>
      <w:r>
        <w:rPr>
          <w:rtl w:val="true"/>
        </w:rPr>
        <w:t xml:space="preserve">. </w:t>
      </w:r>
      <w:r>
        <w:rPr>
          <w:rtl w:val="true"/>
        </w:rPr>
        <w:t>سبقت در فضایل و خیرات</w:t>
      </w:r>
      <w:bookmarkEnd w:id="29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شخصی است که سابق در خیرات و فضایل بوده و در دورۀ خود، فردی برتر و پیشرو بر وی نیست؛ از این رو، سبقت در فضیلت از شاخص‌های امام و لازمۀ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از امیرمؤمنان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خطاب به معاویه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شما زمامدار رعیت و والی امر امت بوده‌اید، بدون پیشی داشتن در دین و منهای شرفی بلند‌مرتبه؟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کلام امام چنین به نظر می‌رسد که یکی از مهم‌ترین صفات شخصی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احراز مقام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پیش‌گامی ایشان در کلیۀ امور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دیدگاه مفسران امامیه، وارثان برگزیدۀ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همان سابق در خیراتند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انفراد</w:t>
      </w:r>
      <w:bookmarkStart w:id="300" w:name="pg2666_21041"/>
    </w:p>
    <w:p>
      <w:pPr>
        <w:pStyle w:val="BookText"/>
        <w:rPr/>
      </w:pPr>
      <w:bookmarkEnd w:id="3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سابق و اطلاق خیرات، چنین مقامی قابل اشتراک با دیگر صحابه نبوده و آیه دارای نوعی حصر و اختصاص می‌باشد که در روایاتِ تبیین‌گر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تأکید شده است؛ در برخی از روایات به نحو موجبۀ کلیه، مقصود از سابق بالخیرات شخص امام بیان شده که شامل ائمه دوازده‌گانه شیعه است و نشانۀ متنی آن افزودۀ 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فاطمه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نیز به صراحت مصادیقی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در خارج بر امامان معصوم شیعه تطبیق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سابق بالخیرات انحصاراً امامان از عترت نبوی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نامۀ امیرمؤمنان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سبقت در فضیلت و وراثت کتاب به تصریح در شأن خود ایشان تطبیق داده شده و شاخص‌هایی ارائه شده است که هر نوع تردیدی در شایستگی وی برای امامت دینی و خلافت سیاسی را می‌زداید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سزا نیست که با اهل پیشتازی و افراد بافضیلت درافتید، چراکه هرکس با ایشان منازعه کند، از روی گناه و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افراد به سرپرستی این امت از قدیم و جدید، کسی است که از همۀ مردم به پیامبر خدا نزدیک‌تر بوده و از تمام امت به قرآن آشناتر و در دین آگاه‌تر است و نخستین فرد امت است که اسلام آورده و در جهاد از همگان برتر و در تحمل بار مسئولیت امور مردم، تواناتر و چیره دست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4"/>
        <w:numPr>
          <w:ilvl w:val="3"/>
          <w:numId w:val="1"/>
        </w:numPr>
        <w:rPr/>
      </w:pPr>
      <w:bookmarkStart w:id="301" w:name="__RefHeading___Toc768454_1395250215"/>
      <w:bookmarkStart w:id="302" w:name="_Toc117"/>
      <w:bookmarkEnd w:id="301"/>
      <w:r>
        <w:rPr/>
        <w:t>2</w:t>
      </w:r>
      <w:r>
        <w:rPr>
          <w:rtl w:val="true"/>
        </w:rPr>
        <w:t>ـ</w:t>
      </w:r>
      <w:r>
        <w:rPr/>
        <w:t>3</w:t>
      </w:r>
      <w:r>
        <w:rPr>
          <w:rtl w:val="true"/>
        </w:rPr>
        <w:t xml:space="preserve">. </w:t>
      </w:r>
      <w:r>
        <w:rPr>
          <w:rtl w:val="true"/>
        </w:rPr>
        <w:t>امنای الاهی</w:t>
      </w:r>
      <w:bookmarkEnd w:id="30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لازمۀ مقام نبوت و امامت، امین بودن شخص نبی و امام، دربارۀ دین و امر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نامۀ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خصیصۀ مشترک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خدا در زمین بود، هنگامی که خدا او را به سوی خویش برد، در حالی که ما اهل‌بیت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امنای خدا در زمینیم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مورد اعتماد و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امین فی‌نفسه ثقه است، ولی مأمون به واسطه شخصی دیگر امین قرار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شارحان، گسترۀ این امانت‌داری امام را در دین،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و معارف الاهی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ملاصالح مازندرانی در شرح روایتی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مدار امارت را بر سه چیز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امینِ خدا بر همۀ مردم باشد، چراکه در واقع خلیفۀ مردم است و شایسته است با بندگان، وفق مراد خداوند برخورد کند و در هیچ چیز بر آن‌ها خیانت نکند؛ دوم این‌که، امینِ او در علوم غیبی و اسرار مختص به انبیا باشد و با زیاده و نقصان در آن به مردم خیانت نکند؛ سوم</w:t>
      </w:r>
      <w:bookmarkStart w:id="303" w:name="pg2666_21042"/>
    </w:p>
    <w:p>
      <w:pPr>
        <w:pStyle w:val="BookText"/>
        <w:rPr/>
      </w:pPr>
      <w:bookmarkEnd w:id="3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این‌که، امینِ خدا بر دینی باشد که خداوند آن را برای خود پذیرفته است و آن دین را برای مردم تقریر نموده و آن را حفظ کند و همان‌گونه که نازل شده تبیین نماید و احکام آن را اجرا کرده و در آن هیچ خیانتی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تمام این صفات در درجۀ کمال در شخص امیرمؤمنان علی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ملاصالح مازندرانی،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نامه‌ها</w:t>
      </w:r>
    </w:p>
    <w:p>
      <w:pPr>
        <w:pStyle w:val="BookText"/>
        <w:rPr/>
      </w:pPr>
      <w:r>
        <w:rPr>
          <w:rFonts w:ascii="IRNazanin" w:hAnsi="IRNazanin" w:eastAsia="IRNazanin"/>
          <w:color w:val="111111"/>
          <w:sz w:val="28"/>
          <w:sz w:val="28"/>
          <w:szCs w:val="28"/>
          <w:rtl w:val="true"/>
          <w:lang w:bidi="fa-IR"/>
        </w:rPr>
        <w:t>برمی آید که جهت حراست از دین الاهی و جلوگیری از تحریف و تضییع آن ضروری است حکیم، امینی را هماره در میان امت داشته باشد تا میراث‌بان امر وی باشد</w:t>
      </w:r>
      <w:r>
        <w:rPr>
          <w:rFonts w:eastAsia="IRNazanin" w:cs="IRNazanin"/>
          <w:color w:val="111111"/>
          <w:sz w:val="28"/>
          <w:szCs w:val="28"/>
          <w:rtl w:val="true"/>
          <w:lang w:bidi="fa-IR"/>
        </w:rPr>
        <w:t>.</w:t>
      </w:r>
    </w:p>
    <w:p>
      <w:pPr>
        <w:pStyle w:val="Heading4"/>
        <w:numPr>
          <w:ilvl w:val="3"/>
          <w:numId w:val="1"/>
        </w:numPr>
        <w:rPr/>
      </w:pPr>
      <w:bookmarkStart w:id="304" w:name="__RefHeading___Toc768456_1395250215"/>
      <w:bookmarkStart w:id="305" w:name="_Toc118"/>
      <w:bookmarkEnd w:id="304"/>
      <w:r>
        <w:rPr/>
        <w:t>3</w:t>
      </w:r>
      <w:r>
        <w:rPr>
          <w:rtl w:val="true"/>
        </w:rPr>
        <w:t>ـ</w:t>
      </w:r>
      <w:r>
        <w:rPr/>
        <w:t>3</w:t>
      </w:r>
      <w:r>
        <w:rPr>
          <w:rtl w:val="true"/>
        </w:rPr>
        <w:t xml:space="preserve">. </w:t>
      </w:r>
      <w:r>
        <w:rPr>
          <w:rtl w:val="true"/>
        </w:rPr>
        <w:t>صاحبان حکمت</w:t>
      </w:r>
      <w:bookmarkEnd w:id="305"/>
    </w:p>
    <w:p>
      <w:pPr>
        <w:pStyle w:val="BookText"/>
        <w:rPr/>
      </w:pPr>
      <w:r>
        <w:rPr>
          <w:rFonts w:ascii="IRNazanin" w:hAnsi="IRNazanin" w:eastAsia="IRNazanin"/>
          <w:color w:val="111111"/>
          <w:sz w:val="28"/>
          <w:sz w:val="28"/>
          <w:szCs w:val="28"/>
          <w:rtl w:val="true"/>
          <w:lang w:bidi="fa-IR"/>
        </w:rPr>
        <w:t>امام باید از اندیشه و منشی حکیمانه برخوردار بوده و سیرۀ علمی و عملی وی، مثال حکمت و نُمود حکیم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لزوم از قرآن نیز قابل اثبات است، زیرا در قرآن از آل ابراهیم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قطع، تناسبی با مقام نبوت و امامت آل ابراهیم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معتبر، مقصود از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مندان از ملک عظیم در آیۀ شریفه،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در نامه‌های معصومان، آیۀ مذکور یکی از مهم‌ترین استدلال‌های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اثبات امامت خویشتن و ردّ ادعاهای معاویه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بخشی دیگر چنین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 مردم به خاطر نعمتی که خدا از فضل خویش به آنان ارزانی داشته، حسد می‌برند؟ ما مردمیم و ما همان افراد مورد حسادتیم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ما به خاندان ابراهیم کتاب و حکمت دادیم و به آنان ملک عظیمی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عظیم این است که خدا ائمه را در میان ایشان قرار داد که اطاعت از ایشان، اطاعت از خدا و نافرمانی ایشان، نافرمانی خداست و کتاب، حکمت و نبوت را در ایشان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آل ابراهیم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حکمت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دارند، ولی دربارۀ آل محمد آن را انکار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حکمت و ملک عظیم با مقام امامت در استدلال علوی به آیۀ مذکور، مشهود و بی‌نیاز از توضیح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ناب منحصر است در آل ابراهیم، و آل ابراهیم همان آل محمدند که خداوند ایشان را برگزیده و نبوت، کتاب، حکمت، علم و ایمان را در میان ایشان قرار داده است</w:t>
      </w:r>
      <w:r>
        <w:rPr>
          <w:rFonts w:eastAsia="IRNazanin" w:cs="IRNazanin"/>
          <w:color w:val="111111"/>
          <w:sz w:val="28"/>
          <w:szCs w:val="28"/>
          <w:rtl w:val="true"/>
          <w:lang w:bidi="fa-IR"/>
        </w:rPr>
        <w:t>.</w:t>
      </w:r>
    </w:p>
    <w:p>
      <w:pPr>
        <w:pStyle w:val="Heading4"/>
        <w:numPr>
          <w:ilvl w:val="3"/>
          <w:numId w:val="1"/>
        </w:numPr>
        <w:rPr/>
      </w:pPr>
      <w:bookmarkStart w:id="306" w:name="__RefHeading___Toc768458_1395250215"/>
      <w:bookmarkStart w:id="307" w:name="_Toc119"/>
      <w:bookmarkEnd w:id="306"/>
      <w:r>
        <w:rPr/>
        <w:t>4</w:t>
      </w:r>
      <w:r>
        <w:rPr>
          <w:rtl w:val="true"/>
        </w:rPr>
        <w:t>ـ</w:t>
      </w:r>
      <w:r>
        <w:rPr/>
        <w:t>3</w:t>
      </w:r>
      <w:r>
        <w:rPr>
          <w:rtl w:val="true"/>
        </w:rPr>
        <w:t xml:space="preserve">. </w:t>
      </w:r>
      <w:r>
        <w:rPr>
          <w:rtl w:val="true"/>
        </w:rPr>
        <w:t>فاتح و خاتم دین</w:t>
      </w:r>
      <w:bookmarkEnd w:id="30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نامۀ امام مجتبی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خصیصه‌ای دیگر از خصایص امامت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واسطۀ ما، خداوند دین را فتح نمود و با ما آن را ختم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احمدی‌میانجی،</w:t>
      </w:r>
      <w:bookmarkStart w:id="308" w:name="pg2666_21043"/>
    </w:p>
    <w:p>
      <w:pPr>
        <w:pStyle w:val="BookText"/>
        <w:rPr/>
      </w:pPr>
      <w:bookmarkEnd w:id="3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این خصیصه باید گفت، امامت جانشینی پیغمبر است در توضیح، تبیین و بیان دین منهای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بی‌تا،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متعدد نبوی، از جمله حدیث ثقلین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بیان‌گر نقش قانون‌گذاری امام معصوم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شریعت اسلام از آغاز تا فرجام نیازمند رهبرانی الاهی بوده است تا با مراجعه به منابع علم خویش، قانون الاهی را در جامعه بگسترانند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نقشۀ راه، دین با پیامبر آغاز می‌گردد و پس از ایشان نیز همواره در جامعۀ اسلامی ارکانی وجود دارند که دین را رواج داده و مرجعیت پاسخ‌گویی به سؤالات مردم باشند و در پایان نیز همین ائمه خاتم دینند و دین به امامت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Heading3"/>
        <w:numPr>
          <w:ilvl w:val="2"/>
          <w:numId w:val="1"/>
        </w:numPr>
        <w:rPr/>
      </w:pPr>
      <w:bookmarkStart w:id="309" w:name="__RefHeading___Toc768460_1395250215"/>
      <w:bookmarkStart w:id="310" w:name="_Toc120"/>
      <w:bookmarkEnd w:id="309"/>
      <w:r>
        <w:rPr>
          <w:rtl w:val="true"/>
        </w:rPr>
        <w:t>نتیجه گیری</w:t>
      </w:r>
      <w:bookmarkEnd w:id="31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نامه‌های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نظریۀ امامت شیعی و مؤلفه‌های بنیادین آن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نصوص، امامت ناب وحیانی دارای سه مؤلفه اصلی الاهی بودن، از تبار نبوت بودن و خصایص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هریک از آن‌ها به ابعاد سه‌گانۀ امامت در دیدگاه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مؤلفه‌ها شاخصی برای سنجش امامت ادعایی برخی اشخاص و جریان‌های سیاسی عهد معصومان است که سعی داشتند ماهیت امامت و شرایط بنیادین آن را استحاله کرده و قرائتی جدید از آن‌که متناسب با ویژگی‌های خودشان باشد،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کارآمد در نقد شبهۀ تکاملی بودن نظریۀ امامت است و نشان می‌دهد که بنیاد امامت از همان عهد علوی روشن و استوار بر اصول اعتقادی قرآنی و سنّت نبوی نظریه‌پردازی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نامه‌های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کارآمدی در مطالعات امامت‌پژوهی، در گفتمان‌شناسی امامت در عصر معصومان، تاریخ تحلیلی مسائل و شبهات امامت نیز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خصایص ویژۀ امام در نامه‌های معصومان، شخصیتی ممتاز و منحصر‌به‌فرد از امام ترسیم می کند که فراتر از علمای ابرار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مقابل نص و عناد با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 نظریه‌های رقیب اهل‌بیت در امامت بوده و در مقابل آن نصوص قرآنی و سنّت نبوی در دیدگاه اهل‌بیت، از جایگاه خاصی برخوردار هستند و اثبات‌کنندۀ قرآن‌محوری و سنّت‌مداری آموزۀ امامت در این دیدگاه است</w:t>
      </w:r>
      <w:r>
        <w:rPr>
          <w:rFonts w:eastAsia="IRNazanin" w:cs="IRNazanin"/>
          <w:color w:val="111111"/>
          <w:sz w:val="28"/>
          <w:szCs w:val="28"/>
          <w:rtl w:val="true"/>
          <w:lang w:bidi="fa-IR"/>
        </w:rPr>
        <w:t>.</w:t>
      </w:r>
      <w:bookmarkStart w:id="311" w:name="pg2666_21044"/>
    </w:p>
    <w:p>
      <w:pPr>
        <w:pStyle w:val="BookText"/>
        <w:rPr/>
      </w:pPr>
      <w:bookmarkEnd w:id="3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12" w:name="__RefHeading___Toc768462_1395250215"/>
      <w:bookmarkStart w:id="313" w:name="_Toc121"/>
      <w:bookmarkEnd w:id="312"/>
      <w:r>
        <w:rPr>
          <w:rtl w:val="true"/>
        </w:rPr>
        <w:t>منابع</w:t>
      </w:r>
      <w:bookmarkEnd w:id="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ابن‌ابی‌الحدید، عبدالحمید،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نهج‌البلاغه، محمد ابوالفضل ابراهیم، قم، کتاب‌خانه آیت‌الله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محمدبن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الاخبار، قم،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تهران، کتابچی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احمدی‌میانجی، علی،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مکاتیب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فرجی، قم،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ازدی، عبدالله بن محمد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الماء، تهران، مؤسسه مطالعات تاریخ پزشکی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الغدیر، قم، مرکز الغدیر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ابن‌میثم،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نهج‌البلاغه، دفتر نشر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المرام فی علم الکلام، قم، مکتبة آیة‌الله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قطب‌الدین،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حدائق الحقائق فی شرح نهج‌البلاغه، قم، بنیاد 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ابراهیم،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الغارات، قم، دارالکتب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تفسیر نهج‌البلاغه، تهران،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 فنای مقربان، قم،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عبیدالله،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التنزیل لقواعد التفضیل، تهران، مجمع احیاء الثقافة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حسینی‌تهرانی،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امام‌شناسی، مشهد، علامه 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حسینی‌زبیدی، محمدمرتضی،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من جواهر القاموس،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میرزا‌حبیب‌الله،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منهاج البراعة فی شرح نهج‌البلاغه، تهران، مکتبة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راد، علی،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در نگاشته‌های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امام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قم،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کلامی امامیه در تفسیر قرآن، تهران، سخن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الدین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منهاج البراعة فی شرح نهج‌البلاغه، قم، کتاب‌خانه آیةالله مرعشی‌نجفی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مشاوره در قرآن و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کاوشی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کنگره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محاضرات فی الالهیات، قم، مؤسسة الإمام الصادق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شرف‌الدین، سیدعبدالحسین،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اجتهاد در مقابل نص،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دوانی، قم،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فی فضایل آل محمد، قم، مکتبة آیة‌الله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تهران، ناصرخسرو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سیدعبدالحسین،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اطیب البیان فی تفسیر القرآن، تهران،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عسکری، سیدمرتضی،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عقاید اسلام در 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کرمی، مجمع علمی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زنجانی، عباسعلی،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از دیدگاه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یادنامه کنگره هزاره نهج‌البلاغه، 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فضل‌الله، سیدمحمدحسین،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وحی القرآن، بیروت، دارالملاک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بن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المنیر فی غریب الشرح الکبیر، قم، دارالهجرة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بنایی، علی‌اکبر،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قرآن، تهران، دارالکتب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کربلایی، جواد بن عباس،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الأنوار الساطعة فیشرح الزیارة الجامعة، بیروت، مؤسسة الأعلمی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دارالکتب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مادلونگ، ویلفرد،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پیرامون خلافت نخستین،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نمایی و دیگران، مشهد، بنیاد پژوهش‌های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محمدصالح،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اصول 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شعرانی، تهران، المکتبة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مرآة العقول فی شرح أخبار آل الرسول، تهران، دارالکتب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ملاذ الاخیار، مهدی رجایی، قم، کتاب‌خانه آیة‌الله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قرآن ناطق یا شرح زیارت جامعه کبیره، تهران،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مدرسی‌طباطبایی، حسین،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 در فرایند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بر تطور مبانی فکری تشیع در سه قرن نخستین، تهران، کویر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علی‌خان،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الطراز الاول و الکناز لما علیه من لغة العرب المعول، مشهد، آل البیت لاحیاء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فی کلمات القرآن الکریم، تهران،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تهران،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استادولی و علی‌اکبر غفاری،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مقاتل بن سلیمان، بیروت، داراحیاء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الولایة فی القرآن، قم، مدرسه علی بن ابیطالب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مهدوی‌راد، محمدعلی،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آفاق تفسیر، تهران، هستی‌نما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سیدعباس،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نهج‌البلاغه، بیروت، دار الرسول الاکرم دارالمحجة البیضاء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میبدی، احمد بن محمد،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الاسرار و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الابرار، تهران،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ناجی، عبدالجبار،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التشیع و الاستشراق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نقدی مقارن لدراسات المستشرقین عن العقیدة الشیعیه و ائمتها، بیروت، الجمل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سیدرسول و علی راد،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 روبین و نظریه امامت موروثی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تحقیقات کلامی، شماره </w:t>
      </w:r>
      <w:r>
        <w:rPr>
          <w:rFonts w:eastAsia="IRNazanin" w:cs="IRNazanin"/>
          <w:color w:val="111111"/>
          <w:sz w:val="28"/>
          <w:szCs w:val="28"/>
          <w:lang w:bidi="fa-IR"/>
        </w:rPr>
        <w:t>2</w:t>
      </w:r>
      <w:r>
        <w:rPr>
          <w:rFonts w:eastAsia="IRNazanin" w:cs="IRNazanin"/>
          <w:color w:val="111111"/>
          <w:sz w:val="28"/>
          <w:szCs w:val="28"/>
          <w:rtl w:val="true"/>
          <w:lang w:bidi="fa-IR"/>
        </w:rPr>
        <w:t>.</w:t>
      </w:r>
      <w:bookmarkStart w:id="314" w:name="pg2666_21046"/>
    </w:p>
    <w:p>
      <w:pPr>
        <w:pStyle w:val="BookText"/>
        <w:rPr/>
      </w:pPr>
      <w:bookmarkEnd w:id="3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Heading2"/>
        <w:numPr>
          <w:ilvl w:val="1"/>
          <w:numId w:val="1"/>
        </w:numPr>
        <w:rPr/>
      </w:pPr>
      <w:bookmarkStart w:id="315" w:name="__RefHeading___Toc768464_1395250215"/>
      <w:bookmarkStart w:id="316" w:name="_Toc122"/>
      <w:bookmarkEnd w:id="315"/>
      <w:r>
        <w:rPr>
          <w:rtl w:val="true"/>
        </w:rPr>
        <w:t>تجسم و رؤیت جنّ از منظر عقل و نقل</w:t>
      </w:r>
      <w:bookmarkEnd w:id="316"/>
    </w:p>
    <w:p>
      <w:pPr>
        <w:pStyle w:val="Heading3"/>
        <w:numPr>
          <w:ilvl w:val="2"/>
          <w:numId w:val="1"/>
        </w:numPr>
        <w:rPr/>
      </w:pPr>
      <w:bookmarkStart w:id="317" w:name="__RefHeading___Toc768466_1395250215"/>
      <w:bookmarkStart w:id="318" w:name="_Toc123"/>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سیدغلام عباس موسوی مقدم</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محمد جعفری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20/07/1393</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22/10/1393</w:t>
      </w:r>
    </w:p>
    <w:p>
      <w:pPr>
        <w:pStyle w:val="Heading3"/>
        <w:numPr>
          <w:ilvl w:val="2"/>
          <w:numId w:val="1"/>
        </w:numPr>
        <w:rPr/>
      </w:pPr>
      <w:bookmarkStart w:id="319" w:name="__RefHeading___Toc768468_1395250215"/>
      <w:bookmarkStart w:id="320" w:name="_Toc124"/>
      <w:bookmarkEnd w:id="319"/>
      <w:r>
        <w:rPr>
          <w:rtl w:val="true"/>
        </w:rPr>
        <w:t>چکیده</w:t>
      </w:r>
      <w:bookmarkEnd w:id="320"/>
    </w:p>
    <w:p>
      <w:pPr>
        <w:pStyle w:val="BookText"/>
        <w:rPr/>
      </w:pPr>
      <w:r>
        <w:rPr>
          <w:rFonts w:ascii="IRNazanin" w:hAnsi="IRNazanin" w:eastAsia="IRNazanin"/>
          <w:color w:val="111111"/>
          <w:sz w:val="28"/>
          <w:sz w:val="28"/>
          <w:szCs w:val="28"/>
          <w:rtl w:val="true"/>
          <w:lang w:bidi="fa-IR"/>
        </w:rPr>
        <w:t>جن موجودی است مادی و جسمانی، اما با جسم لطیف که اصل اوّلی در خلقت آن‌ها این است که نامرئی باشند، اما در مواقعی در کالبدهای مختلف، متمثل و متجسم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جن به این معناست که در قوۀ حس و ادراک انسان به صورت‌های مختلفی مرئی شوند، بدون آن‌که تبدل ماهیتی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تجسم جن به این معناست که جن همچون انسان دارای کالبد جسمانی شود که قابل لمس و اشاره با حواس باشد و فضا را اشغال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روایات اسلامی به دست می‌آید، جنیان می‌توانند متمثل و حتی متجسم و قابل رؤیت شوند و مصادیق فراوانی که در نقل وارد شده است، هم تمثل و هم تجسم جن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عقلی نیز با توجه به مادۀ اولیه خلقت جنیان، می‌توان این موضوع را اثبات کرد</w:t>
      </w:r>
      <w:r>
        <w:rPr>
          <w:rFonts w:eastAsia="IRNazanin" w:cs="IRNazanin"/>
          <w:color w:val="111111"/>
          <w:sz w:val="28"/>
          <w:szCs w:val="28"/>
          <w:rtl w:val="true"/>
          <w:lang w:bidi="fa-IR"/>
        </w:rPr>
        <w:t>.</w:t>
      </w:r>
    </w:p>
    <w:p>
      <w:pPr>
        <w:pStyle w:val="Heading3"/>
        <w:numPr>
          <w:ilvl w:val="2"/>
          <w:numId w:val="1"/>
        </w:numPr>
        <w:rPr/>
      </w:pPr>
      <w:bookmarkStart w:id="321" w:name="__RefHeading___Toc768470_1395250215"/>
      <w:bookmarkStart w:id="322" w:name="_Toc125"/>
      <w:bookmarkEnd w:id="321"/>
      <w:r>
        <w:rPr>
          <w:rtl w:val="true"/>
        </w:rPr>
        <w:t>واژگان کلیدی</w:t>
      </w:r>
      <w:bookmarkEnd w:id="32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 تمثل، تجسم، نقل، عقل، جسم کثیف، جسم لطیف</w:t>
      </w:r>
      <w:r>
        <w:rPr>
          <w:rFonts w:eastAsia="IRNazanin" w:cs="IRNazanin"/>
          <w:color w:val="111111"/>
          <w:sz w:val="28"/>
          <w:szCs w:val="28"/>
          <w:rtl w:val="true"/>
          <w:lang w:bidi="fa-IR"/>
        </w:rPr>
        <w:t>.</w:t>
      </w:r>
      <w:bookmarkStart w:id="323" w:name="pg2666_21047"/>
    </w:p>
    <w:p>
      <w:pPr>
        <w:pStyle w:val="BookText"/>
        <w:rPr/>
      </w:pPr>
      <w:bookmarkEnd w:id="3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Heading3"/>
        <w:numPr>
          <w:ilvl w:val="2"/>
          <w:numId w:val="1"/>
        </w:numPr>
        <w:rPr/>
      </w:pPr>
      <w:bookmarkStart w:id="324" w:name="__RefHeading___Toc768472_1395250215"/>
      <w:bookmarkStart w:id="325" w:name="_Toc126"/>
      <w:bookmarkEnd w:id="324"/>
      <w:r>
        <w:rPr>
          <w:rtl w:val="true"/>
        </w:rPr>
        <w:t>مقدمه</w:t>
      </w:r>
      <w:bookmarkEnd w:id="325"/>
    </w:p>
    <w:p>
      <w:pPr>
        <w:pStyle w:val="BookText"/>
        <w:rPr/>
      </w:pPr>
      <w:r>
        <w:rPr>
          <w:rFonts w:ascii="IRNazanin" w:hAnsi="IRNazanin" w:eastAsia="IRNazanin"/>
          <w:color w:val="111111"/>
          <w:sz w:val="28"/>
          <w:sz w:val="28"/>
          <w:szCs w:val="28"/>
          <w:rtl w:val="true"/>
          <w:lang w:bidi="fa-IR"/>
        </w:rPr>
        <w:t>اندیشه‌هایی دربارۀ وجود نیروهای غیبی که در جریان زندگی مؤثرند، وجود دارد که غالب فرهنگ‌های ابتدایی و حتی بشر مدرن امروز از آن متأثر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این اعتقادات، مسئله وجود و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از منظر قرآن، شبیه‌ترین موجودات به انسان است؛ یعنی موجودی دارای اختیار، ادراک، علم، مسئولیت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صحبت از جن و نحوۀ حضور آن‌ها مطرح می‌شود، بسیاری تنها موردی که به ذهنشان خطور می‌کند، اشخاصی با عنوان جن‌گیر و یا احضارکنندگان ارواح و همزاد و رمّال‌ها هستند و یا با مراجعه به کتاب‌هایی که در این رابطه نوشته شده است، تنها به داستان‌سرایی‌های عجیب و غریب دربارۀ تجسم جنیان برمی‌خوریم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بعد رسانه‌ای و به‌خصوص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حضور و تجسم جنیان بسیار گسترده و هدف‌مند دنبال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رزماری، طالع نحس، جن‌گیر، کنستانتین، پایان روزها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این آموزۀ خرافی از هالیوود به برخی فیلم‌های ایرانی نیز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رسانۀ ملی ده‌ها ساعت فیلم ـ مخصوصاً در ماه مبارک رمضان ـ از تجسم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هم‌نشینی آن با انسان‌ها پخش می‌شود که آن‌ها با ما غذا می‌خورند، در کنار ما می‌خوابند، کودکان ما را به مدرسه می‌رسانند، در هیبتِ یک عارف تجسم پیدا کرده و ما را هدایت می‌کنند و حتی تا عقد و ازدواج با آن‌ها پیش می‌رویم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سریال‌های اغما، سقوط یک فرشته، او یک فرشته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کمتر تحقیق مستدلی دربارۀ نوع حضور فیزیکی جن در زندگی ما و نحوۀ تمثل و تجسم آن‌ها، به بحث پرداخته است که ضرورت تحقیق در این موضوع و جای خالی آن در فضای علمی جامعه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که در این تحقیق در پی آن هستیم، چگونگی رؤیت جنیان است؛ به این معنا که آیا جنیان در دیدگان ما متمثل می‌شوند و یا غیر از تمثل، واقعیتی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w:t>
      </w:r>
    </w:p>
    <w:p>
      <w:pPr>
        <w:pStyle w:val="Heading3"/>
        <w:numPr>
          <w:ilvl w:val="2"/>
          <w:numId w:val="1"/>
        </w:numPr>
        <w:rPr/>
      </w:pPr>
      <w:bookmarkStart w:id="326" w:name="__RefHeading___Toc768474_1395250215"/>
      <w:bookmarkStart w:id="327" w:name="_Toc127"/>
      <w:bookmarkEnd w:id="326"/>
      <w:r>
        <w:rPr/>
        <w:t>1</w:t>
      </w:r>
      <w:r>
        <w:rPr>
          <w:rtl w:val="true"/>
        </w:rPr>
        <w:t xml:space="preserve">. </w:t>
      </w:r>
      <w:r>
        <w:rPr>
          <w:rtl w:val="true"/>
        </w:rPr>
        <w:t>مفاهیم</w:t>
      </w:r>
      <w:bookmarkEnd w:id="327"/>
    </w:p>
    <w:p>
      <w:pPr>
        <w:pStyle w:val="Heading4"/>
        <w:numPr>
          <w:ilvl w:val="3"/>
          <w:numId w:val="1"/>
        </w:numPr>
        <w:rPr/>
      </w:pPr>
      <w:bookmarkStart w:id="328" w:name="__RefHeading___Toc768476_1395250215"/>
      <w:bookmarkStart w:id="329" w:name="_Toc128"/>
      <w:bookmarkEnd w:id="328"/>
      <w:r>
        <w:rPr/>
        <w:t>1</w:t>
      </w:r>
      <w:r>
        <w:rPr>
          <w:rtl w:val="true"/>
        </w:rPr>
        <w:t>ـ</w:t>
      </w:r>
      <w:r>
        <w:rPr/>
        <w:t>1</w:t>
      </w:r>
      <w:r>
        <w:rPr>
          <w:rtl w:val="true"/>
        </w:rPr>
        <w:t xml:space="preserve">. </w:t>
      </w:r>
      <w:r>
        <w:rPr>
          <w:rtl w:val="true"/>
        </w:rPr>
        <w:t>جنّ</w:t>
      </w:r>
      <w:bookmarkEnd w:id="32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مؤلفان لغت‌نامه‌های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واژه‌ای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امیدسالار،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و 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مستشرقین،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معنا در بیش‌تر مشتقات این ریشه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طریحی،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فیومی،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زبیدی،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در قفسۀ سینه پنهان شده و یا به خاطر این‌که افکار، غم و شادی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ابوحاتم‌رازی،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زیرا به‌کارگیرنده‌اش را مخفی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ابوحاتم‌رازی،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باغ، مزرعه و چمن،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به خاطر این‌که روی زمین را می‌پوشانند و به بهشت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به خاطر کثرت درختانش به گونه‌ای است که برخی، برخی دیگر را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جنین چون در رحم مادر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دیوانه و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چون عقل او پوشیده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ابوحاتم رازی،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راغب، مثل این‌که جنون حائل و مانعی بین نفس و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عرب به قبر و 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به خاطر این‌که میّت را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ملائک 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می‌برند، به خاطر این‌که از چشم مردم پوشیده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معنای لغوی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بودن شیء از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ملائکه را نیز می‌توان از زمرۀ جنیان به حساب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طریحی،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 که اعراب جاهلی ملائکه را به جهت پوشیدگی از نظر، جن می‌نامیدند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شوکانی،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انواع روحانی ـ غیر از انسان ـ جن گفته می‌شود که از حواس ما پوشیده هستند و ملائکه و شیاطین داخل در جن هستند؛ به تعبیر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دغیم،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جنّ و ملک عموم و خصوص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ملائکه جن هستند، ولی هر جنّی ملک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بروسوی، بی‌تا،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جنّ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فیومی،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مانند روم و رومـی ـ و جمعِ جنّ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قرشی بنایی،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ابن‌اثیر جزری،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آن شیطان از جنس جنّیان باشد و یا از نوع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بَیْنَهُ وَ بَیْنَ الْجِنَّةِ نَسَباً وَ لَقَدْ عَلِمَتِ الْجِنَّةُ إِنَّهُمْ لَمُحْضَرُونَ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 خدا و جنیان، نسب و خویشی قرار دادند، در صورتی که جنّیان به خوبی 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برای حساب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bookmarkStart w:id="330" w:name="pg2666_21049"/>
    </w:p>
    <w:p>
      <w:pPr>
        <w:pStyle w:val="BookText"/>
        <w:rPr/>
      </w:pPr>
      <w:bookmarkEnd w:id="3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برخی اسم جمع جن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ازهری،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 xml:space="preserve">؛ ابن‌سیده،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زبیدی،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در قرآن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ابی‌بکر رازی،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فَیَوْمَئِذٍ لا یُسْئَلُ عَنْ ذَنْبِهِ إِنْسٌ وَ لا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آدمیان و جنّیان نپرسند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یَطْمِثْهُنَّ إِنْسٌ قَبْلَهُمْ وَ لا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از آنان هیچ انس و جنّی با ایشان تماس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معادل واژه جنّ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امیدسالار،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 مروزی،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زنجی سجزی،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تفاسیر و ترجمه‌های کهن قرآن کریم به زبان فارسی، واژۀ پری را معادل جنّ گذاشته‌اند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حاسید جوادی،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فارسی به اشتباه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می‌شود،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أَنْتُمْ أَجِنَّةٌ فی بُطُونِ أُمَّهاتِکُم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آن موقع که به صورت جنین‌هایی در شکم مادرانتان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331" w:name="__RefHeading___Toc768478_1395250215"/>
      <w:bookmarkStart w:id="332" w:name="_Toc129"/>
      <w:bookmarkEnd w:id="331"/>
      <w:r>
        <w:rPr/>
        <w:t>2</w:t>
      </w:r>
      <w:r>
        <w:rPr>
          <w:rtl w:val="true"/>
        </w:rPr>
        <w:t>ـ</w:t>
      </w:r>
      <w:r>
        <w:rPr/>
        <w:t>1</w:t>
      </w:r>
      <w:r>
        <w:rPr>
          <w:rtl w:val="true"/>
        </w:rPr>
        <w:t xml:space="preserve">. </w:t>
      </w:r>
      <w:r>
        <w:rPr>
          <w:rtl w:val="true"/>
        </w:rPr>
        <w:t>تمثل</w:t>
      </w:r>
      <w:bookmarkEnd w:id="332"/>
    </w:p>
    <w:p>
      <w:pPr>
        <w:pStyle w:val="BookText"/>
        <w:rPr/>
      </w:pPr>
      <w:r>
        <w:rPr>
          <w:rFonts w:ascii="IRNazanin" w:hAnsi="IRNazanin" w:eastAsia="IRNazanin"/>
          <w:color w:val="111111"/>
          <w:sz w:val="28"/>
          <w:sz w:val="28"/>
          <w:szCs w:val="28"/>
          <w:rtl w:val="true"/>
          <w:lang w:bidi="fa-IR"/>
        </w:rPr>
        <w:t xml:space="preserve">بسیاری از لغت‌شناسان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طریحی،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فیومی،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ابن‌اثیر،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ایستادن در برابر شخص یا چیزی می‌دانند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می‌گویند که به صورت دیگری نمایان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شکل و صورت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التَّمَثُّل فی الغَذَاءِ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تغییر شکل غذا و تبدیل آن به سلول‌های جسم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مفهومش این است که چیزی یا شخصی صورتاً به شکل دیگری درمی‌آید، نه این‌که ماهیت و باطن آن تغییر یافته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حقیقتِ تمثّل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قوّت روحی که بتواند در وجود خود تأثّر ایجاد کرده و طبق خواستۀ خود ظواهر خود را تغییر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مصطفوی،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تمثل، انقلاب حقیقت نیست، آن‌گونه که مثلاً جن، انسان شود و دوباره آن انسان جن گردد، بلکه تمثل آن است که در حیطۀ ادراکی فرد، به صورت انسانی مشاهده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جوادی‌آملی، تفسیر موضوعی قرآن کریم،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چیزی برای انسان به صورتی که آدمی با آن انس و الفت دارد ؛ مانند ظهور جبرئیل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حضرت مریم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صورت بشری تمام‌عیار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w:t>
      </w:r>
      <w:bookmarkStart w:id="333" w:name="pg2666_21050"/>
    </w:p>
    <w:p>
      <w:pPr>
        <w:pStyle w:val="BookText"/>
        <w:rPr/>
      </w:pPr>
      <w:bookmarkEnd w:id="3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جبرئیل در همان حال هم که به صورت بشر تمثل یافته بود، باز فرشته بود، نه این‌که بشر شده باشد، بلکه فرشته‌ای بود به صورت بشر، و مریم او را به صورت بشر می‌دید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معلوم شد که منظور از تمثلِ جن و شیطان این نیست که از ماهیت حقیقی خود خارج شوند و تغییر ماهیت بدهند، بلکه به این معناست که در قوۀ حس و ادراک انسان به صورت‌های مختلفی محسوس می‌شوند، بدون آن‌که تبدل ماهیتی صورت بگیرد</w:t>
      </w:r>
      <w:r>
        <w:rPr>
          <w:rFonts w:eastAsia="IRNazanin" w:cs="IRNazanin"/>
          <w:color w:val="111111"/>
          <w:sz w:val="28"/>
          <w:szCs w:val="28"/>
          <w:rtl w:val="true"/>
          <w:lang w:bidi="fa-IR"/>
        </w:rPr>
        <w:t>.</w:t>
      </w:r>
    </w:p>
    <w:p>
      <w:pPr>
        <w:pStyle w:val="Heading4"/>
        <w:numPr>
          <w:ilvl w:val="3"/>
          <w:numId w:val="1"/>
        </w:numPr>
        <w:rPr/>
      </w:pPr>
      <w:bookmarkStart w:id="334" w:name="__RefHeading___Toc768480_1395250215"/>
      <w:bookmarkStart w:id="335" w:name="_Toc130"/>
      <w:bookmarkEnd w:id="334"/>
      <w:r>
        <w:rPr/>
        <w:t>3</w:t>
      </w:r>
      <w:r>
        <w:rPr>
          <w:rtl w:val="true"/>
        </w:rPr>
        <w:t>ـ</w:t>
      </w:r>
      <w:r>
        <w:rPr/>
        <w:t>1</w:t>
      </w:r>
      <w:r>
        <w:rPr>
          <w:rtl w:val="true"/>
        </w:rPr>
        <w:t xml:space="preserve">. </w:t>
      </w:r>
      <w:r>
        <w:rPr>
          <w:rtl w:val="true"/>
        </w:rPr>
        <w:t>تجسم</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و اسم عامی است از هر چیزی که طول و عرض و عمق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چیزی که دارای ماده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تهانوی،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فضایی را اشغال کند و بتوان آن را با حواس پنج‌گانه درک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دغیم،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دارای شکل، وضع و مکان است که وقتی مکانی را اشغال کند، مانع از ورود جسم دیگر به آن مکان می‌شود؛ یعنی مانع از تداخل با جسم دیگر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امتداد و عدم تداخل، از معانی مقوّم جسم است که معنای سومی نیز به آن‌ها اضافه می‌شود و آن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مترادف جرم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برده‌اند که در مقابل روح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جسمانی منسوب به جسم است و جسمانیت به معنای مادیت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صلیبا،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جهامی،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فرق جسم و جسد این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جسمی به کار می‌رود که معمولاً دارای روح بوده، ولی فعلاً روح نداشته باشد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معنا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هر نوع جسمی می‌شود، اما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جسمی به کار می‌رود که قبلاً دارای روح بوده و فعلاً فاقد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خمینی،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خلیل بن احمد فرق دومی را بیان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دارای رنگ است و به اشیایی که رنگی ندارند،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هوا، جسم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بحث ما، اصطلاحی مقابل تمثل می‌باشد و به این معناست که جن همچون انسان دارای کالبد جسمانی شود که قابل لمس و اشاره با حواس باشد و فضا را اشغال کند و به تعبیری مقصود از 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شکل، جسم و پیکر درآمدن و جسم شدن یا صورت جسمی و فیزیکی یافتنِ جن است، به گونه‌ای که از کالبد و جسد برای حضور یا ظهور خویش و کارکردهایش استفاده کند</w:t>
      </w:r>
      <w:r>
        <w:rPr>
          <w:rFonts w:eastAsia="IRNazanin" w:cs="IRNazanin"/>
          <w:color w:val="111111"/>
          <w:sz w:val="28"/>
          <w:szCs w:val="28"/>
          <w:rtl w:val="true"/>
          <w:lang w:bidi="fa-IR"/>
        </w:rPr>
        <w:t>.</w:t>
      </w:r>
      <w:bookmarkStart w:id="336" w:name="pg2666_21051"/>
    </w:p>
    <w:p>
      <w:pPr>
        <w:pStyle w:val="BookText"/>
        <w:rPr/>
      </w:pPr>
      <w:bookmarkEnd w:id="3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Heading3"/>
        <w:numPr>
          <w:ilvl w:val="2"/>
          <w:numId w:val="1"/>
        </w:numPr>
        <w:rPr/>
      </w:pPr>
      <w:bookmarkStart w:id="337" w:name="__RefHeading___Toc768482_1395250215"/>
      <w:bookmarkStart w:id="338" w:name="_Toc131"/>
      <w:bookmarkEnd w:id="337"/>
      <w:r>
        <w:rPr/>
        <w:t>2</w:t>
      </w:r>
      <w:r>
        <w:rPr>
          <w:rtl w:val="true"/>
        </w:rPr>
        <w:t xml:space="preserve">. </w:t>
      </w:r>
      <w:r>
        <w:rPr>
          <w:rtl w:val="true"/>
        </w:rPr>
        <w:t>نظریات اندیشمندان دربارۀ جسم جنّیان</w:t>
      </w:r>
      <w:bookmarkEnd w:id="338"/>
    </w:p>
    <w:p>
      <w:pPr>
        <w:pStyle w:val="BookText"/>
        <w:rPr/>
      </w:pPr>
      <w:r>
        <w:rPr>
          <w:rFonts w:ascii="IRNazanin" w:hAnsi="IRNazanin" w:eastAsia="IRNazanin"/>
          <w:color w:val="111111"/>
          <w:sz w:val="28"/>
          <w:sz w:val="28"/>
          <w:szCs w:val="28"/>
          <w:rtl w:val="true"/>
          <w:lang w:bidi="fa-IR"/>
        </w:rPr>
        <w:t xml:space="preserve">برخی معتقدند، جنیان اصلاً جسم ندارند و فقط دارای روح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ابوالبراء،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بیشتر منتسب به فلاسفه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تهانوی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فلاسفه و ملحدان معتقدند جنیان ارواح مجردی هستند که می‌توانند در عالم تصرف کنند و شیطان قوۀ متخیله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تهانوی،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نیز جنّیان را موجوداتی مجرد، نه جسمانی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قبسات این‌گونه بیان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است که حکمای اسلام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جسم و جسمانی نیست، بلکه موجودی مجرد و ماهیتاً مخالف نفوس بشری است و متعلق به اجساد ناریه هوائیه است و قادر به تصرف در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فلاسفه و متکلمان را درباره ماهیت جنّ به دو دسته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جنّ را جسم نمی‌دانند، بلکه آن را جوهر قائم به نفس خویش و موجودی مجرّد می‌دانند و مجرد بودن جنّیان را مانع علم آن‌ها به اخبار و مانع قدرت آن‌ها بر انجام دادن کارهای خارق‌العاده تلقی نمی‌کنند و گروهی که جنّ را جسم می‌دانند، اما با هم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آنان، جنّ را جسم لطیف یا عِلْوی و عده‌ای دیگر، آن را جسم کثیف یا سفلی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عبارات فیلسوفان و متکلمان برمی‌آید که گروه اول، میان جنّ و ملک و شیطان تفاوت جوهری قائل نیستند و هر سه را از حیث جوهر یکی می‌دانند؛ با این بیان که اگر پاک و نورانی و نیک‌خواه باشند، ملائکه‌اند و همان‌هایند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می‌شوند و اگر ناپاک و تیره و شرور باشند، شیطانند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ملاصدرا،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معتقدند جنیان دارای جسم لطیف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گوهر مراد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متکلمان آن است که ملائکه، جن و شیاطین نیستند، مگر اجسام لطیفه که حیات عرضی دارند و لذا گاه مرئی‌اند و گاه نامرئی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خواجه‌نصیرالدین نیز از قول متکلمان و فلاسفه این‌گونه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معتقدند جنیان دارای جسم لطیفند و لذا قادرند به اشکال مختلف دربیایند، ولی فلاسفه و برخی معتزله منکر این موضوع هستند و می‌گویند اگر آن‌ها اجسام لطیف باشند، دیگر قادر به انجام هیچ کاری نیستند و با کوچک‌ترین کاری از هم می‌پاشند و اگر جسم کثیف بودند هم ما آن‌ها را می‌دیدیم؛ اما این حرف باطلی است، زیرا لطافت به معنای عدم رنگ است، نه این‌که بدن آن‌ها بافت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ابن‌سینا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موجودی زنده، هوایی، ناطق و دارای جرم شفاف است و به اشکال گوناگون متشکل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جنیان اجسام لطیفی هستند که دیده نمی‌شوند و برای دیدن آن‌ها به نوری برتر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ابن‌حزم نیز معتقد است که جسم جنیان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دارای جسمی لطیف، صاف و هوایی هستند که هیچ رنگی ندارند و عنصر وجودی آن‌ها آتش است و آتش و هوا دو عنصری هستند که رنگ ندارند و رنگی که در آتشِ افروخته مشاهده می‌کنیم، به خاطر امتزاج آتش با رطوبت و چوب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جنیان رنگ داشتند، با چشم آن‌ها را می‌دیدیم و اگر جسم آن‌ها رقیق و صاف و هوایی نبود، با لامسه حس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ابن‌حزم اندلسی،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دربارۀ جسمانی بودن جن دو نظر را بیان کرده و معتقد است، جنیان و حتی فرشته‌ها جسمانی هستند، اما جسم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دوم که فرشته و جن جسم هستند، می‌گوییم نمی‌شود که آن‌ها جسم کثیف باشند و باید گفت جسم لطیف هستند و خدا آن‌ها را از ترکیبی عجیب آفریده است که به خاطر این لطافت، جدا شدن و پاره شدن و تباهی و نابودی ندارند و نفوذ جسم لطیف در ژرفای جسم کثیف، دور از ذهن نیست، چنانچه روح آدمی جسم لطیف است و در ژرفای تن نفوذ کرده است؛ و چون این معقول است، چرا بعید باشد که اجسام لطیف دیگر به درون این تن بروند؟ آیا نیست که جرم آتش درون جرم زغال روان گردد و آب گل در جسم گل است و روغن کنجد در کنجد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جن‌ها در جرمی لطیف جا دارند که بیشترینِ آن آتش و هواست، چنان‌که در بدن آدمی غلبه با آب و خاک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نیز معتقدند، اگرچه جنیان دارای جسم لطیف هستند، در بعضی مواقع به صورت جسم کثیف متجسم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سؤال کند که چگونه معقول است که جن از آتش آفریده شده باشد،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قادر است که عقل و حیات را در جسم آتشین قرار دهد، همان‌طور که انسان در خاک قرار دارد و علاوه بر آن، جن بر صورت ناریِ خود باقی نمانده، بلکه به قدرت خداوند استحاله به نوع دیگری شده است که قابلیت حیات و زندگی را دارد، همان‌طور که در انسان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فخررازی، بی‌تا،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دارای جسمی مرکب است؛ لذا می‌تواند به صورت جسم کثیف دربیاید، به خلاف نظر معتزله که می‌گویند جنیان دارای جسم لطیفند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ادامه</w:t>
      </w:r>
      <w:bookmarkStart w:id="339" w:name="pg2666_21053"/>
    </w:p>
    <w:p>
      <w:pPr>
        <w:pStyle w:val="BookText"/>
        <w:rPr/>
      </w:pPr>
      <w:bookmarkEnd w:id="3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معتزله که می‌گویند جنیان دارای جسم لطیفند و به همین دلیل ما آن‌ها را نمی‌بینیم، حرف صحیحی نیست، زیرا ما دلیل آوردیم که رقت جسم مانع دیدن نمی‌شود، همان‌طور که ما اجسام کثیف داریم، در حالی که آن‌ها را نمی‌بینیم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می‌توان این‌گونه نتیجه گرفت که از نظر بیشتر متکلمان جنیان موجوداتی جسمانی با جسم لطیفند که در مواردی می‌توانند به صورت جسم کثیف نیز ظاهر شوند</w:t>
      </w:r>
      <w:r>
        <w:rPr>
          <w:rFonts w:eastAsia="IRNazanin" w:cs="IRNazanin"/>
          <w:color w:val="111111"/>
          <w:sz w:val="28"/>
          <w:szCs w:val="28"/>
          <w:rtl w:val="true"/>
          <w:lang w:bidi="fa-IR"/>
        </w:rPr>
        <w:t>.</w:t>
      </w:r>
    </w:p>
    <w:p>
      <w:pPr>
        <w:pStyle w:val="Heading3"/>
        <w:numPr>
          <w:ilvl w:val="2"/>
          <w:numId w:val="1"/>
        </w:numPr>
        <w:rPr/>
      </w:pPr>
      <w:bookmarkStart w:id="340" w:name="__RefHeading___Toc768484_1395250215"/>
      <w:bookmarkStart w:id="341" w:name="_Toc132"/>
      <w:bookmarkEnd w:id="340"/>
      <w:r>
        <w:rPr/>
        <w:t>3</w:t>
      </w:r>
      <w:r>
        <w:rPr>
          <w:rtl w:val="true"/>
        </w:rPr>
        <w:t xml:space="preserve">. </w:t>
      </w:r>
      <w:r>
        <w:rPr>
          <w:rtl w:val="true"/>
        </w:rPr>
        <w:t>دلایل نقلی بر تجسم و رؤیت جن و شیطان</w:t>
      </w:r>
      <w:bookmarkEnd w:id="341"/>
    </w:p>
    <w:p>
      <w:pPr>
        <w:pStyle w:val="Heading4"/>
        <w:numPr>
          <w:ilvl w:val="3"/>
          <w:numId w:val="1"/>
        </w:numPr>
        <w:rPr/>
      </w:pPr>
      <w:bookmarkStart w:id="342" w:name="__RefHeading___Toc768486_1395250215"/>
      <w:bookmarkStart w:id="343" w:name="_Toc133"/>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 xml:space="preserve">در این‌که جنّ و شیطان از طریق وسوسه می‌توانند با انسان ارتباط برقرار کند، شکی نیست، همان‌گونه که در آیات مختلف قرآن همانند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الْوَسْواسِ الْخَنَّاسِ الَّذی یُوَسْوِسُ فی صُدُورِ النَّاسِ مِنَ الْجِنَّةِ وَ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زیان وسوسه‌گر کمین‌گرفته و پنهان، آن‌که همواره در سینه‌های مردم وسوسه می‌کند از جنّیان و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به روش دیگری مثل تمثل و یا تجسم بتوانند با انسان رابطه برقرار کنند، هرچند محل اختلاف است، با توجه به آیات و روایات فراوان می‌توان نتیجه گرفت که تمثل و رؤیت جن و حتی تجسم جنیان، هم ثبوتاً و هم اثباتاً قابل تحقق است</w:t>
      </w:r>
      <w:r>
        <w:rPr>
          <w:rFonts w:eastAsia="IRNazanin" w:cs="IRNazanin"/>
          <w:color w:val="111111"/>
          <w:sz w:val="28"/>
          <w:szCs w:val="28"/>
          <w:rtl w:val="true"/>
          <w:lang w:bidi="fa-IR"/>
        </w:rPr>
        <w:t>.</w:t>
      </w:r>
    </w:p>
    <w:p>
      <w:pPr>
        <w:pStyle w:val="Heading4"/>
        <w:numPr>
          <w:ilvl w:val="3"/>
          <w:numId w:val="1"/>
        </w:numPr>
        <w:rPr/>
      </w:pPr>
      <w:bookmarkStart w:id="344" w:name="__RefHeading___Toc768488_1395250215"/>
      <w:bookmarkStart w:id="345" w:name="_Toc134"/>
      <w:bookmarkEnd w:id="344"/>
      <w:r>
        <w:rPr/>
        <w:t>1</w:t>
      </w:r>
      <w:r>
        <w:rPr>
          <w:rtl w:val="true"/>
        </w:rPr>
        <w:t>ـ</w:t>
      </w:r>
      <w:r>
        <w:rPr/>
        <w:t>3</w:t>
      </w:r>
      <w:r>
        <w:rPr>
          <w:rtl w:val="true"/>
        </w:rPr>
        <w:t xml:space="preserve">. </w:t>
      </w:r>
      <w:r>
        <w:rPr>
          <w:rtl w:val="true"/>
        </w:rPr>
        <w:t>آیات دالّ بر تجسم جن و شیطان</w:t>
      </w:r>
      <w:bookmarkEnd w:id="345"/>
    </w:p>
    <w:p>
      <w:pPr>
        <w:pStyle w:val="BookText"/>
        <w:rPr/>
      </w:pPr>
      <w:r>
        <w:rPr>
          <w:rFonts w:ascii="IRNazanin" w:hAnsi="IRNazanin" w:eastAsia="IRNazanin"/>
          <w:color w:val="111111"/>
          <w:sz w:val="28"/>
          <w:sz w:val="28"/>
          <w:szCs w:val="28"/>
          <w:rtl w:val="true"/>
          <w:lang w:bidi="fa-IR"/>
        </w:rPr>
        <w:t>مفسران بر این باورند که در تعدادی از آیات قرآن، به تجسم ابلیس اشاره شده است که در ذیل به بررسی این آیات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در چهرۀ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سراقة 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شیطان اعمالشان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راه دشمنی با پیامبر و لشکرکشی بر ضد اهل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نظرشان آراست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جمعیت بسیار و آرایش جنگی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پیروز‌شونده بر شما نیست و من پناه‌دهنده به شمایم، ولی زمانی که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برخورد کردند، به عقب برگشت و پا به فرار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و پیروانم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نزول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که شما نمی‌بینید؛ البته من از خدا می‌ترسم و خدا سخت‌کیفر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که بسیاری از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طوسی، بی‌تا،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گروه مترجمان،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در شأن نزول این آیه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چنین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هنگامی که تصمیم راسخ برای حرکت به سوی میدان بدر گرفتند، از حملۀ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بودند، زیرا پیش‌تر نیز با هم خصومت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ابلیس در چهرۀ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سرشناس‌های قبیلۀ بنی‌کنانه بود، به سراغ آن‌ها آمد و به آن‌ها اطمینان داد که با شما موافق و هماهنگم و کسی بر شما غالب نخواهد شد و در میدان بدر شرکت کرد؛ اما هنگامی که نزول ملائکه را مشاهده کرد، عقب‌نشینی نموده،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نیز به دنبال ضربت‌های سختی که از مسلمانان خورده بودند و با مشاهدۀ کار ابلیس، پا به فرار گذاشتند و هنگامی که به مکه بازگشتند، گفتند سراقة بن مالک سبب فرار قریش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سراقه رسید و سوگند یاد کرد که من به هیچ وجه از این موضوع آگاهی ندارم و هنگامی که نشانه‌های مختلف وضع او را در میدان بدر به او یادآوری کردند، همه را انکار کرد و قسم خورد که چنین چیزی حتماً نبوده و او از مکه حرکت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معلوم شد که آن شخص سراقة بن مالک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مجمع‌البیان اضافه کرده است که این روایت از امام باقر و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مترجمان،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روایت را ابن‌شهرآشوب نیز از آن دو بزرگوار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ابن‌شهر‌آشوب،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معنای این دو روایت، روایات بسیاری از طرق اهل‌سنت از ابن‌عباس و غیر او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فخررازی، بی‌تا،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زمخشری،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میبدی،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ابلیس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دارالندوه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یَمْکُرُ بِکَ الَّذِینَ کَفَرُوا لِیُثْبِتُوکَ أَوْ یَقْتُلُوکَ أَوْ یُخْرِجُوکَ وَ یَمْکُرُونَ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یاد 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که کافران با تو مکر می‌کردند تا تو را به بند کشند یا به قتل رسانند یا از شهر بیرون کنند و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 می‌کنند، خدا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 می‌کند و خدا بهتر از هر کس مکر تواند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تفاسیر دیگر از ابن‌عباس روایت شده که در‌باره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از این نیستیم که یکی از بزرگان قریش به دین محمد درآیند و در نتیجه مرام ما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پیش‌گیری از چنین پیش‌آمدی، بی‌درنگ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تشکیل دادند ـ و قانون قریشیان چنین بود که کسی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مگر این‌که چهل سال از عمرش گذشته باشد ـ و چهل نفر از سران قریش گرد هم جمع شدند و ابلیس به صورت پیری سال‌خورده به انجمن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پیری از اهل نجدم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هیچ‌گاه رأی صائبم را از شما دریغ نداشته‌ام و چون شنیده‌ام که دربارۀ این مرد، انجمن کرده‌اید، آمده‌ام تا شما را کمک فکری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برای مقابله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پیشنهادی داد و ابلیس با استدلال همه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همگی به ابلیس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پیرمرد بگو که رأی چیست؟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پیشنهاد، هیچ علاج دیگری در کار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پیشنهاد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هر قبیله‌ای از قبایل و طوایف عرب، یک نفر انتخاب شود، حتی یک نفر هم از بنی‌هاشم و این عده هر کدام یک کارد یا آهن و یا شمشیری برداشته و نابهنگام بر سرش ریخته، همگی دفعتاً بر او ضربه‌ای وارد آورند تا معلوم نشود به ضربۀ کدام یک کشته شده و در نتیجه خونش در میان قریش متفرق و گم شود و بنی‌هاشم نتوانند به خون‌خواهی او قیام کنند، چون یک نفر از خود ایشان شریک بوده و اگر به ناچار مطالبۀ خون‌بها کردند، شما می‌توانید سه‌برابر آن را هم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ده برابر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همگی رأی پیرمرد نجدی را پسندیده و بر آن متفق شدند و از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پیغمبر داوطلب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جبرئیل به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برای وی خبر آورد که قریش در دارالندوه اجتماع نموده و علیه تو توطئه می‌کنند، و آن شب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بستر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از شهر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زمخشری،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عروسی،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پس از ذکر این داستان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درآمدن ابلیس در آن انجمن به صورت پیرمردی از اهل نجد، در روایات از طرق شیعه و سنی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برصیصای عابد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الشَّیْطانِ إِذْ قالَ لِلْإِنْسانِ اکْفُرْ فَلَمَّا کَفَرَ قالَ إِنِّی بَری‌ءٌ مِنْکَ إِنِّی أَخافُ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مانند شیطانند که انسان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کافر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آدمی کافر شد،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بیزارم، که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عالمیان سخت می‌ترسم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در شأن نزول این آیه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معروف است و به طور مختصر و یا مفصل در روایات بسیاری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علامه داستان را از قول درّ المنثور این‌گونه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بنی‌اسرائیل راهبی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دختری را بیمار کرد و به دل خانواده‌اش انداخت که دوای درد دخترتان نزد فلان راهب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نزد راهب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نگه‌داری دختر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امتناع می‌کرد و ایشان اصرار می‌کردند تا سرانجام قبول کرد و دختر نزد راهب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شیطان راهب را وسوسه کرد و کام‌گیری از او را در نظر وی زینت داد و هم‌چنان او را وسوسه کرد تا آن‌که دختر را حامله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دختر حامله شد، شیطان به دلش انداخت که هم‌اکنون رسوا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 و اگر خانواده‌اش آمدند که دختر ما چه شد، بگو دخترتان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دختر را کشت و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شیطان نزد خانوادۀ دختر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دخترتان را حامله کرد و سپس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دختر نزد راهب آمدند که دختر ما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دختر، راهب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سوی او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جنایت تو را به خانوادۀ دختر گزارش دادم و من بودم که تو را به این گرفتاری دچار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هرچه گفتم اطاعت کنی، نجات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نوبت برایم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دو بار برای شیطان سجده کرد و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الشَّیْطانِ إِذْ قالَ لِلْإِنْسانِ اکْفُرْ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داستان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جنیان برای حضرت سلیمان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الْجِنِّ مَنْ یَعْمَلُ بَیْنَ یَدَیْهِ بِإِذْنِ رَبِّهِ وَ مَنْ یَزِغْ مِنْهُمْ عَنْ أَمْرِنا نُذِقْهُ مِنْ عَذابِ السَّعیرِ یَعْمَلُونَ لَهُ ما یَشاءُ مِنْ مَحاریبَ وَ تَماثیلَ وَ جِفانٍ کَالْجَوابِ وَ قُدُورٍ راسِیاتٍ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گروهی از جن به اذن پروردگارش نزد او کار می‌کردند و هر کدام از آنان از فرمان ما سرپیچی می‌کرد، از عذاب سوزان به او می‌چشاندیم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هرچه می‌خواست، می‌ساختند؛ از نمازخانه‌ها، مجسمه‌ها و ظروف بزرگی مانند حوض‌ها و دیگ‌هایی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خدمت‌گزاری جنّ‌ها به حضرت سلیمان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آیات مختلف قرآن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سبأ</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ظهور این آیات در تجسم جنّ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بنایی،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الشَّیاطینِ مَنْ یَغُوصُونَ لَهُ وَ یَعْمَلُونَ عَمَلاً 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برخی جنیان را مسخّر سلیمان کردیم که به دریا برای او غواصی کنند و یا به کارهای دیگر در دستگاه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جنیان در بین خدمت‌گزاران حضرت سلیمان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چنین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عِفْریتٌ مِنَ الْجِنِّ أَنَا آتیکَ بِهِ قَبْلَ أَنْ تَقُومَ مِنْ مَقامِکَ وَ إِنِّی عَلَیْهِ لَقَوِیٌّ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جنّیان کاردان و تیزهوش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آن‌که تو از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برخیزی، آن را به حضورت آرم و من بر آوردن تخت او قادر و امینم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bookmarkStart w:id="346" w:name="pg2666_21057"/>
    </w:p>
    <w:p>
      <w:pPr>
        <w:pStyle w:val="BookText"/>
        <w:rPr/>
      </w:pPr>
      <w:bookmarkEnd w:id="3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Heading4"/>
        <w:numPr>
          <w:ilvl w:val="3"/>
          <w:numId w:val="1"/>
        </w:numPr>
        <w:rPr/>
      </w:pPr>
      <w:bookmarkStart w:id="347" w:name="__RefHeading___Toc768490_1395250215"/>
      <w:bookmarkStart w:id="348" w:name="_Toc135"/>
      <w:bookmarkEnd w:id="347"/>
      <w:r>
        <w:rPr/>
        <w:t>2</w:t>
      </w:r>
      <w:r>
        <w:rPr>
          <w:rtl w:val="true"/>
        </w:rPr>
        <w:t>ـ</w:t>
      </w:r>
      <w:r>
        <w:rPr/>
        <w:t>3</w:t>
      </w:r>
      <w:r>
        <w:rPr>
          <w:rtl w:val="true"/>
        </w:rPr>
        <w:t xml:space="preserve">. </w:t>
      </w:r>
      <w:r>
        <w:rPr>
          <w:rtl w:val="true"/>
        </w:rPr>
        <w:t>روایات دالّ بر تجسم جن و شیطان</w:t>
      </w:r>
      <w:bookmarkEnd w:id="348"/>
    </w:p>
    <w:p>
      <w:pPr>
        <w:pStyle w:val="BookText"/>
        <w:rPr/>
      </w:pPr>
      <w:r>
        <w:rPr>
          <w:rFonts w:ascii="IRNazanin" w:hAnsi="IRNazanin" w:eastAsia="IRNazanin"/>
          <w:color w:val="111111"/>
          <w:sz w:val="28"/>
          <w:sz w:val="28"/>
          <w:szCs w:val="28"/>
          <w:rtl w:val="true"/>
          <w:lang w:bidi="fa-IR"/>
        </w:rPr>
        <w:t xml:space="preserve">دربارۀ تجسم و دیده شدن جنّ از لحاظ اخبار و روایات، به طور حتم جنّ، مجسم و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قرشی‌بنایی،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برخی روایات حاکی از آن است که جنّیان می‌توانند به صورت حیواناتی چون مار و سگ و حتی انسان، با ظاهری عجیب و غریب درآیند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شبلی،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و به یادگیری قرآن می‌پرداختند و مشکلات خویش را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به محضر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مسائل دینی خود را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است و در این باره احادیثی نقل شده است؛ از آن جمله، سعد اسکاف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بعضی از کارهای خود به منزل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می‌خواستم وارد اتاق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آفتاب مرا سوزاند و هر جا سایه می‌رفت،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برخلاف انتظار اشخاصی از اتاق خارج شده، به سوی من آمدند و پوستین در بر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عبادت لاغر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از سیمای زیبای آن‌ها، وضع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در هوای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حضرت رسیدم،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تو را ناراحت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به خدا من وضع خود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از نزد من گذشتند، همه یک‌نواخت و من مردمی خوش‌قیافه‌تر از آن‌ها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ملخ‌های زرد بودند و عبادت لاغرشان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برادران تو از طایفۀ جن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شما می‌آیند؟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می‌آیند و مسائل دینی و حلال و حرام خود را از ما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ایستاده بودیم که مردمی شبیه سیاه‌پوستان سودانی بیرون آمدند که لنگ و روپوشی در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دربارۀ آن‌ها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برادران جنّ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سعد اسکاف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رهسپار شدم و می‌خواستم اجازۀ ورود بگیرم که دیدم جهازهای شتر در خانه صف کشیده و به ردیف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صداهایی برخاست و سپس مردمی عمامه به سر شبیه سودانی‌ها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من دیر اجازه فرمودی و من اشخاصی عمامه به سر دیدم بیرون آمدند که آن‌ها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ندانستی آن‌ها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برادران جنّ شما هستند که نزد ما می‌آیند و حلال و حرام و مسائل دینی خود را از ما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bookmarkStart w:id="349" w:name="pg2666_21058"/>
    </w:p>
    <w:p>
      <w:pPr>
        <w:pStyle w:val="BookText"/>
        <w:rPr/>
      </w:pPr>
      <w:bookmarkEnd w:id="3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هم‌چنین در منابع روایی ما، روایات بسیاری در این باره وارد شده است که محتوای برخی روایات، به موارد ذیل اشاره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 به شیعیان در انجام فرایضی همچون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تجسم در قالب جوانی زیبارو و یاد دادن لواط به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تجسم به صورت زن و یاد دادن مساحقه به زنانِ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تجسم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تجسم در روز سقیفه و بیعت با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Heading3"/>
        <w:numPr>
          <w:ilvl w:val="2"/>
          <w:numId w:val="1"/>
        </w:numPr>
        <w:rPr/>
      </w:pPr>
      <w:bookmarkStart w:id="350" w:name="__RefHeading___Toc768492_1395250215"/>
      <w:bookmarkStart w:id="351" w:name="_Toc136"/>
      <w:bookmarkEnd w:id="350"/>
      <w:r>
        <w:rPr/>
        <w:t>4</w:t>
      </w:r>
      <w:r>
        <w:rPr>
          <w:rtl w:val="true"/>
        </w:rPr>
        <w:t xml:space="preserve">. </w:t>
      </w:r>
      <w:r>
        <w:rPr>
          <w:rtl w:val="true"/>
        </w:rPr>
        <w:t>تبیین عقلی بر تجسم جن و شیطان</w:t>
      </w:r>
      <w:bookmarkEnd w:id="351"/>
    </w:p>
    <w:p>
      <w:pPr>
        <w:pStyle w:val="Heading4"/>
        <w:numPr>
          <w:ilvl w:val="3"/>
          <w:numId w:val="1"/>
        </w:numPr>
        <w:rPr/>
      </w:pPr>
      <w:bookmarkStart w:id="352" w:name="__RefHeading___Toc768494_1395250215"/>
      <w:bookmarkStart w:id="353" w:name="_Toc137"/>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برای اثبات موضوع، ابتدا دربارۀ انواع جسم مباحثی را به صورت مختصر بیان می‌کنیم و سپس با توجه به مباحث مطرح‌شده در نظر دانشمندان اسلامی مبنی بر جسمانی بودن جنّ و اجسام چندبعدی، نتیجه‌گیری خواهد شد</w:t>
      </w:r>
      <w:r>
        <w:rPr>
          <w:rFonts w:eastAsia="IRNazanin" w:cs="IRNazanin"/>
          <w:color w:val="111111"/>
          <w:sz w:val="28"/>
          <w:szCs w:val="28"/>
          <w:rtl w:val="true"/>
          <w:lang w:bidi="fa-IR"/>
        </w:rPr>
        <w:t>.</w:t>
      </w:r>
    </w:p>
    <w:p>
      <w:pPr>
        <w:pStyle w:val="Heading4"/>
        <w:numPr>
          <w:ilvl w:val="3"/>
          <w:numId w:val="1"/>
        </w:numPr>
        <w:rPr/>
      </w:pPr>
      <w:bookmarkStart w:id="354" w:name="__RefHeading___Toc768496_1395250215"/>
      <w:bookmarkStart w:id="355" w:name="_Toc138"/>
      <w:bookmarkEnd w:id="354"/>
      <w:r>
        <w:rPr/>
        <w:t>1</w:t>
      </w:r>
      <w:r>
        <w:rPr>
          <w:rtl w:val="true"/>
        </w:rPr>
        <w:t>ـ</w:t>
      </w:r>
      <w:r>
        <w:rPr/>
        <w:t>4</w:t>
      </w:r>
      <w:r>
        <w:rPr>
          <w:rtl w:val="true"/>
        </w:rPr>
        <w:t xml:space="preserve">. </w:t>
      </w:r>
      <w:r>
        <w:rPr>
          <w:rtl w:val="true"/>
        </w:rPr>
        <w:t>جسم کثیف و لطیف</w:t>
      </w:r>
      <w:bookmarkEnd w:id="355"/>
    </w:p>
    <w:p>
      <w:pPr>
        <w:pStyle w:val="BookText"/>
        <w:rPr/>
      </w:pPr>
      <w:r>
        <w:rPr>
          <w:rFonts w:ascii="IRNazanin" w:hAnsi="IRNazanin" w:eastAsia="IRNazanin"/>
          <w:color w:val="111111"/>
          <w:sz w:val="28"/>
          <w:sz w:val="28"/>
          <w:szCs w:val="28"/>
          <w:rtl w:val="true"/>
          <w:lang w:bidi="fa-IR"/>
        </w:rPr>
        <w:t xml:space="preserve">جسم در اصطلاح فلسفی به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کَثیف جسمی است که مانع از دیده شدن آن سوی خود شده و یا جلوی نفوذ نور در خود باشد و مانع رسیدن نور به آن سوی خود باشد؛ در مقابل آن، جسم لطیف است که مانع از دیده شدن آن سوی خود نشده و یا جلوی نفوذ نور در خود و رسیدنش به آن سوی خود را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مجمع البحوث الاسلامی،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طبیعی می‌گویند تنها چیزهایی قابل دیدن هستند که جسم کثیف باشند تا بتوانند نور را منعکس و پراکنده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اجسام لطیفه مانند هوا و فرشته و جن دیده نشوند، مگر وقتی که به قالب جسم کثیف درآیند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جهامی،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w:t>
      </w:r>
    </w:p>
    <w:p>
      <w:pPr>
        <w:pStyle w:val="Heading4"/>
        <w:numPr>
          <w:ilvl w:val="3"/>
          <w:numId w:val="1"/>
        </w:numPr>
        <w:rPr/>
      </w:pPr>
      <w:bookmarkStart w:id="356" w:name="__RefHeading___Toc768498_1395250215"/>
      <w:bookmarkStart w:id="357" w:name="_Toc139"/>
      <w:bookmarkEnd w:id="356"/>
      <w:r>
        <w:rPr/>
        <w:t>2</w:t>
      </w:r>
      <w:r>
        <w:rPr>
          <w:rtl w:val="true"/>
        </w:rPr>
        <w:t>ـ</w:t>
      </w:r>
      <w:r>
        <w:rPr/>
        <w:t>4</w:t>
      </w:r>
      <w:r>
        <w:rPr>
          <w:rtl w:val="true"/>
        </w:rPr>
        <w:t xml:space="preserve">. </w:t>
      </w:r>
      <w:r>
        <w:rPr>
          <w:rtl w:val="true"/>
        </w:rPr>
        <w:t>تبیین چیستی و چگونگی رؤیت و تجسم</w:t>
      </w:r>
      <w:bookmarkEnd w:id="35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پیش‌تر گفته شد، کالبد جن مادی است و می‌تواند نوعی مادۀ رقیق و لطیف باشد که قابلیت انجام افعال بیشتر و تغییر صورت را داشته باشد، اما به هر تقدیر مادی است و مجرد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توجه به این نکته ضروری است که می‌توان جسمی داشت که مادی اما نامحسوس باشد؛ چنان‌که شهید مطهری در این باره به مبحث اجسام چندبعدی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که آیا می‌شود یک شی‌ء جسم باشد و غیرمرئی، در علم قدیم جزء مشکلات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مسئله شکل دیگری پیداکرده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یعنی شیئی که دارای جوهری باشد که دارای ابعاد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فلاسفۀ قدیم این‌چنین فکر می‌کردند که هرچه جسم است، قابل احساس و دیدن است و هرچه قابل دیدن نیست، جسم نیست و به اصطلاح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از جسمانیت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مجبور بودند این‌چنین بگویند که جن به دلیل این‌که دیده نمی‌شود، پس جسم نیست، ولی به اشکال برخورد می‌کردند، زیرا با برداشت‌های قرآن جور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امروز مسائلی طرح کرده است که هیچ ضرورتی ندارد که بگوییم جن، مجرد و نامحسوس است و اساساً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امروز به این مسئله رسیده‌اند که ما یک نوع جسم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قدیم می‌گفتند یک نوع جسم بیشتر وجود ندارد و آن جسم سه‌بعدی است، مثل این میز که سه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عرض،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یک موجود یک‌بعدی، یعنی جسم یک‌بعدی داشته باشیم؟ یا جسم دوبعدی یا چهاربعدی یا پنج‌بعدی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هم فرض نمی‌شد مگر در بُعد زمانی که فقط ملاصدرا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تا چهارده بُعد جلو رفته‌اند، می‌گویند ممکن است اجسامی وجود داشته باشد که اجسام باشند و سه‌بعدی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سه‌بعدی نباشد، دوبعدی یا چهاربعدی باشد، تمام احکامش فرق می‌کند؛ مثلاً الآن این دیوار در این‌جا هست؛ اگر در هم بسته باشد، امکان ندارد ما از این دیوار عبور کنیم، چون ما یک موجود سه‌بعدی هستیم، این دیوار هم یک واقعیت سه‌بعدی است؛ نمی‌تواند یک واقعیت سه‌بعدی از یک واقعیت سه‌بعدی دیگر عبور کند؛ اما این‌ها معتقدند اگر یک جسمِ دوبعدی باشد، از این دیوار عبور می‌کند، بدون این‌که دیوار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جسم سه‌بعدی هستیم و فقط موجودهای سه‌بعدی را می‌بینیم؛ یعنی در همین فضایی که الآن هستیم، در همین کوچه و خیابان ممکن است انواع موجودهایی باشند که با ابعاد دیگری غیر از سه بعد موجودند، ولی ما چون سه‌بعدی هستیم و فقط سه‌بعدی‌ها را می‌توانیم ببینیم، آن‌ها را نمی‌توانیم ببینیم، اما آن‌ها واقعیت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جسم نامحسوس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 امروز، یک امر مسلّمی است که جسم نامحسوس هم می‌تواند وجود داشته باشد؛ چیزی جسم باشد و نامحسوس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778</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توجه به مباحث مطرح‌شده در بحث جسم لطیف، اگر جسم جن را جسم لطیف بدانیم، می‌توان چنین نتیجه گرفت که همین جسم نامحسوس، به دلیل این‌که به هر حال جسم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است و جسمانیت دارد، می‌تواند تجسم یابد و از نظر عقلی امکان‌پذیر است، چنانچه موارد فراوانی از تجسم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عقلاً این فرض هیچ استبعادی ندارد که جنیان همچون انسان دارای کالبد جسمانی شوند که قابل لمس و اشاره با حواس باشند و فضا را اشغال کنند، به گونه‌ای که از کالبد و جسد برای حضور یا ظهور خویش و کارکردهایش استفاده کنند و مرئی و قابل مشاهده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اگر آن‌ها را دارای جسم لطیف بدانیم، می‌توان به‌عنوان‌مثال و از باب تشابه گفت که گویا قانون گازها بر آن‌ها حکومت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بخار را می‌توان به صورت مایع در آورد و مایع را به وسیله سرما به حالت یخ و جامد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بدن و جسم مادّی خود را می‌توانند مرئی یا نامرئی کنند اگر انبساط یابند، قابل مشاهده نیستند و می‌توانند سریع طی طریق نمایند و اگر انقباض یابند و خود را جمع کنند، می‌توانند تجسم پیدا کنند، که این فرض نیز هیچ امتناعی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جنیان وقتی تجسم می‌یابند، فاقد مادّه نیستند؛ بنابراین آثار مادّی را هم با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غذا بخورند یا آمیزش کنند و مانند آن، هیچ امتناعی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روایات اسلامی که گزارش تجسّم‌های شیاطین شده است، این آثار را می‌بینیم؛ برای مثال، عمل قوم لوط ابتکار و ابداع شیطانی بود که به شکل جوانی تجسم یافت و برای اولین بار عمل شنیع هم‌جنس‌بازی را به مردم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موارد و این‌که بهترین دلیل بر اثبات یک موضوع، وقوع آن است ـ که موارد قطعی فراوانی از تجسم جنیان را تاکنون ذکر کرده‌ایم ـ عقلاً هیچ بعدی در تجسم جن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برای تبیین بهتر موضوع، به نظریات برخی اندیشمندان در توجیه و تبیین تجسم جنیان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معتقد است، جنیان دارای جسم لطیفند که قادرند خود را به اشکال مختلف دربیاورند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دانسته شود که وجود جسم لطیف به معنای شفافیت ـ نه به معنای رقیق بودن ـ امر ممکنی است و محال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خداوند جنیان را به وضعی قرار دهد که برای مردم قابل رؤیت باشند و به شکل حیوانات درآیند، زیرا اجسام آن‌ها طوری رقیق است که امکان این‌گونه تغییر شکل‌ها برای آن‌ها وجود دارد و در اخبار بسیاری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مترجمان،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لاهیجی نیز معتقد است، جنّیان دارای اجسام لطیف هستند و لذا قادرند به شکل‌های مختلف درآیند و گاهی مرئی می‌شوند و گاهی نه، و چون مرئی شوند، به صور و اشکال مختلف مرئی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لاهیجی،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حیوانی است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قوۀ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جسم دارد و می‌تواند به اشکال مختلف دربیاید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و بدرالدین شبلی نیز معتقدند با توجه به این‌که جنیان دارای جسم لطیفند، قادرند خود را به اشکال مختلف درآورند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شبلی،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دربارۀ رؤیت جنیان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و مشاهدۀ جنیان را بسیاری از عقلا و اهل مکاشفه و اولیا نقل کرده‌اند و هیچ دلیلی بر نفی رؤیت جنیان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فرایند تمثّل را این‌چنین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 شیطان دو صورت دارند؛ صورت حقیقی و صورت اضافی، که صورت حقیقی آن دو را جز به نور نبوت، ادراک نتوان کرد، چه رسول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خواست تا خود را بر صورت حقیقی به او بنماید، او را وعده به کوه حرا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جبرئیل بر او ظاهر شد، در حالی که کرانۀ خاور و باختر را سراسر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او را در سدرۀ‌المنتهی به صورت خود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او را به صورت اضافی می‌دید که معمولاً ممثّل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دحیۀ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نیکوچهره و از صحابه بود، مشاهده نمود و شیطان نیز در بیداری برای آن حضرت ممثّل می‌گشت؛ لذا با چشم خود او را می‌دید و سخنش را می‌شنید و آن قائم مقام حقیقت صورت وی و وجود اضافی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آیۀ‌الله جوادی‌آملی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و ساحری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ساحر یا کاهنی ادعا کند که من با ارواح یا فرشتگان یا جنیان ارتباط دارم و به همین جهت اثر خاصی را به وجود آورده‌ام، این ادّعا حتی برای خود وی نیز راه اثباتی ندارد؛ گرچه ثبوتاً ممکن است چنین ارتباطی برقرار شود؛ یعنی هم ارتباط با فرشتگان میسور است و هم ارتباط با جنّیان و 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الشَّیاطینَ لَیُوحُونَ إِلی أَوْلِیائِهِمْ لِیُجادِلُوکُمْ وَ إِنْ أَطَعْتُمُوهُمْ إِنَّکُمْ لَمُشْرِکُون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أُنَبِّئُکُمْ عَلی مَنْ تَنَزَّلُ الشَّیاطین تَنَزَّلُ عَلی کُلِّ أَفَّاکٍ أَثیم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کسی که ادعای رؤیت فرشته یا جن را دارد، هم احتمال دارد که با خود واقع تماس گرفته باشد و هم محتمل است که با مثال متصل و صورت مخلوق روح خود، ارتباط برقرار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فرشتگانی آفریده شده باشند که همانند جنّ دارای بدن مادی و نامرئی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فرشته‌ای شبیه جنّ خواهد بود؛ یعنی در شرایط ویژه دیده می‌شود و با افراد خاص ارتباط برقرار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رضا دربارۀ تمثل و تجسم جنّیان، مثال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تغییر شکل جنیان را به تغییر شکل آب تشبیه می‌کند که همان‌گونه که آب بر اثر گرما و سرما به صورت‌های مختلف،</w:t>
      </w:r>
      <w:bookmarkStart w:id="358" w:name="pg2666_21062"/>
    </w:p>
    <w:p>
      <w:pPr>
        <w:pStyle w:val="BookText"/>
        <w:rPr/>
      </w:pPr>
      <w:bookmarkEnd w:id="3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بخار لطیف و متراکم، مایع سیال، برف و یخ درمی‌آید، ملائکه و جن نیز می‌توانند از جسم لطیف، به صورت جسم متراکم درآیند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Heading3"/>
        <w:numPr>
          <w:ilvl w:val="2"/>
          <w:numId w:val="1"/>
        </w:numPr>
        <w:rPr/>
      </w:pPr>
      <w:bookmarkStart w:id="359" w:name="__RefHeading___Toc768500_1395250215"/>
      <w:bookmarkStart w:id="360" w:name="_Toc140"/>
      <w:bookmarkEnd w:id="359"/>
      <w:r>
        <w:rPr>
          <w:rtl w:val="true"/>
        </w:rPr>
        <w:t>نتیجه گیری</w:t>
      </w:r>
      <w:bookmarkEnd w:id="360"/>
    </w:p>
    <w:p>
      <w:pPr>
        <w:pStyle w:val="BookText"/>
        <w:rPr/>
      </w:pPr>
      <w:r>
        <w:rPr>
          <w:rFonts w:ascii="IRNazanin" w:hAnsi="IRNazanin" w:eastAsia="IRNazanin"/>
          <w:color w:val="111111"/>
          <w:sz w:val="28"/>
          <w:sz w:val="28"/>
          <w:szCs w:val="28"/>
          <w:rtl w:val="true"/>
          <w:lang w:bidi="fa-IR"/>
        </w:rPr>
        <w:t>از نظر اسلام، جنّیان موجوداتی نامرئی و حقیقی هستند که از آتش آفریده شده‌اند و در حالت عادی نامرئی بوده و به چشم ما دیده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جنیان از طریق وسوسه می‌توانند با انسان ارتباط برقرار کنند، شکی نیست که در آیات مختلف قرآن این موضوع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علاوه بر روح دارای جسم نیز هستند، اما جسمی لطیف که قابلیت تغییر شکل را دارد؛ لذا در مواردی می‌توانند متمثل و مرئی شوند و با توجه به نوع جسم خود می‌توانند در مواردی متجسم نیز شوند که ادلۀ قرآنی و روایی فراوانی بر این موضوع صحه گذاشته و تمثل و تجسم جنّیان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توجه به جهان چندبعدی و جسم لطیف می‌توان تبیینی عقلی از تجسم جنیان ارائه نمود</w:t>
      </w:r>
      <w:r>
        <w:rPr>
          <w:rFonts w:eastAsia="IRNazanin" w:cs="IRNazanin"/>
          <w:color w:val="111111"/>
          <w:sz w:val="28"/>
          <w:szCs w:val="28"/>
          <w:rtl w:val="true"/>
          <w:lang w:bidi="fa-IR"/>
        </w:rPr>
        <w:t>.</w:t>
      </w:r>
    </w:p>
    <w:p>
      <w:pPr>
        <w:pStyle w:val="Heading3"/>
        <w:numPr>
          <w:ilvl w:val="2"/>
          <w:numId w:val="1"/>
        </w:numPr>
        <w:rPr/>
      </w:pPr>
      <w:bookmarkStart w:id="361" w:name="__RefHeading___Toc768502_1395250215"/>
      <w:bookmarkStart w:id="362" w:name="_Toc141"/>
      <w:bookmarkEnd w:id="361"/>
      <w:r>
        <w:rPr>
          <w:rtl w:val="true"/>
        </w:rPr>
        <w:t>منابع</w:t>
      </w:r>
      <w:bookmarkEnd w:id="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ابن‌اثیر جزری، ابوالحسن علی بن ابوالکرم،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النهایة فی غریب الحدیث و الاثر، قم، مؤسسه مطبوعاتی اسماعیلیان،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ابن‌حزم الظاهری، محمد علی،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الفصل فی‌الملل و الاهواء و النحل، بیروت، دارالکتب العلمیة،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ابن‌سینا، ابوعلی حسین بن عبدالله،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الاشارات و التنبیهات،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سلیمان دنیا، قاهره، دارالمعارف،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ابن‌شهر‌آشوب مازندرانی، محمد بن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أبی‌طالب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قم، علامه،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ابن‌عربی، محی‌الدین،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المسائل،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دامادی، تهران، مؤسسه مطالعات و تحقیقات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دارالفکر، دار صادر،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ابوالبراء، اسامة بن یاسین المعانی،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منهج الشرع فی بیان المس و الصرع، عمان، دارالمعانی،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ازهری، ابی‌منصور محمد بن احمد،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اللغة، قاهره، الدارالمصریه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سالار، محمود،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جهان اسلام، تهران، بنیاد دائرة‌المعارف الاسلامی،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 مسعود،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 یا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کیهان اندیشه، ش</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مدینة معاجز الأئمة الإثنی عشر و دلائل الحجعلی البشر، قم، مؤسسة المعارف الإسلامیة،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تفسیر القرآن، تهران، بعثت،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بروسوی، اسماعیل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روح‌البیان،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سعدالدین،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المقاصد، قم، الشریف الرضی،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تهانوی، محمدعلی،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کشاف اصطلاحات الفنون و العلوم، بیروت، مکتبة لبنان ناشرون،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کشاف اصطلاحات الفنون و العلوم، بیروت، مکتبة لبنان ناشرون،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جهامی، جیرار،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مصطلحات الفلسفة عند العرب، بیروت، مکتبة لبنان ناشرون،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موضوعی قرآن کریم، سیره پیامبران در قرآن، قم، مرکز نشر اسراء،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تفصیل وسائل الشیعة إلی تحصیل مسائل الشریعة، مؤسسة آل‌البیت،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حسینی‌تهرانی،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ملکوت قرآن، مشهد، نور،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حسینی‌زبیدی، محمد مرتضی،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من جواهر القاموس،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دغیم، سمیح،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مصطلحات علم المنطق عند العرب، بیروت، مکتبة لبنان ناشرون،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لغت‌نامه دهخدا، تهران،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ابوحاتم،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الزینة فی الکلمات الاسلامیة العربیة، قاهره، المکتبة التجاریة الکبری،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فخرالدین محمد،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المحصل، عمان، دارالرازی،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محمد بن ابی‌بکر بن عبدالقادر،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مختار الصحاح،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ـــــــــــــــــپــــــــــــــ،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 دار احیاء کتب العربی،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صفوان عدنان داودی،بیروت، دار القلم،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محمد،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المنار، قاهره، مطبعة الحجازیه،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الکشاف عن حقائق غوامض التنزیل، بیروت، دارالکتاب العربی،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زنجی سجزی، محمودبن عمر،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مهذّب الاسماء فی مرتّب الحروف و الاشیاء، تهران، محمدحسین 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سجادی، سیدجعفر،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معارف اسلامی، تهران، دانشگاه تهران،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سیده المرسی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المحکم و المحیط الاعظم، بیروت، عبدالحمید هنداوی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فی تفسیر المأثور، قم، کتاب‌خانه آیة‌الله مرعشی‌نجفی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شبلی، بـدرالدین محمد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آکام المرجان فی غرائب الاخبار و الاحکام الجان، قاهره، المکتبة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لاهیجی، محمد بن علی،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شریف لاهیجی، تهران،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شوکانی، محمد بن علی،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القدیر، بیروت، دارالکلم الطیب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بهایی، بهاءالدین محمد عاملی،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کشکول،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رازانی، تهران، ارسطو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قطب‌الدین،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حکمت الاشراق، تهران، بیداد،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حاسید جوادی، احمد،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دائرة‌المعارف تشیع، تهران، شهید سعید محبی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اسفار، قم، مکتبة المصطفوی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مفاتیح الغیب، ترجمه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 تهران، مولی،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صلیبا، جمیل،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فلسفی،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صانعی دره‌بیدی، تهران، حکمت،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محمدحسین،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نهایة الحکمة، قم، مؤسسه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سیدمحمدباقر موسوی‌همدانی، قم، دفتر انتشارات اسلامی جامعه مدرسین حوزه علمیه قم،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البیان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 مصطفی البابی الحلبی،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تهران، اساطیر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بن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تهران، مرتضوی،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ابوجعفر محمدبن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المحصل، بیروت، دارالاضوا،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عبدالوهاب،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المعجزات، قم، مکتبة الداوری،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عبد علی بن جمعه،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نورالثقلین، قم، اسماعیلیان،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ابن‌حجر،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صحیح البخاری المسمی فتح الباری،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ابوحامد،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معیار العلم،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دنیا، قاهره، دارالمعارف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 ابونصر،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فصوص الحکمة و شرحه، الشرح، تهران، انجمن آثار و مفاخر فرهنگی،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العین، قم، هجرت،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بن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المنیر، قم، مؤسسه دارالهجرة،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قرشی‌بنایی، علی‌اکبر،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قرآن، تهران، دارالکتب الاسلامیة، 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ابوعبدالله محمد بن احمد انصاری،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 لاِحکامِ القرآن و المُبَین لِما تَضَمَّنه مِن السُنّه و آی الفُرقان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 دارالکاتب العربی،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القمی، قم، دارالکتاب،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مصطفوی، تهران، کتاب‌فروشی علمیه اسلامیه،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بهشت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روضه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آژیر، قم، سرور،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دارالکتب الإسلامیة،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مترجمان،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مجمع البیان فی تفسیر القرآن، تهران، فراهانی،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مستشرقین، </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دائرة المعارف الاسلامیة،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ثابت الفندی و دیگران، قاهره،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فیاض،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گوهر مراد، تهران، سایه،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آسمان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کتاب السماء و العالم بحارالأنوار، جلد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کمره‌ای، تهران، اسلامیه،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الجامعة لدرر أخبار الأئمة الأطهار، بیروت، دار إحیاء التراث العربی،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البحوث الاسلامی،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المصطلحات الفلسفیة، مشهد، مجمع البحوث الاسلامی،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مروزی، محمد بن منصور،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الدرر فی الترجمان، تهران، محمدسرور مولائی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نظریه ملاصدرا درباره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سمات، ش</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فی کلمات القرآن الکریم، تهران، وزارت فرهنگ و ارشاد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روشن، تهران، مرکز نشر کتاب،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ابومنصور جمال‌الدین،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معار الفهم فی شرح النظم، قم، دلیل ما،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مجموعه‌آثار، قم و تهران، صدرا،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دیگران،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دارالکتب الإسلامیة،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ملاحمی‌خوارزمی، محمود بن محمد،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المعتمد فی اصول الدین، لندن،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میبدی، احمد بن ابی‌سعد رشیدالدین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کشف‌الأسرار و عدة‌الأبرار، تهران، امیرکبیر،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میرداماد، محمدباقر بن محمد،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القبسات، تهران، دانشگاه تهران،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خمینی، محمد جواد،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آسان، تهران، اسلامیه، چاپ اول</w:t>
      </w:r>
      <w:r>
        <w:rPr>
          <w:rFonts w:eastAsia="IRNazanin" w:cs="IRNazanin"/>
          <w:color w:val="111111"/>
          <w:sz w:val="28"/>
          <w:szCs w:val="28"/>
          <w:rtl w:val="true"/>
          <w:lang w:bidi="fa-IR"/>
        </w:rPr>
        <w:t>.</w:t>
      </w:r>
      <w:bookmarkStart w:id="363" w:name="pg2666_21066"/>
    </w:p>
    <w:p>
      <w:pPr>
        <w:pStyle w:val="BookText"/>
        <w:rPr/>
      </w:pPr>
      <w:bookmarkEnd w:id="3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Heading2"/>
        <w:numPr>
          <w:ilvl w:val="1"/>
          <w:numId w:val="1"/>
        </w:numPr>
        <w:rPr/>
      </w:pPr>
      <w:bookmarkStart w:id="364" w:name="__RefHeading___Toc768504_1395250215"/>
      <w:bookmarkStart w:id="365" w:name="_Toc142"/>
      <w:bookmarkEnd w:id="364"/>
      <w:r>
        <w:rPr>
          <w:rtl w:val="true"/>
        </w:rPr>
        <w:t>چکیده عربی مقالات</w:t>
      </w:r>
      <w:bookmarkEnd w:id="365"/>
    </w:p>
    <w:p>
      <w:pPr>
        <w:pStyle w:val="BookText"/>
        <w:rPr/>
      </w:pPr>
      <w:r>
        <w:rPr>
          <w:rFonts w:ascii="IRNazanin" w:hAnsi="IRNazanin" w:eastAsia="IRNazanin"/>
          <w:color w:val="111111"/>
          <w:sz w:val="28"/>
          <w:sz w:val="28"/>
          <w:szCs w:val="28"/>
          <w:rtl w:val="true"/>
          <w:lang w:bidi="fa-IR"/>
        </w:rPr>
        <w:t>التعقل و التدین، دفاع عن التقارن</w:t>
      </w:r>
    </w:p>
    <w:p>
      <w:pPr>
        <w:pStyle w:val="BookText"/>
        <w:rPr/>
      </w:pPr>
      <w:r>
        <w:rPr>
          <w:rFonts w:ascii="IRNazanin" w:hAnsi="IRNazanin" w:eastAsia="IRNazanin"/>
          <w:color w:val="111111"/>
          <w:sz w:val="28"/>
          <w:sz w:val="28"/>
          <w:szCs w:val="28"/>
          <w:rtl w:val="true"/>
          <w:lang w:bidi="fa-IR"/>
        </w:rPr>
        <w:t xml:space="preserve">السیدعلی الطالقانی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وفقاً لدعوی بعض المعاصرین من المتفتحین ثقافیاً فإن التعقل و المعنویات من الضرورات البشریة التی لایمکن اغفالها و غض الطرف عنها، فی حین أن التدین لیس من ضرورات البشریة فحسب، بل إنه مانع عن تأمین بعض المتطلبات أیضاً، فالتدین لایجتمع مع التعقل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لایمکننا غض الطرف عن التعقل فلامناص لنا عن ترک المعنویات الناجمة عن التدین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الحاضر نحاول دراسة جانب واحد من هذه الدعوی، وهو امتناع اجتماع التدین مع التعقل، و سنوضح أن التدین بمعناه العام بالنسبة الی التعقل و عدمه نسبته واحدة، علی الرغم من أن التدین یستدعی الطاعة المطلقة، إلا أنه لایستدعی الطاعة العمیاء و التی لاتبتنی علی الأسس، و الذی لایجتمع مع التعقل هو الطاعة العمیاء التی لاتعتمد أساساً معیناً، لاالطاعة المحضة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التعقل، المعنویة، التدین، الطاعة، التفتح الفکری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استخدام العقل فی استنباط التعالیم الکلامیة من وجهة نظر الفاضل المقداد</w:t>
      </w:r>
    </w:p>
    <w:p>
      <w:pPr>
        <w:pStyle w:val="BookText"/>
        <w:rPr/>
      </w:pPr>
      <w:r>
        <w:rPr>
          <w:rFonts w:ascii="IRNazanin" w:hAnsi="IRNazanin" w:eastAsia="IRNazanin"/>
          <w:color w:val="111111"/>
          <w:sz w:val="28"/>
          <w:sz w:val="28"/>
          <w:szCs w:val="28"/>
          <w:rtl w:val="true"/>
          <w:lang w:bidi="fa-IR"/>
        </w:rPr>
        <w:t>رضا برنجکار</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مهدی سالکی</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إن الدراسة المنهجیة لعلم الکلام هی من الأبحاث الضروریة فی الأوساط العلمیة المعاصرة و التی لم تحظ بالاهتمام المطلوب حتی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یستعین متکلمو الامامیة بمنهجی العقل و النقل فی استنباط التعالیم الدینیة و الدفاع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الحاضر یتعرض لدراسة هذه المسألة بنهج تحلیلی لمؤلفات الفاضل المقداد الکلامیة، لنری أنه کیف یستخدم العقل فی استنباط التعالیم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سنری أنه یتعاطی مع العقل باعتباره مصدراً و باعتباره أداة لخدمة النقل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نهج العقل النظری الأکثر استخداماً فی استنباط التعالیم المذکورة هو کشف الملازمات، و العقل العملی الأکثر استخداماً هو الحسن و القبح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مجال استنباط العقل فی نطاق النقل نجد أن الفاضل المقداد یستخدم النهج الوصفی و إضفاء الوثاقة للنقل، مضافاً للإجابة عن الشبهات من خلاله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النهج العقلی، الاستنباط، الفاضل المقداد، العقل العملی، العقل النظری، العقل الاستنباطی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دراسة و نقد آراء الدکتور عابد الجابری فی خصوص المهدویة</w:t>
      </w:r>
    </w:p>
    <w:p>
      <w:pPr>
        <w:pStyle w:val="BookText"/>
        <w:rPr/>
      </w:pPr>
      <w:r>
        <w:rPr>
          <w:rFonts w:ascii="IRNazanin" w:hAnsi="IRNazanin" w:eastAsia="IRNazanin"/>
          <w:color w:val="111111"/>
          <w:sz w:val="28"/>
          <w:sz w:val="28"/>
          <w:szCs w:val="28"/>
          <w:rtl w:val="true"/>
          <w:lang w:bidi="fa-IR"/>
        </w:rPr>
        <w:t xml:space="preserve">حمزةعلی اسلامی نسب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علیرضا آل بویه</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محمدعابد الجابری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مفکر عربی معاصر له مؤلفات کثیرة و متنوعة، و بها حاز علی منزلة مرموقة بین العرب و الغربیین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خاض البحث فی التراث الإیرانی و الیونانی و الصوفی و الإسلامی الخالص و العربی الخالص؛ بهدف التخلص مما تواجهه الأمة العربیة من توترات، و یری أن جذور التخلفات التی أصابت الأمة العربیة ترجع الی الفکر و التراث الإیرانی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أفراداً نظیر عبدالله بن سبأ، و المختار و الیمنیین استطاعوا من خلال النفوذ فی الإسلام أن یبثوا الفکر الإیرانی و الاسرائیلیات مثل المهدویة و الرجعة و الوصایة فی إطار التشیع و أن یروجوها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 الحاضر یتناول خصوص مسألة المهدویة فی أفکار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عابد الجابری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یبین من خلال استعراضه تقریراً دقیقاً للمهدویة فی فکر الجابری، أخطاء هذا المفکر و زلاته و ادعاءاته الفاقدة للدعامة العلمیة و استنتاجاته الناقصة و التی تعتمد علی مصادر اهل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الجابری، عبدالله بن سبأ، المختار، التشیع، المهدویة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الحیاة، أهمیة و أداء النبوة</w:t>
      </w:r>
    </w:p>
    <w:p>
      <w:pPr>
        <w:pStyle w:val="BookText"/>
        <w:rPr/>
      </w:pPr>
      <w:r>
        <w:rPr>
          <w:rFonts w:ascii="IRNazanin" w:hAnsi="IRNazanin" w:eastAsia="IRNazanin"/>
          <w:color w:val="111111"/>
          <w:sz w:val="28"/>
          <w:sz w:val="28"/>
          <w:szCs w:val="28"/>
          <w:rtl w:val="true"/>
          <w:lang w:bidi="fa-IR"/>
        </w:rPr>
        <w:t xml:space="preserve">محمدمهدی القائمی الامیری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تلعب النبوة دوراً هاماً و أساسیاً فی منح الحیاة البشریة المعنی المطلوب، و هذا خاص بالنبوة و الانبیاء، فلیس بإمکان أی منهج بشری أو قوة عقلیة أن تمنح الحیاة الجدیدة بعد الموت صبغة معینة و ترسمها و تعرضها للبشریة، و تری أن دور الدنیا بمنزلة المقدمة لتأمین السعادة الأبدیة فی العالم الأخروی، و بهذا فإنها تجعل الحیاة الدنیویة هادفة، و تبث النشاط و روح الأمل فی هذه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خلال تفسیر بعض الظواهر ـ کالموت و الشرور ـ بتفسیر واقعی تبث روح الأمل فی حیاة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خلال توصیتها بعدم التعلق بالدنیا و الاتصال بالمبدأ الأعلی تبث فی حیاته الهدوء و الطمأنینة، و تنجیه من الغربة، و تحدّ من اضطرابه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خلال ترسیخ نظام الأسرة و ایجاد الأواصر الاجتماعیة و رفع الخلافات القومیة تهیئ له حیاة اجتماعیة هادفة تقرن له الکمال و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النبوة، الحیاةالطیبة، معنیالحیاة، الرضا،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العقائد الاسلامیة</w:t>
      </w:r>
    </w:p>
    <w:p>
      <w:pPr>
        <w:pStyle w:val="BookText"/>
        <w:rPr/>
      </w:pPr>
      <w:r>
        <w:rPr>
          <w:rFonts w:ascii="IRNazanin" w:hAnsi="IRNazanin" w:eastAsia="IRNazanin"/>
          <w:color w:val="111111"/>
          <w:sz w:val="28"/>
          <w:sz w:val="28"/>
          <w:szCs w:val="28"/>
          <w:rtl w:val="true"/>
          <w:lang w:bidi="fa-IR"/>
        </w:rPr>
        <w:t>عبدالمجید طالب تاش</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اختلاف البیان القرآنی فی ذکر الأنبیاء بالعنوانین التالیین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سبباً لإبراز العلماء آراءهم بشأن هذا الاختلاف فی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درسنا هذه المسألة فی الآیات و الروایات و النصوص الکلامیة، و توصلنا الی أن الاستعمال القرآنی یلحظهما بشکل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عثرنا علی روایات مرویة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النبی یسمع صوت الملک و یراه فی المنام، و أما الرسول فإنه یراه فی الیقظة، ولهذا فإن النسبة بینهما هی العموم و الخصوص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القرن الثالث ـ باعتباره أول تاریخ عثرنا علیه لبیان الفرق بین اللفظین المذکورین ـ اشتهر أن النسبة بینهما هی العموم و الخصوص المطلق و وفق معیار الشریعة المقدسة هو الکتاب و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لهذا الاختلاف هو اختلاف الدواعی و المبانی لأقوال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لایزال یواجه المعارضة من قبل 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آیة الله الشیخ المصباح الیزدی ـ تبعاً لقول العلامة الطباطبائی ـ أن الاختلاف بینهما هو فی إتمام الحجة فی الرسول، إلا أننا نری عدم وفاء استدلاله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الرسول، الوحی، ملک الوحی، العقائد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العناصر الاساسیة للإمامة فی رسائل المعصومین من الامام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حتی الامام الباقر</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علی راد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فاطمه شریعتی الکمال آبادی</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التراث المکتوب للمعصومین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أهمیة بالغة ـ باعتباره ببیان نفس المعصوم و مکتوباً بنانه ـ فی الکشف عن آراء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المجالات المختلفة من المعارف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تعد هذه الرسائل معیاراً لتقییم النصوص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رسائل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التراث المکتوب الذی أغفل و لم یحظ بالاهتمام المطلوب فی دراسة أبحاث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الحاضر یحلل الأبعاد المختلفة للإمامة بالاعتماد علی رسائل الامام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حتی الامام الباقر</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ضوء هذه النصوص فإن للامامة مفهوماً ذو أبعاد عدیدة، لاینفک بعضها عن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لوازم قیادة الأمة التحلی بالأوصاف الالهیة و الصفات النبویة و الصفات الشخصیة البارزة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الامامة، مکاتیب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نصوص الامامة، النظریة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تجسم الجن و رؤیته ممن منظار العقل و النقل</w:t>
      </w:r>
    </w:p>
    <w:p>
      <w:pPr>
        <w:pStyle w:val="BookText"/>
        <w:rPr/>
      </w:pPr>
      <w:r>
        <w:rPr>
          <w:rFonts w:ascii="IRNazanin" w:hAnsi="IRNazanin" w:eastAsia="IRNazanin"/>
          <w:color w:val="111111"/>
          <w:sz w:val="28"/>
          <w:sz w:val="28"/>
          <w:szCs w:val="28"/>
          <w:rtl w:val="true"/>
          <w:lang w:bidi="fa-IR"/>
        </w:rPr>
        <w:t>السید غلام عباس الموسوی مقدم</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محمد الجعفری</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الجن موجود مادی ذو جسم، إلا أن جسمه لطیف، و الأصل الأولی فی خلقه هو أنه غیر مرئی، إلا أنه قد یتجسم و یتمثل فی بعض الأحیان و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بتمثل الجن هو أنه یمکن لحواس الإنسان إدراکه بأشکال مختلفة دون أن تتغیر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التجسم بهذا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جسماً، و یشغل حیزاً، و یکون مرئیاً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استنباطه من الآیات و الروایات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فبإمکان الجن أن یتمثل و یتجسم بحیث تمکن رؤیته، و النماذج الکثیرة المنقولة فی الروایات تثبت إمکان التجسم و التمثل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إثبات ذلک باللحاظ العقلی ایضاً إذا ما لوحظت المادة الأولی لخلق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 التمثل، التجسم، النقل، العقل، الجسم الکثیف، الجسم اللطیف</w:t>
      </w:r>
      <w:r>
        <w:rPr>
          <w:rFonts w:eastAsia="IRNazanin" w:cs="IRNazanin"/>
          <w:color w:val="111111"/>
          <w:sz w:val="28"/>
          <w:szCs w:val="28"/>
          <w:rtl w:val="true"/>
          <w:lang w:bidi="fa-IR"/>
        </w:rPr>
        <w:t>.</w:t>
      </w:r>
      <w:bookmarkStart w:id="366" w:name="pg2666_21073"/>
    </w:p>
    <w:p>
      <w:pPr>
        <w:pStyle w:val="BookText"/>
        <w:rPr/>
      </w:pPr>
      <w:bookmarkEnd w:id="3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7" w:name="__RefHeading___Toc768506_1395250215"/>
      <w:bookmarkStart w:id="368" w:name="_Toc143"/>
      <w:bookmarkEnd w:id="367"/>
      <w:r>
        <w:rPr>
          <w:rtl w:val="true"/>
        </w:rPr>
        <w:t>چکیده انگلیسی مقالات</w:t>
      </w:r>
      <w:bookmarkEnd w:id="368"/>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Tahqīqāt-e Kalāmi</w:t>
      </w:r>
    </w:p>
    <w:p>
      <w:pPr>
        <w:pStyle w:val="BookText"/>
        <w:rPr/>
      </w:pPr>
      <w:r>
        <w:rPr>
          <w:rFonts w:eastAsia="Times New Roman" w:cs="Times New Roman" w:ascii="Times New Roman" w:hAnsi="Times New Roman"/>
          <w:color w:val="111111"/>
          <w:sz w:val="28"/>
          <w:szCs w:val="28"/>
          <w:lang w:val="en-US" w:bidi="en-US"/>
        </w:rPr>
        <w:t>Islamic Theology Studies</w:t>
      </w:r>
    </w:p>
    <w:p>
      <w:pPr>
        <w:pStyle w:val="BookText"/>
        <w:rPr/>
      </w:pPr>
      <w:r>
        <w:rPr>
          <w:rFonts w:eastAsia="Times New Roman" w:cs="Times New Roman" w:ascii="Times New Roman" w:hAnsi="Times New Roman"/>
          <w:color w:val="111111"/>
          <w:sz w:val="28"/>
          <w:szCs w:val="28"/>
          <w:lang w:val="en-US" w:bidi="en-US"/>
        </w:rPr>
        <w:t>An Academic Quarterly</w:t>
      </w:r>
    </w:p>
    <w:p>
      <w:pPr>
        <w:pStyle w:val="BookText"/>
        <w:rPr/>
      </w:pPr>
      <w:r>
        <w:rPr>
          <w:rFonts w:eastAsia="Times New Roman" w:cs="Times New Roman" w:ascii="Times New Roman" w:hAnsi="Times New Roman"/>
          <w:color w:val="111111"/>
          <w:sz w:val="28"/>
          <w:szCs w:val="28"/>
          <w:lang w:val="en-US" w:bidi="en-US"/>
        </w:rPr>
        <w:t>Islamic Theology Association</w:t>
      </w:r>
    </w:p>
    <w:p>
      <w:pPr>
        <w:pStyle w:val="BookText"/>
        <w:rPr/>
      </w:pPr>
      <w:r>
        <w:rPr>
          <w:rFonts w:eastAsia="Times New Roman" w:cs="Times New Roman" w:ascii="Times New Roman" w:hAnsi="Times New Roman"/>
          <w:color w:val="111111"/>
          <w:sz w:val="28"/>
          <w:szCs w:val="28"/>
          <w:lang w:val="en-US" w:bidi="en-US"/>
        </w:rPr>
        <w:t>Islamic Seminary (Hawza) of Qum</w:t>
      </w:r>
    </w:p>
    <w:p>
      <w:pPr>
        <w:pStyle w:val="BookText"/>
        <w:rPr/>
      </w:pPr>
      <w:r>
        <w:rPr>
          <w:rFonts w:eastAsia="Times New Roman" w:cs="Times New Roman" w:ascii="Times New Roman" w:hAnsi="Times New Roman"/>
          <w:color w:val="111111"/>
          <w:sz w:val="28"/>
          <w:szCs w:val="28"/>
          <w:lang w:val="en-US" w:bidi="en-US"/>
        </w:rPr>
        <w:t>Vol.3, No.9, July-August 2015</w:t>
      </w:r>
    </w:p>
    <w:p>
      <w:pPr>
        <w:pStyle w:val="BookText"/>
        <w:rPr/>
      </w:pPr>
      <w:r>
        <w:rPr>
          <w:rFonts w:eastAsia="Times New Roman" w:cs="Times New Roman" w:ascii="Times New Roman" w:hAnsi="Times New Roman"/>
          <w:color w:val="111111"/>
          <w:sz w:val="28"/>
          <w:szCs w:val="28"/>
          <w:lang w:val="en-US" w:bidi="en-US"/>
        </w:rPr>
        <w:t>Proprietor: Islamic Theology Association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Qum Seminary (Hawza)</w:t>
      </w:r>
    </w:p>
    <w:p>
      <w:pPr>
        <w:pStyle w:val="BookText"/>
        <w:rPr/>
      </w:pPr>
      <w:r>
        <w:rPr>
          <w:rFonts w:eastAsia="Times New Roman" w:cs="Times New Roman" w:ascii="Times New Roman" w:hAnsi="Times New Roman"/>
          <w:color w:val="111111"/>
          <w:sz w:val="28"/>
          <w:szCs w:val="28"/>
          <w:lang w:val="en-US" w:bidi="en-US"/>
        </w:rPr>
        <w:t>Manager: Hadi Sadeqi</w:t>
      </w:r>
    </w:p>
    <w:p>
      <w:pPr>
        <w:pStyle w:val="BookText"/>
        <w:rPr/>
      </w:pPr>
      <w:r>
        <w:rPr>
          <w:rFonts w:eastAsia="Times New Roman" w:cs="Times New Roman" w:ascii="Times New Roman" w:hAnsi="Times New Roman"/>
          <w:color w:val="111111"/>
          <w:sz w:val="28"/>
          <w:szCs w:val="28"/>
          <w:lang w:val="en-US" w:bidi="en-US"/>
        </w:rPr>
        <w:t>Editor-in-Cheif: Reza Berenjkar</w:t>
      </w:r>
    </w:p>
    <w:p>
      <w:pPr>
        <w:pStyle w:val="BookText"/>
        <w:rPr/>
      </w:pPr>
      <w:r>
        <w:rPr>
          <w:rFonts w:eastAsia="Times New Roman" w:cs="Times New Roman" w:ascii="Times New Roman" w:hAnsi="Times New Roman"/>
          <w:color w:val="111111"/>
          <w:sz w:val="28"/>
          <w:szCs w:val="28"/>
          <w:lang w:val="en-US" w:bidi="en-US"/>
        </w:rPr>
        <w:t>Editorial Manager: Mousa Eshkevari</w:t>
      </w:r>
    </w:p>
    <w:p>
      <w:pPr>
        <w:pStyle w:val="BookText"/>
        <w:rPr/>
      </w:pPr>
      <w:r>
        <w:rPr>
          <w:rFonts w:eastAsia="Times New Roman" w:cs="Times New Roman" w:ascii="Times New Roman" w:hAnsi="Times New Roman"/>
          <w:color w:val="111111"/>
          <w:sz w:val="28"/>
          <w:szCs w:val="28"/>
          <w:lang w:val="en-US" w:bidi="en-US"/>
        </w:rPr>
        <w:t>Editor: Ramin Babagolzadeh</w:t>
      </w:r>
    </w:p>
    <w:p>
      <w:pPr>
        <w:pStyle w:val="BookText"/>
        <w:rPr/>
      </w:pPr>
      <w:r>
        <w:rPr>
          <w:rFonts w:eastAsia="Times New Roman" w:cs="Times New Roman" w:ascii="Times New Roman" w:hAnsi="Times New Roman"/>
          <w:color w:val="111111"/>
          <w:sz w:val="28"/>
          <w:szCs w:val="28"/>
          <w:lang w:val="en-US" w:bidi="en-US"/>
        </w:rPr>
        <w:t>Translated to Arabic by: Heidar Masjedi</w:t>
      </w:r>
    </w:p>
    <w:p>
      <w:pPr>
        <w:pStyle w:val="BookText"/>
        <w:rPr/>
      </w:pPr>
      <w:r>
        <w:rPr>
          <w:rFonts w:eastAsia="Times New Roman" w:cs="Times New Roman" w:ascii="Times New Roman" w:hAnsi="Times New Roman"/>
          <w:color w:val="111111"/>
          <w:sz w:val="28"/>
          <w:szCs w:val="28"/>
          <w:lang w:val="en-US" w:bidi="en-US"/>
        </w:rPr>
        <w:t>Translated to English by: Seyed Lutfullah Jalali</w:t>
      </w:r>
    </w:p>
    <w:p>
      <w:pPr>
        <w:pStyle w:val="BookText"/>
        <w:rPr/>
      </w:pPr>
      <w:r>
        <w:rPr>
          <w:rFonts w:eastAsia="Times New Roman" w:cs="Times New Roman" w:ascii="Times New Roman" w:hAnsi="Times New Roman"/>
          <w:color w:val="111111"/>
          <w:sz w:val="28"/>
          <w:szCs w:val="28"/>
          <w:lang w:val="en-US" w:bidi="en-US"/>
        </w:rPr>
        <w:t>Layout: Masoumeh Norouzi</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eastAsia="Times New Roman" w:cs="Times New Roman" w:ascii="Times New Roman" w:hAnsi="Times New Roman"/>
          <w:color w:val="111111"/>
          <w:sz w:val="28"/>
          <w:szCs w:val="28"/>
          <w:lang w:val="en-US" w:bidi="en-US"/>
        </w:rPr>
        <w:t>Address: Islamic Theology Association, Islamic</w:t>
      </w:r>
    </w:p>
    <w:p>
      <w:pPr>
        <w:pStyle w:val="BookText"/>
        <w:rPr/>
      </w:pPr>
      <w:r>
        <w:rPr>
          <w:rFonts w:eastAsia="Times New Roman" w:cs="Times New Roman" w:ascii="Times New Roman" w:hAnsi="Times New Roman"/>
          <w:color w:val="111111"/>
          <w:sz w:val="28"/>
          <w:szCs w:val="28"/>
          <w:lang w:val="en-US" w:bidi="en-US"/>
        </w:rPr>
        <w:t>Seminary (Hawza), First Left Alley, Alley No.2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Jomhoori Eslami Boulevard, Qum, Iran</w:t>
      </w:r>
    </w:p>
    <w:p>
      <w:pPr>
        <w:pStyle w:val="BookText"/>
        <w:rPr/>
      </w:pPr>
      <w:r>
        <w:rPr>
          <w:rFonts w:eastAsia="Times New Roman" w:cs="Times New Roman" w:ascii="Times New Roman" w:hAnsi="Times New Roman"/>
          <w:color w:val="111111"/>
          <w:sz w:val="28"/>
          <w:szCs w:val="28"/>
          <w:lang w:val="en-US" w:bidi="en-US"/>
        </w:rPr>
        <w:t>PO Box: 3765-133</w:t>
      </w:r>
    </w:p>
    <w:p>
      <w:pPr>
        <w:pStyle w:val="BookText"/>
        <w:rPr/>
      </w:pPr>
      <w:r>
        <w:rPr>
          <w:rFonts w:eastAsia="Times New Roman" w:cs="Times New Roman" w:ascii="Times New Roman" w:hAnsi="Times New Roman"/>
          <w:color w:val="111111"/>
          <w:sz w:val="28"/>
          <w:szCs w:val="28"/>
          <w:lang w:val="en-US" w:bidi="en-US"/>
        </w:rPr>
        <w:t>Telephon: 0098-25-32928546</w:t>
      </w:r>
    </w:p>
    <w:p>
      <w:pPr>
        <w:pStyle w:val="BookText"/>
        <w:rPr/>
      </w:pPr>
      <w:r>
        <w:rPr>
          <w:rFonts w:eastAsia="Times New Roman" w:cs="Times New Roman" w:ascii="Times New Roman" w:hAnsi="Times New Roman"/>
          <w:color w:val="111111"/>
          <w:sz w:val="28"/>
          <w:szCs w:val="28"/>
          <w:lang w:val="en-US" w:bidi="en-US"/>
        </w:rPr>
        <w:t>Tsms: 30007227007705</w:t>
      </w:r>
    </w:p>
    <w:p>
      <w:pPr>
        <w:pStyle w:val="BookText"/>
        <w:rPr/>
      </w:pPr>
      <w:r>
        <w:rPr>
          <w:rFonts w:eastAsia="Times New Roman" w:cs="Times New Roman" w:ascii="Times New Roman" w:hAnsi="Times New Roman"/>
          <w:color w:val="111111"/>
          <w:sz w:val="28"/>
          <w:szCs w:val="28"/>
          <w:lang w:val="en-US" w:bidi="en-US"/>
        </w:rPr>
        <w:t>Site: www.tkalam.ir / www.ikq.ir</w:t>
      </w:r>
    </w:p>
    <w:p>
      <w:pPr>
        <w:pStyle w:val="BookText"/>
        <w:rPr/>
      </w:pPr>
      <w:r>
        <w:rPr>
          <w:rFonts w:eastAsia="Times New Roman" w:cs="Times New Roman" w:ascii="Times New Roman" w:hAnsi="Times New Roman"/>
          <w:color w:val="111111"/>
          <w:sz w:val="28"/>
          <w:szCs w:val="28"/>
          <w:lang w:val="en-US" w:bidi="en-US"/>
        </w:rPr>
        <w:t>Email: Info@Tkalam.ir / Info@Ikq.ir</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Price: 80000 Rials</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فرم اشتراک فصلنامه علمی پژوهشی</w:t>
      </w:r>
    </w:p>
    <w:p>
      <w:pPr>
        <w:pStyle w:val="BookText"/>
        <w:rPr/>
      </w:pPr>
      <w:r>
        <w:rPr>
          <w:rFonts w:ascii="IRNazanin" w:hAnsi="IRNazanin" w:eastAsia="IRNazanin"/>
          <w:color w:val="111111"/>
          <w:sz w:val="28"/>
          <w:sz w:val="28"/>
          <w:szCs w:val="28"/>
          <w:rtl w:val="true"/>
          <w:lang w:bidi="fa-IR"/>
        </w:rPr>
        <w:t>استاد و پژوهشگر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تمایل به خرید و مطالعه مداوم و منظم فصلنامه علمی‌ـ پژوهشی تحقیقات کلامی، که حاوی تتبع، یافته ها، دیدگاه ها و نظریات علمی اساتید، طلاب و دانشجویان گرامی است، فرم زیر را تکمیل و به نشانی دفتر مجله؛ قم، بلوار امین، ابتدای بلوار جمهوری اسلامی، کوچه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فرعی اول سمت چپ، ساختمان انجمن های علمی حوزه، طبقه دوم، انجمن کلام اسلامی حوزه ارسال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37165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پلاک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 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لطفاً 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فصلنامه علمی‌ـ پژوهشی تحقیقات کلامی را از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نشانی بالا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 اشتراک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ساله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320/000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 شماره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مبالغ مربوط به حق اشتراک مجلات درخواستی را به حساب شماره </w:t>
      </w:r>
      <w:r>
        <w:rPr>
          <w:rFonts w:eastAsia="IRNazanin" w:cs="IRNazanin"/>
          <w:color w:val="111111"/>
          <w:sz w:val="28"/>
          <w:szCs w:val="28"/>
          <w:lang w:bidi="fa-IR"/>
        </w:rPr>
        <w:t>0109412598008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بانک ملی ایران به نام مجله علمی پژوهشی تحقیقات کلامی واریز و اصل فیش بانکی را به پیوست این فرم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اطلاع ثانوی هزینه ارسال فصلنامه بر عهده انجمن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اشتراک در فصلنامه، از طریق سایت مجله </w:t>
      </w:r>
      <w:r>
        <w:rPr>
          <w:rFonts w:eastAsia="Times New Roman" w:cs="Times New Roman" w:ascii="Times New Roman" w:hAnsi="Times New Roman"/>
          <w:color w:val="111111"/>
          <w:sz w:val="28"/>
          <w:szCs w:val="28"/>
          <w:lang w:val="en-US" w:bidi="en-US"/>
        </w:rPr>
        <w:t>www.Tkalam.ir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اقدام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Abstracts</w:t>
      </w:r>
    </w:p>
    <w:p>
      <w:pPr>
        <w:pStyle w:val="BookText"/>
        <w:rPr/>
      </w:pPr>
      <w:r>
        <w:rPr>
          <w:rFonts w:eastAsia="Times New Roman" w:cs="Times New Roman" w:ascii="Times New Roman" w:hAnsi="Times New Roman"/>
          <w:color w:val="111111"/>
          <w:sz w:val="28"/>
          <w:szCs w:val="28"/>
          <w:lang w:val="en-US" w:bidi="en-US"/>
        </w:rPr>
        <w:t>Rationality and Religiosity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Defense of their Accompaniment</w:t>
      </w:r>
    </w:p>
    <w:p>
      <w:pPr>
        <w:pStyle w:val="BookText"/>
        <w:rPr/>
      </w:pPr>
      <w:r>
        <w:rPr>
          <w:rFonts w:eastAsia="Times New Roman" w:cs="Times New Roman" w:ascii="Times New Roman" w:hAnsi="Times New Roman"/>
          <w:color w:val="111111"/>
          <w:sz w:val="28"/>
          <w:szCs w:val="28"/>
          <w:lang w:val="en-US" w:bidi="en-US"/>
        </w:rPr>
        <w:t>Seyed Ali Taleghani</w:t>
      </w:r>
    </w:p>
    <w:p>
      <w:pPr>
        <w:pStyle w:val="BookText"/>
        <w:rPr/>
      </w:pP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According to the claim of some contemporary intellectuals rationality and spirituality are among the non-ignorable needs of mankind; while religiosity not only is not a human need, but also is an obstacle against the encounter of some human needs. Religiosity is not consistent with rationality; and, because one can't give up rationality, inevitably one must put aside the religion-based spirituality. In this concise article, only one part of this claim is examined: the claim of inconsistency of religiosity with rationality. It will be explained that religiosity in its universal meaning, is neutral in relation to rationality and irrationality. Although religiosity demands complete obedience, it does not demand a blindly and unreasoned obedience. What is inconsistent with rationality, is a blindly and unreasoned obedience, not a complete obedience</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rationality, spirituality, religiosity, obedience, intellectualism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The Usage of Reason to Inference the Kalami Teachings</w:t>
      </w:r>
    </w:p>
    <w:p>
      <w:pPr>
        <w:pStyle w:val="BookText"/>
        <w:rPr/>
      </w:pPr>
      <w:r>
        <w:rPr>
          <w:rFonts w:eastAsia="Times New Roman" w:cs="Times New Roman" w:ascii="Times New Roman" w:hAnsi="Times New Roman"/>
          <w:color w:val="111111"/>
          <w:sz w:val="28"/>
          <w:szCs w:val="28"/>
          <w:lang w:val="en-US" w:bidi="en-US"/>
        </w:rPr>
        <w:t>from the Viewpoint of Fadel al-Meqdad</w:t>
      </w:r>
    </w:p>
    <w:p>
      <w:pPr>
        <w:pStyle w:val="BookText"/>
        <w:rPr/>
      </w:pPr>
      <w:r>
        <w:rPr>
          <w:rFonts w:eastAsia="Times New Roman" w:cs="Times New Roman" w:ascii="Times New Roman" w:hAnsi="Times New Roman"/>
          <w:color w:val="111111"/>
          <w:sz w:val="28"/>
          <w:szCs w:val="28"/>
          <w:lang w:val="en-US" w:bidi="en-US"/>
        </w:rPr>
        <w:t>Reza Berenjkar</w:t>
      </w:r>
    </w:p>
    <w:p>
      <w:pPr>
        <w:pStyle w:val="BookText"/>
        <w:rPr/>
      </w:pP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Mehdi Saleki</w:t>
      </w:r>
    </w:p>
    <w:p>
      <w:pPr>
        <w:pStyle w:val="BookText"/>
        <w:rPr/>
      </w:pP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Methodical study of Kalam (Islamic theology) is one of the needed discussions in the nowadays scholarly society that was not yet considered sufficiently. The Imami theologians had used the two rational and narrative methods to inference the religious teachings and to defend them. With an analytic approach to the Kalami works of Fadel al-Meqdad, this article examines the question that what usages of reason he had used to inference the Kalami teachings. Fadel al-Meqdad used reason both as a source and as a means serving narrations. The most usable method in theoretical reason in inference of teachings is to discover the implications, and in practical reason, is the rational good and evil (al-husn wal-qubh al-'aqlian). By using the methods of description and granting authenticity to narration, Fadel al-Meqdad uses the inferential function of reason in the realm of narration as well as answering the misgivings</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rational method, inference, Fadel al-Meqdad, practical reason, theoretical reason, inferential reason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The Examination and Criticism of the Viewpoint of</w:t>
      </w:r>
    </w:p>
    <w:p>
      <w:pPr>
        <w:pStyle w:val="BookText"/>
        <w:rPr/>
      </w:pPr>
      <w:r>
        <w:rPr>
          <w:rFonts w:eastAsia="Times New Roman" w:cs="Times New Roman" w:ascii="Times New Roman" w:hAnsi="Times New Roman"/>
          <w:color w:val="111111"/>
          <w:sz w:val="28"/>
          <w:szCs w:val="28"/>
          <w:lang w:val="en-US" w:bidi="en-US"/>
        </w:rPr>
        <w:t>Dr. Muhammad Abed al-Jaberi on Mahdawiyyah</w:t>
      </w:r>
    </w:p>
    <w:p>
      <w:pPr>
        <w:pStyle w:val="BookText"/>
        <w:rPr/>
      </w:pPr>
      <w:r>
        <w:rPr>
          <w:rFonts w:eastAsia="Times New Roman" w:cs="Times New Roman" w:ascii="Times New Roman" w:hAnsi="Times New Roman"/>
          <w:color w:val="111111"/>
          <w:sz w:val="28"/>
          <w:szCs w:val="28"/>
          <w:lang w:val="en-US" w:bidi="en-US"/>
        </w:rPr>
        <w:t>HamzaAli EslamiNasab</w:t>
      </w:r>
    </w:p>
    <w:p>
      <w:pPr>
        <w:pStyle w:val="BookText"/>
        <w:rPr/>
      </w:pP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Alireza Alebouyeh</w:t>
      </w:r>
    </w:p>
    <w:p>
      <w:pPr>
        <w:pStyle w:val="BookText"/>
        <w:rPr/>
      </w:pP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Dr. Muhammad Abed al-Jaberi is one of the contemporary Arab Thinkers that, with his numerous and different compilations, could take a considerable place in both Arabic and western worlds. In order to go out the crises in the Arabian world, he examined the five heritages of Iran, Greece, Sufism, pure Islamic and the pure Arabian, and maintained that all the retardations of the Arabian world are rooted in the thoughts of Iranian (Ardshir) heritance, and people like Abdullah ibn Saba', Mokhtar ibn Abu 'Ubayd and the Yemenites, infiltrating in Islam, could preach the Iranian and Israelite teachings such as Mahdawiyyah, Raj'ah (Retuning of the dead to the world), Wisayah (executorship) etc. in the form of Shi'ism. In this paper, only the issue of Mahdawiyyah, considering its importance, is examined in the al-Jaberi's thought and in addition to an exact report of the teaching of Mahdawyyah in al-Jaberi's works, his mistakes, slips, claims of no evidences, and his incomplete presuppositions were shown on the basis of the Sunni authentic sources</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Muhammad Abed al-Jaberi, Abdullah ibn Saba', Mokhtar, Shi'ism, Mahdawyyah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The Meaning of Life, Necessity and the Function</w:t>
      </w:r>
    </w:p>
    <w:p>
      <w:pPr>
        <w:pStyle w:val="BookText"/>
        <w:rPr/>
      </w:pPr>
      <w:r>
        <w:rPr>
          <w:rFonts w:eastAsia="Times New Roman" w:cs="Times New Roman" w:ascii="Times New Roman" w:hAnsi="Times New Roman"/>
          <w:color w:val="111111"/>
          <w:sz w:val="28"/>
          <w:szCs w:val="28"/>
          <w:lang w:val="en-US" w:bidi="en-US"/>
        </w:rPr>
        <w:t>of Prophecy</w:t>
      </w:r>
    </w:p>
    <w:p>
      <w:pPr>
        <w:pStyle w:val="BookText"/>
        <w:rPr/>
      </w:pPr>
      <w:r>
        <w:rPr>
          <w:rFonts w:eastAsia="Times New Roman" w:cs="Times New Roman" w:ascii="Times New Roman" w:hAnsi="Times New Roman"/>
          <w:color w:val="111111"/>
          <w:sz w:val="28"/>
          <w:szCs w:val="28"/>
          <w:lang w:val="en-US" w:bidi="en-US"/>
        </w:rPr>
        <w:t>MohammadMahdi Qaemi Amiri</w:t>
      </w:r>
    </w:p>
    <w:p>
      <w:pPr>
        <w:pStyle w:val="BookText"/>
        <w:rPr/>
      </w:pP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Prophecy has an essential role in giving meaning to the human life and this role is solely belongs to prophecy and prophets. No human school and no intellectual force have the ability to draw a picture of a new life after death and grant it to human beings; to count this world as preparedness in order to secure the eternal and after-life happiness and therefore make the life meaningful; to increase hope and joy of life, and, with meaningful ways towards life such as realistic interpretation of death and evils, give hope to human's life; with giving advice to not depend on this world, and to have peaceful life in the shadow of God, reduce man's anxieties; with establishment of the family system and with creation of social solidarity and removing of racial and ethnic disorders, create a collective purposeful life and accompany humans with perfection and happiness</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prophecy, purified life, meaning of life, satisfaction, mortality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The Usage of "Messenger" and "Prophet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Islamic Beliefs</w:t>
      </w:r>
    </w:p>
    <w:p>
      <w:pPr>
        <w:pStyle w:val="BookText"/>
        <w:rPr/>
      </w:pPr>
      <w:r>
        <w:rPr>
          <w:rFonts w:eastAsia="Times New Roman" w:cs="Times New Roman" w:ascii="Times New Roman" w:hAnsi="Times New Roman"/>
          <w:color w:val="111111"/>
          <w:sz w:val="28"/>
          <w:szCs w:val="28"/>
          <w:lang w:val="en-US" w:bidi="en-US"/>
        </w:rPr>
        <w:t>Abd ul-Majid TalebTash</w:t>
      </w:r>
    </w:p>
    <w:p>
      <w:pPr>
        <w:pStyle w:val="BookText"/>
        <w:rPr/>
      </w:pP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way the Holy Qur'an spoke of the prophets in two titles of "Messenger" (rasul) and "prophet" (nabi) brought about the Muslim scholars utterances about the differences between the two. We examined this issue in Quranic verses, narrations and Kalami texts. From the Qur'anic expressions, one could find their similarity. According to some narrations of the Imams (p.b.u.t.), "prophet" (nabi) hears the sound of the angel of revelation or dreams the angel, but "Messenger" (rasul) can see him in awakening. Thus their logical relation is absolute generality and specialty. From a period in the third/tenth century, it had been popular that their logical relation is absolute generality and specialty with the criteria of Shari'a, revealed book and miracle. The source of this distinguish is the kind of the Imams' mission and the bases of their speech, that, of course, has been disagreed by some latters. On the basis of Allamah Tabatabaei's view, Ayatullah Mesbah Yazdi, maintains that the distinction is that "Messenger" (rasul) terminates the excuses; but we believe that his argumentation is insufficient</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prophet (nabi), Messenger (rasul), revelation, the angel of revelation, Islamic beliefs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The Fundamental Components of Imamah</w:t>
      </w:r>
    </w:p>
    <w:p>
      <w:pPr>
        <w:pStyle w:val="BookText"/>
        <w:rPr/>
      </w:pPr>
      <w:r>
        <w:rPr>
          <w:rFonts w:eastAsia="Times New Roman" w:cs="Times New Roman" w:ascii="Times New Roman" w:hAnsi="Times New Roman"/>
          <w:color w:val="111111"/>
          <w:sz w:val="28"/>
          <w:szCs w:val="28"/>
          <w:lang w:val="en-US" w:bidi="en-US"/>
        </w:rPr>
        <w:t>in the Imams Letters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From Imam 'Ali to Imam al-Baqer (p.b.u.t.)</w:t>
      </w:r>
    </w:p>
    <w:p>
      <w:pPr>
        <w:pStyle w:val="BookText"/>
        <w:rPr/>
      </w:pPr>
      <w:r>
        <w:rPr>
          <w:rFonts w:eastAsia="Times New Roman" w:cs="Times New Roman" w:ascii="Times New Roman" w:hAnsi="Times New Roman"/>
          <w:color w:val="111111"/>
          <w:sz w:val="28"/>
          <w:szCs w:val="28"/>
          <w:lang w:val="en-US" w:bidi="en-US"/>
        </w:rPr>
        <w:t>Ali Rad</w:t>
      </w:r>
    </w:p>
    <w:p>
      <w:pPr>
        <w:pStyle w:val="BookText"/>
        <w:rPr/>
      </w:pP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Fatima Shariati Kamalabadi</w:t>
      </w:r>
    </w:p>
    <w:p>
      <w:pPr>
        <w:pStyle w:val="BookText"/>
        <w:rPr/>
      </w:pP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Because the written heritage of the infallible Imams (p.b.u.t.) was written by themselves' statement and dictate, it is of a twofold importance in discovering the Ahl ul-Bayt's Views in various areas of religious knowledge. These writings counted as a measure to evaluate the authenticity of other propositions and texts. The infallibles' letters are among the written but ignored heritance which was not be so considered in the Imamah studies. In this research, the aspects of Imamah were analyzed on the basis of the letter of Imam 'Ali (p.b.u.h.) to Imam al-Baqer (p.b.u.h.). According to these texts, Imamah is a multi-dimension concept which its dimensions are separable. The Ommah's leadership demands the leader to have divinely attributes, to have the Prophet's characteristics and to possess considerable personal attributes</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Imamah, the Imams' letters, the Imamah's narrative evidences, Kalami theory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Embodiment and Vision of Demon from the Viewpoint</w:t>
      </w:r>
    </w:p>
    <w:p>
      <w:pPr>
        <w:pStyle w:val="BookText"/>
        <w:rPr/>
      </w:pPr>
      <w:r>
        <w:rPr>
          <w:rFonts w:eastAsia="Times New Roman" w:cs="Times New Roman" w:ascii="Times New Roman" w:hAnsi="Times New Roman"/>
          <w:color w:val="111111"/>
          <w:sz w:val="28"/>
          <w:szCs w:val="28"/>
          <w:lang w:val="en-US" w:bidi="en-US"/>
        </w:rPr>
        <w:t>of Reason and Narration</w:t>
      </w:r>
    </w:p>
    <w:p>
      <w:pPr>
        <w:pStyle w:val="BookText"/>
        <w:rPr/>
      </w:pPr>
      <w:r>
        <w:rPr>
          <w:rFonts w:eastAsia="Times New Roman" w:cs="Times New Roman" w:ascii="Times New Roman" w:hAnsi="Times New Roman"/>
          <w:color w:val="111111"/>
          <w:sz w:val="28"/>
          <w:szCs w:val="28"/>
          <w:lang w:val="en-US" w:bidi="en-US"/>
        </w:rPr>
        <w:t>Sayyed GholamAbbas Musavimuqaddam</w:t>
      </w:r>
    </w:p>
    <w:p>
      <w:pPr>
        <w:pStyle w:val="BookText"/>
        <w:rPr/>
      </w:pP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Mohammad Ja'fari</w:t>
      </w:r>
    </w:p>
    <w:p>
      <w:pPr>
        <w:pStyle w:val="BookText"/>
        <w:rPr/>
      </w:pP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Demon is a material and bodily being; but with soft body that the early rule in their creation is that they are invisible; but in some cases they embody and could be seen in different molds and frames. The visibility of demons means that they will be visible in the man's faculty of sense and understanding, without any changings in their nature. And their embodiment means that, like the human beings, the demons take bodily molds that could be touched and referred to by the senses, and occupy the space. The Islamic verses and narrations show that the demons can be visible and even can be embodied. Many cases that narrated in narrations prove both the embodiment and visibility of demons. Rationally, considering the early mater of the demons' creation, one can prove this issue</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Demon, embodiment, visibility, narration, reason, hard body, soft body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هیأت علمی مرکز تخصصی آخوند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دیدگاه به نحوی محدودتر و کاملاً محتاطانه در جای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ملکیان،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وجود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نمونه‌ای از این تلقی را می‌توان در مجموع این جملات 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قوام دین‌داری به تعبّد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تعبد به </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فرض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ب است، چون </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گزاره اعتقاد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ملکیان،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آیین هندو جمله‌ای در توصیف تعبد هست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استادت اطاعت کن، حتی اگر تو را به جهنم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جمله آن است که تو اصلاً حقّ آزمودن نداری و استاد است که ترازوی هر چیزی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ملکیان، </w:t>
      </w:r>
      <w:r>
        <w:rPr>
          <w:rFonts w:eastAsia="IRNazanin" w:cs="IRNazanin"/>
          <w:b w:val="false"/>
          <w:bCs w:val="false"/>
          <w:i w:val="false"/>
          <w:iCs w:val="false"/>
          <w:color w:val="333333"/>
          <w:sz w:val="20"/>
          <w:szCs w:val="20"/>
        </w:rPr>
        <w:t>1387:54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موضعی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ملکیان، </w:t>
      </w:r>
      <w:r>
        <w:rPr>
          <w:rFonts w:eastAsia="IRNazanin" w:cs="IRNazanin"/>
          <w:b w:val="false"/>
          <w:bCs w:val="false"/>
          <w:i w:val="false"/>
          <w:iCs w:val="false"/>
          <w:color w:val="333333"/>
          <w:sz w:val="20"/>
          <w:szCs w:val="20"/>
        </w:rPr>
        <w:t>1387:55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از تعبّد تفکیک شده، ادعا شده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تمشیت امور جامعه بدون اطاعت ممکن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با تعبد فرق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فرمول اطاعت این است که چون فلانی می‌گوید کار </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بگیرد، پس کار </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انجام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درباره این فلانی که می‌گوید کار </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انجام بگیرد یا نگیرد، دیدگاه‌های مختلفی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فرمول تعبد این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حسن می‌گوید </w:t>
      </w:r>
      <w:r>
        <w:rPr>
          <w:rFonts w:eastAsia="IRNazanin" w:cs="IRNazanin"/>
          <w:b w:val="false"/>
          <w:bCs w:val="false"/>
          <w:i w:val="false"/>
          <w:iCs w:val="false"/>
          <w:color w:val="333333"/>
          <w:sz w:val="20"/>
          <w:szCs w:val="20"/>
        </w:rPr>
        <w:t>x</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پس </w:t>
      </w:r>
      <w:r>
        <w:rPr>
          <w:rFonts w:eastAsia="IRNazanin" w:cs="IRNazanin"/>
          <w:b w:val="false"/>
          <w:bCs w:val="false"/>
          <w:i w:val="false"/>
          <w:iCs w:val="false"/>
          <w:color w:val="333333"/>
          <w:sz w:val="20"/>
          <w:szCs w:val="20"/>
        </w:rPr>
        <w:t>x</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اطاعت با بدن انجام می‌گیرد، ولی تعبد با ساحت ذهن و روان انسان انجام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بدین‌ترتیب به نظر می‌رسد ادعای نهایی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دین‌داری متقوّم است به تعبّد، و تعبّد عبارت است از پذیرفتن یا باور کردن هر آنچه که دین‌آور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 هرچند دیگر منابع معتبر معرفتی مانند استدلال‌های صحیح عقلی، آن پذیرش و باور را ردّ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دیگر، دین‌داری مستلزم اعتماد فکری و اطاعت اعتقادیِ کور و بی‌مبناست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پوشش‌دادنِ </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نیازمند ویرایش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نمونه‌ای از این تلقی را می‌توان در این جملات 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عقلانیت یعنی ترازوی هر کس در درون اوست، نه خارج از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نهایت برای ردّ یا پذیرش یک سخن، به مجموعه قوای ادراکی خود رجوع می‌کنم و این معنای عقلانیت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ملکیان،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 تهران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دانشگاه تهران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إِنَّ اللَّهَ یَسْتَحِی إِذَا رَفَعَ إِلَیْهِ الْعَبْدُ یَدَیْهِ أَنْ یَرُدَّهُمَا صِفْراً مِنْ غَیْرِ شَیْ‌ءٍ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دانش‌آموخته ارشد اخلاق دانشگاه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islaminasab@hotmail.com</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پژوهشگاه علوم و فرهنگ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alireza.alebouyeh@gmail.com</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عسقلانی به نقل از ابن‌عدی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 پست و بی‌ارزشی دارد، غلو‌کننده در شیعه گری است و ایمان به رجعت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العسقلانی،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عابد جابری به تاریخ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فجیج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وجدة ـ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 و در سوم مه</w:t>
      </w:r>
      <w:r>
        <w:rPr>
          <w:rFonts w:ascii="IRNazanin" w:hAnsi="IRNazanin" w:eastAsia="IRNazanin"/>
          <w:b w:val="false"/>
          <w:b w:val="false"/>
          <w:bCs w:val="false"/>
          <w:i w:val="false"/>
          <w:i w:val="false"/>
          <w:iCs w:val="false"/>
          <w:color w:val="333333"/>
          <w:sz w:val="20"/>
          <w:sz w:val="20"/>
          <w:szCs w:val="20"/>
        </w:rPr>
        <w:t>۲۰۱۰</w:t>
      </w:r>
      <w:r>
        <w:rPr>
          <w:rFonts w:ascii="IRNazanin" w:hAnsi="IRNazanin" w:eastAsia="IRNazanin"/>
          <w:b w:val="false"/>
          <w:b w:val="false"/>
          <w:bCs w:val="false"/>
          <w:i w:val="false"/>
          <w:i w:val="false"/>
          <w:iCs w:val="false"/>
          <w:color w:val="333333"/>
          <w:sz w:val="20"/>
          <w:sz w:val="20"/>
          <w:szCs w:val="20"/>
          <w:rtl w:val="true"/>
        </w:rPr>
        <w:t xml:space="preserve">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جابری استاد فلسفه و اندیشه عربی ـ اسلامی دانشکده ادبیات رباط بود و یکی از مهم‌ترین چپ‌گرایان در حوزه اندیشه عرب به شمار می رفت که در جهت همین چپ‌گرایی نو و با بهره‌گیری از آرای اندیشمندان نومارکسیستی مثل جورج لوکاچ و آلتوسر، در پی بازخوانی سنّت به شیوه‌ای نو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منظور شیوه ای را پی گرفت که نه در دام قرائت سلف‌گرایانه از سنّت بیفتد، نه در دام قرائت لیبرالی و نه چپ‌گرایی سنّتی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ناقدان بسیاری به نقد اندیشه‌های جابری پرداخته‌اند و برخی از آن‌ها نیز عمدتاً دیدگاه جابری درباره تفکر شیعی را تحلیل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آن‌ها می‌توان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 که هیچ موضعی را بدتر از موضع جابری درباره تشیع نمی‌داند و معتقد است جابری با نقد تشیع، سلطه نیروی عقل را نسبت به تمام تفکر شیعی اعمال کرد و در آخر نیز حکمی عام و کلی صادر کرده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سزاوار است تفکر شیعی با تمام مضامین و محتوا و تنوعش از تاریخ تفکر و فرهنگ اسلامی معدوم و ملغا شود، چون نمونه خشن و زننده از مظاهر عقل مستقیل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معرفتی عرفانی است که در کنار نظام‌های معرفتی بیان و برهان سازنده عقل عربی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عربی ـ اسلامی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الهاشمی،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گرامی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دجال هنگامی که خروج کند، با خود آب و آتش به همراه خواهد داشت؛ برخی از مردم آتش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بینند، در حالی که آبی خنک است و برخی نیز آبی خنک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بینند، در حالی که آتشی سوزاننده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کدام از شما آن را درک کرد، از جمله افرادی باشد که آن را آتش می بیند، که آن گوارا و خنک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گرامی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دجال چشم چپش کور است و موی زیاد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آتش همراه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آتشش، بهشت و بهشتش، آتش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هم‌چنین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خوب می‌دانم همراه دجال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دو نهر جاری به همراه دارد؛ یکی از آن‌ها آب سفید و دیگری آتش فروزان به نظر می‌رسند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هر یک از شما به او رسید، رودی را که آتش به نظر می‌رسد اختیار کند و چشمانش را ببندد و سرش را پایین بیاورد و از آن بنوشد، چون آن آبی گواراست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دجال یک چشمش کور و بین دو چشمش کافر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مؤمن باسواد و بی‌سوادی آن را می‌خواند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محدودیت حجم مقاله، از نقد اتهامات جابری به مختار و ابن‌حنفیه در ارتباط آن دو با مهدویت، صرف‌نظر 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المهدی الموعود المنتظر الفاطمی 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ابن‌مسعود أخرجه أحمد و أبو داود و الترمذی و ابن‌ماجه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أم‌سلمة أخرجه أبو‌داود و ابن‌ماجه و الحاکم فی المستدرک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بن أبی‌طالب أخرجه أحمد و أبو‌داود و ابن‌ماجه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أبی‌سعید الخدری أخرجه أحمد و أبو‌داود و الترمذی و ابن‌ماجه و أبویعلی و الحاکم فی المستدرک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ثوبان أخرجه أحمد و ابن‌ماجه و الحاکم فی المستدرک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قرة بن إیاس المزنی أخرجه البزار و الطبرانی فی الکبیر و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عبدالله بن الحارث بن جزء أخرجه ابن‌ماجه و الطبرانی فی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أبی‌هریرة أخرجه أحمد و الترمذی و أبویعلی و البزار فی مسندهما و الطبرانی فی الأوسط و غیرهم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حذیفة بن الیمان أخرجه الرویانی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ابن‌عباس أخرجه أبونعیم فی أخبار المهدی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جابر بن عبدالله أخرجه أحمد و مسلم إلا أنه لیس فیه تصریح بذکر المهدی بل أحادیث مسلم کلها لم یقع فیها تصریح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عثمان أخرجه الدارقطنی فی الإفراد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أبی أمامة أخرجه الطبرانی فی الکبیر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عمار بن یاسر أخرجه الدارقطنی فی الإفراد و الخطیب و ابن‌عساکر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جابر بن ماجد الصدفی أخرجه الطبرانی فی الکبیر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طلحة بن عبیدالله أخرجهما الطبرانی فی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 بن مالک أخرجه ابن‌ماجه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عبد‌الرحمان بن عوف أخرجه أبونعیم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عمران بن حصین أخرجه الإمام أبوعمرو الذانی فی سننه و غیرهم و قد نقل غیر واحد عن الحافظ السخاوی أنها متواترة و السخاوی ذکر ذلک فی فتح المغیث و نقله عن أبی‌الحسین الإبری و قد تقدم نصه أول هذه الرسالة و فی تألیف لأبی العلاء إدریس بن محمد بن إدریس الحسین العراقی فی المهدی هذا أن أحادیثه متواترة أو کادت قال و جزم بالأول غیر واحد من الحفاظ النقاد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شرح الرسالة للشیخ جسوس ما نصه ورد خبر المهدی فی أحادیث ذکر السخاوی أنها وصلت إلی حد التواتر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شرح المواهب نقلا عن أبی‌الحسین الإبری فی مناقب الشافعی قال تواترت الأخبار أن المهدی من هذه الأمة و أن عیسی یصلی حلفه ذکر ذلک ردا لحدیث ابن‌ماجة عن أنس و لا مهدی إلا عیسی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طولانی شدن مقاله، از نقد بیشتر صرف‌نظر می 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کُتِبَ عَلَیْکُمُ الصِّیامُ کَما کُتِبَ عَلَی الَّذینَ مِنْ قَبْلِکُمْ لَعَلَّکُمْ تَتَّقُونَ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همان گونه که بر گذشتگان شما واجب بود، بر شما نیز واجب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به نام ابن حنفیه قیام کرد و با خود مفاهیم تازه ای درباره امامت به ارمغان آورد؛ مفاهیمی که از اسرائیلیات و جریانات میراث های قدیمی پیش از اسلام اخذ شده بود؛ مانند وصیت، علم سرّی، وراثت، نبوت، بداء، مهدویت، رجعت، غییت، تقیه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مفاهیمِ به‌هم پیوسته، به سرعت باعث تشکیل اسطوره امامت نزد تشیع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الجابری،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جامعةالمصطفی العالمیه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پایه‌گذار این مکتب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ویکتور فرانکل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روان‌شناس معروف آلمانی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فرانکل،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آزاد اسلامی، واحد کرج</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پردیس فارابی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Ali.rad@ut.ac.ir</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دکترای علوم قرآن و حدیث دانشگاه اصفهان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فاعلیت خداوند در امر امامت، مداخله وی در تعیین فرد شایسته این مقام و فرایند ابلاغ آن است؛ از این رو، با فاعلیت کلامی که نقطه مقابل علیت فلسفی است، تفاوت دارد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رشته کلام، موسسه آموزشی 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Mousavi253 @yahoo.com</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موسسه آموزشی 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Mjafari125 @yahoo.com</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الهیئة العلمیة فی المرکز الآخوند الخراسانی التخصصی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الاعلام الاسلامی فی الحوزة العلمیة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جامعة طهران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فی جامعة طهران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ماجستیر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islaminasab@hotmail.com</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معهد العلوم و الثقافة 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alireza.alebouyeh@gmail.com</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جامعة المصطفی العالمیة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الجامعة الحرة ـ فرع کرج</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دکتور فی جامعة 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فردیس فارابی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Ali.rad@ut.ac.ir</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فی علوم القرآن و الحدیث ـ جامعة اصفهان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ماجستیر فی علم الکلام فی مؤسسة الامام الخمینی التعلیمیة البحثیة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Mousavi253@yahoo.com</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مؤسسة الامام الخمینی التعلیمیة البحثیة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Mjafari125@yahoo.com</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faculty member of the Professional Center of Akhund Khorasani (the Office of Islamic Preaching of The Seminary)</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Professor of Tehran University</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Doctoral student of Tehran University</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 educated in Ethics at Qom University. islaminasab@hotmail.com</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Assistant professor of The Islamic Sciences and Culture Academy. alireza.alebouyeh@gmail.com</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Assistant professor of Al-Mustafa International University</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Assistant professor of The Azad Islamic University, Karaj Unit</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Assistant professor of Tehran University (Pardise Farabi). Ali.rad@ut.ac.ir</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Doctoral student of the Qur'an and Hadith discipline at Isfahan University</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 of the Kalam discipline of The Imam Khomeini Education and Research Ins. Mousavi253@yahoo.com</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Assistant Professor of The Imam Khomeini Education and Research Ins. Mjafari125@yahoo.com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49894</Words>
  <Characters>209857</Characters>
  <CharactersWithSpaces>257744</CharactersWithSpaces>
  <Paragraphs>1881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2026-08-17T12:25:35Z</dcterms:created>
  <dc:creator>ghaemiyeh.com</dc:creator>
  <dc:description/>
  <dc:language>en-US</dc:language>
  <cp:lastModifiedBy/>
  <dcterms:modified xsi:type="dcterms:W3CDTF">2026-08-17T15:55:40Z</dcterms:modified>
  <cp:revision>1</cp:revision>
  <dc:subject/>
  <dc:title>فصلنامه تحقیقات کلامی شماره 9</dc:title>
</cp:coreProperties>
</file>

<file path=docProps/custom.xml><?xml version="1.0" encoding="utf-8"?>
<Properties xmlns="http://schemas.openxmlformats.org/officeDocument/2006/custom-properties" xmlns:vt="http://schemas.openxmlformats.org/officeDocument/2006/docPropsVTypes"/>
</file>