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التشیع نشاته و عقایده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36539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036541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036543_3650668749">
            <w:r>
              <w:rPr>
                <w:webHidden/>
                <w:rStyle w:val="IndexLink"/>
                <w:rtl w:val="true"/>
              </w:rPr>
              <w:t>كلمة المعهد</w:t>
            </w:r>
            <w:r>
              <w:rPr>
                <w:rStyle w:val="IndexLink"/>
                <w:rtl w:val="true"/>
              </w:rPr>
              <w:tab/>
            </w:r>
            <w:r>
              <w:rPr>
                <w:rStyle w:val="IndexLink"/>
              </w:rPr>
              <w:t>9</w:t>
            </w:r>
          </w:hyperlink>
        </w:p>
        <w:p>
          <w:pPr>
            <w:pStyle w:val="Contents2"/>
            <w:tabs>
              <w:tab w:val="clear" w:pos="8743"/>
              <w:tab w:val="right" w:pos="9026" w:leader="dot"/>
            </w:tabs>
            <w:rPr/>
          </w:pPr>
          <w:hyperlink w:anchor="__RefHeading___Toc4036545_3650668749">
            <w:r>
              <w:rPr>
                <w:webHidden/>
                <w:rStyle w:val="IndexLink"/>
                <w:rtl w:val="true"/>
              </w:rPr>
              <w:t>مقدمة المترجم</w:t>
            </w:r>
            <w:r>
              <w:rPr>
                <w:rStyle w:val="IndexLink"/>
                <w:rtl w:val="true"/>
              </w:rPr>
              <w:tab/>
            </w:r>
            <w:r>
              <w:rPr>
                <w:rStyle w:val="IndexLink"/>
              </w:rPr>
              <w:t>11</w:t>
            </w:r>
          </w:hyperlink>
        </w:p>
        <w:p>
          <w:pPr>
            <w:pStyle w:val="Contents2"/>
            <w:tabs>
              <w:tab w:val="clear" w:pos="8743"/>
              <w:tab w:val="right" w:pos="9026" w:leader="dot"/>
            </w:tabs>
            <w:rPr/>
          </w:pPr>
          <w:hyperlink w:anchor="__RefHeading___Toc4036547_3650668749">
            <w:r>
              <w:rPr>
                <w:webHidden/>
                <w:rStyle w:val="IndexLink"/>
                <w:rtl w:val="true"/>
              </w:rPr>
              <w:t>توطئة</w:t>
            </w:r>
            <w:r>
              <w:rPr>
                <w:rStyle w:val="IndexLink"/>
                <w:rtl w:val="true"/>
              </w:rPr>
              <w:tab/>
            </w:r>
            <w:r>
              <w:rPr>
                <w:rStyle w:val="IndexLink"/>
              </w:rPr>
              <w:t>13</w:t>
            </w:r>
          </w:hyperlink>
        </w:p>
        <w:p>
          <w:pPr>
            <w:pStyle w:val="Contents2"/>
            <w:tabs>
              <w:tab w:val="clear" w:pos="8743"/>
              <w:tab w:val="right" w:pos="9026" w:leader="dot"/>
            </w:tabs>
            <w:rPr/>
          </w:pPr>
          <w:hyperlink w:anchor="__RefHeading___Toc4036549_3650668749">
            <w:r>
              <w:rPr>
                <w:webHidden/>
                <w:rStyle w:val="IndexLink"/>
                <w:rtl w:val="true"/>
              </w:rPr>
              <w:t>نشأة مذهب التشيع ومتبنياته الفكرية</w:t>
            </w:r>
            <w:r>
              <w:rPr>
                <w:rStyle w:val="IndexLink"/>
                <w:rtl w:val="true"/>
              </w:rPr>
              <w:tab/>
            </w:r>
            <w:r>
              <w:rPr>
                <w:rStyle w:val="IndexLink"/>
              </w:rPr>
              <w:t>17</w:t>
            </w:r>
          </w:hyperlink>
        </w:p>
        <w:p>
          <w:pPr>
            <w:pStyle w:val="Contents3"/>
            <w:tabs>
              <w:tab w:val="clear" w:pos="8459"/>
              <w:tab w:val="right" w:pos="9026" w:leader="dot"/>
            </w:tabs>
            <w:rPr/>
          </w:pPr>
          <w:hyperlink w:anchor="__RefHeading___Toc4036551_3650668749">
            <w:r>
              <w:rPr>
                <w:webHidden/>
                <w:rStyle w:val="IndexLink"/>
              </w:rPr>
              <w:t>١</w:t>
            </w:r>
            <w:r>
              <w:rPr>
                <w:rStyle w:val="IndexLink"/>
                <w:rtl w:val="true"/>
              </w:rPr>
              <w:t xml:space="preserve">- </w:t>
            </w:r>
            <w:r>
              <w:rPr>
                <w:rStyle w:val="IndexLink"/>
                <w:rtl w:val="true"/>
              </w:rPr>
              <w:t>نشأة مذهب التشيع</w:t>
            </w:r>
            <w:r>
              <w:rPr>
                <w:rStyle w:val="IndexLink"/>
                <w:rtl w:val="true"/>
              </w:rPr>
              <w:tab/>
            </w:r>
            <w:r>
              <w:rPr>
                <w:rStyle w:val="IndexLink"/>
              </w:rPr>
              <w:t>17</w:t>
            </w:r>
          </w:hyperlink>
        </w:p>
        <w:p>
          <w:pPr>
            <w:pStyle w:val="Contents4"/>
            <w:tabs>
              <w:tab w:val="clear" w:pos="8176"/>
              <w:tab w:val="right" w:pos="9026" w:leader="dot"/>
            </w:tabs>
            <w:rPr/>
          </w:pPr>
          <w:hyperlink w:anchor="__RefHeading___Toc4036553_365066874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4036555_3650668749">
            <w:r>
              <w:rPr>
                <w:webHidden/>
                <w:rStyle w:val="IndexLink"/>
                <w:rtl w:val="true"/>
              </w:rPr>
              <w:t>أ</w:t>
            </w:r>
            <w:r>
              <w:rPr>
                <w:rStyle w:val="IndexLink"/>
                <w:rtl w:val="true"/>
              </w:rPr>
              <w:t xml:space="preserve">- </w:t>
            </w:r>
            <w:r>
              <w:rPr>
                <w:rStyle w:val="IndexLink"/>
                <w:rtl w:val="true"/>
              </w:rPr>
              <w:t>عبد الله بن سبأ في تأريخ التشيّع</w:t>
            </w:r>
            <w:r>
              <w:rPr>
                <w:rStyle w:val="IndexLink"/>
                <w:rtl w:val="true"/>
              </w:rPr>
              <w:tab/>
            </w:r>
            <w:r>
              <w:rPr>
                <w:rStyle w:val="IndexLink"/>
              </w:rPr>
              <w:t>17</w:t>
            </w:r>
          </w:hyperlink>
        </w:p>
        <w:p>
          <w:pPr>
            <w:pStyle w:val="Contents4"/>
            <w:tabs>
              <w:tab w:val="clear" w:pos="8176"/>
              <w:tab w:val="right" w:pos="9026" w:leader="dot"/>
            </w:tabs>
            <w:rPr/>
          </w:pPr>
          <w:hyperlink w:anchor="__RefHeading___Toc4036557_3650668749">
            <w:r>
              <w:rPr>
                <w:webHidden/>
                <w:rStyle w:val="IndexLink"/>
                <w:rtl w:val="true"/>
              </w:rPr>
              <w:t>ب</w:t>
            </w:r>
            <w:r>
              <w:rPr>
                <w:rStyle w:val="IndexLink"/>
                <w:rtl w:val="true"/>
              </w:rPr>
              <w:t xml:space="preserve">- </w:t>
            </w:r>
            <w:r>
              <w:rPr>
                <w:rStyle w:val="IndexLink"/>
                <w:rtl w:val="true"/>
              </w:rPr>
              <w:t>دور الحوادث التأريخية وملوك بلاد فارس في تأريخ التشيع</w:t>
            </w:r>
            <w:r>
              <w:rPr>
                <w:rStyle w:val="IndexLink"/>
                <w:rtl w:val="true"/>
              </w:rPr>
              <w:tab/>
            </w:r>
            <w:r>
              <w:rPr>
                <w:rStyle w:val="IndexLink"/>
              </w:rPr>
              <w:t>20</w:t>
            </w:r>
          </w:hyperlink>
        </w:p>
        <w:p>
          <w:pPr>
            <w:pStyle w:val="Contents4"/>
            <w:tabs>
              <w:tab w:val="clear" w:pos="8176"/>
              <w:tab w:val="right" w:pos="9026" w:leader="dot"/>
            </w:tabs>
            <w:rPr/>
          </w:pPr>
          <w:hyperlink w:anchor="__RefHeading___Toc4036559_3650668749">
            <w:r>
              <w:rPr>
                <w:webHidden/>
                <w:rStyle w:val="IndexLink"/>
                <w:rtl w:val="true"/>
              </w:rPr>
              <w:t>ج</w:t>
            </w:r>
            <w:r>
              <w:rPr>
                <w:rStyle w:val="IndexLink"/>
                <w:rtl w:val="true"/>
              </w:rPr>
              <w:t xml:space="preserve">- </w:t>
            </w:r>
            <w:r>
              <w:rPr>
                <w:rStyle w:val="IndexLink"/>
                <w:rtl w:val="true"/>
              </w:rPr>
              <w:t>دور الرسول في تأريخ التشيع</w:t>
            </w:r>
            <w:r>
              <w:rPr>
                <w:rStyle w:val="IndexLink"/>
                <w:rtl w:val="true"/>
              </w:rPr>
              <w:tab/>
            </w:r>
            <w:r>
              <w:rPr>
                <w:rStyle w:val="IndexLink"/>
              </w:rPr>
              <w:t>21</w:t>
            </w:r>
          </w:hyperlink>
        </w:p>
        <w:p>
          <w:pPr>
            <w:pStyle w:val="Contents3"/>
            <w:tabs>
              <w:tab w:val="clear" w:pos="8459"/>
              <w:tab w:val="right" w:pos="9026" w:leader="dot"/>
            </w:tabs>
            <w:rPr/>
          </w:pPr>
          <w:hyperlink w:anchor="__RefHeading___Toc4036561_3650668749">
            <w:r>
              <w:rPr>
                <w:webHidden/>
                <w:rStyle w:val="IndexLink"/>
              </w:rPr>
              <w:t>٢</w:t>
            </w:r>
            <w:r>
              <w:rPr>
                <w:rStyle w:val="IndexLink"/>
                <w:rtl w:val="true"/>
              </w:rPr>
              <w:t xml:space="preserve">- </w:t>
            </w:r>
            <w:r>
              <w:rPr>
                <w:rStyle w:val="IndexLink"/>
                <w:rtl w:val="true"/>
              </w:rPr>
              <w:t>الفرق التي تنتسب إلى التشيّع</w:t>
            </w:r>
            <w:r>
              <w:rPr>
                <w:rStyle w:val="IndexLink"/>
                <w:rtl w:val="true"/>
              </w:rPr>
              <w:tab/>
            </w:r>
            <w:r>
              <w:rPr>
                <w:rStyle w:val="IndexLink"/>
              </w:rPr>
              <w:t>24</w:t>
            </w:r>
          </w:hyperlink>
        </w:p>
        <w:p>
          <w:pPr>
            <w:pStyle w:val="Contents4"/>
            <w:tabs>
              <w:tab w:val="clear" w:pos="8176"/>
              <w:tab w:val="right" w:pos="9026" w:leader="dot"/>
            </w:tabs>
            <w:rPr/>
          </w:pPr>
          <w:hyperlink w:anchor="__RefHeading___Toc4036563_3650668749">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4036565_3650668749">
            <w:r>
              <w:rPr>
                <w:webHidden/>
                <w:rStyle w:val="IndexLink"/>
                <w:rtl w:val="true"/>
              </w:rPr>
              <w:t>أ</w:t>
            </w:r>
            <w:r>
              <w:rPr>
                <w:rStyle w:val="IndexLink"/>
                <w:rtl w:val="true"/>
              </w:rPr>
              <w:t xml:space="preserve">- </w:t>
            </w:r>
            <w:r>
              <w:rPr>
                <w:rStyle w:val="IndexLink"/>
                <w:rtl w:val="true"/>
              </w:rPr>
              <w:t>الزيدية</w:t>
            </w:r>
            <w:r>
              <w:rPr>
                <w:rStyle w:val="IndexLink"/>
                <w:rtl w:val="true"/>
              </w:rPr>
              <w:tab/>
            </w:r>
            <w:r>
              <w:rPr>
                <w:rStyle w:val="IndexLink"/>
              </w:rPr>
              <w:t>24</w:t>
            </w:r>
          </w:hyperlink>
        </w:p>
        <w:p>
          <w:pPr>
            <w:pStyle w:val="Contents4"/>
            <w:tabs>
              <w:tab w:val="clear" w:pos="8176"/>
              <w:tab w:val="right" w:pos="9026" w:leader="dot"/>
            </w:tabs>
            <w:rPr/>
          </w:pPr>
          <w:hyperlink w:anchor="__RefHeading___Toc4036567_3650668749">
            <w:r>
              <w:rPr>
                <w:webHidden/>
                <w:rStyle w:val="IndexLink"/>
                <w:rtl w:val="true"/>
              </w:rPr>
              <w:t>ب</w:t>
            </w:r>
            <w:r>
              <w:rPr>
                <w:rStyle w:val="IndexLink"/>
                <w:rtl w:val="true"/>
              </w:rPr>
              <w:t xml:space="preserve">- </w:t>
            </w:r>
            <w:r>
              <w:rPr>
                <w:rStyle w:val="IndexLink"/>
                <w:rtl w:val="true"/>
              </w:rPr>
              <w:t>الإسماعيليّة</w:t>
            </w:r>
            <w:r>
              <w:rPr>
                <w:rStyle w:val="IndexLink"/>
                <w:rtl w:val="true"/>
              </w:rPr>
              <w:tab/>
            </w:r>
            <w:r>
              <w:rPr>
                <w:rStyle w:val="IndexLink"/>
              </w:rPr>
              <w:t>25</w:t>
            </w:r>
          </w:hyperlink>
        </w:p>
        <w:p>
          <w:pPr>
            <w:pStyle w:val="Contents4"/>
            <w:tabs>
              <w:tab w:val="clear" w:pos="8176"/>
              <w:tab w:val="right" w:pos="9026" w:leader="dot"/>
            </w:tabs>
            <w:rPr/>
          </w:pPr>
          <w:hyperlink w:anchor="__RefHeading___Toc4036569_3650668749">
            <w:r>
              <w:rPr>
                <w:webHidden/>
                <w:rStyle w:val="IndexLink"/>
                <w:rtl w:val="true"/>
              </w:rPr>
              <w:t>ج</w:t>
            </w:r>
            <w:r>
              <w:rPr>
                <w:rStyle w:val="IndexLink"/>
                <w:rtl w:val="true"/>
              </w:rPr>
              <w:t xml:space="preserve">- </w:t>
            </w:r>
            <w:r>
              <w:rPr>
                <w:rStyle w:val="IndexLink"/>
                <w:rtl w:val="true"/>
              </w:rPr>
              <w:t>الفرق الأخرى المنسوبة إلى التشيّع</w:t>
            </w:r>
            <w:r>
              <w:rPr>
                <w:rStyle w:val="IndexLink"/>
                <w:rtl w:val="true"/>
              </w:rPr>
              <w:tab/>
            </w:r>
            <w:r>
              <w:rPr>
                <w:rStyle w:val="IndexLink"/>
              </w:rPr>
              <w:t>25</w:t>
            </w:r>
          </w:hyperlink>
        </w:p>
        <w:p>
          <w:pPr>
            <w:pStyle w:val="Contents4"/>
            <w:tabs>
              <w:tab w:val="clear" w:pos="8176"/>
              <w:tab w:val="right" w:pos="9026" w:leader="dot"/>
            </w:tabs>
            <w:rPr/>
          </w:pPr>
          <w:hyperlink w:anchor="__RefHeading___Toc4036571_3650668749">
            <w:r>
              <w:rPr>
                <w:webHidden/>
                <w:rStyle w:val="IndexLink"/>
                <w:rtl w:val="true"/>
              </w:rPr>
              <w:t>د</w:t>
            </w:r>
            <w:r>
              <w:rPr>
                <w:rStyle w:val="IndexLink"/>
                <w:rtl w:val="true"/>
              </w:rPr>
              <w:t xml:space="preserve">- </w:t>
            </w:r>
            <w:r>
              <w:rPr>
                <w:rStyle w:val="IndexLink"/>
                <w:rtl w:val="true"/>
              </w:rPr>
              <w:t>الفرق التي يُزعم انتسابها للتشيّع</w:t>
            </w:r>
            <w:r>
              <w:rPr>
                <w:rStyle w:val="IndexLink"/>
                <w:rtl w:val="true"/>
              </w:rPr>
              <w:tab/>
            </w:r>
            <w:r>
              <w:rPr>
                <w:rStyle w:val="IndexLink"/>
              </w:rPr>
              <w:t>25</w:t>
            </w:r>
          </w:hyperlink>
        </w:p>
        <w:p>
          <w:pPr>
            <w:pStyle w:val="Contents4"/>
            <w:tabs>
              <w:tab w:val="clear" w:pos="8176"/>
              <w:tab w:val="right" w:pos="9026" w:leader="dot"/>
            </w:tabs>
            <w:rPr/>
          </w:pPr>
          <w:hyperlink w:anchor="__RefHeading___Toc4036573_3650668749">
            <w:r>
              <w:rPr>
                <w:webHidden/>
                <w:rStyle w:val="IndexLink"/>
                <w:rtl w:val="true"/>
              </w:rPr>
              <w:t>ه</w:t>
            </w:r>
            <w:r>
              <w:rPr>
                <w:rStyle w:val="IndexLink"/>
                <w:rtl w:val="true"/>
              </w:rPr>
              <w:t xml:space="preserve">- </w:t>
            </w:r>
            <w:r>
              <w:rPr>
                <w:rStyle w:val="IndexLink"/>
                <w:rtl w:val="true"/>
              </w:rPr>
              <w:t>الغلو والفرق المغالية</w:t>
            </w:r>
            <w:r>
              <w:rPr>
                <w:rStyle w:val="IndexLink"/>
                <w:rtl w:val="true"/>
              </w:rPr>
              <w:tab/>
            </w:r>
            <w:r>
              <w:rPr>
                <w:rStyle w:val="IndexLink"/>
              </w:rPr>
              <w:t>26</w:t>
            </w:r>
          </w:hyperlink>
        </w:p>
        <w:p>
          <w:pPr>
            <w:pStyle w:val="Contents2"/>
            <w:tabs>
              <w:tab w:val="clear" w:pos="8743"/>
              <w:tab w:val="right" w:pos="9026" w:leader="dot"/>
            </w:tabs>
            <w:rPr/>
          </w:pPr>
          <w:hyperlink w:anchor="__RefHeading___Toc4036575_3650668749">
            <w:r>
              <w:rPr>
                <w:webHidden/>
                <w:rStyle w:val="IndexLink"/>
                <w:rtl w:val="true"/>
              </w:rPr>
              <w:t>أصول الاعتقاد عند الشيعة واختلافها عن سائر المذاهب</w:t>
            </w:r>
            <w:r>
              <w:rPr>
                <w:rStyle w:val="IndexLink"/>
                <w:rtl w:val="true"/>
              </w:rPr>
              <w:tab/>
            </w:r>
            <w:r>
              <w:rPr>
                <w:rStyle w:val="IndexLink"/>
              </w:rPr>
              <w:t>29</w:t>
            </w:r>
          </w:hyperlink>
        </w:p>
        <w:p>
          <w:pPr>
            <w:pStyle w:val="Contents3"/>
            <w:tabs>
              <w:tab w:val="clear" w:pos="8459"/>
              <w:tab w:val="right" w:pos="9026" w:leader="dot"/>
            </w:tabs>
            <w:rPr/>
          </w:pPr>
          <w:hyperlink w:anchor="__RefHeading___Toc4036577_365066874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4036579_3650668749">
            <w:r>
              <w:rPr>
                <w:webHidden/>
                <w:rStyle w:val="IndexLink"/>
              </w:rPr>
              <w:t>١</w:t>
            </w:r>
            <w:r>
              <w:rPr>
                <w:rStyle w:val="IndexLink"/>
                <w:rtl w:val="true"/>
              </w:rPr>
              <w:t xml:space="preserve">- </w:t>
            </w:r>
            <w:r>
              <w:rPr>
                <w:rStyle w:val="IndexLink"/>
                <w:rtl w:val="true"/>
              </w:rPr>
              <w:t>علم الإمام من وجهة نظر الشيعة</w:t>
            </w:r>
            <w:r>
              <w:rPr>
                <w:rStyle w:val="IndexLink"/>
                <w:rtl w:val="true"/>
              </w:rPr>
              <w:tab/>
            </w:r>
            <w:r>
              <w:rPr>
                <w:rStyle w:val="IndexLink"/>
              </w:rPr>
              <w:t>30</w:t>
            </w:r>
          </w:hyperlink>
        </w:p>
        <w:p>
          <w:pPr>
            <w:pStyle w:val="Contents4"/>
            <w:tabs>
              <w:tab w:val="clear" w:pos="8176"/>
              <w:tab w:val="right" w:pos="9026" w:leader="dot"/>
            </w:tabs>
            <w:rPr/>
          </w:pPr>
          <w:hyperlink w:anchor="__RefHeading___Toc4036581_3650668749">
            <w:r>
              <w:rPr>
                <w:webHidden/>
                <w:rStyle w:val="IndexLink"/>
                <w:rtl w:val="true"/>
              </w:rPr>
              <w:t>أ</w:t>
            </w:r>
            <w:r>
              <w:rPr>
                <w:rStyle w:val="IndexLink"/>
                <w:rtl w:val="true"/>
              </w:rPr>
              <w:t xml:space="preserve">- </w:t>
            </w:r>
            <w:r>
              <w:rPr>
                <w:rStyle w:val="IndexLink"/>
                <w:rtl w:val="true"/>
              </w:rPr>
              <w:t>اشتراط كون الإمام أعلم من غيره</w:t>
            </w:r>
            <w:r>
              <w:rPr>
                <w:rStyle w:val="IndexLink"/>
                <w:rtl w:val="true"/>
              </w:rPr>
              <w:tab/>
            </w:r>
            <w:r>
              <w:rPr>
                <w:rStyle w:val="IndexLink"/>
              </w:rPr>
              <w:t>30</w:t>
            </w:r>
          </w:hyperlink>
        </w:p>
        <w:p>
          <w:pPr>
            <w:pStyle w:val="Contents4"/>
            <w:tabs>
              <w:tab w:val="clear" w:pos="8176"/>
              <w:tab w:val="right" w:pos="9026" w:leader="dot"/>
            </w:tabs>
            <w:rPr/>
          </w:pPr>
          <w:hyperlink w:anchor="__RefHeading___Toc4036583_3650668749">
            <w:r>
              <w:rPr>
                <w:webHidden/>
                <w:rStyle w:val="IndexLink"/>
                <w:rtl w:val="true"/>
              </w:rPr>
              <w:t>ب</w:t>
            </w:r>
            <w:r>
              <w:rPr>
                <w:rStyle w:val="IndexLink"/>
                <w:rtl w:val="true"/>
              </w:rPr>
              <w:t xml:space="preserve">- </w:t>
            </w:r>
            <w:r>
              <w:rPr>
                <w:rStyle w:val="IndexLink"/>
                <w:rtl w:val="true"/>
              </w:rPr>
              <w:t xml:space="preserve">عليّ </w:t>
            </w:r>
            <w:r>
              <w:rPr>
                <w:rStyle w:val="IndexLink"/>
                <w:rtl w:val="true"/>
              </w:rPr>
              <w:t>(</w:t>
            </w:r>
            <w:r>
              <w:rPr>
                <w:rStyle w:val="IndexLink"/>
                <w:rtl w:val="true"/>
              </w:rPr>
              <w:t>ع</w:t>
            </w:r>
            <w:r>
              <w:rPr>
                <w:rStyle w:val="IndexLink"/>
                <w:rtl w:val="true"/>
              </w:rPr>
              <w:t xml:space="preserve">) </w:t>
            </w:r>
            <w:r>
              <w:rPr>
                <w:rStyle w:val="IndexLink"/>
                <w:rtl w:val="true"/>
              </w:rPr>
              <w:t>أعلم الصحابة</w:t>
            </w:r>
            <w:r>
              <w:rPr>
                <w:rStyle w:val="IndexLink"/>
                <w:rtl w:val="true"/>
              </w:rPr>
              <w:tab/>
            </w:r>
            <w:r>
              <w:rPr>
                <w:rStyle w:val="IndexLink"/>
              </w:rPr>
              <w:t>32</w:t>
            </w:r>
          </w:hyperlink>
        </w:p>
        <w:p>
          <w:pPr>
            <w:pStyle w:val="Contents4"/>
            <w:tabs>
              <w:tab w:val="clear" w:pos="8176"/>
              <w:tab w:val="right" w:pos="9026" w:leader="dot"/>
            </w:tabs>
            <w:rPr/>
          </w:pPr>
          <w:hyperlink w:anchor="__RefHeading___Toc4036585_3650668749">
            <w:r>
              <w:rPr>
                <w:webHidden/>
                <w:rStyle w:val="IndexLink"/>
                <w:rtl w:val="true"/>
              </w:rPr>
              <w:t>ج</w:t>
            </w:r>
            <w:r>
              <w:rPr>
                <w:rStyle w:val="IndexLink"/>
                <w:rtl w:val="true"/>
              </w:rPr>
              <w:t xml:space="preserve">- </w:t>
            </w:r>
            <w:r>
              <w:rPr>
                <w:rStyle w:val="IndexLink"/>
                <w:rtl w:val="true"/>
              </w:rPr>
              <w:t xml:space="preserve">المرجعية العلمية لأهل البيت </w:t>
            </w:r>
            <w:r>
              <w:rPr>
                <w:rStyle w:val="IndexLink"/>
                <w:rtl w:val="true"/>
              </w:rPr>
              <w:t>(</w:t>
            </w:r>
            <w:r>
              <w:rPr>
                <w:rStyle w:val="IndexLink"/>
                <w:rtl w:val="true"/>
              </w:rPr>
              <w:t>ع</w:t>
            </w:r>
            <w:r>
              <w:rPr>
                <w:rStyle w:val="IndexLink"/>
                <w:rtl w:val="true"/>
              </w:rPr>
              <w:t>)</w:t>
              <w:tab/>
            </w:r>
            <w:r>
              <w:rPr>
                <w:rStyle w:val="IndexLink"/>
              </w:rPr>
              <w:t>36</w:t>
            </w:r>
          </w:hyperlink>
        </w:p>
        <w:p>
          <w:pPr>
            <w:pStyle w:val="Contents4"/>
            <w:tabs>
              <w:tab w:val="clear" w:pos="8176"/>
              <w:tab w:val="right" w:pos="9026" w:leader="dot"/>
            </w:tabs>
            <w:rPr/>
          </w:pPr>
          <w:hyperlink w:anchor="__RefHeading___Toc4036587_3650668749">
            <w:r>
              <w:rPr>
                <w:webHidden/>
                <w:rStyle w:val="IndexLink"/>
                <w:rtl w:val="true"/>
              </w:rPr>
              <w:t>د</w:t>
            </w:r>
            <w:r>
              <w:rPr>
                <w:rStyle w:val="IndexLink"/>
                <w:rtl w:val="true"/>
              </w:rPr>
              <w:t xml:space="preserve">- </w:t>
            </w:r>
            <w:r>
              <w:rPr>
                <w:rStyle w:val="IndexLink"/>
                <w:rtl w:val="true"/>
              </w:rPr>
              <w:t xml:space="preserve">المقام العلمي والفقهي للإمام جعفر الصادق </w:t>
            </w:r>
            <w:r>
              <w:rPr>
                <w:rStyle w:val="IndexLink"/>
                <w:rtl w:val="true"/>
              </w:rPr>
              <w:t>(</w:t>
            </w:r>
            <w:r>
              <w:rPr>
                <w:rStyle w:val="IndexLink"/>
                <w:rtl w:val="true"/>
              </w:rPr>
              <w:t>ع</w:t>
            </w:r>
            <w:r>
              <w:rPr>
                <w:rStyle w:val="IndexLink"/>
                <w:rtl w:val="true"/>
              </w:rPr>
              <w:t xml:space="preserve">) </w:t>
            </w:r>
            <w:r>
              <w:rPr>
                <w:rStyle w:val="IndexLink"/>
                <w:rtl w:val="true"/>
              </w:rPr>
              <w:t>، ومنزلته عند أهل السنّة</w:t>
            </w:r>
            <w:r>
              <w:rPr>
                <w:rStyle w:val="IndexLink"/>
                <w:rtl w:val="true"/>
              </w:rPr>
              <w:tab/>
            </w:r>
            <w:r>
              <w:rPr>
                <w:rStyle w:val="IndexLink"/>
              </w:rPr>
              <w:t>40</w:t>
            </w:r>
          </w:hyperlink>
        </w:p>
        <w:p>
          <w:pPr>
            <w:pStyle w:val="Contents4"/>
            <w:tabs>
              <w:tab w:val="clear" w:pos="8176"/>
              <w:tab w:val="right" w:pos="9026" w:leader="dot"/>
            </w:tabs>
            <w:rPr/>
          </w:pPr>
          <w:hyperlink w:anchor="__RefHeading___Toc4036589_3650668749">
            <w:r>
              <w:rPr>
                <w:webHidden/>
                <w:rStyle w:val="IndexLink"/>
                <w:rtl w:val="true"/>
              </w:rPr>
              <w:t>ه</w:t>
            </w:r>
            <w:r>
              <w:rPr>
                <w:rStyle w:val="IndexLink"/>
                <w:rtl w:val="true"/>
              </w:rPr>
              <w:t xml:space="preserve">- </w:t>
            </w:r>
            <w:r>
              <w:rPr>
                <w:rStyle w:val="IndexLink"/>
                <w:rtl w:val="true"/>
              </w:rPr>
              <w:t xml:space="preserve">منشأ علوم أهل‌البيت </w:t>
            </w:r>
            <w:r>
              <w:rPr>
                <w:rStyle w:val="IndexLink"/>
                <w:rtl w:val="true"/>
              </w:rPr>
              <w:t>(</w:t>
            </w:r>
            <w:r>
              <w:rPr>
                <w:rStyle w:val="IndexLink"/>
                <w:rtl w:val="true"/>
              </w:rPr>
              <w:t>ع</w:t>
            </w:r>
            <w:r>
              <w:rPr>
                <w:rStyle w:val="IndexLink"/>
                <w:rtl w:val="true"/>
              </w:rPr>
              <w:t xml:space="preserve">) </w:t>
            </w:r>
            <w:r>
              <w:rPr>
                <w:rStyle w:val="IndexLink"/>
                <w:rtl w:val="true"/>
              </w:rPr>
              <w:t>وسعتها</w:t>
            </w:r>
            <w:r>
              <w:rPr>
                <w:rStyle w:val="IndexLink"/>
                <w:rtl w:val="true"/>
              </w:rPr>
              <w:tab/>
            </w:r>
            <w:r>
              <w:rPr>
                <w:rStyle w:val="IndexLink"/>
              </w:rPr>
              <w:t>43</w:t>
            </w:r>
          </w:hyperlink>
        </w:p>
        <w:p>
          <w:pPr>
            <w:pStyle w:val="Contents5"/>
            <w:tabs>
              <w:tab w:val="clear" w:pos="7892"/>
              <w:tab w:val="right" w:pos="9026" w:leader="dot"/>
            </w:tabs>
            <w:rPr/>
          </w:pPr>
          <w:hyperlink w:anchor="__RefHeading___Toc4036591_3650668749">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4036593_3650668749">
            <w:r>
              <w:rPr>
                <w:webHidden/>
                <w:rStyle w:val="IndexLink"/>
                <w:rtl w:val="true"/>
              </w:rPr>
              <w:t xml:space="preserve">الأول </w:t>
            </w:r>
            <w:r>
              <w:rPr>
                <w:rStyle w:val="IndexLink"/>
                <w:rtl w:val="true"/>
              </w:rPr>
              <w:t xml:space="preserve">- </w:t>
            </w:r>
            <w:r>
              <w:rPr>
                <w:rStyle w:val="IndexLink"/>
                <w:rtl w:val="true"/>
              </w:rPr>
              <w:t>القرآن الكريم</w:t>
            </w:r>
            <w:r>
              <w:rPr>
                <w:rStyle w:val="IndexLink"/>
                <w:rtl w:val="true"/>
              </w:rPr>
              <w:tab/>
            </w:r>
            <w:r>
              <w:rPr>
                <w:rStyle w:val="IndexLink"/>
              </w:rPr>
              <w:t>46</w:t>
            </w:r>
          </w:hyperlink>
        </w:p>
        <w:p>
          <w:pPr>
            <w:pStyle w:val="Contents5"/>
            <w:tabs>
              <w:tab w:val="clear" w:pos="7892"/>
              <w:tab w:val="right" w:pos="9026" w:leader="dot"/>
            </w:tabs>
            <w:rPr/>
          </w:pPr>
          <w:hyperlink w:anchor="__RefHeading___Toc4036595_3650668749">
            <w:r>
              <w:rPr>
                <w:webHidden/>
                <w:rStyle w:val="IndexLink"/>
                <w:rtl w:val="true"/>
              </w:rPr>
              <w:t xml:space="preserve">الثاني </w:t>
            </w:r>
            <w:r>
              <w:rPr>
                <w:rStyle w:val="IndexLink"/>
                <w:rtl w:val="true"/>
              </w:rPr>
              <w:t xml:space="preserve">- </w:t>
            </w:r>
            <w:r>
              <w:rPr>
                <w:rStyle w:val="IndexLink"/>
                <w:rtl w:val="true"/>
              </w:rPr>
              <w:t xml:space="preserve">علم النبيّ </w:t>
            </w:r>
            <w:r>
              <w:rPr>
                <w:rStyle w:val="IndexLink"/>
                <w:rtl w:val="true"/>
              </w:rPr>
              <w:t>(</w:t>
            </w:r>
            <w:r>
              <w:rPr>
                <w:rStyle w:val="IndexLink"/>
                <w:rtl w:val="true"/>
              </w:rPr>
              <w:t>ص</w:t>
            </w:r>
            <w:r>
              <w:rPr>
                <w:rStyle w:val="IndexLink"/>
                <w:rtl w:val="true"/>
              </w:rPr>
              <w:t>)</w:t>
              <w:tab/>
            </w:r>
            <w:r>
              <w:rPr>
                <w:rStyle w:val="IndexLink"/>
              </w:rPr>
              <w:t>48</w:t>
            </w:r>
          </w:hyperlink>
        </w:p>
        <w:p>
          <w:pPr>
            <w:pStyle w:val="Contents5"/>
            <w:tabs>
              <w:tab w:val="clear" w:pos="7892"/>
              <w:tab w:val="right" w:pos="9026" w:leader="dot"/>
            </w:tabs>
            <w:rPr/>
          </w:pPr>
          <w:hyperlink w:anchor="__RefHeading___Toc4036597_3650668749">
            <w:r>
              <w:rPr>
                <w:webHidden/>
                <w:rStyle w:val="IndexLink"/>
                <w:rtl w:val="true"/>
              </w:rPr>
              <w:t xml:space="preserve">الثالث </w:t>
            </w:r>
            <w:r>
              <w:rPr>
                <w:rStyle w:val="IndexLink"/>
                <w:rtl w:val="true"/>
              </w:rPr>
              <w:t xml:space="preserve">- </w:t>
            </w:r>
            <w:r>
              <w:rPr>
                <w:rStyle w:val="IndexLink"/>
                <w:rtl w:val="true"/>
              </w:rPr>
              <w:t xml:space="preserve">الإلهام </w:t>
            </w:r>
            <w:r>
              <w:rPr>
                <w:rStyle w:val="IndexLink"/>
                <w:rtl w:val="true"/>
              </w:rPr>
              <w:t>(</w:t>
            </w:r>
            <w:r>
              <w:rPr>
                <w:rStyle w:val="IndexLink"/>
                <w:rtl w:val="true"/>
              </w:rPr>
              <w:t>حديث الملائكة</w:t>
            </w:r>
            <w:r>
              <w:rPr>
                <w:rStyle w:val="IndexLink"/>
                <w:rtl w:val="true"/>
              </w:rPr>
              <w:t>)</w:t>
              <w:tab/>
            </w:r>
            <w:r>
              <w:rPr>
                <w:rStyle w:val="IndexLink"/>
              </w:rPr>
              <w:t>50</w:t>
            </w:r>
          </w:hyperlink>
        </w:p>
        <w:p>
          <w:pPr>
            <w:pStyle w:val="Contents3"/>
            <w:tabs>
              <w:tab w:val="clear" w:pos="8459"/>
              <w:tab w:val="right" w:pos="9026" w:leader="dot"/>
            </w:tabs>
            <w:rPr/>
          </w:pPr>
          <w:hyperlink w:anchor="__RefHeading___Toc4036599_3650668749">
            <w:r>
              <w:rPr>
                <w:webHidden/>
                <w:rStyle w:val="IndexLink"/>
              </w:rPr>
              <w:t>٢</w:t>
            </w:r>
            <w:r>
              <w:rPr>
                <w:rStyle w:val="IndexLink"/>
                <w:rtl w:val="true"/>
              </w:rPr>
              <w:t xml:space="preserve">- </w:t>
            </w:r>
            <w:r>
              <w:rPr>
                <w:rStyle w:val="IndexLink"/>
                <w:rtl w:val="true"/>
              </w:rPr>
              <w:t>العصمة برأي الشيعة</w:t>
            </w:r>
            <w:r>
              <w:rPr>
                <w:rStyle w:val="IndexLink"/>
                <w:rtl w:val="true"/>
              </w:rPr>
              <w:tab/>
            </w:r>
            <w:r>
              <w:rPr>
                <w:rStyle w:val="IndexLink"/>
              </w:rPr>
              <w:t>51</w:t>
            </w:r>
          </w:hyperlink>
        </w:p>
        <w:p>
          <w:pPr>
            <w:pStyle w:val="Contents4"/>
            <w:tabs>
              <w:tab w:val="clear" w:pos="8176"/>
              <w:tab w:val="right" w:pos="9026" w:leader="dot"/>
            </w:tabs>
            <w:rPr/>
          </w:pPr>
          <w:hyperlink w:anchor="__RefHeading___Toc4036601_3650668749">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4036603_3650668749">
            <w:r>
              <w:rPr>
                <w:webHidden/>
                <w:rStyle w:val="IndexLink"/>
                <w:rtl w:val="true"/>
              </w:rPr>
              <w:t>أ</w:t>
            </w:r>
            <w:r>
              <w:rPr>
                <w:rStyle w:val="IndexLink"/>
                <w:rtl w:val="true"/>
              </w:rPr>
              <w:t xml:space="preserve">- </w:t>
            </w:r>
            <w:r>
              <w:rPr>
                <w:rStyle w:val="IndexLink"/>
                <w:rtl w:val="true"/>
              </w:rPr>
              <w:t xml:space="preserve">عصمة الأنبياء </w:t>
            </w:r>
            <w:r>
              <w:rPr>
                <w:rStyle w:val="IndexLink"/>
                <w:rtl w:val="true"/>
              </w:rPr>
              <w:t>(</w:t>
            </w:r>
            <w:r>
              <w:rPr>
                <w:rStyle w:val="IndexLink"/>
                <w:rtl w:val="true"/>
              </w:rPr>
              <w:t>ع</w:t>
            </w:r>
            <w:r>
              <w:rPr>
                <w:rStyle w:val="IndexLink"/>
                <w:rtl w:val="true"/>
              </w:rPr>
              <w:t>)</w:t>
              <w:tab/>
            </w:r>
            <w:r>
              <w:rPr>
                <w:rStyle w:val="IndexLink"/>
              </w:rPr>
              <w:t>51</w:t>
            </w:r>
          </w:hyperlink>
        </w:p>
        <w:p>
          <w:pPr>
            <w:pStyle w:val="Contents4"/>
            <w:tabs>
              <w:tab w:val="clear" w:pos="8176"/>
              <w:tab w:val="right" w:pos="9026" w:leader="dot"/>
            </w:tabs>
            <w:rPr/>
          </w:pPr>
          <w:hyperlink w:anchor="__RefHeading___Toc4036605_3650668749">
            <w:r>
              <w:rPr>
                <w:webHidden/>
                <w:rStyle w:val="IndexLink"/>
                <w:rtl w:val="true"/>
              </w:rPr>
              <w:t>ب</w:t>
            </w:r>
            <w:r>
              <w:rPr>
                <w:rStyle w:val="IndexLink"/>
                <w:rtl w:val="true"/>
              </w:rPr>
              <w:t xml:space="preserve">- </w:t>
            </w:r>
            <w:r>
              <w:rPr>
                <w:rStyle w:val="IndexLink"/>
                <w:rtl w:val="true"/>
              </w:rPr>
              <w:t xml:space="preserve">عصمة أئمّة أهل‌البيت </w:t>
            </w:r>
            <w:r>
              <w:rPr>
                <w:rStyle w:val="IndexLink"/>
                <w:rtl w:val="true"/>
              </w:rPr>
              <w:t>(</w:t>
            </w:r>
            <w:r>
              <w:rPr>
                <w:rStyle w:val="IndexLink"/>
                <w:rtl w:val="true"/>
              </w:rPr>
              <w:t>ع</w:t>
            </w:r>
            <w:r>
              <w:rPr>
                <w:rStyle w:val="IndexLink"/>
                <w:rtl w:val="true"/>
              </w:rPr>
              <w:t>)</w:t>
              <w:tab/>
            </w:r>
            <w:r>
              <w:rPr>
                <w:rStyle w:val="IndexLink"/>
              </w:rPr>
              <w:t>53</w:t>
            </w:r>
          </w:hyperlink>
        </w:p>
        <w:p>
          <w:pPr>
            <w:pStyle w:val="Contents5"/>
            <w:tabs>
              <w:tab w:val="clear" w:pos="7892"/>
              <w:tab w:val="right" w:pos="9026" w:leader="dot"/>
            </w:tabs>
            <w:rPr/>
          </w:pPr>
          <w:hyperlink w:anchor="__RefHeading___Toc4036607_3650668749">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4036609_3650668749">
            <w:r>
              <w:rPr>
                <w:webHidden/>
                <w:rStyle w:val="IndexLink"/>
                <w:rtl w:val="true"/>
              </w:rPr>
              <w:t xml:space="preserve">منشأ عصمة أهل‌البيت </w:t>
            </w:r>
            <w:r>
              <w:rPr>
                <w:rStyle w:val="IndexLink"/>
                <w:rtl w:val="true"/>
              </w:rPr>
              <w:t>(</w:t>
            </w:r>
            <w:r>
              <w:rPr>
                <w:rStyle w:val="IndexLink"/>
                <w:rtl w:val="true"/>
              </w:rPr>
              <w:t>ع</w:t>
            </w:r>
            <w:r>
              <w:rPr>
                <w:rStyle w:val="IndexLink"/>
                <w:rtl w:val="true"/>
              </w:rPr>
              <w:t>)</w:t>
              <w:tab/>
            </w:r>
            <w:r>
              <w:rPr>
                <w:rStyle w:val="IndexLink"/>
              </w:rPr>
              <w:t>55</w:t>
            </w:r>
          </w:hyperlink>
        </w:p>
        <w:p>
          <w:pPr>
            <w:pStyle w:val="Contents6"/>
            <w:tabs>
              <w:tab w:val="clear" w:pos="7609"/>
              <w:tab w:val="right" w:pos="9026" w:leader="dot"/>
            </w:tabs>
            <w:rPr/>
          </w:pPr>
          <w:hyperlink w:anchor="__RefHeading___Toc4036611_3650668749">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4036613_3650668749">
            <w:r>
              <w:rPr>
                <w:webHidden/>
                <w:rStyle w:val="IndexLink"/>
                <w:rtl w:val="true"/>
              </w:rPr>
              <w:t xml:space="preserve">الأدلّة على عصمة الأئمّة </w:t>
            </w:r>
            <w:r>
              <w:rPr>
                <w:rStyle w:val="IndexLink"/>
                <w:rtl w:val="true"/>
              </w:rPr>
              <w:t>(</w:t>
            </w:r>
            <w:r>
              <w:rPr>
                <w:rStyle w:val="IndexLink"/>
                <w:rtl w:val="true"/>
              </w:rPr>
              <w:t>ع</w:t>
            </w:r>
            <w:r>
              <w:rPr>
                <w:rStyle w:val="IndexLink"/>
                <w:rtl w:val="true"/>
              </w:rPr>
              <w:t>)</w:t>
              <w:tab/>
            </w:r>
            <w:r>
              <w:rPr>
                <w:rStyle w:val="IndexLink"/>
              </w:rPr>
              <w:t>55</w:t>
            </w:r>
          </w:hyperlink>
        </w:p>
        <w:p>
          <w:pPr>
            <w:pStyle w:val="Contents6"/>
            <w:tabs>
              <w:tab w:val="clear" w:pos="7609"/>
              <w:tab w:val="right" w:pos="9026" w:leader="dot"/>
            </w:tabs>
            <w:rPr/>
          </w:pPr>
          <w:hyperlink w:anchor="__RefHeading___Toc4036615_3650668749">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4036617_3650668749">
            <w:r>
              <w:rPr>
                <w:webHidden/>
                <w:rStyle w:val="IndexLink"/>
                <w:rtl w:val="true"/>
              </w:rPr>
              <w:t>الدليل الأوّل</w:t>
            </w:r>
            <w:r>
              <w:rPr>
                <w:rStyle w:val="IndexLink"/>
                <w:rtl w:val="true"/>
              </w:rPr>
              <w:t xml:space="preserve">: </w:t>
            </w:r>
            <w:r>
              <w:rPr>
                <w:rStyle w:val="IndexLink"/>
                <w:rtl w:val="true"/>
              </w:rPr>
              <w:t>آية التطهير</w:t>
            </w:r>
            <w:r>
              <w:rPr>
                <w:rStyle w:val="IndexLink"/>
                <w:rtl w:val="true"/>
              </w:rPr>
              <w:tab/>
            </w:r>
            <w:r>
              <w:rPr>
                <w:rStyle w:val="IndexLink"/>
              </w:rPr>
              <w:t>56</w:t>
            </w:r>
          </w:hyperlink>
        </w:p>
        <w:p>
          <w:pPr>
            <w:pStyle w:val="Contents6"/>
            <w:tabs>
              <w:tab w:val="clear" w:pos="7609"/>
              <w:tab w:val="right" w:pos="9026" w:leader="dot"/>
            </w:tabs>
            <w:rPr/>
          </w:pPr>
          <w:hyperlink w:anchor="__RefHeading___Toc4036619_3650668749">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4036621_3650668749">
            <w:r>
              <w:rPr>
                <w:webHidden/>
                <w:rStyle w:val="IndexLink"/>
                <w:rtl w:val="true"/>
              </w:rPr>
              <w:t>نقض شبهة</w:t>
            </w:r>
            <w:r>
              <w:rPr>
                <w:rStyle w:val="IndexLink"/>
                <w:rtl w:val="true"/>
              </w:rPr>
              <w:tab/>
            </w:r>
            <w:r>
              <w:rPr>
                <w:rStyle w:val="IndexLink"/>
              </w:rPr>
              <w:t>58</w:t>
            </w:r>
          </w:hyperlink>
        </w:p>
        <w:p>
          <w:pPr>
            <w:pStyle w:val="Contents6"/>
            <w:tabs>
              <w:tab w:val="clear" w:pos="7609"/>
              <w:tab w:val="right" w:pos="9026" w:leader="dot"/>
            </w:tabs>
            <w:rPr/>
          </w:pPr>
          <w:hyperlink w:anchor="__RefHeading___Toc4036623_3650668749">
            <w:r>
              <w:rPr>
                <w:webHidden/>
                <w:rStyle w:val="IndexLink"/>
                <w:rtl w:val="true"/>
              </w:rPr>
              <w:t>الدليل الثاني</w:t>
            </w:r>
            <w:r>
              <w:rPr>
                <w:rStyle w:val="IndexLink"/>
                <w:rtl w:val="true"/>
              </w:rPr>
              <w:t xml:space="preserve">: </w:t>
            </w:r>
            <w:r>
              <w:rPr>
                <w:rStyle w:val="IndexLink"/>
                <w:rtl w:val="true"/>
              </w:rPr>
              <w:t>آية الابتلاء</w:t>
            </w:r>
            <w:r>
              <w:rPr>
                <w:rStyle w:val="IndexLink"/>
                <w:rtl w:val="true"/>
              </w:rPr>
              <w:tab/>
            </w:r>
            <w:r>
              <w:rPr>
                <w:rStyle w:val="IndexLink"/>
              </w:rPr>
              <w:t>60</w:t>
            </w:r>
          </w:hyperlink>
        </w:p>
        <w:p>
          <w:pPr>
            <w:pStyle w:val="Contents6"/>
            <w:tabs>
              <w:tab w:val="clear" w:pos="7609"/>
              <w:tab w:val="right" w:pos="9026" w:leader="dot"/>
            </w:tabs>
            <w:rPr/>
          </w:pPr>
          <w:hyperlink w:anchor="__RefHeading___Toc4036625_3650668749">
            <w:r>
              <w:rPr>
                <w:webHidden/>
                <w:rStyle w:val="IndexLink"/>
                <w:rtl w:val="true"/>
              </w:rPr>
              <w:t>الدليل الثالث</w:t>
            </w:r>
            <w:r>
              <w:rPr>
                <w:rStyle w:val="IndexLink"/>
                <w:rtl w:val="true"/>
              </w:rPr>
              <w:t xml:space="preserve">: </w:t>
            </w:r>
            <w:r>
              <w:rPr>
                <w:rStyle w:val="IndexLink"/>
                <w:rtl w:val="true"/>
              </w:rPr>
              <w:t>آية الطاعة</w:t>
            </w:r>
            <w:r>
              <w:rPr>
                <w:rStyle w:val="IndexLink"/>
                <w:rtl w:val="true"/>
              </w:rPr>
              <w:tab/>
            </w:r>
            <w:r>
              <w:rPr>
                <w:rStyle w:val="IndexLink"/>
              </w:rPr>
              <w:t>61</w:t>
            </w:r>
          </w:hyperlink>
        </w:p>
        <w:p>
          <w:pPr>
            <w:pStyle w:val="Contents6"/>
            <w:tabs>
              <w:tab w:val="clear" w:pos="7609"/>
              <w:tab w:val="right" w:pos="9026" w:leader="dot"/>
            </w:tabs>
            <w:rPr/>
          </w:pPr>
          <w:hyperlink w:anchor="__RefHeading___Toc4036627_3650668749">
            <w:r>
              <w:rPr>
                <w:webHidden/>
                <w:rStyle w:val="IndexLink"/>
                <w:rtl w:val="true"/>
              </w:rPr>
              <w:t>الدليل الرابع</w:t>
            </w:r>
            <w:r>
              <w:rPr>
                <w:rStyle w:val="IndexLink"/>
                <w:rtl w:val="true"/>
              </w:rPr>
              <w:t xml:space="preserve">: </w:t>
            </w:r>
            <w:r>
              <w:rPr>
                <w:rStyle w:val="IndexLink"/>
                <w:rtl w:val="true"/>
              </w:rPr>
              <w:t>حديث الثقلين</w:t>
            </w:r>
            <w:r>
              <w:rPr>
                <w:rStyle w:val="IndexLink"/>
                <w:rtl w:val="true"/>
              </w:rPr>
              <w:tab/>
            </w:r>
            <w:r>
              <w:rPr>
                <w:rStyle w:val="IndexLink"/>
              </w:rPr>
              <w:t>63</w:t>
            </w:r>
          </w:hyperlink>
        </w:p>
        <w:p>
          <w:pPr>
            <w:pStyle w:val="Contents3"/>
            <w:tabs>
              <w:tab w:val="clear" w:pos="8459"/>
              <w:tab w:val="right" w:pos="9026" w:leader="dot"/>
            </w:tabs>
            <w:rPr/>
          </w:pPr>
          <w:hyperlink w:anchor="__RefHeading___Toc4036629_3650668749">
            <w:r>
              <w:rPr>
                <w:webHidden/>
                <w:rStyle w:val="IndexLink"/>
              </w:rPr>
              <w:t>٣</w:t>
            </w:r>
            <w:r>
              <w:rPr>
                <w:rStyle w:val="IndexLink"/>
                <w:rtl w:val="true"/>
              </w:rPr>
              <w:t xml:space="preserve">- </w:t>
            </w:r>
            <w:r>
              <w:rPr>
                <w:rStyle w:val="IndexLink"/>
                <w:rtl w:val="true"/>
              </w:rPr>
              <w:t>تنصيب الإمام والنص عليه عند الشيعة</w:t>
            </w:r>
            <w:r>
              <w:rPr>
                <w:rStyle w:val="IndexLink"/>
                <w:rtl w:val="true"/>
              </w:rPr>
              <w:tab/>
            </w:r>
            <w:r>
              <w:rPr>
                <w:rStyle w:val="IndexLink"/>
              </w:rPr>
              <w:t>64</w:t>
            </w:r>
          </w:hyperlink>
        </w:p>
        <w:p>
          <w:pPr>
            <w:pStyle w:val="Contents4"/>
            <w:tabs>
              <w:tab w:val="clear" w:pos="8176"/>
              <w:tab w:val="right" w:pos="9026" w:leader="dot"/>
            </w:tabs>
            <w:rPr/>
          </w:pPr>
          <w:hyperlink w:anchor="__RefHeading___Toc4036631_3650668749">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4036633_3650668749">
            <w:r>
              <w:rPr>
                <w:webHidden/>
                <w:rStyle w:val="IndexLink"/>
                <w:rtl w:val="true"/>
              </w:rPr>
              <w:t>أ</w:t>
            </w:r>
            <w:r>
              <w:rPr>
                <w:rStyle w:val="IndexLink"/>
                <w:rtl w:val="true"/>
              </w:rPr>
              <w:t xml:space="preserve">- </w:t>
            </w:r>
            <w:r>
              <w:rPr>
                <w:rStyle w:val="IndexLink"/>
                <w:rtl w:val="true"/>
              </w:rPr>
              <w:t>النصّ على الإمامة في القرآن الكريم</w:t>
            </w:r>
            <w:r>
              <w:rPr>
                <w:rStyle w:val="IndexLink"/>
                <w:rtl w:val="true"/>
              </w:rPr>
              <w:tab/>
            </w:r>
            <w:r>
              <w:rPr>
                <w:rStyle w:val="IndexLink"/>
              </w:rPr>
              <w:t>65</w:t>
            </w:r>
          </w:hyperlink>
        </w:p>
        <w:p>
          <w:pPr>
            <w:pStyle w:val="Contents4"/>
            <w:tabs>
              <w:tab w:val="clear" w:pos="8176"/>
              <w:tab w:val="right" w:pos="9026" w:leader="dot"/>
            </w:tabs>
            <w:rPr/>
          </w:pPr>
          <w:hyperlink w:anchor="__RefHeading___Toc4036635_3650668749">
            <w:r>
              <w:rPr>
                <w:webHidden/>
                <w:rStyle w:val="IndexLink"/>
                <w:rtl w:val="true"/>
              </w:rPr>
              <w:t>ب</w:t>
            </w:r>
            <w:r>
              <w:rPr>
                <w:rStyle w:val="IndexLink"/>
                <w:rtl w:val="true"/>
              </w:rPr>
              <w:t xml:space="preserve">- </w:t>
            </w:r>
            <w:r>
              <w:rPr>
                <w:rStyle w:val="IndexLink"/>
                <w:rtl w:val="true"/>
              </w:rPr>
              <w:t xml:space="preserve">النصّ على إمامة عليّ </w:t>
            </w:r>
            <w:r>
              <w:rPr>
                <w:rStyle w:val="IndexLink"/>
                <w:rtl w:val="true"/>
              </w:rPr>
              <w:t>(</w:t>
            </w:r>
            <w:r>
              <w:rPr>
                <w:rStyle w:val="IndexLink"/>
                <w:rtl w:val="true"/>
              </w:rPr>
              <w:t>ع</w:t>
            </w:r>
            <w:r>
              <w:rPr>
                <w:rStyle w:val="IndexLink"/>
                <w:rtl w:val="true"/>
              </w:rPr>
              <w:t xml:space="preserve">) </w:t>
            </w:r>
            <w:r>
              <w:rPr>
                <w:rStyle w:val="IndexLink"/>
                <w:rtl w:val="true"/>
              </w:rPr>
              <w:t>في السنّة النبوية</w:t>
            </w:r>
            <w:r>
              <w:rPr>
                <w:rStyle w:val="IndexLink"/>
                <w:rtl w:val="true"/>
              </w:rPr>
              <w:tab/>
            </w:r>
            <w:r>
              <w:rPr>
                <w:rStyle w:val="IndexLink"/>
              </w:rPr>
              <w:t>70</w:t>
            </w:r>
          </w:hyperlink>
        </w:p>
        <w:p>
          <w:pPr>
            <w:pStyle w:val="Contents5"/>
            <w:tabs>
              <w:tab w:val="clear" w:pos="7892"/>
              <w:tab w:val="right" w:pos="9026" w:leader="dot"/>
            </w:tabs>
            <w:rPr/>
          </w:pPr>
          <w:hyperlink w:anchor="__RefHeading___Toc4036637_3650668749">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4036639_3650668749">
            <w:r>
              <w:rPr>
                <w:webHidden/>
                <w:rStyle w:val="IndexLink"/>
                <w:rtl w:val="true"/>
              </w:rPr>
              <w:t>الحديث الأول</w:t>
            </w:r>
            <w:r>
              <w:rPr>
                <w:rStyle w:val="IndexLink"/>
                <w:rtl w:val="true"/>
              </w:rPr>
              <w:t xml:space="preserve">: </w:t>
            </w:r>
            <w:r>
              <w:rPr>
                <w:rStyle w:val="IndexLink"/>
                <w:rtl w:val="true"/>
              </w:rPr>
              <w:t>حديث الغدير</w:t>
            </w:r>
            <w:r>
              <w:rPr>
                <w:rStyle w:val="IndexLink"/>
                <w:rtl w:val="true"/>
              </w:rPr>
              <w:tab/>
            </w:r>
            <w:r>
              <w:rPr>
                <w:rStyle w:val="IndexLink"/>
              </w:rPr>
              <w:t>70</w:t>
            </w:r>
          </w:hyperlink>
        </w:p>
        <w:p>
          <w:pPr>
            <w:pStyle w:val="Contents5"/>
            <w:tabs>
              <w:tab w:val="clear" w:pos="7892"/>
              <w:tab w:val="right" w:pos="9026" w:leader="dot"/>
            </w:tabs>
            <w:rPr/>
          </w:pPr>
          <w:hyperlink w:anchor="__RefHeading___Toc4036641_3650668749">
            <w:r>
              <w:rPr>
                <w:webHidden/>
                <w:rStyle w:val="IndexLink"/>
                <w:rtl w:val="true"/>
              </w:rPr>
              <w:t>الحديث الثاني</w:t>
            </w:r>
            <w:r>
              <w:rPr>
                <w:rStyle w:val="IndexLink"/>
                <w:rtl w:val="true"/>
              </w:rPr>
              <w:t xml:space="preserve">: </w:t>
            </w:r>
            <w:r>
              <w:rPr>
                <w:rStyle w:val="IndexLink"/>
                <w:rtl w:val="true"/>
              </w:rPr>
              <w:t>حديث الثقلين</w:t>
            </w:r>
            <w:r>
              <w:rPr>
                <w:rStyle w:val="IndexLink"/>
                <w:rtl w:val="true"/>
              </w:rPr>
              <w:tab/>
            </w:r>
            <w:r>
              <w:rPr>
                <w:rStyle w:val="IndexLink"/>
              </w:rPr>
              <w:t>73</w:t>
            </w:r>
          </w:hyperlink>
        </w:p>
        <w:p>
          <w:pPr>
            <w:pStyle w:val="Contents5"/>
            <w:tabs>
              <w:tab w:val="clear" w:pos="7892"/>
              <w:tab w:val="right" w:pos="9026" w:leader="dot"/>
            </w:tabs>
            <w:rPr/>
          </w:pPr>
          <w:hyperlink w:anchor="__RefHeading___Toc4036643_3650668749">
            <w:r>
              <w:rPr>
                <w:webHidden/>
                <w:rStyle w:val="IndexLink"/>
                <w:rtl w:val="true"/>
              </w:rPr>
              <w:t>الحديث الثالث</w:t>
            </w:r>
            <w:r>
              <w:rPr>
                <w:rStyle w:val="IndexLink"/>
                <w:rtl w:val="true"/>
              </w:rPr>
              <w:t xml:space="preserve">: </w:t>
            </w:r>
            <w:r>
              <w:rPr>
                <w:rStyle w:val="IndexLink"/>
                <w:rtl w:val="true"/>
              </w:rPr>
              <w:t>حديث المنزلة</w:t>
            </w:r>
            <w:r>
              <w:rPr>
                <w:rStyle w:val="IndexLink"/>
                <w:rtl w:val="true"/>
              </w:rPr>
              <w:tab/>
            </w:r>
            <w:r>
              <w:rPr>
                <w:rStyle w:val="IndexLink"/>
              </w:rPr>
              <w:t>74</w:t>
            </w:r>
          </w:hyperlink>
        </w:p>
        <w:p>
          <w:pPr>
            <w:pStyle w:val="Contents4"/>
            <w:tabs>
              <w:tab w:val="clear" w:pos="8176"/>
              <w:tab w:val="right" w:pos="9026" w:leader="dot"/>
            </w:tabs>
            <w:rPr/>
          </w:pPr>
          <w:hyperlink w:anchor="__RefHeading___Toc4036645_3650668749">
            <w:r>
              <w:rPr>
                <w:webHidden/>
                <w:rStyle w:val="IndexLink"/>
                <w:rtl w:val="true"/>
              </w:rPr>
              <w:t>ج</w:t>
            </w:r>
            <w:r>
              <w:rPr>
                <w:rStyle w:val="IndexLink"/>
                <w:rtl w:val="true"/>
              </w:rPr>
              <w:t xml:space="preserve">- </w:t>
            </w:r>
            <w:r>
              <w:rPr>
                <w:rStyle w:val="IndexLink"/>
                <w:rtl w:val="true"/>
              </w:rPr>
              <w:t>نظرة على أحداث السقيفة</w:t>
            </w:r>
            <w:r>
              <w:rPr>
                <w:rStyle w:val="IndexLink"/>
                <w:rtl w:val="true"/>
              </w:rPr>
              <w:tab/>
            </w:r>
            <w:r>
              <w:rPr>
                <w:rStyle w:val="IndexLink"/>
              </w:rPr>
              <w:t>77</w:t>
            </w:r>
          </w:hyperlink>
        </w:p>
        <w:p>
          <w:pPr>
            <w:pStyle w:val="Contents4"/>
            <w:tabs>
              <w:tab w:val="clear" w:pos="8176"/>
              <w:tab w:val="right" w:pos="9026" w:leader="dot"/>
            </w:tabs>
            <w:rPr/>
          </w:pPr>
          <w:hyperlink w:anchor="__RefHeading___Toc4036647_3650668749">
            <w:r>
              <w:rPr>
                <w:webHidden/>
                <w:rStyle w:val="IndexLink"/>
                <w:rtl w:val="true"/>
              </w:rPr>
              <w:t>د</w:t>
            </w:r>
            <w:r>
              <w:rPr>
                <w:rStyle w:val="IndexLink"/>
                <w:rtl w:val="true"/>
              </w:rPr>
              <w:t xml:space="preserve">- </w:t>
            </w:r>
            <w:r>
              <w:rPr>
                <w:rStyle w:val="IndexLink"/>
                <w:rtl w:val="true"/>
              </w:rPr>
              <w:t>النصّ على إمامة الأئمّة الاثني عشر في مصادر أهل السنّة</w:t>
            </w:r>
            <w:r>
              <w:rPr>
                <w:rStyle w:val="IndexLink"/>
                <w:rtl w:val="true"/>
              </w:rPr>
              <w:tab/>
            </w:r>
            <w:r>
              <w:rPr>
                <w:rStyle w:val="IndexLink"/>
              </w:rPr>
              <w:t>79</w:t>
            </w:r>
          </w:hyperlink>
        </w:p>
        <w:p>
          <w:pPr>
            <w:pStyle w:val="Contents2"/>
            <w:tabs>
              <w:tab w:val="clear" w:pos="8743"/>
              <w:tab w:val="right" w:pos="9026" w:leader="dot"/>
            </w:tabs>
            <w:rPr/>
          </w:pPr>
          <w:hyperlink w:anchor="__RefHeading___Toc4036649_3650668749">
            <w:r>
              <w:rPr>
                <w:webHidden/>
                <w:rStyle w:val="IndexLink"/>
                <w:rtl w:val="true"/>
              </w:rPr>
              <w:t xml:space="preserve">إطلالة على نظرية المهدي الموعود ونصوص إمامة الإمام المهدي </w:t>
            </w:r>
            <w:r>
              <w:rPr>
                <w:rStyle w:val="IndexLink"/>
                <w:rtl w:val="true"/>
              </w:rPr>
              <w:t>(</w:t>
            </w:r>
            <w:r>
              <w:rPr>
                <w:rStyle w:val="IndexLink"/>
                <w:rtl w:val="true"/>
              </w:rPr>
              <w:t>عج</w:t>
            </w:r>
            <w:r>
              <w:rPr>
                <w:rStyle w:val="IndexLink"/>
                <w:rtl w:val="true"/>
              </w:rPr>
              <w:t>)</w:t>
              <w:tab/>
            </w:r>
            <w:r>
              <w:rPr>
                <w:rStyle w:val="IndexLink"/>
              </w:rPr>
              <w:t>83</w:t>
            </w:r>
          </w:hyperlink>
        </w:p>
        <w:p>
          <w:pPr>
            <w:pStyle w:val="Contents3"/>
            <w:tabs>
              <w:tab w:val="clear" w:pos="8459"/>
              <w:tab w:val="right" w:pos="9026" w:leader="dot"/>
            </w:tabs>
            <w:rPr/>
          </w:pPr>
          <w:hyperlink w:anchor="__RefHeading___Toc4036651_3650668749">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4036653_3650668749">
            <w:r>
              <w:rPr>
                <w:webHidden/>
                <w:rStyle w:val="IndexLink"/>
              </w:rPr>
              <w:t>١</w:t>
            </w:r>
            <w:r>
              <w:rPr>
                <w:rStyle w:val="IndexLink"/>
                <w:rtl w:val="true"/>
              </w:rPr>
              <w:t xml:space="preserve">- </w:t>
            </w:r>
            <w:r>
              <w:rPr>
                <w:rStyle w:val="IndexLink"/>
                <w:rtl w:val="true"/>
              </w:rPr>
              <w:t>نظرية المهدي الموعود في القرآن</w:t>
            </w:r>
            <w:r>
              <w:rPr>
                <w:rStyle w:val="IndexLink"/>
                <w:rtl w:val="true"/>
              </w:rPr>
              <w:tab/>
            </w:r>
            <w:r>
              <w:rPr>
                <w:rStyle w:val="IndexLink"/>
              </w:rPr>
              <w:t>84</w:t>
            </w:r>
          </w:hyperlink>
        </w:p>
        <w:p>
          <w:pPr>
            <w:pStyle w:val="Contents3"/>
            <w:tabs>
              <w:tab w:val="clear" w:pos="8459"/>
              <w:tab w:val="right" w:pos="9026" w:leader="dot"/>
            </w:tabs>
            <w:rPr/>
          </w:pPr>
          <w:hyperlink w:anchor="__RefHeading___Toc4036655_3650668749">
            <w:r>
              <w:rPr>
                <w:webHidden/>
                <w:rStyle w:val="IndexLink"/>
              </w:rPr>
              <w:t>٢</w:t>
            </w:r>
            <w:r>
              <w:rPr>
                <w:rStyle w:val="IndexLink"/>
                <w:rtl w:val="true"/>
              </w:rPr>
              <w:t xml:space="preserve">- </w:t>
            </w:r>
            <w:r>
              <w:rPr>
                <w:rStyle w:val="IndexLink"/>
                <w:rtl w:val="true"/>
              </w:rPr>
              <w:t>نظرّية المهدي الموعود في السنة</w:t>
            </w:r>
            <w:r>
              <w:rPr>
                <w:rStyle w:val="IndexLink"/>
                <w:rtl w:val="true"/>
              </w:rPr>
              <w:tab/>
            </w:r>
            <w:r>
              <w:rPr>
                <w:rStyle w:val="IndexLink"/>
              </w:rPr>
              <w:t>85</w:t>
            </w:r>
          </w:hyperlink>
        </w:p>
        <w:p>
          <w:pPr>
            <w:pStyle w:val="Contents3"/>
            <w:tabs>
              <w:tab w:val="clear" w:pos="8459"/>
              <w:tab w:val="right" w:pos="9026" w:leader="dot"/>
            </w:tabs>
            <w:rPr/>
          </w:pPr>
          <w:hyperlink w:anchor="__RefHeading___Toc4036657_3650668749">
            <w:r>
              <w:rPr>
                <w:webHidden/>
                <w:rStyle w:val="IndexLink"/>
              </w:rPr>
              <w:t>٣</w:t>
            </w:r>
            <w:r>
              <w:rPr>
                <w:rStyle w:val="IndexLink"/>
                <w:rtl w:val="true"/>
              </w:rPr>
              <w:t xml:space="preserve">- </w:t>
            </w:r>
            <w:r>
              <w:rPr>
                <w:rStyle w:val="IndexLink"/>
                <w:rtl w:val="true"/>
              </w:rPr>
              <w:t xml:space="preserve">مواطن الاختلاف في نظرية المهدي الموعود </w:t>
            </w:r>
            <w:r>
              <w:rPr>
                <w:rStyle w:val="IndexLink"/>
                <w:rtl w:val="true"/>
              </w:rPr>
              <w:t>(</w:t>
            </w:r>
            <w:r>
              <w:rPr>
                <w:rStyle w:val="IndexLink"/>
                <w:rtl w:val="true"/>
              </w:rPr>
              <w:t>عج</w:t>
            </w:r>
            <w:r>
              <w:rPr>
                <w:rStyle w:val="IndexLink"/>
                <w:rtl w:val="true"/>
              </w:rPr>
              <w:t>)</w:t>
              <w:tab/>
            </w:r>
            <w:r>
              <w:rPr>
                <w:rStyle w:val="IndexLink"/>
              </w:rPr>
              <w:t>87</w:t>
            </w:r>
          </w:hyperlink>
        </w:p>
        <w:p>
          <w:pPr>
            <w:pStyle w:val="Contents4"/>
            <w:tabs>
              <w:tab w:val="clear" w:pos="8176"/>
              <w:tab w:val="right" w:pos="9026" w:leader="dot"/>
            </w:tabs>
            <w:rPr/>
          </w:pPr>
          <w:hyperlink w:anchor="__RefHeading___Toc4036659_3650668749">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4036661_3650668749">
            <w:r>
              <w:rPr>
                <w:webHidden/>
                <w:rStyle w:val="IndexLink"/>
                <w:rtl w:val="true"/>
              </w:rPr>
              <w:t xml:space="preserve">الأول </w:t>
            </w:r>
            <w:r>
              <w:rPr>
                <w:rStyle w:val="IndexLink"/>
                <w:rtl w:val="true"/>
              </w:rPr>
              <w:t xml:space="preserve">- </w:t>
            </w:r>
            <w:r>
              <w:rPr>
                <w:rStyle w:val="IndexLink"/>
                <w:rtl w:val="true"/>
              </w:rPr>
              <w:t>حديث الثقلين المتواتر</w:t>
            </w:r>
            <w:r>
              <w:rPr>
                <w:rStyle w:val="IndexLink"/>
                <w:rtl w:val="true"/>
              </w:rPr>
              <w:tab/>
            </w:r>
            <w:r>
              <w:rPr>
                <w:rStyle w:val="IndexLink"/>
              </w:rPr>
              <w:t>88</w:t>
            </w:r>
          </w:hyperlink>
        </w:p>
        <w:p>
          <w:pPr>
            <w:pStyle w:val="Contents4"/>
            <w:tabs>
              <w:tab w:val="clear" w:pos="8176"/>
              <w:tab w:val="right" w:pos="9026" w:leader="dot"/>
            </w:tabs>
            <w:rPr/>
          </w:pPr>
          <w:hyperlink w:anchor="__RefHeading___Toc4036663_3650668749">
            <w:r>
              <w:rPr>
                <w:webHidden/>
                <w:rStyle w:val="IndexLink"/>
                <w:rtl w:val="true"/>
              </w:rPr>
              <w:t xml:space="preserve">الثاني </w:t>
            </w:r>
            <w:r>
              <w:rPr>
                <w:rStyle w:val="IndexLink"/>
                <w:rtl w:val="true"/>
              </w:rPr>
              <w:t xml:space="preserve">- </w:t>
            </w:r>
            <w:r>
              <w:rPr>
                <w:rStyle w:val="IndexLink"/>
                <w:rtl w:val="true"/>
              </w:rPr>
              <w:t>حديث</w:t>
            </w:r>
            <w:r>
              <w:rPr>
                <w:rStyle w:val="IndexLink"/>
                <w:rtl w:val="true"/>
              </w:rPr>
              <w:t>: «</w:t>
            </w:r>
            <w:r>
              <w:rPr>
                <w:rStyle w:val="IndexLink"/>
                <w:rtl w:val="true"/>
              </w:rPr>
              <w:t>مَن مات ولم يَعرف إمامَ زمانهِ ماتَ مِيتةً جاهليةً</w:t>
            </w:r>
            <w:r>
              <w:rPr>
                <w:rStyle w:val="IndexLink"/>
                <w:rtl w:val="true"/>
              </w:rPr>
              <w:t>»</w:t>
              <w:tab/>
            </w:r>
            <w:r>
              <w:rPr>
                <w:rStyle w:val="IndexLink"/>
              </w:rPr>
              <w:t>88</w:t>
            </w:r>
          </w:hyperlink>
        </w:p>
        <w:p>
          <w:pPr>
            <w:pStyle w:val="Contents4"/>
            <w:tabs>
              <w:tab w:val="clear" w:pos="8176"/>
              <w:tab w:val="right" w:pos="9026" w:leader="dot"/>
            </w:tabs>
            <w:rPr/>
          </w:pPr>
          <w:hyperlink w:anchor="__RefHeading___Toc4036665_3650668749">
            <w:r>
              <w:rPr>
                <w:webHidden/>
                <w:rStyle w:val="IndexLink"/>
                <w:rtl w:val="true"/>
              </w:rPr>
              <w:t xml:space="preserve">الثالث </w:t>
            </w:r>
            <w:r>
              <w:rPr>
                <w:rStyle w:val="IndexLink"/>
                <w:rtl w:val="true"/>
              </w:rPr>
              <w:t xml:space="preserve">- </w:t>
            </w:r>
            <w:r>
              <w:rPr>
                <w:rStyle w:val="IndexLink"/>
                <w:rtl w:val="true"/>
              </w:rPr>
              <w:t>الأحاديث الدالّة على أنّ الخلفاء اثنا عشر</w:t>
            </w:r>
            <w:r>
              <w:rPr>
                <w:rStyle w:val="IndexLink"/>
                <w:rtl w:val="true"/>
              </w:rPr>
              <w:tab/>
            </w:r>
            <w:r>
              <w:rPr>
                <w:rStyle w:val="IndexLink"/>
              </w:rPr>
              <w:t>89</w:t>
            </w:r>
          </w:hyperlink>
        </w:p>
        <w:p>
          <w:pPr>
            <w:pStyle w:val="Contents4"/>
            <w:tabs>
              <w:tab w:val="clear" w:pos="8176"/>
              <w:tab w:val="right" w:pos="9026" w:leader="dot"/>
            </w:tabs>
            <w:rPr/>
          </w:pPr>
          <w:hyperlink w:anchor="__RefHeading___Toc4036667_3650668749">
            <w:r>
              <w:rPr>
                <w:webHidden/>
                <w:rStyle w:val="IndexLink"/>
                <w:rtl w:val="true"/>
              </w:rPr>
              <w:t xml:space="preserve">الرابع </w:t>
            </w:r>
            <w:r>
              <w:rPr>
                <w:rStyle w:val="IndexLink"/>
                <w:rtl w:val="true"/>
              </w:rPr>
              <w:t xml:space="preserve">- </w:t>
            </w:r>
            <w:r>
              <w:rPr>
                <w:rStyle w:val="IndexLink"/>
                <w:rtl w:val="true"/>
              </w:rPr>
              <w:t xml:space="preserve">الأحاديث الواردة عن أهل‌البيت </w:t>
            </w:r>
            <w:r>
              <w:rPr>
                <w:rStyle w:val="IndexLink"/>
                <w:rtl w:val="true"/>
              </w:rPr>
              <w:t>(</w:t>
            </w:r>
            <w:r>
              <w:rPr>
                <w:rStyle w:val="IndexLink"/>
                <w:rtl w:val="true"/>
              </w:rPr>
              <w:t>ع</w:t>
            </w:r>
            <w:r>
              <w:rPr>
                <w:rStyle w:val="IndexLink"/>
                <w:rtl w:val="true"/>
              </w:rPr>
              <w:t>)</w:t>
              <w:tab/>
            </w:r>
            <w:r>
              <w:rPr>
                <w:rStyle w:val="IndexLink"/>
              </w:rPr>
              <w:t>89</w:t>
            </w:r>
          </w:hyperlink>
        </w:p>
        <w:p>
          <w:pPr>
            <w:pStyle w:val="Contents3"/>
            <w:tabs>
              <w:tab w:val="clear" w:pos="8459"/>
              <w:tab w:val="right" w:pos="9026" w:leader="dot"/>
            </w:tabs>
            <w:rPr/>
          </w:pPr>
          <w:hyperlink w:anchor="__RefHeading___Toc4036669_3650668749">
            <w:r>
              <w:rPr>
                <w:webHidden/>
                <w:rStyle w:val="IndexLink"/>
              </w:rPr>
              <w:t>۴</w:t>
            </w:r>
            <w:r>
              <w:rPr>
                <w:rStyle w:val="IndexLink"/>
                <w:rtl w:val="true"/>
              </w:rPr>
              <w:t xml:space="preserve">- </w:t>
            </w:r>
            <w:r>
              <w:rPr>
                <w:rStyle w:val="IndexLink"/>
                <w:rtl w:val="true"/>
              </w:rPr>
              <w:t>شبهات على نظرية المهديّ الموعود</w:t>
            </w:r>
            <w:r>
              <w:rPr>
                <w:rStyle w:val="IndexLink"/>
                <w:rtl w:val="true"/>
              </w:rPr>
              <w:tab/>
            </w:r>
            <w:r>
              <w:rPr>
                <w:rStyle w:val="IndexLink"/>
              </w:rPr>
              <w:t>90</w:t>
            </w:r>
          </w:hyperlink>
        </w:p>
        <w:p>
          <w:pPr>
            <w:pStyle w:val="Contents4"/>
            <w:tabs>
              <w:tab w:val="clear" w:pos="8176"/>
              <w:tab w:val="right" w:pos="9026" w:leader="dot"/>
            </w:tabs>
            <w:rPr/>
          </w:pPr>
          <w:hyperlink w:anchor="__RefHeading___Toc4036671_3650668749">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4036673_3650668749">
            <w:r>
              <w:rPr>
                <w:webHidden/>
                <w:rStyle w:val="IndexLink"/>
                <w:rtl w:val="true"/>
              </w:rPr>
              <w:t>المحور الأوّل</w:t>
            </w:r>
            <w:r>
              <w:rPr>
                <w:rStyle w:val="IndexLink"/>
                <w:rtl w:val="true"/>
              </w:rPr>
              <w:t xml:space="preserve">: </w:t>
            </w:r>
            <w:r>
              <w:rPr>
                <w:rStyle w:val="IndexLink"/>
                <w:rtl w:val="true"/>
              </w:rPr>
              <w:t xml:space="preserve">طول عمر الإمام المهدي </w:t>
            </w:r>
            <w:r>
              <w:rPr>
                <w:rStyle w:val="IndexLink"/>
                <w:rtl w:val="true"/>
              </w:rPr>
              <w:t>(</w:t>
            </w:r>
            <w:r>
              <w:rPr>
                <w:rStyle w:val="IndexLink"/>
                <w:rtl w:val="true"/>
              </w:rPr>
              <w:t>عج</w:t>
            </w:r>
            <w:r>
              <w:rPr>
                <w:rStyle w:val="IndexLink"/>
                <w:rtl w:val="true"/>
              </w:rPr>
              <w:t>)</w:t>
              <w:tab/>
            </w:r>
            <w:r>
              <w:rPr>
                <w:rStyle w:val="IndexLink"/>
              </w:rPr>
              <w:t>91</w:t>
            </w:r>
          </w:hyperlink>
        </w:p>
        <w:p>
          <w:pPr>
            <w:pStyle w:val="Contents4"/>
            <w:tabs>
              <w:tab w:val="clear" w:pos="8176"/>
              <w:tab w:val="right" w:pos="9026" w:leader="dot"/>
            </w:tabs>
            <w:rPr/>
          </w:pPr>
          <w:hyperlink w:anchor="__RefHeading___Toc4036675_3650668749">
            <w:r>
              <w:rPr>
                <w:webHidden/>
                <w:rStyle w:val="IndexLink"/>
                <w:rtl w:val="true"/>
              </w:rPr>
              <w:t>المحور الثاني</w:t>
            </w:r>
            <w:r>
              <w:rPr>
                <w:rStyle w:val="IndexLink"/>
                <w:rtl w:val="true"/>
              </w:rPr>
              <w:t xml:space="preserve">: </w:t>
            </w:r>
            <w:r>
              <w:rPr>
                <w:rStyle w:val="IndexLink"/>
                <w:rtl w:val="true"/>
              </w:rPr>
              <w:t>الإمامة المبكّرة</w:t>
            </w:r>
            <w:r>
              <w:rPr>
                <w:rStyle w:val="IndexLink"/>
                <w:rtl w:val="true"/>
              </w:rPr>
              <w:tab/>
            </w:r>
            <w:r>
              <w:rPr>
                <w:rStyle w:val="IndexLink"/>
              </w:rPr>
              <w:t>93</w:t>
            </w:r>
          </w:hyperlink>
        </w:p>
        <w:p>
          <w:pPr>
            <w:pStyle w:val="Contents4"/>
            <w:tabs>
              <w:tab w:val="clear" w:pos="8176"/>
              <w:tab w:val="right" w:pos="9026" w:leader="dot"/>
            </w:tabs>
            <w:rPr/>
          </w:pPr>
          <w:hyperlink w:anchor="__RefHeading___Toc4036677_3650668749">
            <w:r>
              <w:rPr>
                <w:webHidden/>
                <w:rStyle w:val="IndexLink"/>
                <w:rtl w:val="true"/>
              </w:rPr>
              <w:t>المحور الثالث</w:t>
            </w:r>
            <w:r>
              <w:rPr>
                <w:rStyle w:val="IndexLink"/>
                <w:rtl w:val="true"/>
              </w:rPr>
              <w:t xml:space="preserve">: </w:t>
            </w:r>
            <w:r>
              <w:rPr>
                <w:rStyle w:val="IndexLink"/>
                <w:rtl w:val="true"/>
              </w:rPr>
              <w:t>فائدة الإمام الغائب</w:t>
            </w:r>
            <w:r>
              <w:rPr>
                <w:rStyle w:val="IndexLink"/>
                <w:rtl w:val="true"/>
              </w:rPr>
              <w:tab/>
            </w:r>
            <w:r>
              <w:rPr>
                <w:rStyle w:val="IndexLink"/>
              </w:rPr>
              <w:t>94</w:t>
            </w:r>
          </w:hyperlink>
        </w:p>
        <w:p>
          <w:pPr>
            <w:pStyle w:val="Contents2"/>
            <w:tabs>
              <w:tab w:val="clear" w:pos="8743"/>
              <w:tab w:val="right" w:pos="9026" w:leader="dot"/>
            </w:tabs>
            <w:rPr/>
          </w:pPr>
          <w:hyperlink w:anchor="__RefHeading___Toc4036679_3650668749">
            <w:r>
              <w:rPr>
                <w:webHidden/>
                <w:rStyle w:val="IndexLink"/>
                <w:rtl w:val="true"/>
              </w:rPr>
              <w:t>أهم معتقدات الشيعة</w:t>
            </w:r>
            <w:r>
              <w:rPr>
                <w:rStyle w:val="IndexLink"/>
                <w:rtl w:val="true"/>
              </w:rPr>
              <w:tab/>
            </w:r>
            <w:r>
              <w:rPr>
                <w:rStyle w:val="IndexLink"/>
              </w:rPr>
              <w:t>95</w:t>
            </w:r>
          </w:hyperlink>
        </w:p>
        <w:p>
          <w:pPr>
            <w:pStyle w:val="Contents3"/>
            <w:tabs>
              <w:tab w:val="clear" w:pos="8459"/>
              <w:tab w:val="right" w:pos="9026" w:leader="dot"/>
            </w:tabs>
            <w:rPr/>
          </w:pPr>
          <w:hyperlink w:anchor="__RefHeading___Toc4036681_3650668749">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4036683_3650668749">
            <w:r>
              <w:rPr>
                <w:webHidden/>
                <w:rStyle w:val="IndexLink"/>
                <w:rtl w:val="true"/>
              </w:rPr>
              <w:t>القسم الأوّل</w:t>
            </w:r>
            <w:r>
              <w:rPr>
                <w:rStyle w:val="IndexLink"/>
                <w:rtl w:val="true"/>
              </w:rPr>
              <w:t xml:space="preserve">: </w:t>
            </w:r>
            <w:r>
              <w:rPr>
                <w:rStyle w:val="IndexLink"/>
                <w:rtl w:val="true"/>
              </w:rPr>
              <w:t>المعتقدات الأساسية</w:t>
            </w:r>
            <w:r>
              <w:rPr>
                <w:rStyle w:val="IndexLink"/>
                <w:rtl w:val="true"/>
              </w:rPr>
              <w:tab/>
            </w:r>
            <w:r>
              <w:rPr>
                <w:rStyle w:val="IndexLink"/>
              </w:rPr>
              <w:t>95</w:t>
            </w:r>
          </w:hyperlink>
        </w:p>
        <w:p>
          <w:pPr>
            <w:pStyle w:val="Contents4"/>
            <w:tabs>
              <w:tab w:val="clear" w:pos="8176"/>
              <w:tab w:val="right" w:pos="9026" w:leader="dot"/>
            </w:tabs>
            <w:rPr/>
          </w:pPr>
          <w:hyperlink w:anchor="__RefHeading___Toc4036685_3650668749">
            <w:r>
              <w:rPr>
                <w:webHidden/>
                <w:rStyle w:val="IndexLink"/>
              </w:rPr>
              <w:t>١</w:t>
            </w:r>
            <w:r>
              <w:rPr>
                <w:rStyle w:val="IndexLink"/>
                <w:rtl w:val="true"/>
              </w:rPr>
              <w:t xml:space="preserve">- </w:t>
            </w:r>
            <w:r>
              <w:rPr>
                <w:rStyle w:val="IndexLink"/>
                <w:rtl w:val="true"/>
              </w:rPr>
              <w:t xml:space="preserve">مودة أهل‌البيت </w:t>
            </w:r>
            <w:r>
              <w:rPr>
                <w:rStyle w:val="IndexLink"/>
                <w:rtl w:val="true"/>
              </w:rPr>
              <w:t>(</w:t>
            </w:r>
            <w:r>
              <w:rPr>
                <w:rStyle w:val="IndexLink"/>
                <w:rtl w:val="true"/>
              </w:rPr>
              <w:t>ع</w:t>
            </w:r>
            <w:r>
              <w:rPr>
                <w:rStyle w:val="IndexLink"/>
                <w:rtl w:val="true"/>
              </w:rPr>
              <w:t>)</w:t>
              <w:tab/>
            </w:r>
            <w:r>
              <w:rPr>
                <w:rStyle w:val="IndexLink"/>
              </w:rPr>
              <w:t>95</w:t>
            </w:r>
          </w:hyperlink>
        </w:p>
        <w:p>
          <w:pPr>
            <w:pStyle w:val="Contents5"/>
            <w:tabs>
              <w:tab w:val="clear" w:pos="7892"/>
              <w:tab w:val="right" w:pos="9026" w:leader="dot"/>
            </w:tabs>
            <w:rPr/>
          </w:pPr>
          <w:hyperlink w:anchor="__RefHeading___Toc4036687_3650668749">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4036689_3650668749">
            <w:r>
              <w:rPr>
                <w:webHidden/>
                <w:rStyle w:val="IndexLink"/>
                <w:rtl w:val="true"/>
              </w:rPr>
              <w:t>أ</w:t>
            </w:r>
            <w:r>
              <w:rPr>
                <w:rStyle w:val="IndexLink"/>
                <w:rtl w:val="true"/>
              </w:rPr>
              <w:t xml:space="preserve">- </w:t>
            </w:r>
            <w:r>
              <w:rPr>
                <w:rStyle w:val="IndexLink"/>
                <w:rtl w:val="true"/>
              </w:rPr>
              <w:t xml:space="preserve">مودّة أهل‌البيت </w:t>
            </w:r>
            <w:r>
              <w:rPr>
                <w:rStyle w:val="IndexLink"/>
                <w:rtl w:val="true"/>
              </w:rPr>
              <w:t>(</w:t>
            </w:r>
            <w:r>
              <w:rPr>
                <w:rStyle w:val="IndexLink"/>
                <w:rtl w:val="true"/>
              </w:rPr>
              <w:t>ع</w:t>
            </w:r>
            <w:r>
              <w:rPr>
                <w:rStyle w:val="IndexLink"/>
                <w:rtl w:val="true"/>
              </w:rPr>
              <w:t xml:space="preserve">) </w:t>
            </w:r>
            <w:r>
              <w:rPr>
                <w:rStyle w:val="IndexLink"/>
                <w:rtl w:val="true"/>
              </w:rPr>
              <w:t>في القرآن</w:t>
            </w:r>
            <w:r>
              <w:rPr>
                <w:rStyle w:val="IndexLink"/>
                <w:rtl w:val="true"/>
              </w:rPr>
              <w:tab/>
            </w:r>
            <w:r>
              <w:rPr>
                <w:rStyle w:val="IndexLink"/>
              </w:rPr>
              <w:t>96</w:t>
            </w:r>
          </w:hyperlink>
        </w:p>
        <w:p>
          <w:pPr>
            <w:pStyle w:val="Contents5"/>
            <w:tabs>
              <w:tab w:val="clear" w:pos="7892"/>
              <w:tab w:val="right" w:pos="9026" w:leader="dot"/>
            </w:tabs>
            <w:rPr/>
          </w:pPr>
          <w:hyperlink w:anchor="__RefHeading___Toc4036691_3650668749">
            <w:r>
              <w:rPr>
                <w:webHidden/>
                <w:rStyle w:val="IndexLink"/>
                <w:rtl w:val="true"/>
              </w:rPr>
              <w:t>ب</w:t>
            </w:r>
            <w:r>
              <w:rPr>
                <w:rStyle w:val="IndexLink"/>
                <w:rtl w:val="true"/>
              </w:rPr>
              <w:t xml:space="preserve">- </w:t>
            </w:r>
            <w:r>
              <w:rPr>
                <w:rStyle w:val="IndexLink"/>
                <w:rtl w:val="true"/>
              </w:rPr>
              <w:t xml:space="preserve">مودّة أهل‌البيت </w:t>
            </w:r>
            <w:r>
              <w:rPr>
                <w:rStyle w:val="IndexLink"/>
                <w:rtl w:val="true"/>
              </w:rPr>
              <w:t>(</w:t>
            </w:r>
            <w:r>
              <w:rPr>
                <w:rStyle w:val="IndexLink"/>
                <w:rtl w:val="true"/>
              </w:rPr>
              <w:t>ع</w:t>
            </w:r>
            <w:r>
              <w:rPr>
                <w:rStyle w:val="IndexLink"/>
                <w:rtl w:val="true"/>
              </w:rPr>
              <w:t xml:space="preserve">) </w:t>
            </w:r>
            <w:r>
              <w:rPr>
                <w:rStyle w:val="IndexLink"/>
                <w:rtl w:val="true"/>
              </w:rPr>
              <w:t>في السنّة</w:t>
            </w:r>
            <w:r>
              <w:rPr>
                <w:rStyle w:val="IndexLink"/>
                <w:rtl w:val="true"/>
              </w:rPr>
              <w:tab/>
            </w:r>
            <w:r>
              <w:rPr>
                <w:rStyle w:val="IndexLink"/>
              </w:rPr>
              <w:t>97</w:t>
            </w:r>
          </w:hyperlink>
        </w:p>
        <w:p>
          <w:pPr>
            <w:pStyle w:val="Contents6"/>
            <w:tabs>
              <w:tab w:val="clear" w:pos="7609"/>
              <w:tab w:val="right" w:pos="9026" w:leader="dot"/>
            </w:tabs>
            <w:rPr/>
          </w:pPr>
          <w:hyperlink w:anchor="__RefHeading___Toc4036693_3650668749">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4036695_3650668749">
            <w:r>
              <w:rPr>
                <w:webHidden/>
                <w:rStyle w:val="IndexLink"/>
                <w:rtl w:val="true"/>
              </w:rPr>
              <w:t xml:space="preserve">آثار مودّة أهل‌البيت </w:t>
            </w:r>
            <w:r>
              <w:rPr>
                <w:rStyle w:val="IndexLink"/>
                <w:rtl w:val="true"/>
              </w:rPr>
              <w:t>(</w:t>
            </w:r>
            <w:r>
              <w:rPr>
                <w:rStyle w:val="IndexLink"/>
                <w:rtl w:val="true"/>
              </w:rPr>
              <w:t>ع</w:t>
            </w:r>
            <w:r>
              <w:rPr>
                <w:rStyle w:val="IndexLink"/>
                <w:rtl w:val="true"/>
              </w:rPr>
              <w:t>)</w:t>
              <w:tab/>
            </w:r>
            <w:r>
              <w:rPr>
                <w:rStyle w:val="IndexLink"/>
              </w:rPr>
              <w:t>99</w:t>
            </w:r>
          </w:hyperlink>
        </w:p>
        <w:p>
          <w:pPr>
            <w:pStyle w:val="Contents4"/>
            <w:tabs>
              <w:tab w:val="clear" w:pos="8176"/>
              <w:tab w:val="right" w:pos="9026" w:leader="dot"/>
            </w:tabs>
            <w:rPr/>
          </w:pPr>
          <w:hyperlink w:anchor="__RefHeading___Toc4036697_3650668749">
            <w:r>
              <w:rPr>
                <w:webHidden/>
                <w:rStyle w:val="IndexLink"/>
              </w:rPr>
              <w:t>٢</w:t>
            </w:r>
            <w:r>
              <w:rPr>
                <w:rStyle w:val="IndexLink"/>
                <w:rtl w:val="true"/>
              </w:rPr>
              <w:t xml:space="preserve">- </w:t>
            </w:r>
            <w:r>
              <w:rPr>
                <w:rStyle w:val="IndexLink"/>
                <w:rtl w:val="true"/>
              </w:rPr>
              <w:t>عدم الاعتقاد بعدالة جميع الصحابة</w:t>
            </w:r>
            <w:r>
              <w:rPr>
                <w:rStyle w:val="IndexLink"/>
                <w:rtl w:val="true"/>
              </w:rPr>
              <w:tab/>
            </w:r>
            <w:r>
              <w:rPr>
                <w:rStyle w:val="IndexLink"/>
              </w:rPr>
              <w:t>101</w:t>
            </w:r>
          </w:hyperlink>
        </w:p>
        <w:p>
          <w:pPr>
            <w:pStyle w:val="Contents4"/>
            <w:tabs>
              <w:tab w:val="clear" w:pos="8176"/>
              <w:tab w:val="right" w:pos="9026" w:leader="dot"/>
            </w:tabs>
            <w:rPr/>
          </w:pPr>
          <w:hyperlink w:anchor="__RefHeading___Toc4036699_3650668749">
            <w:r>
              <w:rPr>
                <w:webHidden/>
                <w:rStyle w:val="IndexLink"/>
              </w:rPr>
              <w:t>٣</w:t>
            </w:r>
            <w:r>
              <w:rPr>
                <w:rStyle w:val="IndexLink"/>
                <w:rtl w:val="true"/>
              </w:rPr>
              <w:t xml:space="preserve">- </w:t>
            </w:r>
            <w:r>
              <w:rPr>
                <w:rStyle w:val="IndexLink"/>
                <w:rtl w:val="true"/>
              </w:rPr>
              <w:t>السب واللعن</w:t>
            </w:r>
            <w:r>
              <w:rPr>
                <w:rStyle w:val="IndexLink"/>
                <w:rtl w:val="true"/>
              </w:rPr>
              <w:tab/>
            </w:r>
            <w:r>
              <w:rPr>
                <w:rStyle w:val="IndexLink"/>
              </w:rPr>
              <w:t>104</w:t>
            </w:r>
          </w:hyperlink>
        </w:p>
        <w:p>
          <w:pPr>
            <w:pStyle w:val="Contents3"/>
            <w:tabs>
              <w:tab w:val="clear" w:pos="8459"/>
              <w:tab w:val="right" w:pos="9026" w:leader="dot"/>
            </w:tabs>
            <w:rPr/>
          </w:pPr>
          <w:hyperlink w:anchor="__RefHeading___Toc4036701_3650668749">
            <w:r>
              <w:rPr>
                <w:webHidden/>
                <w:rStyle w:val="IndexLink"/>
                <w:rtl w:val="true"/>
              </w:rPr>
              <w:t>القسم الثاني</w:t>
            </w:r>
            <w:r>
              <w:rPr>
                <w:rStyle w:val="IndexLink"/>
                <w:rtl w:val="true"/>
              </w:rPr>
              <w:t xml:space="preserve">: </w:t>
            </w:r>
            <w:r>
              <w:rPr>
                <w:rStyle w:val="IndexLink"/>
                <w:rtl w:val="true"/>
              </w:rPr>
              <w:t>المعتقدات الفرعية</w:t>
            </w:r>
            <w:r>
              <w:rPr>
                <w:rStyle w:val="IndexLink"/>
                <w:rtl w:val="true"/>
              </w:rPr>
              <w:tab/>
            </w:r>
            <w:r>
              <w:rPr>
                <w:rStyle w:val="IndexLink"/>
              </w:rPr>
              <w:t>107</w:t>
            </w:r>
          </w:hyperlink>
        </w:p>
        <w:p>
          <w:pPr>
            <w:pStyle w:val="Contents4"/>
            <w:tabs>
              <w:tab w:val="clear" w:pos="8176"/>
              <w:tab w:val="right" w:pos="9026" w:leader="dot"/>
            </w:tabs>
            <w:rPr/>
          </w:pPr>
          <w:hyperlink w:anchor="__RefHeading___Toc4036703_3650668749">
            <w:r>
              <w:rPr>
                <w:webHidden/>
                <w:rStyle w:val="IndexLink"/>
              </w:rPr>
              <w:t>١</w:t>
            </w:r>
            <w:r>
              <w:rPr>
                <w:rStyle w:val="IndexLink"/>
                <w:rtl w:val="true"/>
              </w:rPr>
              <w:t xml:space="preserve">- </w:t>
            </w:r>
            <w:r>
              <w:rPr>
                <w:rStyle w:val="IndexLink"/>
                <w:rtl w:val="true"/>
              </w:rPr>
              <w:t>التقيّة</w:t>
            </w:r>
            <w:r>
              <w:rPr>
                <w:rStyle w:val="IndexLink"/>
                <w:rtl w:val="true"/>
              </w:rPr>
              <w:tab/>
            </w:r>
            <w:r>
              <w:rPr>
                <w:rStyle w:val="IndexLink"/>
              </w:rPr>
              <w:t>107</w:t>
            </w:r>
          </w:hyperlink>
        </w:p>
        <w:p>
          <w:pPr>
            <w:pStyle w:val="Contents4"/>
            <w:tabs>
              <w:tab w:val="clear" w:pos="8176"/>
              <w:tab w:val="right" w:pos="9026" w:leader="dot"/>
            </w:tabs>
            <w:rPr/>
          </w:pPr>
          <w:hyperlink w:anchor="__RefHeading___Toc4036705_3650668749">
            <w:r>
              <w:rPr>
                <w:webHidden/>
                <w:rStyle w:val="IndexLink"/>
              </w:rPr>
              <w:t>٢</w:t>
            </w:r>
            <w:r>
              <w:rPr>
                <w:rStyle w:val="IndexLink"/>
                <w:rtl w:val="true"/>
              </w:rPr>
              <w:t xml:space="preserve">- </w:t>
            </w:r>
            <w:r>
              <w:rPr>
                <w:rStyle w:val="IndexLink"/>
                <w:rtl w:val="true"/>
              </w:rPr>
              <w:t>الزواج المؤقت</w:t>
            </w:r>
            <w:r>
              <w:rPr>
                <w:rStyle w:val="IndexLink"/>
                <w:rtl w:val="true"/>
              </w:rPr>
              <w:tab/>
            </w:r>
            <w:r>
              <w:rPr>
                <w:rStyle w:val="IndexLink"/>
              </w:rPr>
              <w:t>110</w:t>
            </w:r>
          </w:hyperlink>
        </w:p>
        <w:p>
          <w:pPr>
            <w:pStyle w:val="Contents4"/>
            <w:tabs>
              <w:tab w:val="clear" w:pos="8176"/>
              <w:tab w:val="right" w:pos="9026" w:leader="dot"/>
            </w:tabs>
            <w:rPr/>
          </w:pPr>
          <w:hyperlink w:anchor="__RefHeading___Toc4036707_3650668749">
            <w:r>
              <w:rPr>
                <w:webHidden/>
                <w:rStyle w:val="IndexLink"/>
              </w:rPr>
              <w:t>٣</w:t>
            </w:r>
            <w:r>
              <w:rPr>
                <w:rStyle w:val="IndexLink"/>
                <w:rtl w:val="true"/>
              </w:rPr>
              <w:t xml:space="preserve">- </w:t>
            </w:r>
            <w:r>
              <w:rPr>
                <w:rStyle w:val="IndexLink"/>
                <w:rtl w:val="true"/>
              </w:rPr>
              <w:t>مسح الرجلين في الوضوء</w:t>
            </w:r>
            <w:r>
              <w:rPr>
                <w:rStyle w:val="IndexLink"/>
                <w:rtl w:val="true"/>
              </w:rPr>
              <w:tab/>
            </w:r>
            <w:r>
              <w:rPr>
                <w:rStyle w:val="IndexLink"/>
              </w:rPr>
              <w:t>116</w:t>
            </w:r>
          </w:hyperlink>
        </w:p>
        <w:p>
          <w:pPr>
            <w:pStyle w:val="Contents4"/>
            <w:tabs>
              <w:tab w:val="clear" w:pos="8176"/>
              <w:tab w:val="right" w:pos="9026" w:leader="dot"/>
            </w:tabs>
            <w:rPr/>
          </w:pPr>
          <w:hyperlink w:anchor="__RefHeading___Toc4036709_3650668749">
            <w:r>
              <w:rPr>
                <w:webHidden/>
                <w:rStyle w:val="IndexLink"/>
              </w:rPr>
              <w:t>۴</w:t>
            </w:r>
            <w:r>
              <w:rPr>
                <w:rStyle w:val="IndexLink"/>
                <w:rtl w:val="true"/>
              </w:rPr>
              <w:t xml:space="preserve">- </w:t>
            </w:r>
            <w:r>
              <w:rPr>
                <w:rStyle w:val="IndexLink"/>
                <w:rtl w:val="true"/>
              </w:rPr>
              <w:t>الأذان</w:t>
            </w:r>
            <w:r>
              <w:rPr>
                <w:rStyle w:val="IndexLink"/>
                <w:rtl w:val="true"/>
              </w:rPr>
              <w:tab/>
            </w:r>
            <w:r>
              <w:rPr>
                <w:rStyle w:val="IndexLink"/>
              </w:rPr>
              <w:t>120</w:t>
            </w:r>
          </w:hyperlink>
        </w:p>
        <w:p>
          <w:pPr>
            <w:pStyle w:val="Contents4"/>
            <w:tabs>
              <w:tab w:val="clear" w:pos="8176"/>
              <w:tab w:val="right" w:pos="9026" w:leader="dot"/>
            </w:tabs>
            <w:rPr/>
          </w:pPr>
          <w:hyperlink w:anchor="__RefHeading___Toc4036711_3650668749">
            <w:r>
              <w:rPr>
                <w:webHidden/>
                <w:rStyle w:val="IndexLink"/>
              </w:rPr>
              <w:t>۵</w:t>
            </w:r>
            <w:r>
              <w:rPr>
                <w:rStyle w:val="IndexLink"/>
                <w:rtl w:val="true"/>
              </w:rPr>
              <w:t xml:space="preserve">- </w:t>
            </w:r>
            <w:r>
              <w:rPr>
                <w:rStyle w:val="IndexLink"/>
                <w:rtl w:val="true"/>
              </w:rPr>
              <w:t>الصلاة</w:t>
            </w:r>
            <w:r>
              <w:rPr>
                <w:rStyle w:val="IndexLink"/>
                <w:rtl w:val="true"/>
              </w:rPr>
              <w:tab/>
            </w:r>
            <w:r>
              <w:rPr>
                <w:rStyle w:val="IndexLink"/>
              </w:rPr>
              <w:t>123</w:t>
            </w:r>
          </w:hyperlink>
        </w:p>
        <w:p>
          <w:pPr>
            <w:pStyle w:val="Contents5"/>
            <w:tabs>
              <w:tab w:val="clear" w:pos="7892"/>
              <w:tab w:val="right" w:pos="9026" w:leader="dot"/>
            </w:tabs>
            <w:rPr/>
          </w:pPr>
          <w:hyperlink w:anchor="__RefHeading___Toc4036713_3650668749">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4036715_3650668749">
            <w:r>
              <w:rPr>
                <w:webHidden/>
                <w:rStyle w:val="IndexLink"/>
                <w:rtl w:val="true"/>
              </w:rPr>
              <w:t>أ</w:t>
            </w:r>
            <w:r>
              <w:rPr>
                <w:rStyle w:val="IndexLink"/>
                <w:rtl w:val="true"/>
              </w:rPr>
              <w:t xml:space="preserve">- </w:t>
            </w:r>
            <w:r>
              <w:rPr>
                <w:rStyle w:val="IndexLink"/>
                <w:rtl w:val="true"/>
              </w:rPr>
              <w:t>التكتّف</w:t>
            </w:r>
            <w:r>
              <w:rPr>
                <w:rStyle w:val="IndexLink"/>
                <w:rtl w:val="true"/>
              </w:rPr>
              <w:tab/>
            </w:r>
            <w:r>
              <w:rPr>
                <w:rStyle w:val="IndexLink"/>
              </w:rPr>
              <w:t>123</w:t>
            </w:r>
          </w:hyperlink>
        </w:p>
        <w:p>
          <w:pPr>
            <w:pStyle w:val="Contents5"/>
            <w:tabs>
              <w:tab w:val="clear" w:pos="7892"/>
              <w:tab w:val="right" w:pos="9026" w:leader="dot"/>
            </w:tabs>
            <w:rPr/>
          </w:pPr>
          <w:hyperlink w:anchor="__RefHeading___Toc4036717_3650668749">
            <w:r>
              <w:rPr>
                <w:webHidden/>
                <w:rStyle w:val="IndexLink"/>
                <w:rtl w:val="true"/>
              </w:rPr>
              <w:t>ب</w:t>
            </w:r>
            <w:r>
              <w:rPr>
                <w:rStyle w:val="IndexLink"/>
                <w:rtl w:val="true"/>
              </w:rPr>
              <w:t xml:space="preserve">- </w:t>
            </w:r>
            <w:r>
              <w:rPr>
                <w:rStyle w:val="IndexLink"/>
                <w:rtl w:val="true"/>
              </w:rPr>
              <w:t xml:space="preserve">قول </w:t>
            </w:r>
            <w:r>
              <w:rPr>
                <w:rStyle w:val="IndexLink"/>
                <w:rtl w:val="true"/>
              </w:rPr>
              <w:t>(</w:t>
            </w:r>
            <w:r>
              <w:rPr>
                <w:rStyle w:val="IndexLink"/>
                <w:rtl w:val="true"/>
              </w:rPr>
              <w:t>آمين</w:t>
            </w:r>
            <w:r>
              <w:rPr>
                <w:rStyle w:val="IndexLink"/>
                <w:rtl w:val="true"/>
              </w:rPr>
              <w:t xml:space="preserve">) </w:t>
            </w:r>
            <w:r>
              <w:rPr>
                <w:rStyle w:val="IndexLink"/>
                <w:rtl w:val="true"/>
              </w:rPr>
              <w:t>بعد قراءة سورة الحمد في الصلاة</w:t>
            </w:r>
            <w:r>
              <w:rPr>
                <w:rStyle w:val="IndexLink"/>
                <w:rtl w:val="true"/>
              </w:rPr>
              <w:tab/>
            </w:r>
            <w:r>
              <w:rPr>
                <w:rStyle w:val="IndexLink"/>
              </w:rPr>
              <w:t>125</w:t>
            </w:r>
          </w:hyperlink>
        </w:p>
        <w:p>
          <w:pPr>
            <w:pStyle w:val="Contents5"/>
            <w:tabs>
              <w:tab w:val="clear" w:pos="7892"/>
              <w:tab w:val="right" w:pos="9026" w:leader="dot"/>
            </w:tabs>
            <w:rPr/>
          </w:pPr>
          <w:hyperlink w:anchor="__RefHeading___Toc4036719_3650668749">
            <w:r>
              <w:rPr>
                <w:webHidden/>
                <w:rStyle w:val="IndexLink"/>
                <w:rtl w:val="true"/>
              </w:rPr>
              <w:t>ج</w:t>
            </w:r>
            <w:r>
              <w:rPr>
                <w:rStyle w:val="IndexLink"/>
                <w:rtl w:val="true"/>
              </w:rPr>
              <w:t xml:space="preserve">- </w:t>
            </w:r>
            <w:r>
              <w:rPr>
                <w:rStyle w:val="IndexLink"/>
                <w:rtl w:val="true"/>
              </w:rPr>
              <w:t>السجود على التربة</w:t>
            </w:r>
            <w:r>
              <w:rPr>
                <w:rStyle w:val="IndexLink"/>
                <w:rtl w:val="true"/>
              </w:rPr>
              <w:tab/>
            </w:r>
            <w:r>
              <w:rPr>
                <w:rStyle w:val="IndexLink"/>
              </w:rPr>
              <w:t>126</w:t>
            </w:r>
          </w:hyperlink>
        </w:p>
        <w:p>
          <w:pPr>
            <w:pStyle w:val="Contents5"/>
            <w:tabs>
              <w:tab w:val="clear" w:pos="7892"/>
              <w:tab w:val="right" w:pos="9026" w:leader="dot"/>
            </w:tabs>
            <w:rPr/>
          </w:pPr>
          <w:hyperlink w:anchor="__RefHeading___Toc4036721_3650668749">
            <w:r>
              <w:rPr>
                <w:webHidden/>
                <w:rStyle w:val="IndexLink"/>
                <w:rtl w:val="true"/>
              </w:rPr>
              <w:t>د</w:t>
            </w:r>
            <w:r>
              <w:rPr>
                <w:rStyle w:val="IndexLink"/>
                <w:rtl w:val="true"/>
              </w:rPr>
              <w:t xml:space="preserve">- </w:t>
            </w:r>
            <w:r>
              <w:rPr>
                <w:rStyle w:val="IndexLink"/>
                <w:rtl w:val="true"/>
              </w:rPr>
              <w:t>الجمع بين الصلاتين</w:t>
            </w:r>
            <w:r>
              <w:rPr>
                <w:rStyle w:val="IndexLink"/>
                <w:rtl w:val="true"/>
              </w:rPr>
              <w:tab/>
            </w:r>
            <w:r>
              <w:rPr>
                <w:rStyle w:val="IndexLink"/>
              </w:rPr>
              <w:t>130</w:t>
            </w:r>
          </w:hyperlink>
        </w:p>
        <w:p>
          <w:pPr>
            <w:pStyle w:val="Contents2"/>
            <w:tabs>
              <w:tab w:val="clear" w:pos="8743"/>
              <w:tab w:val="right" w:pos="9026" w:leader="dot"/>
            </w:tabs>
            <w:rPr/>
          </w:pPr>
          <w:hyperlink w:anchor="__RefHeading___Toc4036723_3650668749">
            <w:r>
              <w:rPr>
                <w:webHidden/>
                <w:rStyle w:val="IndexLink"/>
                <w:rtl w:val="true"/>
              </w:rPr>
              <w:t>المصادر</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7_10870"/>
      <w:bookmarkStart w:id="1" w:name="pg2007_10870"/>
      <w:bookmarkEnd w:id="1"/>
    </w:p>
    <w:p>
      <w:pPr>
        <w:pStyle w:val="Heading2"/>
        <w:numPr>
          <w:ilvl w:val="1"/>
          <w:numId w:val="1"/>
        </w:numPr>
        <w:rPr/>
      </w:pPr>
      <w:bookmarkStart w:id="2" w:name="pg2007_10870"/>
      <w:bookmarkStart w:id="3" w:name="__RefHeading___Toc4036539_3650668749"/>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بابايي‌ آريا،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آشنايي با پيشينه، مباني و ديدگاه‌هاي مذهب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التشيع نشاته و عقايده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نگارش علي بابائي‌آريا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باشراف محمدتقي فخعلي؛ مترجم جعفر الجزايري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‫‭978-964-540-460-2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ف‍خ‍ل‍ع‍ي‌، م‍ح‍م‍دت‍ق‍ي‌،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ويراستار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جزايري، جعفر،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ب۲آ۵۰۴۳ ۱۳۹۲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۳۲۴۲۶۲۲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36541_365066874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07_10874"/>
      <w:bookmarkStart w:id="8" w:name="pg2007_10874"/>
      <w:bookmarkEnd w:id="8"/>
    </w:p>
    <w:p>
      <w:pPr>
        <w:pStyle w:val="Heading2"/>
        <w:numPr>
          <w:ilvl w:val="1"/>
          <w:numId w:val="1"/>
        </w:numPr>
        <w:rPr/>
      </w:pPr>
      <w:bookmarkStart w:id="9" w:name="pg2007_10874"/>
      <w:bookmarkStart w:id="10" w:name="__RefHeading___Toc4036543_3650668749"/>
      <w:bookmarkStart w:id="11" w:name="_Toc3"/>
      <w:bookmarkEnd w:id="9"/>
      <w:bookmarkEnd w:id="10"/>
      <w:r>
        <w:rPr>
          <w:rtl w:val="true"/>
        </w:rPr>
        <w:t>كلمة المعهد</w:t>
      </w:r>
      <w:bookmarkEnd w:id="11"/>
    </w:p>
    <w:p>
      <w:pPr>
        <w:pStyle w:val="BookText"/>
        <w:rPr/>
      </w:pPr>
      <w:r>
        <w:rPr>
          <w:rFonts w:ascii="Amiri" w:hAnsi="Amiri" w:eastAsia="Amiri" w:cs="Amiri"/>
          <w:color w:val="111111"/>
          <w:sz w:val="28"/>
          <w:sz w:val="28"/>
          <w:szCs w:val="28"/>
          <w:rtl w:val="true"/>
          <w:lang w:bidi="ar-SA"/>
        </w:rPr>
        <w:t>الحمد لله ربّ العالمين وصلواته على أشرف خلقه محمّدٍ وأهل بيته الطيّبين الطاهرين</w:t>
      </w:r>
    </w:p>
    <w:p>
      <w:pPr>
        <w:pStyle w:val="BookText"/>
        <w:rPr/>
      </w:pPr>
      <w:r>
        <w:rPr>
          <w:rFonts w:ascii="Amiri" w:hAnsi="Amiri" w:eastAsia="Amiri" w:cs="Amiri"/>
          <w:color w:val="111111"/>
          <w:sz w:val="28"/>
          <w:sz w:val="28"/>
          <w:szCs w:val="28"/>
          <w:rtl w:val="true"/>
          <w:lang w:bidi="ar-SA"/>
        </w:rPr>
        <w:t>يُعتبر الإنسان بفطرته كائنٌ لا يفتأ يبحث عن الكمال والسعادة، ويتحرّى السُّبُل التي توصله إلى هذا الهدف، لذلك بعث الله تعالى الأنبياء والرسل واحداً تلو الآخر لتلبية هذه الحاجة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وبعد رحيل كلّ نبيٍّ أو رسولٍ، كانت شريعته تتعرّض لكثير من التزييف والخلاف وهي حالة واجهها المسلمون كذلك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فنجم عن ذلك ظهور مذهبيْن أساسيّيْن بين المسلمين حيث اتّبعت فئةٌ من منهم مدرسة أو فلسفة الخلفاء الراشدين فأُطْلِق على أتباعها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انتهجت فئة أُخرى مدرسة آل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فسُمّوا بالشيعة، ولكلٍّ من هاتين المدرستين أُصولها ومنهجها الذي تبنّاه أصحابه ورأوا فيه مقصودهم الذي يقودهم إلى الكمال المنشود والسعادة الأزليّة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الدراسة التي قام بها الدكتور محمّد تقي فخلعي، تُمثّل رؤية تحليليّة إجماليّة لتأريخ التشيّع وجذوره العقائديّة، مُبيّناً أهمّ آراء أتباع هذا المذهب </w:t>
      </w:r>
    </w:p>
    <w:p>
      <w:pPr>
        <w:pStyle w:val="BookText"/>
        <w:rPr/>
      </w:pPr>
      <w:r>
        <w:rPr>
          <w:rFonts w:ascii="Amiri" w:hAnsi="Amiri" w:eastAsia="Amiri" w:cs="Amiri"/>
          <w:color w:val="111111"/>
          <w:sz w:val="28"/>
          <w:sz w:val="28"/>
          <w:szCs w:val="28"/>
          <w:rtl w:val="true"/>
          <w:lang w:bidi="ar-SA"/>
        </w:rPr>
        <w:t>ونظريّاتهم، ليضع الحقائق بين أيدي الطلاب راجياً من الله العليّ القدير أن يتمكّن المسلمون من معرفة بعضهم البعض بنحوٍ أفضل أملاً في تقاربهم وهدفاً لاتّحادهم في مقابل الكفر والاستكبار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قسم الكلام والمعارف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معهد الحجّ والزيارة </w:t>
      </w:r>
      <w:bookmarkStart w:id="12" w:name="pg2007_10876"/>
    </w:p>
    <w:p>
      <w:pPr>
        <w:pStyle w:val="Heading2"/>
        <w:numPr>
          <w:ilvl w:val="1"/>
          <w:numId w:val="1"/>
        </w:numPr>
        <w:rPr/>
      </w:pPr>
      <w:bookmarkStart w:id="13" w:name="__RefHeading___Toc4036545_3650668749"/>
      <w:bookmarkStart w:id="14" w:name="_Toc4"/>
      <w:bookmarkEnd w:id="12"/>
      <w:bookmarkEnd w:id="13"/>
      <w:r>
        <w:rPr>
          <w:rtl w:val="true"/>
        </w:rPr>
        <w:t>مقدمة المترجم</w:t>
      </w:r>
      <w:bookmarkEnd w:id="14"/>
    </w:p>
    <w:p>
      <w:pPr>
        <w:pStyle w:val="BookText"/>
        <w:rPr/>
      </w:pPr>
      <w:r>
        <w:rPr>
          <w:rFonts w:ascii="Amiri" w:hAnsi="Amiri" w:eastAsia="Amiri" w:cs="Amiri"/>
          <w:color w:val="111111"/>
          <w:sz w:val="28"/>
          <w:sz w:val="28"/>
          <w:szCs w:val="28"/>
          <w:rtl w:val="true"/>
          <w:lang w:bidi="ar-SA"/>
        </w:rPr>
        <w:t xml:space="preserve">إنّ رسم صورة واضحة ومفصّلة عن مذهب متكاملٍ ومدرسة فكرية، لهو مهمّة عسيرة في ظل ظروف طبيعية، فكيف بالأمر إذا ما قابل هذه الجهود ظروف موضوعية مناوئة، تشتمل على كثيرٍ من الصعوبات؛ من التعسّف في الرأي والتسرّع في الحكم والرمي بالأباطيل من قبل أتباع مدارس أخرى ومذاهب مختلفة، لأسباب أقل ما يقال في حقّها أنّها غير 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بذلك الأمر الممكن والهيّن أن يحاط مثلاً بموضوع نشأة مذهب التشيّع والنظريات المطروحة فيه، والقيام بنقاشها بشكلٍ تفصيلي وعلمي وبوريقات قليلة لتكشف ما اعتور هذه المسألة من إيهام وإبهام، هذا ناهيك عمّا لو أضيف إليها الإطلاع على أهم عقائده ومتبنّياته الفكرية على مستوى العقيدة والشريعة ممّا يتقاطع به مع بقية المذاهب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مهمة كهذه لعسيرة أن تتم بأكمل وجه في مثل هكذا شروط</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أيّها القارئ الكريم، كان هدف المؤلّف هذا الكتاب الذي بين يديك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الموضوع، تُسهم في كشف بعض أوجه الظلم والالتباس التي أحاطت بالمذهب من طرف مناوئيه، عن طريق إلصاق التهم </w:t>
      </w:r>
    </w:p>
    <w:p>
      <w:pPr>
        <w:pStyle w:val="BookText"/>
        <w:rPr/>
      </w:pPr>
      <w:r>
        <w:rPr>
          <w:rFonts w:ascii="Amiri" w:hAnsi="Amiri" w:eastAsia="Amiri" w:cs="Amiri"/>
          <w:color w:val="111111"/>
          <w:sz w:val="28"/>
          <w:sz w:val="28"/>
          <w:szCs w:val="28"/>
          <w:rtl w:val="true"/>
          <w:lang w:bidi="ar-SA"/>
        </w:rPr>
        <w:t>به ونسبة أمور له، لو كان لإحسان الظن فيها سبيل، سنعتقد أنها وقعت من دون دراية أو 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المشاكل أفرزتها عامل متعددة تمظهرت على شكل مجموعة من الإخفاقات العلمية لايمثل عدم الرجوع إلى المصادر المعتبرة عند هذا المذهب، وعدم الاعتماد على أئمّته ورجاله المهمّين في فهمه أو تفهّمه إلّا نزر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سلك المؤلّف في معالجة الإشكالية المطروحة في هذا الكتاب طريق المقارعة بالحجج والأدلّة والشواهد من مصادر القوم ومعتمد كلامهم، فأنهك نفسه في متابعة الآراء والمصادر بما يحقّق مهمّة هذا الكتيّب، فجعل منه بوريقاته القليلة ذا نفع كبير مشحون بالمصادر الموثّقة وبالأرقام والمراجع، فأحاط بمجموعة من أهم المسائل الخلافية والآراء التي هي محل أخذ ورد، وحاول أن يجيب عليها بعبارة سلسة واستدلال مفهوم بيّن، لينتفع بالكتاب أكبر شريحة ممكنة، فتعم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أناط بي معهد الحج والزيارة مشكوراً مهمّة نقل هذا الكتاب من لغته الأصلية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اللغة العربية، فقد قمت بدوري بهذه المهمة، وكنت حريصاً أن يحتفظ الكتاب بصفاته الإيجابية الآنفة الذكر، جاعلاً نصب عيني أن أنقل آراء المؤلّف كما هي بأمانة 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للقارئ الكريم لتصل رسالة المؤلف إلى قرائه باللغة العربية، من دون تدخل يؤثر على هذا الهدف سواء بتأييد أو اعتراض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الله التوفيق وعليه التكلان</w:t>
      </w:r>
    </w:p>
    <w:p>
      <w:pPr>
        <w:pStyle w:val="BookText"/>
        <w:rPr/>
      </w:pPr>
      <w:r>
        <w:rPr>
          <w:rFonts w:ascii="Amiri" w:hAnsi="Amiri" w:eastAsia="Amiri" w:cs="Amiri"/>
          <w:color w:val="111111"/>
          <w:sz w:val="28"/>
          <w:sz w:val="28"/>
          <w:szCs w:val="28"/>
          <w:rtl w:val="true"/>
          <w:lang w:bidi="ar-SA"/>
        </w:rPr>
        <w:t>جعفر الجزائري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5" w:name="pg2007_10878"/>
    </w:p>
    <w:p>
      <w:pPr>
        <w:pStyle w:val="Heading2"/>
        <w:numPr>
          <w:ilvl w:val="1"/>
          <w:numId w:val="1"/>
        </w:numPr>
        <w:rPr/>
      </w:pPr>
      <w:bookmarkStart w:id="16" w:name="__RefHeading___Toc4036547_3650668749"/>
      <w:bookmarkStart w:id="17" w:name="_Toc5"/>
      <w:bookmarkEnd w:id="15"/>
      <w:bookmarkEnd w:id="16"/>
      <w:r>
        <w:rPr>
          <w:rtl w:val="true"/>
        </w:rPr>
        <w:t>توطئة</w:t>
      </w:r>
      <w:bookmarkEnd w:id="1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اللهُ الْأَمْثالَ لِلنَّاسِ لَعَلَّهُمْ يَتَذَكَّرُونَ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لنبدأ كلامنا متسائلين عن مدى إمكانية صمود أيّ مذهب من المذاهب أمام هذا الكمّ من هجمات الأعداء التي واجهها مذهب التشيع، وكيف بقي رغم كل ذلك صامداً وشامخاً؟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فمذ فاجعة كربلاء التي ارتكبها الأمويّون بحقّ إمام هذا المذهب وأنصاره، والذين كانوا يتصوّرون أنّهم قضوا بها على سلالة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وأنهوا كابوس الرسالة المحمدية الذي كان يطاردهم، وحتى يومنا هذا؛ لم تزل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وبشهادة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لخلود التشيّع وراية خفّاقة له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كل ما فعلوه من مكرٍ وخداعٍ، ورغم العداوة التي بدرت منهم بأشد أنواعها وصولاً لما ارتكبوه من تضييق واضطهادٍ وحبس وتعذيب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ومحاولات لتشويه فكرهم وتحريف الحقائق، فقد بقيت أهدافهم بعيدة المنال ولم يحقّقوا منها شيئاً، وبقيت شجرة التشيع باسقةً تأتي </w:t>
      </w:r>
    </w:p>
    <w:p>
      <w:pPr>
        <w:pStyle w:val="BookText"/>
        <w:rPr/>
      </w:pPr>
      <w:r>
        <w:rPr>
          <w:rFonts w:ascii="Amiri" w:hAnsi="Amiri" w:eastAsia="Amiri" w:cs="Amiri"/>
          <w:color w:val="111111"/>
          <w:sz w:val="28"/>
          <w:sz w:val="28"/>
          <w:szCs w:val="28"/>
          <w:rtl w:val="true"/>
          <w:lang w:bidi="ar-SA"/>
        </w:rPr>
        <w:t>أُكلها؛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كَزَرْعٍ أَخْرَجَ شَطْأَهُ فَآزَرَهُ فَاسْتَغْلَظَ فَاسْتَوى عَلى سُوقِهِ يُعْجِبُ الزُّرَّاعَ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ولكن، ما هي حصيلة هذا الكفاح الطويل؟ وماذا نتج عنه؟</w:t>
      </w:r>
    </w:p>
    <w:p>
      <w:pPr>
        <w:pStyle w:val="BookText"/>
        <w:rPr/>
      </w:pPr>
      <w:r>
        <w:rPr>
          <w:rFonts w:ascii="Amiri" w:hAnsi="Amiri" w:eastAsia="Amiri" w:cs="Amiri"/>
          <w:color w:val="111111"/>
          <w:sz w:val="28"/>
          <w:sz w:val="28"/>
          <w:szCs w:val="28"/>
          <w:rtl w:val="true"/>
          <w:lang w:bidi="ar-SA"/>
        </w:rPr>
        <w:t>بحسب رأي كاتب هذه السطور هناك ثلاثة عناصر تمخّض عنها هذا الكفاح الطويل،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الفكري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العقلاني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الجهادية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العناصر الثلاثة هي التي ضمنت بقاء التشيع على مدى التأريخ،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الاعتدال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عنصر الموازنة والترغيب بمدرسة التشيع قِبال كلّ الحركات المتطرّفة، سواء كانت إفراطاً أم تفريطاً، والتي حاولت التقليل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العقلاني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سلاح ضد الجهل والخرافة والأفكار 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الجهادية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المصدر الذي تُستمَد منه روح المقاومة وحياة الخلود للمذهب قبال كلّ تماهلٍ أو توانٍ وخمولٍ يصيب جسد الأمّة وروحها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هذه العناصر الثلاثة يكون بمقدورنا أن نفهم ما تحتاجه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وعلينا أن لا نغفل عن أنّ بيان فكر الشيعة وواقع مذهبهم من خلال التركيز على هذه العناصر سيكون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العميق في نفوس المخاطبين والتأثير الواضح عليهم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نلمسه من فوائد للتطوّر التكنولوجي والمعلوماتي، والتي منها رفع جدران الحَجْب والكتمان عن الحقائق، وإزاحة أستار التضليل والتعتيم الفكري، لم يبقَ اليوم عذرٌ لمعتذر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ممّا يمارسه أعداء التشيع </w:t>
      </w:r>
    </w:p>
    <w:p>
      <w:pPr>
        <w:pStyle w:val="BookText"/>
        <w:rPr/>
      </w:pPr>
      <w:r>
        <w:rPr>
          <w:rFonts w:ascii="Amiri" w:hAnsi="Amiri" w:eastAsia="Amiri" w:cs="Amiri"/>
          <w:color w:val="111111"/>
          <w:sz w:val="28"/>
          <w:sz w:val="28"/>
          <w:szCs w:val="28"/>
          <w:rtl w:val="true"/>
          <w:lang w:bidi="ar-SA"/>
        </w:rPr>
        <w:t>والمعاندون، وغيرهم من الضالّين المضلِّين سعياً لتحقيق أهداف معروفة ومكشوفة للجميع، يضيفونها إلى أهداف أخرى مستورة وغير معلنة؛ من أجل تشويه صورة التشيع بأكاذيبهم وأراجيفهم الباطلة وافتراءاتهم علينا بعقائد لا نقول بها،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علي في مقام الألوهية أو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بخيانة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بتحريف القرآن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وغيرها من التهم التي لا أساس لها، والتي أوصلت الخلاف بين المذهب الشيعي وغيره إلى أوجه؛ فإنّ التطوّر الحاصل نتيجة اتّساع نطاق تقنية الاتّصالات ووسائل الإعلام، قد جعل من السهل لمن يريد الإطلاع ومعرفة الحقائق، الوصول لها بأيسر طريق وأسرعه، وجعل هذه المزاعم الكاذبة تفقد بريقها الذي تزهو به أمام أنوار الحقائق التي تسطع في أصقاع العالم والتي يتيسّر الوصول لها ما إن أردنا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تتحتّم مسئولية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الجهادية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الفكرية العظيمة في إيصال الحقائق للراغبين وكشف مغالطات وشبهات المبطلين، ورفع غبار الشك والوهم عن أنظار المبص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لبلوغ العدالة والحقيقة اللتين وعدنا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محمد تقي فخلعي</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أستاذ مساعد في جامعة فردوسي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007_10882"/>
      <w:bookmarkStart w:id="19" w:name="pg2007_10882"/>
      <w:bookmarkEnd w:id="19"/>
    </w:p>
    <w:p>
      <w:pPr>
        <w:pStyle w:val="Heading2"/>
        <w:numPr>
          <w:ilvl w:val="1"/>
          <w:numId w:val="1"/>
        </w:numPr>
        <w:rPr/>
      </w:pPr>
      <w:bookmarkStart w:id="20" w:name="pg2007_10882"/>
      <w:bookmarkStart w:id="21" w:name="__RefHeading___Toc4036549_3650668749"/>
      <w:bookmarkStart w:id="22" w:name="_Toc6"/>
      <w:bookmarkEnd w:id="20"/>
      <w:bookmarkEnd w:id="21"/>
      <w:r>
        <w:rPr>
          <w:rtl w:val="true"/>
        </w:rPr>
        <w:t>نشأة مذهب التشيع ومتبنياته الفكرية</w:t>
      </w:r>
      <w:bookmarkEnd w:id="22"/>
    </w:p>
    <w:p>
      <w:pPr>
        <w:pStyle w:val="Heading3"/>
        <w:numPr>
          <w:ilvl w:val="2"/>
          <w:numId w:val="1"/>
        </w:numPr>
        <w:rPr/>
      </w:pPr>
      <w:bookmarkStart w:id="23" w:name="__RefHeading___Toc4036551_3650668749"/>
      <w:bookmarkStart w:id="24" w:name="_Toc7"/>
      <w:bookmarkEnd w:id="23"/>
      <w:r>
        <w:rPr/>
        <w:t>١</w:t>
      </w:r>
      <w:r>
        <w:rPr>
          <w:rtl w:val="true"/>
        </w:rPr>
        <w:t xml:space="preserve">- </w:t>
      </w:r>
      <w:r>
        <w:rPr>
          <w:rtl w:val="true"/>
        </w:rPr>
        <w:t>نشأة مذهب التشيع</w:t>
      </w:r>
      <w:bookmarkEnd w:id="24"/>
    </w:p>
    <w:p>
      <w:pPr>
        <w:pStyle w:val="Heading4"/>
        <w:numPr>
          <w:ilvl w:val="3"/>
          <w:numId w:val="1"/>
        </w:numPr>
        <w:rPr/>
      </w:pPr>
      <w:bookmarkStart w:id="25" w:name="__RefHeading___Toc4036553_3650668749"/>
      <w:bookmarkStart w:id="26" w:name="_Toc8"/>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تعتبر مسألة نشأة المذهب الشيعي وتأريخه واحدة من أهم المسائل الخلافية بين 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من أهل السنّة لا يعتقدون بقِدم هذا المذهب وأصالته، ويعتبرونه مذهباً مبتدعاً وطريقةً مستحدثةً لا تمّت للإسلام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وسنقف فيمايلي على أهم هذه الآراء باختصار</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4036555_3650668749"/>
      <w:bookmarkStart w:id="28" w:name="_Toc9"/>
      <w:bookmarkEnd w:id="27"/>
      <w:r>
        <w:rPr>
          <w:rtl w:val="true"/>
        </w:rPr>
        <w:t>أ</w:t>
      </w:r>
      <w:r>
        <w:rPr>
          <w:rtl w:val="true"/>
        </w:rPr>
        <w:t xml:space="preserve">- </w:t>
      </w:r>
      <w:r>
        <w:rPr>
          <w:rtl w:val="true"/>
        </w:rPr>
        <w:t>عبد الله بن سبأ في تأريخ التشيّع</w:t>
      </w:r>
      <w:bookmarkEnd w:id="28"/>
    </w:p>
    <w:p>
      <w:pPr>
        <w:pStyle w:val="BookText"/>
        <w:rPr/>
      </w:pPr>
      <w:r>
        <w:rPr>
          <w:rFonts w:ascii="Amiri" w:hAnsi="Amiri" w:eastAsia="Amiri" w:cs="Amiri"/>
          <w:color w:val="111111"/>
          <w:sz w:val="28"/>
          <w:sz w:val="28"/>
          <w:szCs w:val="28"/>
          <w:rtl w:val="true"/>
          <w:lang w:bidi="ar-SA"/>
        </w:rPr>
        <w:t xml:space="preserve">يعتقد بعض أهل السنّة أنّ أوّل من وضع أسس المذهب الشيعي وابتدعه رجل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يهودي الأصل عاش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يعني به الاعتقاد بأفضلية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والعمل على غيره وخلافته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الحقيقة على خلاف هذا الادّعاء، إذ لا أحد من علماء السنّة البارزين يعتقد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يزعمون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أسّس المذهب الشيعي وهو من أنشأ حركة الغلو التي تحمّل أعباءها وسيّئاتها أتباع </w:t>
      </w:r>
    </w:p>
    <w:p>
      <w:pPr>
        <w:pStyle w:val="BookText"/>
        <w:rPr/>
      </w:pPr>
      <w:r>
        <w:rPr>
          <w:rFonts w:ascii="Amiri" w:hAnsi="Amiri" w:eastAsia="Amiri" w:cs="Amiri"/>
          <w:color w:val="111111"/>
          <w:sz w:val="28"/>
          <w:sz w:val="28"/>
          <w:szCs w:val="28"/>
          <w:rtl w:val="true"/>
          <w:lang w:bidi="ar-SA"/>
        </w:rPr>
        <w:t xml:space="preserve">مذهب أهل‌البيت، كالإيمان بألوهية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اعتبروه من غلاة الشيعة وأطلقوا على اتباعه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واعتبروهم فرقة من فرق الشيعة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ومن المؤكّد أنّه لا يحق لأحد أن ينسب الغلوّ إلى التشيّع؛ لأنّ هذا الطراز والفكر من الحركات الخارجة عن روح الإسلام الحنيف وأفكاره، يتعارض مع أصول الدين الإسلامي تعارضاً جذريّاً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والطائفة الشيعية والمدرسة الفكرية التي تنتمي لها لا تعترف بمثل هكذا أفكار باطلة خارجة عن منظومة أفكاره وأصوله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لا بدّ لنا من الالتفات إلى أنّ أصل وجود شخص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التأريخية أمر يشوبه الشكّ، والراوي الأساس لقصّته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شخص معروف بين محقّقي علم الرجال السنّة والشيعة بأنّه كذّاب ومفتعل للأساطير والخرافات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المحقّقين من تناول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بشكل تفصيلي، وبيّن أنّه شخصية مفتعلة وغير حقيقية</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الملفت للنظر أيضاً أنّ بعض المحقّقين السنّة والكتّاب السلفين يذهبون إلى هذا الرأي بشأن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ويشكّكون بشكلٍ جدّي في وجوده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وهذا الأمر هو الثابت على الرغم من وجود بعض الروايات في مصادر الأحاديث الشيعية التي تذكر هذه الشخصية وتحكي عمّا كانت تتّصف به من غلوٍ حالها حال الكثيرين ممّن ابتلوا بالإفراط بمعتقداتهم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وهناك روايتان الإمامين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تشيران إلى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سبأ</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وما ذكره أقدم علماء الرجال الشيعة، كالشيخ الكشّ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من روايات وردت في لعنه وتوبيخه والتي بعضها صحيح السند </w:t>
      </w:r>
      <w:r>
        <w:rPr>
          <w:rStyle w:val="FootnoteAnchor"/>
          <w:rtl w:val="true"/>
        </w:rPr>
        <w:footnoteReference w:id="7"/>
      </w:r>
      <w:r>
        <w:rPr>
          <w:rFonts w:ascii="Amiri" w:hAnsi="Amiri" w:eastAsia="Amiri" w:cs="Amiri"/>
          <w:color w:val="111111"/>
          <w:sz w:val="28"/>
          <w:sz w:val="28"/>
          <w:szCs w:val="28"/>
          <w:rtl w:val="true"/>
          <w:lang w:bidi="ar-SA"/>
        </w:rPr>
        <w:t>، لم يترك مجالاًً لدى بعض علماء الرجال الشيعة المعاصرين لإنكار وجود هذه الشخصية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وعلى كل حال، سواء قلنا بوجود هذه الشخصية أم شككنا بذلك، فما ينسب لها من آراء وعقائد منحرفة وغير صحيحة، لاصلة له بعقائد المذهب الشيعي الواضحة والمشهورة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المصادر التي ذكرت قصّته وتناولت شخصيّته اتّفقت على أنّ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إلى التوبة، ثمّ تمّ إعدامه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المصادر الشيعية التي ذكرت شخصيّته وأشارت له ولأفكاره، قد أنكرت هذه الأفكار وانتقدتها بشدّة واعتبرتها من مصاديق الكفر بالله تعالى وممّا يستحق اللعن والنبذ</w:t>
      </w:r>
      <w:r>
        <w:rPr>
          <w:rFonts w:eastAsia="Amiri" w:cs="Amiri" w:ascii="Amiri" w:hAnsi="Amiri"/>
          <w:color w:val="111111"/>
          <w:sz w:val="28"/>
          <w:szCs w:val="28"/>
          <w:rtl w:val="true"/>
          <w:lang w:bidi="ar-SA"/>
        </w:rPr>
        <w:t xml:space="preserve">. </w:t>
      </w:r>
      <w:r>
        <w:rPr>
          <w:rStyle w:val="FootnoteAnchor"/>
          <w:rtl w:val="true"/>
        </w:rPr>
        <w:footnoteReference w:id="9"/>
      </w:r>
      <w:bookmarkStart w:id="29" w:name="pg2007_10885"/>
    </w:p>
    <w:p>
      <w:pPr>
        <w:pStyle w:val="BookText"/>
        <w:rPr/>
      </w:pPr>
      <w:bookmarkEnd w:id="29"/>
      <w:r>
        <w:rPr>
          <w:rFonts w:ascii="Amiri" w:hAnsi="Amiri" w:eastAsia="Amiri" w:cs="Amiri"/>
          <w:color w:val="111111"/>
          <w:sz w:val="28"/>
          <w:sz w:val="28"/>
          <w:szCs w:val="28"/>
          <w:rtl w:val="true"/>
          <w:lang w:bidi="ar-SA"/>
        </w:rPr>
        <w:t xml:space="preserve">ولو قلبنا المصادر والتراث الشيعي رأساً على عقب فلن نجد موضعاً واحداً يذكر فيه عبدالله بن سبأ بخير، ولن نعثر على أثرٍ لأفكاره المنحرفة بشكل رسمي معتد به، فكيف يمكن 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مؤسّساً للمذهب الشيعي؟ </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4036557_3650668749"/>
      <w:bookmarkStart w:id="31" w:name="_Toc10"/>
      <w:bookmarkEnd w:id="30"/>
      <w:r>
        <w:rPr>
          <w:rtl w:val="true"/>
        </w:rPr>
        <w:t>ب</w:t>
      </w:r>
      <w:r>
        <w:rPr>
          <w:rtl w:val="true"/>
        </w:rPr>
        <w:t xml:space="preserve">- </w:t>
      </w:r>
      <w:r>
        <w:rPr>
          <w:rtl w:val="true"/>
        </w:rPr>
        <w:t>دور الحوادث التأريخية وملوك بلاد فارس في تأريخ التشيع</w:t>
      </w:r>
      <w:bookmarkEnd w:id="31"/>
    </w:p>
    <w:p>
      <w:pPr>
        <w:pStyle w:val="BookText"/>
        <w:rPr/>
      </w:pPr>
      <w:r>
        <w:rPr>
          <w:rFonts w:ascii="Amiri" w:hAnsi="Amiri" w:eastAsia="Amiri" w:cs="Amiri"/>
          <w:color w:val="111111"/>
          <w:sz w:val="28"/>
          <w:sz w:val="28"/>
          <w:szCs w:val="28"/>
          <w:rtl w:val="true"/>
          <w:lang w:bidi="ar-SA"/>
        </w:rPr>
        <w:t>يسعى البعض لاتّخاذ بعض الحوادث التأريخية بداية لظهور التشيّع، فيقولون إنّ التشيع نشأ في سقيفة بني‌ساعدة، أو بعد حرب الجمل أو بعد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ينسب البعض نشأة التشيع ويربطها بمثل آل بويه أو الصفويين، ويدّعون أنّ ملوك فارس كان لهم دورٌ في تأريخ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هذه الآراء لا دليل عليها ولا قيمة علمية لها وهي لا تعدو كونها تعصّبٍ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تكفّل السيد طالب الخرسان بالرد على مثل هذه الدعاوى بالتفصيل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ودحض هذه الادّعاءات الباطلة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بالطبع، نحن لا نذهب إلى أنّ الأحداث التأريخية وبعض العوامل والتغييرات الأخرى التي طرأت على الكيان الإسلامي ليس لها أثر في نضج المذهب الشيعي وانتشاره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الطبيعي أن يكون للزمان والأحداث التأريخية المختلفة تأثيراً على مسيرة مذهب التشيع في ازدهاره أو إنحساره، والأهم من ذلك أيضاً تأثير قادته وأئمّته الذي لهم دورٌ في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بعبارة أخرى، فممّا لا شكّ فيه أنّ مذهب التشيع في زمن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عنه في زمن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هذا الاختلاف لم يمسّ </w:t>
      </w:r>
      <w:bookmarkStart w:id="32" w:name="pg2007_10886"/>
    </w:p>
    <w:p>
      <w:pPr>
        <w:pStyle w:val="BookText"/>
        <w:rPr/>
      </w:pPr>
      <w:bookmarkEnd w:id="32"/>
      <w:r>
        <w:rPr>
          <w:rFonts w:ascii="Amiri" w:hAnsi="Amiri" w:eastAsia="Amiri" w:cs="Amiri"/>
          <w:color w:val="111111"/>
          <w:sz w:val="28"/>
          <w:sz w:val="28"/>
          <w:szCs w:val="28"/>
          <w:rtl w:val="true"/>
          <w:lang w:bidi="ar-SA"/>
        </w:rPr>
        <w:t xml:space="preserve">أصول المذهب الاعتقادية، كالإيمان بإمامة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ملازماً لاتساع المذهب وذياع 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أنّ التشيع في زمن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وبفضل الجهود العلمية الحثيثة التي بذلها تحوّل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فكرية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فالتشيع حتى ما قبل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إلى ما قبل زمن أبيه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يطرح كمذهب أو مدرسة متكاملة، وكانت حقيقته أكثر بساطة من كونه مذهباً أو مدرسة متقوّمة الأسس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يمكننا القول إنّ الفضل في ظهور التشيع وتبلوره كمذهب متكامل يعود إلى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لاقى رواجاً على أيديهما في المجتمع وانتشر بشكلٍ واسعٍ، وهذه الحقيقة هي التي تبيّن المراد من التعبير المتداول على الألسن والبعد الحقيقي لتسمية هذا المذهب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الجعفري</w:t>
      </w:r>
      <w:r>
        <w:rPr>
          <w:rFonts w:eastAsia="Amiri" w:cs="Amiri" w:ascii="Amiri" w:hAnsi="Amiri"/>
          <w:color w:val="111111"/>
          <w:sz w:val="28"/>
          <w:szCs w:val="28"/>
          <w:rtl w:val="true"/>
          <w:lang w:bidi="ar-SA"/>
        </w:rPr>
        <w:t>) .</w:t>
      </w:r>
    </w:p>
    <w:p>
      <w:pPr>
        <w:pStyle w:val="Heading4"/>
        <w:numPr>
          <w:ilvl w:val="3"/>
          <w:numId w:val="1"/>
        </w:numPr>
        <w:rPr/>
      </w:pPr>
      <w:bookmarkStart w:id="33" w:name="__RefHeading___Toc4036559_3650668749"/>
      <w:bookmarkStart w:id="34" w:name="_Toc11"/>
      <w:bookmarkEnd w:id="33"/>
      <w:r>
        <w:rPr>
          <w:rtl w:val="true"/>
        </w:rPr>
        <w:t>ج</w:t>
      </w:r>
      <w:r>
        <w:rPr>
          <w:rtl w:val="true"/>
        </w:rPr>
        <w:t xml:space="preserve">- </w:t>
      </w:r>
      <w:r>
        <w:rPr>
          <w:rtl w:val="true"/>
        </w:rPr>
        <w:t>دور الرسول في تأريخ التشيع</w:t>
      </w:r>
      <w:bookmarkEnd w:id="34"/>
    </w:p>
    <w:p>
      <w:pPr>
        <w:pStyle w:val="BookText"/>
        <w:rPr/>
      </w:pPr>
      <w:r>
        <w:rPr>
          <w:rFonts w:ascii="Amiri" w:hAnsi="Amiri" w:eastAsia="Amiri" w:cs="Amiri"/>
          <w:color w:val="111111"/>
          <w:sz w:val="28"/>
          <w:sz w:val="28"/>
          <w:szCs w:val="28"/>
          <w:rtl w:val="true"/>
          <w:lang w:bidi="ar-SA"/>
        </w:rPr>
        <w:t xml:space="preserve">في الحقيقة إنّ أصل محبّة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والاعتقاد بأفضليته العلمية والدينية وأحقّيته بالخلافة 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يعد من الأمور الواضحة التي دلّت عليها أقوال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والتي رويت بكثرة في مصادر الشيعة وأهل السنّة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شك فيه أنّ ذلك ممّا يؤيّده النقل التأريخي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بكثرة حول تلك الحقبة من أفضلية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والدينية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عام فإنّ فضائل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الحقائق التي تمّ التأكيد عليها من قبل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ومذ ذلك الحين، أحبّه الخلّص من الأصحاب واتّبعوه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وكمثال على ذلك ما ينقل عن الصحابي الشهير عبدالله </w:t>
      </w:r>
    </w:p>
    <w:p>
      <w:pPr>
        <w:pStyle w:val="BookText"/>
        <w:rPr/>
      </w:pPr>
      <w:r>
        <w:rPr>
          <w:rFonts w:ascii="Amiri" w:hAnsi="Amiri" w:eastAsia="Amiri" w:cs="Amiri"/>
          <w:color w:val="111111"/>
          <w:sz w:val="28"/>
          <w:sz w:val="28"/>
          <w:szCs w:val="28"/>
          <w:rtl w:val="true"/>
          <w:lang w:bidi="ar-SA"/>
        </w:rPr>
        <w:t xml:space="preserve">ابن مسعود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نتحدّث أن أفضل أهل المدينة علي بن أبي‌طالب</w:t>
      </w:r>
      <w:r>
        <w:rPr>
          <w:rFonts w:eastAsia="Amiri" w:cs="Amiri" w:ascii="Amiri" w:hAnsi="Amiri"/>
          <w:color w:val="111111"/>
          <w:sz w:val="28"/>
          <w:szCs w:val="28"/>
          <w:rtl w:val="true"/>
          <w:lang w:bidi="ar-SA"/>
        </w:rPr>
        <w:t xml:space="preserve">» .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وما نقل عن أبي سعيد الخدري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كنا لنعرف المنافقين نحن معش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الأنصار ببغضهم علي بن أبي‌طالب</w:t>
      </w:r>
      <w:r>
        <w:rPr>
          <w:rFonts w:eastAsia="Amiri" w:cs="Amiri" w:ascii="Amiri" w:hAnsi="Amiri"/>
          <w:color w:val="111111"/>
          <w:sz w:val="28"/>
          <w:szCs w:val="28"/>
          <w:rtl w:val="true"/>
          <w:lang w:bidi="ar-SA"/>
        </w:rPr>
        <w:t xml:space="preserve">» . </w:t>
      </w:r>
      <w:r>
        <w:rPr>
          <w:rStyle w:val="FootnoteAnchor"/>
          <w:rtl w:val="true"/>
        </w:rPr>
        <w:footnoteReference w:id="12"/>
      </w:r>
      <w:r>
        <w:rPr>
          <w:rFonts w:ascii="Amiri" w:hAnsi="Amiri" w:eastAsia="Amiri" w:cs="Amiri"/>
          <w:color w:val="111111"/>
          <w:sz w:val="28"/>
          <w:sz w:val="28"/>
          <w:szCs w:val="28"/>
          <w:rtl w:val="true"/>
          <w:lang w:bidi="ar-SA"/>
        </w:rPr>
        <w:t xml:space="preserve">وهذا المعنى نقل أيضاً عن صحابة مشهورين آخرين كأبي‌ذرٍ الغفاري </w:t>
      </w:r>
      <w:r>
        <w:rPr>
          <w:rStyle w:val="FootnoteAnchor"/>
          <w:rtl w:val="true"/>
        </w:rPr>
        <w:footnoteReference w:id="13"/>
      </w:r>
      <w:r>
        <w:rPr>
          <w:rFonts w:ascii="Amiri" w:hAnsi="Amiri" w:eastAsia="Amiri" w:cs="Amiri"/>
          <w:color w:val="111111"/>
          <w:sz w:val="28"/>
          <w:sz w:val="28"/>
          <w:szCs w:val="28"/>
          <w:rtl w:val="true"/>
          <w:lang w:bidi="ar-SA"/>
        </w:rPr>
        <w:t>، وجابر بن عبدالله الأنصاري</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وكذلك أكّد هذه الحقيقة بعض التابعين، وأقرّوا بأنّه لا يوجد بين أصحاب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أعلم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وقد اعترف أحمد بن حنبل، وهو أحد أئمّة المذاهب الأربعة، 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راحةٍ أنّه لم يرد من الفضائل في حقّ أحدٍ من الصحابة بقدر ما ورد من روايات في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16"/>
      </w:r>
      <w:r>
        <w:rPr>
          <w:rFonts w:ascii="Amiri" w:hAnsi="Amiri" w:eastAsia="Amiri" w:cs="Amiri"/>
          <w:color w:val="111111"/>
          <w:sz w:val="28"/>
          <w:sz w:val="28"/>
          <w:szCs w:val="28"/>
          <w:rtl w:val="true"/>
          <w:lang w:bidi="ar-SA"/>
        </w:rPr>
        <w:t xml:space="preserve">فهذه الروايات الكثيرة في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لا يمكن إنكارها، مع روايات كثيرة أخرى تؤكّد حقّه في الخلافة وأولويته على غيره، حيث وردت عن صحابة معروفين من أمثال سلمان وأبي ذرٍ والمقداد وعمّار وحذيفة، تؤرّخ نشأة التشيّع وتؤكّد على حقّ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المرحوم الشيخ محمد حسين كاشف الغطاء مراجعته لبعض كتب أهل السنة وإحصاءه لما يقارب من ثلاثمائه صحابي من الشيعة </w:t>
      </w:r>
      <w:r>
        <w:rPr>
          <w:rStyle w:val="FootnoteAnchor"/>
          <w:rtl w:val="true"/>
        </w:rPr>
        <w:footnoteReference w:id="17"/>
      </w:r>
      <w:r>
        <w:rPr>
          <w:rFonts w:ascii="Amiri" w:hAnsi="Amiri" w:eastAsia="Amiri" w:cs="Amiri"/>
          <w:color w:val="111111"/>
          <w:sz w:val="28"/>
          <w:sz w:val="28"/>
          <w:szCs w:val="28"/>
          <w:rtl w:val="true"/>
          <w:lang w:bidi="ar-SA"/>
        </w:rPr>
        <w:t>، وكذلك تكلّم عن هذا الأمر بالتفصيل المرحوم الشيخ محمد جواد مغنية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وعلى هذا فإنّه من الحق والإنصاف إرجاع نشأة التشيع وإقامة أركانه لشخص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صدر منه من أحاديث، وحين نريد العثور على الأوائل من الشيعة فعلينا البحث بين صحابته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هذه الحقيقة رواياتٌ وأحاديث في المصادر الروائية السنّية رُويت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ما يدعم هذه الحقيقة الاحاديث التي رُويت عن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الروائية السنّية من أنّه ذكر جماعةً وسمّاهم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واعتبرهم خير البريّة والعباد يوم القيامة، وهذه حقيقةٌ لايمكن غضّ النظر عنها أو إهمالها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وكمثال على هذه الأحاديث النبوية ما روي عن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خَيْرُ الْبَرِيَّةِ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وشيعتك</w:t>
      </w:r>
      <w:r>
        <w:rPr>
          <w:rFonts w:eastAsia="Amiri" w:cs="Amiri" w:ascii="Amiri" w:hAnsi="Amiri"/>
          <w:color w:val="111111"/>
          <w:sz w:val="28"/>
          <w:szCs w:val="28"/>
          <w:rtl w:val="true"/>
          <w:lang w:bidi="ar-SA"/>
        </w:rPr>
        <w:t xml:space="preserve">» .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وكذلك ما روي عن جابر بن عبدالله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بيده، إنّ هذا وشيعته لهم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وهذا الحديث رواه أيضاً أبو سعيد الخدري وأمّ سَلَمة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فالحقّ والإنصاف، إنّ التشيع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مفهوم أصيل طرحه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أوّل من وضع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علينا الاعتراف بأنّ التشيع انبثق من صميم الإسلام، بل هو عين الإسلام المحمّدي الأصيل، وبانيه ومؤسّسه هو شخص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bookmarkStart w:id="35" w:name="pg2007_10889"/>
    </w:p>
    <w:p>
      <w:pPr>
        <w:pStyle w:val="Heading3"/>
        <w:numPr>
          <w:ilvl w:val="2"/>
          <w:numId w:val="1"/>
        </w:numPr>
        <w:rPr/>
      </w:pPr>
      <w:bookmarkStart w:id="36" w:name="__RefHeading___Toc4036561_3650668749"/>
      <w:bookmarkStart w:id="37" w:name="_Toc12"/>
      <w:bookmarkEnd w:id="35"/>
      <w:bookmarkEnd w:id="36"/>
      <w:r>
        <w:rPr/>
        <w:t>٢</w:t>
      </w:r>
      <w:r>
        <w:rPr>
          <w:rtl w:val="true"/>
        </w:rPr>
        <w:t xml:space="preserve">- </w:t>
      </w:r>
      <w:r>
        <w:rPr>
          <w:rtl w:val="true"/>
        </w:rPr>
        <w:t>الفرق التي تنتسب إلى التشيّع</w:t>
      </w:r>
      <w:bookmarkEnd w:id="37"/>
    </w:p>
    <w:p>
      <w:pPr>
        <w:pStyle w:val="Heading4"/>
        <w:numPr>
          <w:ilvl w:val="3"/>
          <w:numId w:val="1"/>
        </w:numPr>
        <w:rPr/>
      </w:pPr>
      <w:bookmarkStart w:id="38" w:name="__RefHeading___Toc4036563_3650668749"/>
      <w:bookmarkStart w:id="39" w:name="_Toc13"/>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إنّ المذهب الشيعي ومنذ بداية تأسيسه اتّخذ في تكوينه وطبيعة أصوله شكل المذهب الاثني عشري المعروف حالياً، وهذا ما تؤكّده الروايات الكثيرة، ولكن وبمرور الزمان وبتوالي الأحداث التأريخية المختلفة ظهرت بعض الفرق التي تنتسب إليه، وأهمّها فرقتان سنشير إليهما وإلى فرقٍ فرعيةٍ أخرى فيما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4036565_3650668749"/>
      <w:bookmarkStart w:id="41" w:name="_Toc14"/>
      <w:bookmarkEnd w:id="40"/>
      <w:r>
        <w:rPr>
          <w:rtl w:val="true"/>
        </w:rPr>
        <w:t>أ</w:t>
      </w:r>
      <w:r>
        <w:rPr>
          <w:rtl w:val="true"/>
        </w:rPr>
        <w:t xml:space="preserve">- </w:t>
      </w:r>
      <w:r>
        <w:rPr>
          <w:rtl w:val="true"/>
        </w:rPr>
        <w:t>الزيدية</w:t>
      </w:r>
      <w:bookmarkEnd w:id="41"/>
    </w:p>
    <w:p>
      <w:pPr>
        <w:pStyle w:val="BookText"/>
        <w:rPr/>
      </w:pPr>
      <w:r>
        <w:rPr>
          <w:rFonts w:ascii="Amiri" w:hAnsi="Amiri" w:eastAsia="Amiri" w:cs="Amiri"/>
          <w:color w:val="111111"/>
          <w:sz w:val="28"/>
          <w:sz w:val="28"/>
          <w:szCs w:val="28"/>
          <w:rtl w:val="true"/>
          <w:lang w:bidi="ar-SA"/>
        </w:rPr>
        <w:t xml:space="preserve">تعود جذور هذه الفرقة إلى عهد زيد بن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ثار في عهد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النظام الجائر لبني أُميّة آنذاك، ولكنّ ثورته باءت بالفشل لظروف وأسباب عديدةٍ، فاستشهد بشكلٍ مأساويٍّ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بعض اتباعه الذين أسّسوا من بعده حركة واشترطوا في الإمام قيامه بالسيف والجهاد في سبيل الله تعالى ضد الحكومات الجائرة، كشرط إضافي على ما يشترطه الشيعة في الإمام سابقاً، وجعلوه شرطاً بديلاً 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رط العصمة في الإمام </w:t>
      </w:r>
      <w:r>
        <w:rPr>
          <w:rStyle w:val="FootnoteAnchor"/>
          <w:rtl w:val="true"/>
        </w:rPr>
        <w:footnoteReference w:id="22"/>
      </w:r>
      <w:r>
        <w:rPr>
          <w:rFonts w:ascii="Amiri" w:hAnsi="Amiri" w:eastAsia="Amiri" w:cs="Amiri"/>
          <w:color w:val="111111"/>
          <w:sz w:val="28"/>
          <w:sz w:val="28"/>
          <w:szCs w:val="28"/>
          <w:rtl w:val="true"/>
          <w:lang w:bidi="ar-SA"/>
        </w:rPr>
        <w:t xml:space="preserve">، وآمنوا بأنّ الإمامة لاتختصّ بنسل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كل من كان من نسل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الحق في تسنّم منصب الإمامة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الآراء التي تذهب إلى أنّ مثل هكذا أفكار ومعتقدات ليست من أفكار وعقائد شخص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يكن يرَ الإمامة في شخصه أو وُلده؛ إلا أنّ هذه الفرقة التي ظهرت بعده قد نُسبت إليه وأُطلق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والتي تعتبر اليوم من الفرق الأساسية التي تنسب للتشيّع</w:t>
      </w:r>
      <w:r>
        <w:rPr>
          <w:rFonts w:eastAsia="Amiri" w:cs="Amiri" w:ascii="Amiri" w:hAnsi="Amiri"/>
          <w:color w:val="111111"/>
          <w:sz w:val="28"/>
          <w:szCs w:val="28"/>
          <w:rtl w:val="true"/>
          <w:lang w:bidi="ar-SA"/>
        </w:rPr>
        <w:t xml:space="preserve">. </w:t>
      </w:r>
      <w:r>
        <w:rPr>
          <w:rStyle w:val="FootnoteAnchor"/>
          <w:rtl w:val="true"/>
        </w:rPr>
        <w:footnoteReference w:id="23"/>
      </w:r>
      <w:bookmarkStart w:id="42" w:name="pg2007_10890"/>
    </w:p>
    <w:p>
      <w:pPr>
        <w:pStyle w:val="Heading4"/>
        <w:numPr>
          <w:ilvl w:val="3"/>
          <w:numId w:val="1"/>
        </w:numPr>
        <w:rPr/>
      </w:pPr>
      <w:bookmarkStart w:id="43" w:name="__RefHeading___Toc4036567_3650668749"/>
      <w:bookmarkStart w:id="44" w:name="_Toc15"/>
      <w:bookmarkEnd w:id="42"/>
      <w:bookmarkEnd w:id="43"/>
      <w:r>
        <w:rPr>
          <w:rtl w:val="true"/>
        </w:rPr>
        <w:t>ب</w:t>
      </w:r>
      <w:r>
        <w:rPr>
          <w:rtl w:val="true"/>
        </w:rPr>
        <w:t xml:space="preserve">- </w:t>
      </w:r>
      <w:r>
        <w:rPr>
          <w:rtl w:val="true"/>
        </w:rPr>
        <w:t>الإسماعيليّة</w:t>
      </w:r>
      <w:bookmarkEnd w:id="44"/>
    </w:p>
    <w:p>
      <w:pPr>
        <w:pStyle w:val="BookText"/>
        <w:rPr/>
      </w:pPr>
      <w:r>
        <w:rPr>
          <w:rFonts w:ascii="Amiri" w:hAnsi="Amiri" w:eastAsia="Amiri" w:cs="Amiri"/>
          <w:color w:val="111111"/>
          <w:sz w:val="28"/>
          <w:sz w:val="28"/>
          <w:szCs w:val="28"/>
          <w:rtl w:val="true"/>
          <w:lang w:bidi="ar-SA"/>
        </w:rPr>
        <w:t xml:space="preserve">الفرقة الإسماعيليّة هي الأُخرى قد نشأت في عهد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الفرقة المنسوبة إلى ابنه الأكبر الذي لم يتمتّع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 الإمامة كالعلم 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خلاف ما كان يتصوّره بعض الشيعة من أنّ الإمامة تنتقل للابن الأكبر للإمام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انتقلت للابن الأصغر وهو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فنصّبه أبوه خليفة له وإماماً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التنصيب لم يكن مقنعاً لبعض الشيعة، وهكذا بايعوا بعد وفاة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إسماعيل، واعتقدوا بأنّ الإمامة في صلبه، ولذا أُطلق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 كل الأدلّة التي تثبت أنّ إسماعيل توفي في حياة أبيه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 يكن حيّاً قبل شهادة أبيه كي يتأهّل لمنصب الإمامة من بعده، إلّا أنّ الإسماعيلييّن قد تمسّكوا بمعتقدهم وإصرارهم على إمامته رغم بطلان ذلك، وهذه الفرقة إلى يومنا الحاضر منسوبةٌ إلى التشيّع</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036569_3650668749"/>
      <w:bookmarkStart w:id="46" w:name="_Toc16"/>
      <w:bookmarkEnd w:id="45"/>
      <w:r>
        <w:rPr>
          <w:rtl w:val="true"/>
        </w:rPr>
        <w:t>ج</w:t>
      </w:r>
      <w:r>
        <w:rPr>
          <w:rtl w:val="true"/>
        </w:rPr>
        <w:t xml:space="preserve">- </w:t>
      </w:r>
      <w:r>
        <w:rPr>
          <w:rtl w:val="true"/>
        </w:rPr>
        <w:t>الفرق الأخرى المنسوبة إلى التشيّع</w:t>
      </w:r>
      <w:bookmarkEnd w:id="46"/>
    </w:p>
    <w:p>
      <w:pPr>
        <w:pStyle w:val="BookText"/>
        <w:rPr/>
      </w:pPr>
      <w:r>
        <w:rPr>
          <w:rFonts w:ascii="Amiri" w:hAnsi="Amiri" w:eastAsia="Amiri" w:cs="Amiri"/>
          <w:color w:val="111111"/>
          <w:sz w:val="28"/>
          <w:sz w:val="28"/>
          <w:szCs w:val="28"/>
          <w:rtl w:val="true"/>
          <w:lang w:bidi="ar-SA"/>
        </w:rPr>
        <w:t>توجد في تأريخ فكر التشيّع فرق واتجاهات ثانوية أخرى أكل عليها الدهر واندثرت ولم يبقَ منها أثر،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يؤمنون بإمامة محمّد بن الحنفية ابن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توقّفوا في 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وفرق أخرى غيرها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4036571_3650668749"/>
      <w:bookmarkStart w:id="48" w:name="_Toc17"/>
      <w:bookmarkEnd w:id="47"/>
      <w:r>
        <w:rPr>
          <w:rtl w:val="true"/>
        </w:rPr>
        <w:t>د</w:t>
      </w:r>
      <w:r>
        <w:rPr>
          <w:rtl w:val="true"/>
        </w:rPr>
        <w:t xml:space="preserve">- </w:t>
      </w:r>
      <w:r>
        <w:rPr>
          <w:rtl w:val="true"/>
        </w:rPr>
        <w:t>الفرق التي يُزعم انتسابها للتشيّع</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ما ذكرناه من الفرق المنسوبة إلى التشيّع، فقد ذكر بعض المؤلّفين السنة أسماء لفرقٍ أخرى، يبدو أنّها لا تمّت بصلةٍ إلى فكر التشيّع </w:t>
      </w:r>
      <w:bookmarkStart w:id="49" w:name="pg2007_10891"/>
    </w:p>
    <w:p>
      <w:pPr>
        <w:pStyle w:val="BookText"/>
        <w:rPr/>
      </w:pPr>
      <w:bookmarkEnd w:id="49"/>
      <w:r>
        <w:rPr>
          <w:rFonts w:ascii="Amiri" w:hAnsi="Amiri" w:eastAsia="Amiri" w:cs="Amiri"/>
          <w:color w:val="111111"/>
          <w:sz w:val="28"/>
          <w:sz w:val="28"/>
          <w:szCs w:val="28"/>
          <w:rtl w:val="true"/>
          <w:lang w:bidi="ar-SA"/>
        </w:rPr>
        <w:t>ولم تذكر في تأريخ الشيعة مطلقاً؛ وإنّما هي من نسج مخيّلتهم، وعجائب وغرائب 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ذكروا فرقاً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والرزامية، والحلوية، والشاعية، والشريكية، والتناسخية، واللاعنة، والمخطّئة، وما شاكل ذلك من الأسماء التي لا تنطوي على معاني حقيقية وليس لها من الواقع حظٌّ، نسبوها إلى المذهب الشيعي كي يشوّهوا صورته في اذهان أتباعهم من أهل السنّة ويبعدوهم عن معرفة حقيقة هذا المذهب الأصيل</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إذن، يثبت لنا أنّ الفرقة الأصلية للشيعة والتي تمثّل التشيّع الحقيقيّ وينتمي إليها غالبية الشيعة، هي الفرقة التي تعتقد بإمامة الأئمّة المعصومين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الفرقة التي تُعرف عند أهل السنة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الاثنى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هنا سيكون المراد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البحث خصوص هذه الفرقة لا غير</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4036573_3650668749"/>
      <w:bookmarkStart w:id="51" w:name="_Toc18"/>
      <w:bookmarkEnd w:id="50"/>
      <w:r>
        <w:rPr>
          <w:rtl w:val="true"/>
        </w:rPr>
        <w:t>ه</w:t>
      </w:r>
      <w:r>
        <w:rPr>
          <w:rtl w:val="true"/>
        </w:rPr>
        <w:t xml:space="preserve">- </w:t>
      </w:r>
      <w:r>
        <w:rPr>
          <w:rtl w:val="true"/>
        </w:rPr>
        <w:t>الغلو والفرق المغالية</w:t>
      </w:r>
      <w:bookmarkEnd w:id="51"/>
    </w:p>
    <w:p>
      <w:pPr>
        <w:pStyle w:val="BookText"/>
        <w:rPr/>
      </w:pPr>
      <w:r>
        <w:rPr>
          <w:rFonts w:ascii="Amiri" w:hAnsi="Amiri" w:eastAsia="Amiri" w:cs="Amiri"/>
          <w:color w:val="111111"/>
          <w:sz w:val="28"/>
          <w:sz w:val="28"/>
          <w:szCs w:val="28"/>
          <w:rtl w:val="true"/>
          <w:lang w:bidi="ar-SA"/>
        </w:rPr>
        <w:t xml:space="preserve">من المناسب هنا أن نتحدث هنا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الشيعة، ونذكر أموراً موجزةً لا تخلو من فائدةٍ، إذ هناك كثير من أهل السنّة يعتبرون الغلاة فرقة من الشيعة، بل بعضهم لا يفرّق بين الشيعة والغلاة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من غلا يَغْلو غُلَوًّا، أي جاوز الحدّ </w:t>
      </w:r>
      <w:r>
        <w:rPr>
          <w:rStyle w:val="FootnoteAnchor"/>
          <w:rtl w:val="true"/>
        </w:rPr>
        <w:footnoteReference w:id="25"/>
      </w:r>
      <w:r>
        <w:rPr>
          <w:rFonts w:ascii="Amiri" w:hAnsi="Amiri" w:eastAsia="Amiri" w:cs="Amiri"/>
          <w:color w:val="111111"/>
          <w:sz w:val="28"/>
          <w:sz w:val="28"/>
          <w:szCs w:val="28"/>
          <w:rtl w:val="true"/>
          <w:lang w:bidi="ar-SA"/>
        </w:rPr>
        <w:t>، وفي الاصطلاح بمعنى الإفراط ومجاوزة الحدّ في العمل أو القول في الاعتقادات والآراء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القرآن الكريم هذا الاصطلاح حين خاطب أهل الكتاب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أَهْلَ الْكِتابِ لا تَغْلُوا فِي دِينِكُمْ غَيْرَ الْحَقِّ وَ لا تَتَّبِعُوا أَهْواءَ </w:t>
      </w:r>
    </w:p>
    <w:p>
      <w:pPr>
        <w:pStyle w:val="BookText"/>
        <w:rPr/>
      </w:pPr>
      <w:r>
        <w:rPr>
          <w:rFonts w:ascii="Amiri" w:hAnsi="Amiri" w:eastAsia="Amiri" w:cs="Amiri"/>
          <w:color w:val="111111"/>
          <w:sz w:val="28"/>
          <w:sz w:val="28"/>
          <w:szCs w:val="28"/>
          <w:rtl w:val="true"/>
          <w:lang w:bidi="ar-SA"/>
        </w:rPr>
        <w:t>قَوْمٍ قَدْ ضَلُّوا مِنْ قَبْلُ وَ أَضَلُّوا كَثِيراً وَ ضَلُّوا عَنْ سَواءِ السَّبِيلِ</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وهناك الكثير من الأبحاث في التأريخ الإسلامي حول مفهوم الغلو وجذوره ولكن ما يمكننا قوله على عجالة وبشكل موجز أنَّ في مفهوم الغلو نوع من الإبهام وعدم الدقة في تشخيص مصداقه، وعلى الرغم من اعتبار تيّار الغلو تيّاراً منحرفاً من قبل السنّة والشيعة على السواء، وعدم قبوله على أيّ مستوى كان، ولكنّ المهم في الأمر هو أن نشخّص مصداق الغلو وما ينطبق عليه مفهوم واصطلاح الغلو بدقّة، ومعرفة الفرقة المغالية أو الانسان المغالي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والغموض الذي يكتنف هذه المسألة هو أحد الخلافات بين الشيعة والسنّة، بل حتى بين الشيعة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 السنّة الذين هم بشكل عام يحترمون أهل‌البيت، يعتبرون اعتقاد الشيعة بالأئمّة وموالاتهم لهم نوعاً من الغلو والافراط، ويؤاخذونهم على ما يعتقدونه من مقام رفيع لأهل‌البيت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يعتقد الشيعة أن موالاة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المعتقدات الإسلامية الاصيلة ولايمكن أن تكون غلوّاً بأي نحوٍ كان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يُفرط البعض في معتقداتهم ويدّعون أُموراً سخيفةً من قبيل القول بألوهية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الاعتقادات في واقعها مصداقٌ جليٌّ للغلوّ، لكنّ التشيع والشيعة براء من ذلك ومنزّهون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هم أيضاً يعدّون مثل هذه التصوّرات والآراء كفر صريح ولا يقبلون أن تشيع بين أوساطهم بتاتاً، ولذا فإنّ الخلط بين الغلاة والشيعة هو تخبّطٌ وخطأ فادحٌ ولا أساس له من الصحّة</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ولاشكّ في أنّ الشيعة يعتقدون بأنّ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عبادالله وأصفياؤه وأنّ لهم مقام رفيع، وهم خلفاء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وبالتالي يرفضون أي اعتقاد يخالف هذا المبادئ الحقّة رفضاً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ويتجلّى رفض أئمّة الشيعة للغلوّ والغلاة في أحاديث كثيرة نقل بعضها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الغلاة والقدريّة</w:t>
      </w:r>
      <w:r>
        <w:rPr>
          <w:rFonts w:eastAsia="Amiri" w:cs="Amiri" w:ascii="Amiri" w:hAnsi="Amiri"/>
          <w:color w:val="111111"/>
          <w:sz w:val="28"/>
          <w:szCs w:val="28"/>
          <w:rtl w:val="true"/>
          <w:lang w:bidi="ar-SA"/>
        </w:rPr>
        <w:t xml:space="preserve">) . </w:t>
      </w:r>
      <w:r>
        <w:rPr>
          <w:rStyle w:val="FootnoteAnchor"/>
          <w:rtl w:val="true"/>
        </w:rPr>
        <w:footnoteReference w:id="27"/>
      </w:r>
      <w:bookmarkStart w:id="52" w:name="pg2007_10894"/>
    </w:p>
    <w:p>
      <w:pPr>
        <w:pStyle w:val="Heading2"/>
        <w:numPr>
          <w:ilvl w:val="1"/>
          <w:numId w:val="1"/>
        </w:numPr>
        <w:rPr/>
      </w:pPr>
      <w:bookmarkStart w:id="53" w:name="__RefHeading___Toc4036575_3650668749"/>
      <w:bookmarkStart w:id="54" w:name="_Toc19"/>
      <w:bookmarkEnd w:id="52"/>
      <w:bookmarkEnd w:id="53"/>
      <w:r>
        <w:rPr>
          <w:rtl w:val="true"/>
        </w:rPr>
        <w:t>أصول الاعتقاد عند الشيعة واختلافها عن سائر المذاهب</w:t>
      </w:r>
      <w:bookmarkEnd w:id="54"/>
    </w:p>
    <w:p>
      <w:pPr>
        <w:pStyle w:val="Heading3"/>
        <w:numPr>
          <w:ilvl w:val="2"/>
          <w:numId w:val="1"/>
        </w:numPr>
        <w:rPr/>
      </w:pPr>
      <w:bookmarkStart w:id="55" w:name="__RefHeading___Toc4036577_3650668749"/>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إذا ما أردنا أن نحص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أصول الشيعة التي تعد أهمّ نقطةٍ لاختلاف المذهب الشيعي عن بقية المذاهب، فيمكننا أن نضعها في كلمة واحدة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الشيعة أنّ الإمامة هي أصل وأساس تأريخي للمذهب وتعود في أساسها الى القرآن وأحاديث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فالإمامة عبارة عن مفهوم مقدّس لدى الشيعة، وهي استمرار لحركة الأنبياء عبر التأريخ، وهي فرع شجرة النبوّة اليانع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أَصْلُها ثابِتٌ وَ 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فهذه الامامة لا تفترق عن النبوّة إلّا في مسألة الوحي، وهي زعامة لأمور الدين والدنيا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التعبير عن هذا المعتقد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عند الشيعة سماويّة، والإمامة عند السنّة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يعتبرون الإمامة من سنخ النبوّة وامتداداً لها وليست عينها، والسنّة يعتبرونها نوع سلطنة فحسب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فإنّ الإمامة عند أهل السنة بمعنى تولّي شؤون السياسة </w:t>
      </w:r>
      <w:bookmarkStart w:id="57" w:name="pg2007_10895"/>
    </w:p>
    <w:p>
      <w:pPr>
        <w:pStyle w:val="BookText"/>
        <w:rPr/>
      </w:pPr>
      <w:bookmarkEnd w:id="57"/>
      <w:r>
        <w:rPr>
          <w:rFonts w:ascii="Amiri" w:hAnsi="Amiri" w:eastAsia="Amiri" w:cs="Amiri"/>
          <w:color w:val="111111"/>
          <w:sz w:val="28"/>
          <w:sz w:val="28"/>
          <w:szCs w:val="28"/>
          <w:rtl w:val="true"/>
          <w:lang w:bidi="ar-SA"/>
        </w:rPr>
        <w:t>بعيداً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نراهم يتّبعون كلّ حاكمٍ وإن كان ظالماً، ويوجبون طاعته حيث لا يكترثون بالطريقة التي وصل بها إلى كرسي الحكم على خلاف ما يذهب إليه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يرى الشيعة أنّ الإمامة ترتكز على ثلاثة محاور،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تنصيبه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المحاور الثلاثة هي العناصر الأساسيّة في الفكر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سنبحث هذه الأسس والمباني الثلاث</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036579_3650668749"/>
      <w:bookmarkStart w:id="59" w:name="_Toc21"/>
      <w:bookmarkEnd w:id="58"/>
      <w:r>
        <w:rPr/>
        <w:t>١</w:t>
      </w:r>
      <w:r>
        <w:rPr>
          <w:rtl w:val="true"/>
        </w:rPr>
        <w:t xml:space="preserve">- </w:t>
      </w:r>
      <w:r>
        <w:rPr>
          <w:rtl w:val="true"/>
        </w:rPr>
        <w:t>علم الإمام من وجهة نظر الشيعة</w:t>
      </w:r>
      <w:bookmarkEnd w:id="59"/>
    </w:p>
    <w:p>
      <w:pPr>
        <w:pStyle w:val="Heading4"/>
        <w:numPr>
          <w:ilvl w:val="3"/>
          <w:numId w:val="1"/>
        </w:numPr>
        <w:rPr/>
      </w:pPr>
      <w:bookmarkStart w:id="60" w:name="__RefHeading___Toc4036581_3650668749"/>
      <w:bookmarkStart w:id="61" w:name="_Toc22"/>
      <w:bookmarkEnd w:id="60"/>
      <w:r>
        <w:rPr>
          <w:rtl w:val="true"/>
        </w:rPr>
        <w:t>أ</w:t>
      </w:r>
      <w:r>
        <w:rPr>
          <w:rtl w:val="true"/>
        </w:rPr>
        <w:t xml:space="preserve">- </w:t>
      </w:r>
      <w:r>
        <w:rPr>
          <w:rtl w:val="true"/>
        </w:rPr>
        <w:t>اشتراط كون الإمام أعلم من غيره</w:t>
      </w:r>
      <w:bookmarkEnd w:id="61"/>
    </w:p>
    <w:p>
      <w:pPr>
        <w:pStyle w:val="BookText"/>
        <w:rPr/>
      </w:pPr>
      <w:r>
        <w:rPr>
          <w:rFonts w:ascii="Amiri" w:hAnsi="Amiri" w:eastAsia="Amiri" w:cs="Amiri"/>
          <w:color w:val="111111"/>
          <w:sz w:val="28"/>
          <w:sz w:val="28"/>
          <w:szCs w:val="28"/>
          <w:rtl w:val="true"/>
          <w:lang w:bidi="ar-SA"/>
        </w:rPr>
        <w:t xml:space="preserve">من المسائل الثابتة في المذهب الشيعي هي الاعتقاد بوجوب كون الإمام محيطاً بالعلوم والمعارف، وهو ما يسمى 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فيعتقدون بأنّ العقل والنقل لا يحكمان بإمامة شخصٍ لآخر أعلم منه وأكثر دراية واطلاعاً منه في العلم والتدبير، وربّما يحتاج إليه في تدبير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الأمر غير منطقي، ويتعارض مع مقاييس الحق والعدالة وتطبيقهما في المجتمع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نبّه القرآن الكريم على هذا الأمر عدّة مرات، وممّا جاء في آياته الكريمة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وكذلك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يَهْدِي إِلَى الْحَقِّ </w:t>
      </w:r>
    </w:p>
    <w:p>
      <w:pPr>
        <w:pStyle w:val="BookText"/>
        <w:rPr/>
      </w:pPr>
      <w:r>
        <w:rPr>
          <w:rFonts w:ascii="Amiri" w:hAnsi="Amiri" w:eastAsia="Amiri" w:cs="Amiri"/>
          <w:color w:val="111111"/>
          <w:sz w:val="28"/>
          <w:sz w:val="28"/>
          <w:szCs w:val="28"/>
          <w:rtl w:val="true"/>
          <w:lang w:bidi="ar-SA"/>
        </w:rPr>
        <w:t>أَحَقُّ أَنْ يُتَّبَعَ أَمَّنْ لا يَهِدِّي إِلَّا أَنْ يُهْدَى فَما لَكُمْ كَيْفَ تَحْكُمُونَ</w:t>
      </w:r>
      <w:r>
        <w:rPr>
          <w:rFonts w:eastAsia="Amiri" w:cs="Amiri" w:ascii="Amiri" w:hAnsi="Amiri"/>
          <w:color w:val="111111"/>
          <w:sz w:val="28"/>
          <w:szCs w:val="28"/>
          <w:rtl w:val="true"/>
          <w:lang w:bidi="ar-SA"/>
        </w:rPr>
        <w:t xml:space="preserve">) . </w:t>
      </w:r>
      <w:r>
        <w:rPr>
          <w:rStyle w:val="FootnoteAnchor"/>
          <w:rtl w:val="true"/>
        </w:rPr>
        <w:footnoteReference w:id="30"/>
      </w:r>
      <w:r>
        <w:rPr>
          <w:rFonts w:ascii="Amiri" w:hAnsi="Amiri" w:eastAsia="Amiri" w:cs="Amiri"/>
          <w:color w:val="111111"/>
          <w:sz w:val="28"/>
          <w:sz w:val="28"/>
          <w:szCs w:val="28"/>
          <w:rtl w:val="true"/>
          <w:lang w:bidi="ar-SA"/>
        </w:rPr>
        <w:t>ففي هاتين الآيتين دليل واضح وتأكيد شديد على ضرورة أن يكون الإمام أعلم من غيره؛ فالشخص الأعلم هو أجدر بأن يوصل الأمّة إلى سبيل الهدى وهو أعرف بمصلحتها وأنسب من غيره لقيادتها لتحقيق الخير والعدالة، فهو أجدر بالإمامة من ذلك الشخص الذي هو بنفسه بحاجة إلى مَن يوصله ويهديه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أصلٌ منطقيٌّ لا يقبل الخطأ وحقيقةٌ يقرّ بها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فالتجارب البشرية تثبت لنا أنّ من يُعرض عن هذه الحقيقة وهذا الأصل المنطقيّ في حساباته السياسية سيواجه حتماً مشاكل كثيرة وانحرافات خطيرة عن جادة العدل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والطريف أنّ الأحاديث المروية في مصادر السنّة تتضمّن ما يؤيّد هذا الأصل العقلائي الذي يتّبعه الشيعة، وكمثال على ذلك، إليك هذا الحديث المروي في سنن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استعمل عاملاً من المسلمين وهو يعلم أنّ فيهم أولى بذلك منه وأعلم بكتاب الله وسنّة نبيّه فقد خان الله ورسوله وجميع المسلمين</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ونقل في مصدر حديثي آخر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ولّت أمّة أمرها رجلاً وفيهم من هو أعلم منه إلّا لم يزل يذهب أمرهم سفالاً حتى يرجعوا إلى ما تركوه</w:t>
      </w:r>
      <w:r>
        <w:rPr>
          <w:rFonts w:eastAsia="Amiri" w:cs="Amiri" w:ascii="Amiri" w:hAnsi="Amiri"/>
          <w:color w:val="111111"/>
          <w:sz w:val="28"/>
          <w:szCs w:val="28"/>
          <w:rtl w:val="true"/>
          <w:lang w:bidi="ar-SA"/>
        </w:rPr>
        <w:t xml:space="preserve">» . </w:t>
      </w:r>
      <w:r>
        <w:rPr>
          <w:rStyle w:val="FootnoteAnchor"/>
          <w:rtl w:val="true"/>
        </w:rPr>
        <w:footnoteReference w:id="3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أشبع الشيخ محمّد حسين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البحث تفصيلاً </w:t>
      </w:r>
      <w:bookmarkStart w:id="62" w:name="pg2007_10897"/>
    </w:p>
    <w:p>
      <w:pPr>
        <w:pStyle w:val="BookText"/>
        <w:rPr/>
      </w:pPr>
      <w:bookmarkEnd w:id="62"/>
      <w:r>
        <w:rPr>
          <w:rFonts w:ascii="Amiri" w:hAnsi="Amiri" w:eastAsia="Amiri" w:cs="Amiri"/>
          <w:color w:val="111111"/>
          <w:sz w:val="28"/>
          <w:sz w:val="28"/>
          <w:szCs w:val="28"/>
          <w:rtl w:val="true"/>
          <w:lang w:bidi="ar-SA"/>
        </w:rPr>
        <w:t xml:space="preserve">من خلال كتاب مستقل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فتناول فيه علم الإمام من ناحية الكم والنوع ومن زوايا وجوانب مختلفة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Heading4"/>
        <w:numPr>
          <w:ilvl w:val="3"/>
          <w:numId w:val="1"/>
        </w:numPr>
        <w:rPr/>
      </w:pPr>
      <w:bookmarkStart w:id="63" w:name="__RefHeading___Toc4036583_3650668749"/>
      <w:bookmarkStart w:id="64" w:name="_Toc23"/>
      <w:bookmarkEnd w:id="63"/>
      <w:r>
        <w:rPr>
          <w:rtl w:val="true"/>
        </w:rPr>
        <w:t>ب</w:t>
      </w:r>
      <w:r>
        <w:rPr>
          <w:rtl w:val="true"/>
        </w:rPr>
        <w:t xml:space="preserve">- </w:t>
      </w:r>
      <w:r>
        <w:rPr>
          <w:rtl w:val="true"/>
        </w:rPr>
        <w:t xml:space="preserve">عليّ </w:t>
      </w:r>
      <w:r>
        <w:rPr>
          <w:rtl w:val="true"/>
        </w:rPr>
        <w:t>(</w:t>
      </w:r>
      <w:r>
        <w:rPr>
          <w:rtl w:val="true"/>
        </w:rPr>
        <w:t>ع</w:t>
      </w:r>
      <w:r>
        <w:rPr>
          <w:rtl w:val="true"/>
        </w:rPr>
        <w:t xml:space="preserve">) </w:t>
      </w:r>
      <w:r>
        <w:rPr>
          <w:rtl w:val="true"/>
        </w:rPr>
        <w:t>أعلم الصحابة</w:t>
      </w:r>
      <w:bookmarkEnd w:id="64"/>
    </w:p>
    <w:p>
      <w:pPr>
        <w:pStyle w:val="BookText"/>
        <w:rPr/>
      </w:pPr>
      <w:r>
        <w:rPr>
          <w:rFonts w:ascii="Amiri" w:hAnsi="Amiri" w:eastAsia="Amiri" w:cs="Amiri"/>
          <w:color w:val="111111"/>
          <w:sz w:val="28"/>
          <w:sz w:val="28"/>
          <w:szCs w:val="28"/>
          <w:rtl w:val="true"/>
          <w:lang w:bidi="ar-SA"/>
        </w:rPr>
        <w:t xml:space="preserve">بعد أنْ اتّضحت أهمية كون إمام المسلمين أعلم الأمّة من وجهة نظر المذهب الشيعي، علينا أن نشير الآن إلى أنّ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اتّصف بذلك بكلّ تأكيدٍ فكان أعلم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ما تنص عليه الروايات التأريخية فإنّه ترعرع مذ نعومة أظفاره في كنف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كان أوّل من أسلم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في ذلك غيره، أضف إلى إحاطته بدقائق علوم الوحي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روايات كثيرة في مصادر السنة والشيعة تتاول طبيعة العلاقة العلمية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النبيّ الكريم وما كان يحظى به من قربٍ ومنزلة خاصة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هذه الروايات الرواية المشهورة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كنت إذا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وإذا سكتُ ابتدأني</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وقد كانت النجوى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درجةٍ أثارت حفيظة بعض الأصحاب، كما تنقل لنا بعض الروايات، بحيث سألوه عن هذا الأمر حين كثرت مناجاة النبيّ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جاء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يوم الطائف فانتجاه،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نجواه مع ابن عمّه،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انتجيته ولكن الله انتجاه</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وقد جاء في بعض الروايات أنّ المتسائل عن نجوى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أبوبكر </w:t>
      </w:r>
      <w:r>
        <w:rPr>
          <w:rStyle w:val="FootnoteAnchor"/>
          <w:rtl w:val="true"/>
        </w:rPr>
        <w:footnoteReference w:id="36"/>
      </w:r>
      <w:r>
        <w:rPr>
          <w:rFonts w:ascii="Amiri" w:hAnsi="Amiri" w:eastAsia="Amiri" w:cs="Amiri"/>
          <w:color w:val="111111"/>
          <w:sz w:val="28"/>
          <w:sz w:val="28"/>
          <w:szCs w:val="28"/>
          <w:rtl w:val="true"/>
          <w:lang w:bidi="ar-SA"/>
        </w:rPr>
        <w:t>، لاكما يدّعي بعض أهل السنّة من أنّ المنافقين أو بعض الصحابة هم الذين قالوا ذلك</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والجدير بالذكر أنّ بعض شرّاح الحديث من أهل السنه قد فسّروا هذا الحديث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أسراراً إلهية وأموراً غيبية جعله من خزانتها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وهكذا وطبقاً لروايات أهل السنة أنفسهم فإنّ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الأمّة، وأوثقها وأرسخها خُلُقاً وحلماً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وعدا هذا كلّه فإنّ حديث الباب المشهور يكشف عن عظمة منزلة عليّ عند النبيّ الكريم، حيث 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وهذا الحديث مرويٌّ في كثير من مصادر أهل السنّة المعتبرة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اعتبره الحاكم النيسابوري صحيحاً بعد أن نقله بطرق مختلفة، وتكلّم حول صحّته بشكلٍ مفصلٍ</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أيّد رأي الحاكم، واعتبر من يعد هذا الحديث مجعولاً أو ضعيفاً، فهو مُخطئٌ</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كذلك المناوي في تعليقه على هذا الحديث اعتبر أعلمية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متّفقاً عليه بين الموافق </w:t>
      </w:r>
    </w:p>
    <w:p>
      <w:pPr>
        <w:pStyle w:val="BookText"/>
        <w:rPr/>
      </w:pPr>
      <w:r>
        <w:rPr>
          <w:rFonts w:ascii="Amiri" w:hAnsi="Amiri" w:eastAsia="Amiri" w:cs="Amiri"/>
          <w:color w:val="111111"/>
          <w:sz w:val="28"/>
          <w:sz w:val="28"/>
          <w:szCs w:val="28"/>
          <w:rtl w:val="true"/>
          <w:lang w:bidi="ar-SA"/>
        </w:rPr>
        <w:t>والمخالف وثابت لدى الصديق والعدو</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والملفت للنظر أنّ أحد أعلام ومحقّقي أهل السنّة، وهو أحمد بن محمد المغربي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ألّف حول هذا الحديث كتاباً مستقلاً بصدد إثبات صحّته، كما هو واضح من عنوانه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الملك العلي بصحّة حديث باب مدينة العلم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كتاب قيّم تناول فيه المؤلّف صحّة هذا الحديث واعتباره وكثرة طرقه وأسانيده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وكذلك الكاتب السنّي المعاصر علي بن محمّد العلوي قد ألف كتاباً مشابهاً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الارتياب عن حديث الباب</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لذلك فإنّه من الغريب والمؤسف أنّ بعض المؤلّفين الوهابيين غير المنصفين، والذين ينطلقون من دافع التعصّب البغيض والهوى المنافي لأصول العلم والتدبّر، قد حاولوا تضعيف هذا الحديث وعدم قبوله دون دليلٍ يُذكر</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واعترف بذلك كثير من الصحابة كالخليفة الثاني عمر بن الخطاب، هو أقضى الأمّة وأقدرها على إدارة أمورها </w:t>
      </w:r>
      <w:r>
        <w:rPr>
          <w:rStyle w:val="FootnoteAnchor"/>
          <w:rtl w:val="true"/>
        </w:rPr>
        <w:footnoteReference w:id="47"/>
      </w:r>
      <w:r>
        <w:rPr>
          <w:rFonts w:ascii="Amiri" w:hAnsi="Amiri" w:eastAsia="Amiri" w:cs="Amiri"/>
          <w:color w:val="111111"/>
          <w:sz w:val="28"/>
          <w:sz w:val="28"/>
          <w:szCs w:val="28"/>
          <w:rtl w:val="true"/>
          <w:lang w:bidi="ar-SA"/>
        </w:rPr>
        <w:t>، وأعرفهم بدقائق أحكام الشريعة وأعلمهم بالفرائض</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وقد قال ابن‌مسعود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أقضى أهل المدينة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فهذا الأمر من الحقائق التأريخية التي يقرّ بها جميع الصحابة، إذ كانوا بحاجةٍ إلى 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ومعرفته الرفيعة، ومن خلال رجوعهم له في ما كانوا يواجهون من مشاكل علمية، ومثال على ذلك كلام عمر المشهور حين واجهته مسألة صعبة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كل معضلة ليس لها أبو 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إقراره أكثر من مرّة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 </w:t>
      </w:r>
      <w:r>
        <w:rPr>
          <w:rStyle w:val="FootnoteAnchor"/>
          <w:rtl w:val="true"/>
        </w:rPr>
        <w:footnoteReference w:id="50"/>
      </w:r>
      <w:r>
        <w:rPr>
          <w:rFonts w:ascii="Amiri" w:hAnsi="Amiri" w:eastAsia="Amiri" w:cs="Amiri"/>
          <w:color w:val="111111"/>
          <w:sz w:val="28"/>
          <w:sz w:val="28"/>
          <w:szCs w:val="28"/>
          <w:rtl w:val="true"/>
          <w:lang w:bidi="ar-SA"/>
        </w:rPr>
        <w:t>وقول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حدّثنا ثقةٌ بفتيا عن عليٍّ لم نتجاوزها</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وبعض الكتّاب السنّة يعتقدون أنّ أسئلة الصحابة من عليّ ورجوعهم إليه في الأمور أكثر ممّا هو معروف ومنقول</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بينما لم ينقل لنا التأريخ ولو مرّةً واحدةً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 إلى غيره أو سأله في أمر يجهله، وهذا خير دليل على أعلمية هذا الإمام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ينقل لنا التأريخ أنّ غيره تجرّأ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بها بأعلى صوته، وهو أمر يتّفق عليه جميع العلماء المسلمين</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سعيد بن المسيّب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أحد من الصحابة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إلّا علي</w:t>
      </w:r>
      <w:r>
        <w:rPr>
          <w:rFonts w:eastAsia="Amiri" w:cs="Amiri" w:ascii="Amiri" w:hAnsi="Amiri"/>
          <w:color w:val="111111"/>
          <w:sz w:val="28"/>
          <w:szCs w:val="28"/>
          <w:rtl w:val="true"/>
          <w:lang w:bidi="ar-SA"/>
        </w:rPr>
        <w:t xml:space="preserve">» . </w:t>
      </w:r>
      <w:r>
        <w:rPr>
          <w:rStyle w:val="FootnoteAnchor"/>
          <w:rtl w:val="true"/>
        </w:rPr>
        <w:footnoteReference w:id="54"/>
      </w:r>
      <w:r>
        <w:rPr>
          <w:rFonts w:ascii="Amiri" w:hAnsi="Amiri" w:eastAsia="Amiri" w:cs="Amiri"/>
          <w:color w:val="111111"/>
          <w:sz w:val="28"/>
          <w:sz w:val="28"/>
          <w:szCs w:val="28"/>
          <w:rtl w:val="true"/>
          <w:lang w:bidi="ar-SA"/>
        </w:rPr>
        <w:t xml:space="preserve">فقد غذّى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هذا النداء عقول المسلمين بالعلوم النافعة مرّات عدّة، وأفاض عليهم من معينه الوفير معلناً استعداده المتواصل للتصدّي لما يمكن أن يطرح من أسئلة بين أمّة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55"/>
      </w:r>
      <w:r>
        <w:rPr>
          <w:rFonts w:ascii="Amiri" w:hAnsi="Amiri" w:eastAsia="Amiri" w:cs="Amiri"/>
          <w:color w:val="111111"/>
          <w:sz w:val="28"/>
          <w:sz w:val="28"/>
          <w:szCs w:val="28"/>
          <w:rtl w:val="true"/>
          <w:lang w:bidi="ar-SA"/>
        </w:rPr>
        <w:t xml:space="preserve">فهو الذي </w:t>
      </w:r>
      <w:bookmarkStart w:id="65" w:name="pg2007_10901"/>
    </w:p>
    <w:p>
      <w:pPr>
        <w:pStyle w:val="BookText"/>
        <w:rPr/>
      </w:pPr>
      <w:bookmarkEnd w:id="65"/>
      <w:r>
        <w:rPr>
          <w:rFonts w:ascii="Amiri" w:hAnsi="Amiri" w:eastAsia="Amiri" w:cs="Amiri"/>
          <w:color w:val="111111"/>
          <w:sz w:val="28"/>
          <w:sz w:val="28"/>
          <w:szCs w:val="28"/>
          <w:rtl w:val="true"/>
          <w:lang w:bidi="ar-SA"/>
        </w:rPr>
        <w:t>يقول بحسرة وألم لبعض مقربيه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وهذه المقولة والحسرة قد أطلقها الإمام وسُمعت منه مراراً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وليس من الجزاف قول الشعبي، وهو من رجال أهل السنّة البارزين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أحد من هذه الأمّة أعلم بما بين اللوحين وبما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w:t>
      </w:r>
      <w:r>
        <w:rPr>
          <w:rFonts w:eastAsia="Amiri" w:cs="Amiri" w:ascii="Amiri" w:hAnsi="Amiri"/>
          <w:color w:val="111111"/>
          <w:sz w:val="28"/>
          <w:szCs w:val="28"/>
          <w:rtl w:val="true"/>
          <w:lang w:bidi="ar-SA"/>
        </w:rPr>
        <w:t xml:space="preserve">» . </w:t>
      </w:r>
      <w:r>
        <w:rPr>
          <w:rStyle w:val="FootnoteAnchor"/>
          <w:rtl w:val="true"/>
        </w:rPr>
        <w:footnoteReference w:id="58"/>
      </w:r>
      <w:r>
        <w:rPr>
          <w:rFonts w:ascii="Amiri" w:hAnsi="Amiri" w:eastAsia="Amiri" w:cs="Amiri"/>
          <w:color w:val="111111"/>
          <w:sz w:val="28"/>
          <w:sz w:val="28"/>
          <w:szCs w:val="28"/>
          <w:rtl w:val="true"/>
          <w:lang w:bidi="ar-SA"/>
        </w:rPr>
        <w:t>وكذلك الحرالي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الأوّلون والآخرون أنّ فهم كتاب الله منحصر إلى علم عليّ ومن جهل ذلك فقد ضل عن الباب الذي من ورائه يرفع الله عنه القلوب الحجاب</w:t>
      </w:r>
      <w:r>
        <w:rPr>
          <w:rFonts w:eastAsia="Amiri" w:cs="Amiri" w:ascii="Amiri" w:hAnsi="Amiri"/>
          <w:color w:val="111111"/>
          <w:sz w:val="28"/>
          <w:szCs w:val="28"/>
          <w:rtl w:val="true"/>
          <w:lang w:bidi="ar-SA"/>
        </w:rPr>
        <w:t xml:space="preserve">. . .» .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ويرى ابن الحديد المعتزلي، شارح نهج البلاغة، أنّ مصدر العلوم ومنبعها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العلوم التي عند غيره تنتهي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ومن هنا يتّضح أنّ إيمان الشيعة بإمامة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إلى أمر منطقي مؤكّدٍ، وكذلك اعتقادهم باستحقاقه الأعلم لإمامة الأمّة وأولويته على غيره في ذلك، وكما بيّنّاه في تأييد هذا الأمر ببرهان العقل والقرآن الكريم</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4036585_3650668749"/>
      <w:bookmarkStart w:id="67" w:name="_Toc24"/>
      <w:bookmarkEnd w:id="66"/>
      <w:r>
        <w:rPr>
          <w:rtl w:val="true"/>
        </w:rPr>
        <w:t>ج</w:t>
      </w:r>
      <w:r>
        <w:rPr>
          <w:rtl w:val="true"/>
        </w:rPr>
        <w:t xml:space="preserve">- </w:t>
      </w:r>
      <w:r>
        <w:rPr>
          <w:rtl w:val="true"/>
        </w:rPr>
        <w:t xml:space="preserve">المرجعية العلمية لأهل البيت </w:t>
      </w:r>
      <w:r>
        <w:rPr>
          <w:rtl w:val="true"/>
        </w:rPr>
        <w:t>(</w:t>
      </w:r>
      <w:r>
        <w:rPr>
          <w:rtl w:val="true"/>
        </w:rPr>
        <w:t>ع</w:t>
      </w:r>
      <w:r>
        <w:rPr>
          <w:rtl w:val="true"/>
        </w:rPr>
        <w:t>)</w:t>
      </w:r>
      <w:bookmarkEnd w:id="67"/>
    </w:p>
    <w:p>
      <w:pPr>
        <w:pStyle w:val="BookText"/>
        <w:rPr/>
      </w:pPr>
      <w:r>
        <w:rPr>
          <w:rFonts w:ascii="Amiri" w:hAnsi="Amiri" w:eastAsia="Amiri" w:cs="Amiri"/>
          <w:color w:val="111111"/>
          <w:sz w:val="28"/>
          <w:sz w:val="28"/>
          <w:szCs w:val="28"/>
          <w:rtl w:val="true"/>
          <w:lang w:bidi="ar-SA"/>
        </w:rPr>
        <w:t>إنّ مسألة إمامة أهل‌البيت في التصوّر الشيعي ذات جهتين،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مرجعيّة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للأمة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بالمرجعية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كانوا أعلم </w:t>
      </w:r>
    </w:p>
    <w:p>
      <w:pPr>
        <w:pStyle w:val="BookText"/>
        <w:rPr/>
      </w:pPr>
      <w:r>
        <w:rPr>
          <w:rFonts w:ascii="Amiri" w:hAnsi="Amiri" w:eastAsia="Amiri" w:cs="Amiri"/>
          <w:color w:val="111111"/>
          <w:sz w:val="28"/>
          <w:sz w:val="28"/>
          <w:szCs w:val="28"/>
          <w:rtl w:val="true"/>
          <w:lang w:bidi="ar-SA"/>
        </w:rPr>
        <w:t xml:space="preserve">الناس بالأمور، وذلك باعتراف كثير من أهل السنّة، فهم أولى برجوع الأمّة إليهم في المسائل العلمية والدينية ومختلف الأمور، وهذا الأمر معترف به بشكل رسمي، وحديث الثقلين المشهور والمتواتر </w:t>
      </w:r>
      <w:r>
        <w:rPr>
          <w:rStyle w:val="FootnoteAnchor"/>
          <w:rtl w:val="true"/>
        </w:rPr>
        <w:footnoteReference w:id="61"/>
      </w:r>
      <w:r>
        <w:rPr>
          <w:rFonts w:ascii="Amiri" w:hAnsi="Amiri" w:eastAsia="Amiri" w:cs="Amiri"/>
          <w:color w:val="111111"/>
          <w:sz w:val="28"/>
          <w:sz w:val="28"/>
          <w:szCs w:val="28"/>
          <w:rtl w:val="true"/>
          <w:lang w:bidi="ar-SA"/>
        </w:rPr>
        <w:t xml:space="preserve">الوارد في مصادر أهل‌السنّة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منه في المصادر الشيعية، يؤكّد هذا الأمر ويرسّخ هذه الحقيقة، حيث جعلهم الثقل الآخر إلى جانب القرآن، وجعلهم حصن الأمة من الضلال والتيه، فقد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أبداً، وإنّهما لن يفترقا حتى يردا عليّ الحوض</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ومن الطبيعي لهؤلاء الرجال العظماء أن يحتلّوا هذه المكانة وأن يكونوا أعرف الأمّة بسنّة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الامّة بأحكام الإسلام؛ لأنّهم أبناء نبيّها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وتربية ذلك البيت الطاهر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أدرى بالذي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الدور البارز الذي كان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مسيرة الأمّة العلمية وتكامل نهضتها الثقافية وتربيتها الإسلامية فهو أظهر من أن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يتتبّع حياة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أنّهم احتلّوا هذه المرتبة العلمية والمكانة الرفيعة من دون أن يذكر لنا التأريخ تتلمذهم على يد أحدٍ أو مراجعتهم لأحدٍ في مسألة ما، </w:t>
      </w:r>
    </w:p>
    <w:p>
      <w:pPr>
        <w:pStyle w:val="BookText"/>
        <w:rPr/>
      </w:pPr>
      <w:r>
        <w:rPr>
          <w:rFonts w:ascii="Amiri" w:hAnsi="Amiri" w:eastAsia="Amiri" w:cs="Amiri"/>
          <w:color w:val="111111"/>
          <w:sz w:val="28"/>
          <w:sz w:val="28"/>
          <w:szCs w:val="28"/>
          <w:rtl w:val="true"/>
          <w:lang w:bidi="ar-SA"/>
        </w:rPr>
        <w:t>وأنّهم كانوا محيطين بكل هذه العلوم والمعارف الدينية بشكلٍ ذاتي وبدون تعلّم عند أحد، فمارسوا حواراتهم ونقاشتهم ومحاججاتهم العلمية مع المخالفين للدين وأصحاب المذاهب الأخرى من دون أن تنكس لهم راية في يوم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منهم في يوم من الأيام عجزٌ علمي أو تردّدٌ في جواب، بل نراهم ومنذ نعومة أظفارهم وصغر سنّهم يتصدّون لأصعب المعضلات العلمية التي تطرح عليهم ويجيبون عليها بجواب شافٍ 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يحضَ بهذا الكمال الذي اتّصفوا به غيرهم من علماء ونوابغ زمانهم وعلى الرغم من ظهور علماء معروفين في عهد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ودراستهم على أيدي أساتذة أكفّاء فقد كانوا يعجزون عن بيان الكثير من المسائل التي تعترضهم ويعلنون جهلهم وعدم معرفتهم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يبعث على الأسى والأسف أنّنا نجد الكثير من أهل السنّة يرجعون في أمور دينهم إلى أئمّة المذاهب الإسلامية المتعدّدين ويتّبعون آرائهم وأقوالهم الفقهية، من أمثال مالك بن أنس وأبي حنيفة وابن حنبل، حيث يعملون بفتاواهم، بل ويقولون بوجوب تقليد واتباع أحد هؤلاء، ولكنّهم يتركون أئمّة أهل البيت ولا يأخذون بتراث بيت النبوّة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أقرب الناس إلى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وأعرفهم بجوانب الإسلام وأركانه، والأنكى من ذلك أنّهم لا يعترفون بهم كمذهب من المذاهب إلى جانب هذه المذاهب التي يعملون بها والمعترف بها عندهم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نجد الشيعة على خلافهم تماماً، إذ لا يعترفون بتقليد هؤلاء الأئمّة الأربعة ولا يجدون ما يدعوهم شرعاً ويحثّهم على اتّباعهم، ويتّبعون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دلّت على وجوب اتّباعهم الأدلّة والمستندات التأريخية الروائية الكثيرة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رغم ذلك فقد ظهرت في السنوات الأخيرة تحرّكات من بعض علماء أهل السنّة المنصفين لغرض إعادة النظر في هذه الظاهرة، والاعتراف بمذهب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رسمي كأحد المذاهب الإسلامية المتداولة، وهي خطوة جديرة بالاحترام في سبيل التقريب بين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هؤلاء العلماء الصالحين هو المرحوم الشيخ شلتوت، شيخ الأزهر وفقيه مصر الكبير، الذي أسّس نهضةً وانطلاقةً في مسيرة التقريب من خلال فتواه المباركة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بين العلماء الشيعة المصلحين من أمثال السيد شرف الدين والشيخ كاشف الغطاء والشيخ المظفَّر وآية الله السيد البروجردي، ممّن أسّسوا لمنهج مبتكر في الحوار مع أهل السنّة وقاموا بتشييده، مرتكزين في حركتهم هذه على الأسس العلمية لمذهب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النبويّة الشريفة كحديث الثقلين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إنّ هؤلاء العلماء وبحكم الظروف الموضوعية المعاصرة للعالم الإسلامي، حاولوا الارتكاز على البعد العلمي في إمامة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متّكئين على مرجعيّتهم العلمية لتحقيق منافع أكثر من التركيز على البعد السياسي لإمامة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وأولويتهم بالخلافة وتبنّوا الدعوة لمرجعية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وأكّدوا عليها وعلى الاستفاضة من علومهم الأصيلة، بدلاً من التأكيد على أحقيّتهم السياسية بالخلافة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استحقاق غيرهم لهذا المنصب، مع علمهم بأحقّيتهم بالدليل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ومع ما لهذه المنهج الذي اتّبعوه من منافع كثيرة وواضحة ومع إمكان تبنّيه والدفاع عنه، فلا بدّ من الإلتفات إلى أنّ البعد السياسي لمنصب لأهل البيت وأحقّيتهم بقيادة الأمّة لا يمكن أن ينفك عن مرجعيّتهم العلمية </w:t>
      </w:r>
      <w:bookmarkStart w:id="68" w:name="pg2007_10905"/>
    </w:p>
    <w:p>
      <w:pPr>
        <w:pStyle w:val="BookText"/>
        <w:rPr/>
      </w:pPr>
      <w:bookmarkEnd w:id="68"/>
      <w:r>
        <w:rPr>
          <w:rFonts w:ascii="Amiri" w:hAnsi="Amiri" w:eastAsia="Amiri" w:cs="Amiri"/>
          <w:color w:val="111111"/>
          <w:sz w:val="28"/>
          <w:sz w:val="28"/>
          <w:szCs w:val="28"/>
          <w:rtl w:val="true"/>
          <w:lang w:bidi="ar-SA"/>
        </w:rPr>
        <w:t xml:space="preserve">للأمّة؛ لأنّنا قلنا في ما سبق إنّ الشيعة يعتقدون بأنّ منصب الخلافة هو حقّ للأعلم من الأمّة، وهناك تلازم بين هذه الأمرين، فلا يمكن أن نقول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 ويمثِّلون المرجعية العلمية الصحيحة للأمّة، وفي نفس الوقت نتغاضى عن مسألة استحقاقهم لتسنّم منصب الخلافة السياسية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وبالطبع من المستبعد أن يكون مراد أصحاب هذا المنهج في الحوار والتقريب هو إهمال الجانب السياسي لقيادة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وأحقّيتهم في الخلافة والتغاضي عن ذلك، لأنّهم طرحوا مرجعية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كنقطة بداية مشتركة وانطلاقه نحو حوارٍ مثمرٍ مع أهل السنّة، كي يتسنّى بعد ذلك ومن خلال هذه الإنطلاقة الموفّقة فتح ملفّات خلافية عديدة ومنها مسألة الخلافة السياسية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رأي صائب ومعقول جداً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Heading4"/>
        <w:numPr>
          <w:ilvl w:val="3"/>
          <w:numId w:val="1"/>
        </w:numPr>
        <w:rPr/>
      </w:pPr>
      <w:bookmarkStart w:id="69" w:name="__RefHeading___Toc4036587_3650668749"/>
      <w:bookmarkStart w:id="70" w:name="_Toc25"/>
      <w:bookmarkEnd w:id="69"/>
      <w:r>
        <w:rPr>
          <w:rtl w:val="true"/>
        </w:rPr>
        <w:t>د</w:t>
      </w:r>
      <w:r>
        <w:rPr>
          <w:rtl w:val="true"/>
        </w:rPr>
        <w:t xml:space="preserve">- </w:t>
      </w:r>
      <w:r>
        <w:rPr>
          <w:rtl w:val="true"/>
        </w:rPr>
        <w:t xml:space="preserve">المقام العلمي والفقهي للإمام جعفر الصادق </w:t>
      </w:r>
      <w:r>
        <w:rPr>
          <w:rtl w:val="true"/>
        </w:rPr>
        <w:t>(</w:t>
      </w:r>
      <w:r>
        <w:rPr>
          <w:rtl w:val="true"/>
        </w:rPr>
        <w:t>ع</w:t>
      </w:r>
      <w:r>
        <w:rPr>
          <w:rtl w:val="true"/>
        </w:rPr>
        <w:t xml:space="preserve">) </w:t>
      </w:r>
      <w:r>
        <w:rPr>
          <w:rtl w:val="true"/>
        </w:rPr>
        <w:t>، ومنزلته عند أهل السنّة</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الدور التأريخي للإمام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تطوّر المذهب الشيعي العلمي بلغ درجةً من الاشتهار والأهمّية بحيث صار المذهب برمّته منسوباً لهذا الإمام الكريم،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المذهب الجعفري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النسبة هي دلالةٌ واضحةٌ على دوره الفعّال وقد كان من قبله أبيه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باقر العلوم، الذي أسّس جذور هذه المدرسة العلمية وأوصلها إلى مرحلة الجهوزية للدخول في طور الاكتمال، فقام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أبيه </w:t>
      </w:r>
    </w:p>
    <w:p>
      <w:pPr>
        <w:pStyle w:val="BookText"/>
        <w:rPr/>
      </w:pPr>
      <w:r>
        <w:rPr>
          <w:rFonts w:ascii="Amiri" w:hAnsi="Amiri" w:eastAsia="Amiri" w:cs="Amiri"/>
          <w:color w:val="111111"/>
          <w:sz w:val="28"/>
          <w:sz w:val="28"/>
          <w:szCs w:val="28"/>
          <w:rtl w:val="true"/>
          <w:lang w:bidi="ar-SA"/>
        </w:rPr>
        <w:t>بإكمال الدور والنهوض به نحو أعلى درجات الكمال والرفعة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الكثيرون أسماء تلامذته والذين نهلوا من علومه ممّن كانوا يحرصون على حضور مجلسه وحلقات درسه، وبينهم كثير من الشخصيّات المعروفة، وبعضهم أئمّة للمذاهب الإسلامية، كأبي حنيفة ومالك بن أنس وسفيان الثوري</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وقد نقل عن أبي حنيفة أنّه حين 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أفقه مَن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أفقه من جعفر بن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تصريحه بأنّ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أثناء ما جرى من مناقشة وأسئلة وجّهها أبو حنيفة للإمام الصادق في حضور الخليفة العباسي</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وقد نقل عن مالك بن أنس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اختلفت إلى جعفر بن محمّد زماناً وما كنت أراه إلّا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مصلٍّ، وإمّا صائمٍ، وإمّا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رأيته 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طهارة، وكان لا يتكلّم فيما لا يعنيه وكان من العلماء العبّاد الزهّاد الذين يخشون الله</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وكذلك سفيان الثوري، فقد نهل من علوم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 منه، وحكاياته عن الإمام معروفة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العجيب أن يكون له تأثير في المذاهب الفقهية الأربعة لأهل السنّة أيضاً، فقد وصفه علماء أهل السنّة ومحدّثوهم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ثقةً مأموناً عاقلا حكيماً ورعاً فاضلاً</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كما أكّدوا على أنّ جعفر بن محمّد ثقةٌ </w:t>
      </w:r>
    </w:p>
    <w:p>
      <w:pPr>
        <w:pStyle w:val="BookText"/>
        <w:rPr/>
      </w:pPr>
      <w:r>
        <w:rPr>
          <w:rFonts w:ascii="Amiri" w:hAnsi="Amiri" w:eastAsia="Amiri" w:cs="Amiri"/>
          <w:color w:val="111111"/>
          <w:sz w:val="28"/>
          <w:sz w:val="28"/>
          <w:szCs w:val="28"/>
          <w:rtl w:val="true"/>
          <w:lang w:bidi="ar-SA"/>
        </w:rPr>
        <w:t>لايُسأل من مثلهِ، وأنّه لا يُقرن بغيره؛ فهو أرفع منهم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وحين يذكر العجلي الصادقَ وآباءَه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شىءٌ ليس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أنّهم ثقاة، وإشارة إلى منزلتهم العظيمة قياساً بالآخرين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وكذلك ابن حِبّان الذي اعتبر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سادات أهل البيت، وعُبّاد أتباع التابعين، وعلماء أهل المدينة</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ويقول عمرو بن أبي المقدام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إذا نظرت إلى جعفر بن محمّد، علمت أنّه من سلالة النبييّن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عمرو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جعفر بن محمّد واقفاً عند الجمرة العظمى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سلوني</w:t>
      </w:r>
      <w:r>
        <w:rPr>
          <w:rFonts w:eastAsia="Amiri" w:cs="Amiri" w:ascii="Amiri" w:hAnsi="Amiri"/>
          <w:color w:val="111111"/>
          <w:sz w:val="28"/>
          <w:szCs w:val="28"/>
          <w:rtl w:val="true"/>
          <w:lang w:bidi="ar-SA"/>
        </w:rPr>
        <w:t xml:space="preserve">» .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وكذلك يقول حبيب بن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المدينة لأجاور بها، فسألت عن خير أهلها فأشاروا إلى جعفر بن محمّد بن علي بن الحسين بن علي بن أبي طالب</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وقال عنه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فقيه إمام</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وكل هذه الأقوال التي تحكي رفعة مقام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وغزارة علمه، واردة من طرق أهل السنّة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الشيعة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أبي‌الوفاة،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أوصيك بأصحابي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لأدعنّهم والرجل منهم يكون في المِصر فلا يَسأل أحداً</w:t>
      </w:r>
      <w:r>
        <w:rPr>
          <w:rFonts w:eastAsia="Amiri" w:cs="Amiri" w:ascii="Amiri" w:hAnsi="Amiri"/>
          <w:color w:val="111111"/>
          <w:sz w:val="28"/>
          <w:szCs w:val="28"/>
          <w:rtl w:val="true"/>
          <w:lang w:bidi="ar-SA"/>
        </w:rPr>
        <w:t xml:space="preserve">» . </w:t>
      </w:r>
      <w:r>
        <w:rPr>
          <w:rStyle w:val="FootnoteAnchor"/>
          <w:rtl w:val="true"/>
        </w:rPr>
        <w:footnoteReference w:id="74"/>
      </w:r>
      <w:bookmarkStart w:id="71" w:name="pg2007_10908"/>
    </w:p>
    <w:p>
      <w:pPr>
        <w:pStyle w:val="BookText"/>
        <w:rPr/>
      </w:pPr>
      <w:bookmarkEnd w:id="71"/>
      <w:r>
        <w:rPr>
          <w:rFonts w:ascii="Amiri" w:hAnsi="Amiri" w:eastAsia="Amiri" w:cs="Amiri"/>
          <w:color w:val="111111"/>
          <w:sz w:val="28"/>
          <w:sz w:val="28"/>
          <w:szCs w:val="28"/>
          <w:rtl w:val="true"/>
          <w:lang w:bidi="ar-SA"/>
        </w:rPr>
        <w:t xml:space="preserve">ومن الواضح أنّ هذا الإمام العظيم قد أوفى بما عاهد عليه أباه، وخيرُ دليلٍ على ذلك انتساب المذهب برمّته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وكنموذج على جهوده، نذكر أحد تلامذته، وهو أبان بن تغلب، فهو وحده روى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ألف حديث</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ويقول الحسن بن علي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أدركت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شيخ، كلٌ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ومن البديهي حينئذٍ أن يتمسّك بهذا الإمام العظيم ويرجعون إليه في الأمور العلمية، ويجعلونه مرجعاً لهم في جميع أُمورهم</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4036589_3650668749"/>
      <w:bookmarkStart w:id="73" w:name="_Toc26"/>
      <w:bookmarkEnd w:id="72"/>
      <w:r>
        <w:rPr>
          <w:rtl w:val="true"/>
        </w:rPr>
        <w:t>ه</w:t>
      </w:r>
      <w:r>
        <w:rPr>
          <w:rtl w:val="true"/>
        </w:rPr>
        <w:t xml:space="preserve">- </w:t>
      </w:r>
      <w:r>
        <w:rPr>
          <w:rtl w:val="true"/>
        </w:rPr>
        <w:t xml:space="preserve">منشأ علوم أهل‌البيت </w:t>
      </w:r>
      <w:r>
        <w:rPr>
          <w:rtl w:val="true"/>
        </w:rPr>
        <w:t>(</w:t>
      </w:r>
      <w:r>
        <w:rPr>
          <w:rtl w:val="true"/>
        </w:rPr>
        <w:t>ع</w:t>
      </w:r>
      <w:r>
        <w:rPr>
          <w:rtl w:val="true"/>
        </w:rPr>
        <w:t xml:space="preserve">) </w:t>
      </w:r>
      <w:r>
        <w:rPr>
          <w:rtl w:val="true"/>
        </w:rPr>
        <w:t>وسعتها</w:t>
      </w:r>
      <w:bookmarkEnd w:id="73"/>
    </w:p>
    <w:p>
      <w:pPr>
        <w:pStyle w:val="Heading5"/>
        <w:numPr>
          <w:ilvl w:val="4"/>
          <w:numId w:val="1"/>
        </w:numPr>
        <w:rPr/>
      </w:pPr>
      <w:bookmarkStart w:id="74" w:name="__RefHeading___Toc4036591_3650668749"/>
      <w:bookmarkStart w:id="75" w:name="_Toc27"/>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من وجهة نظر المذهب الشيعي فإنّ أهل‌البيت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شأنٌ رفيعٌ من الناحية العلمية ويمكننا إدراك مدى اهميّة هذه المنزلة العلميّة التي لانظير لها من خلال منصب إمامة الأمّة الذي أنيط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سابقاً إنّ الإمام هو أعلم الأمّة وأعرفها بتعاليم الإسلام المختلفة، وهذا بنفسه يعود إلى خصوصية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فنجد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واصفاً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ينحدر عنّي السيل، ولا يرقى إليّ الطير</w:t>
      </w:r>
      <w:r>
        <w:rPr>
          <w:rFonts w:eastAsia="Amiri" w:cs="Amiri" w:ascii="Amiri" w:hAnsi="Amiri"/>
          <w:color w:val="111111"/>
          <w:sz w:val="28"/>
          <w:szCs w:val="28"/>
          <w:rtl w:val="true"/>
          <w:lang w:bidi="ar-SA"/>
        </w:rPr>
        <w:t xml:space="preserve">» . </w:t>
      </w:r>
      <w:r>
        <w:rPr>
          <w:rStyle w:val="FootnoteAnchor"/>
          <w:rtl w:val="true"/>
        </w:rPr>
        <w:footnoteReference w:id="77"/>
      </w:r>
      <w:r>
        <w:rPr>
          <w:rFonts w:ascii="Amiri" w:hAnsi="Amiri" w:eastAsia="Amiri" w:cs="Amiri"/>
          <w:color w:val="111111"/>
          <w:sz w:val="28"/>
          <w:sz w:val="28"/>
          <w:szCs w:val="28"/>
          <w:rtl w:val="true"/>
          <w:lang w:bidi="ar-SA"/>
        </w:rPr>
        <w:t xml:space="preserve">ورويت أيضاً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كثيرةٌ حول عترته الطاهرة،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تسبقوهم فتهلكوا، ولا تعلّموهم فإنّهم أعلم منكم</w:t>
      </w:r>
      <w:r>
        <w:rPr>
          <w:rFonts w:eastAsia="Amiri" w:cs="Amiri" w:ascii="Amiri" w:hAnsi="Amiri"/>
          <w:color w:val="111111"/>
          <w:sz w:val="28"/>
          <w:szCs w:val="28"/>
          <w:rtl w:val="true"/>
          <w:lang w:bidi="ar-SA"/>
        </w:rPr>
        <w:t xml:space="preserve">» .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وفي روايات أخرى وصف هؤلاء الأئمّة الربانيّون بأنّهم خزّان علم الله وموضع أسراره وترجمان وحيه والراسخون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ومن خلال ذلك يتبيّن أنّه لا شك في كون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فريداً من نوعه وله خصوصيّاتٌ تميّزه، ولكنّ النقاش المطروح بين الباحثين وعلماء الكلام يرور حول منشأ هذا العلم وسعة نطاقه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سؤال يُطرح حول 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علوم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على المسائل والأحكام الظاهرية، أم أنّه يشمل الأمور الخارجية والغيبيّة؟</w:t>
      </w:r>
    </w:p>
    <w:p>
      <w:pPr>
        <w:pStyle w:val="BookText"/>
        <w:rPr/>
      </w:pPr>
      <w:r>
        <w:rPr>
          <w:rFonts w:ascii="Amiri" w:hAnsi="Amiri" w:eastAsia="Amiri" w:cs="Amiri"/>
          <w:color w:val="111111"/>
          <w:sz w:val="28"/>
          <w:sz w:val="28"/>
          <w:szCs w:val="28"/>
          <w:rtl w:val="true"/>
          <w:lang w:bidi="ar-SA"/>
        </w:rPr>
        <w:t>لابدّ لنا أوّلاً أن نعلم أنّ العلم بالأمور الخفيّة والغيبية والإطلاع على المواضيع الخارجية بشكل غير متعارف هو من خصائص الله تعالى العالم بالغيب والشهادة، والمحيط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للخواص وأصحاب النفوس الطاهرة المطهّرة ممّن هم على ارتباط وثيق بالله تعالى، ونفوسهم مرتبطة بساحة قدسه، أن يطّلعوا على هذه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لا يرى مانعاً من الاطلاع على الأمور الخفيّة بوساطة القدرة والرحمة الإلهية غير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يؤكّد على أنّ بعض الأنبياء والعباد المخلَصين كانوا مطّلعين على مثل هذه الأمور، كما يخبرنا عن حصول مثل ذلك لأُناس أبرار مع أنّهم لم يكونوا أنبياءَ أو معصومين، مثل أمّ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عندما نأخذ بنظر الاعتبار المقام الرفيع لأهل‌البيت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عليه من منزلة العصمة ومسؤولية الإمامة الحسّاسة بحسب المفهوم الشيعي لها، فإنّه من المنطقي جداً أن يكرمهم الله تعالى بالاطلاع على الأمور الخفية والغيبية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العجيب أنّ أهل السنّة غالباً ما يؤمنون بمسألة الكرامات للأولياء واطلاع بعض الخلّص من الناس على أمورٍ غيبية، لمن هم في المنزلة دون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ويصدّقون بحصولهم على هكذا علم، إلا أنّهم ينكرون على الشيعة إيمانهم بهذا الأمر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يقاس بهم أحد في سمو أخلاقٍ أو وفرة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ممّا لا شكّ به أنّ مثل هكذا علم قد خطى به الانبياء والأوصياء في الأمم السالفة، والاعتقاد بوجوده في هذه الأمّة التي هي بتعبير القرآن خَيْرَ أُمَّةٍ وتحقّقه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هم باعتراف الجميع أشرف الناس وأفضلهم، ومعصومون عن الخطأ وهم خلفاء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الأخذ بنظر الاعتبار اتصالهم بمصدر الفيض الإلهي وميراث النبوّة العظيم لا يمكننا اعتبار هذا المقام لهم غلوّاً أو إفراطاً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لا شك في كونه من مصاديق الغلو هو عدم وضع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مرتبتهم من كونهم عبيداً لله تعالى، وأتباعاً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واعتبارهم فوق ذلك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إلّا امتداداً في علمهم للعلم الإلهي ولعلم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نهج البلاغة وصف رائع لهذه الحقيقة وبيان جميل لها، فحين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الناس ببعض الحوادث المستقبلة التي ستقع، وصف الأتراك وما سيكون من حكمهم، فقال له رجل وكان من بني 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أُعطيت يا أميرالمؤمنين 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أخا كلبٍ ليس هو بعلم غيبٍ، وإنّما هو تعلّم من ذي علمٍ</w:t>
      </w:r>
      <w:r>
        <w:rPr>
          <w:rFonts w:eastAsia="Amiri" w:cs="Amiri" w:ascii="Amiri" w:hAnsi="Amiri"/>
          <w:color w:val="111111"/>
          <w:sz w:val="28"/>
          <w:szCs w:val="28"/>
          <w:rtl w:val="true"/>
          <w:lang w:bidi="ar-SA"/>
        </w:rPr>
        <w:t xml:space="preserve">» . </w:t>
      </w:r>
      <w:r>
        <w:rPr>
          <w:rStyle w:val="FootnoteAnchor"/>
          <w:rtl w:val="true"/>
        </w:rPr>
        <w:footnoteReference w:id="80"/>
      </w:r>
      <w:bookmarkStart w:id="76" w:name="pg2007_10911"/>
    </w:p>
    <w:p>
      <w:pPr>
        <w:pStyle w:val="BookText"/>
        <w:rPr/>
      </w:pPr>
      <w:bookmarkEnd w:id="76"/>
      <w:r>
        <w:rPr>
          <w:rFonts w:ascii="Amiri" w:hAnsi="Amiri" w:eastAsia="Amiri" w:cs="Amiri"/>
          <w:color w:val="111111"/>
          <w:sz w:val="28"/>
          <w:sz w:val="28"/>
          <w:szCs w:val="28"/>
          <w:rtl w:val="true"/>
          <w:lang w:bidi="ar-SA"/>
        </w:rPr>
        <w:t xml:space="preserve">وهناك سؤال آخر يتعلّق بعلم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منشأ علمهم وما هو مصدره؟ فهؤلاء الأئمّة الكرام حين يكون لديهم علم بالأمور الخفية، فمن أين حصلوا عليه؟ وكيف؟</w:t>
      </w:r>
    </w:p>
    <w:p>
      <w:pPr>
        <w:pStyle w:val="BookText"/>
        <w:rPr/>
      </w:pPr>
      <w:r>
        <w:rPr>
          <w:rFonts w:ascii="Amiri" w:hAnsi="Amiri" w:eastAsia="Amiri" w:cs="Amiri"/>
          <w:color w:val="111111"/>
          <w:sz w:val="28"/>
          <w:sz w:val="28"/>
          <w:szCs w:val="28"/>
          <w:rtl w:val="true"/>
          <w:lang w:bidi="ar-SA"/>
        </w:rPr>
        <w:t xml:space="preserve">ويمكن لنا تحديد مصدر علومهم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4036593_3650668749"/>
      <w:bookmarkStart w:id="78" w:name="_Toc28"/>
      <w:bookmarkEnd w:id="77"/>
      <w:r>
        <w:rPr>
          <w:rtl w:val="true"/>
        </w:rPr>
        <w:t xml:space="preserve">الأول </w:t>
      </w:r>
      <w:r>
        <w:rPr>
          <w:rtl w:val="true"/>
        </w:rPr>
        <w:t xml:space="preserve">- </w:t>
      </w:r>
      <w:r>
        <w:rPr>
          <w:rtl w:val="true"/>
        </w:rPr>
        <w:t>القرآن الكريم</w:t>
      </w:r>
      <w:bookmarkEnd w:id="78"/>
    </w:p>
    <w:p>
      <w:pPr>
        <w:pStyle w:val="BookText"/>
        <w:rPr/>
      </w:pPr>
      <w:r>
        <w:rPr>
          <w:rFonts w:ascii="Amiri" w:hAnsi="Amiri" w:eastAsia="Amiri" w:cs="Amiri"/>
          <w:color w:val="111111"/>
          <w:sz w:val="28"/>
          <w:sz w:val="28"/>
          <w:szCs w:val="28"/>
          <w:rtl w:val="true"/>
          <w:lang w:bidi="ar-SA"/>
        </w:rPr>
        <w:t xml:space="preserve">ممّا لا شكّ فيه أنّ القرآن الكريم هو أوّل مصدر لعلوم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فبناءاً على ما يعتقده الشيعة فإنّ علوم ومعارف القرآن كلّها في متناول أيديهم وهم عالمون بها ولديهم أسرار القرآن ويعرفون خفاياه وظواهره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القرآن الكريم إلى هذه الحقيقة، حيث أكّد على أنّ علم تأويل القرآن وفهمه ومعرفة المتشابه من آياته أمر مختصٌّ بالله تعالى والراسخين في العلم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واستناداً إلى ما دلّت عليه الروايات الكثيرة، فإنّ الراسخين في العلم هم الأئمّة المعصومون وأهل بيت النبيّ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82"/>
      </w:r>
      <w:r>
        <w:rPr>
          <w:rFonts w:ascii="Amiri" w:hAnsi="Amiri" w:eastAsia="Amiri" w:cs="Amiri"/>
          <w:color w:val="111111"/>
          <w:sz w:val="28"/>
          <w:sz w:val="28"/>
          <w:szCs w:val="28"/>
          <w:rtl w:val="true"/>
          <w:lang w:bidi="ar-SA"/>
        </w:rPr>
        <w:t xml:space="preserve">كما أكّدت الآيات أيضاً على أنّ من يشهد على نبوّة النبيّ الأكرم هو الله تعالى ومن عنده علم الكتاب </w:t>
      </w:r>
      <w:r>
        <w:rPr>
          <w:rStyle w:val="FootnoteAnchor"/>
          <w:rtl w:val="true"/>
        </w:rPr>
        <w:footnoteReference w:id="83"/>
      </w:r>
      <w:r>
        <w:rPr>
          <w:rFonts w:ascii="Amiri" w:hAnsi="Amiri" w:eastAsia="Amiri" w:cs="Amiri"/>
          <w:color w:val="111111"/>
          <w:sz w:val="28"/>
          <w:sz w:val="28"/>
          <w:szCs w:val="28"/>
          <w:rtl w:val="true"/>
          <w:lang w:bidi="ar-SA"/>
        </w:rPr>
        <w:t xml:space="preserve">، وبحسب الروايات فإنّ الذي عنده علم الكتاب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8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فقد 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p>
    <w:p>
      <w:pPr>
        <w:pStyle w:val="BookText"/>
        <w:rPr/>
      </w:pPr>
      <w:r>
        <w:rPr>
          <w:rFonts w:ascii="Amiri" w:hAnsi="Amiri" w:eastAsia="Amiri" w:cs="Amiri"/>
          <w:color w:val="111111"/>
          <w:sz w:val="28"/>
          <w:sz w:val="28"/>
          <w:szCs w:val="28"/>
          <w:rtl w:val="true"/>
          <w:lang w:bidi="ar-SA"/>
        </w:rPr>
        <w:t xml:space="preserve">من القرآن إلّا أقرأنيها وأملاها علي وكتبتها بخطّي وعلّمني تأويلها وتفسيرها وناسخها ومنسوخها ومحكمها ومتشابهها، ودعا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أن يعلمني فهمها وحفظها، فما نسيت آية من كتاب الله ولا علماً أملاه علي فكتبته، وما ترك شيئاً علّمه الله عزّ وجلّ من حلال ولا حرام ولا أمر ولا نهي وما كان أو يكون من طاعة أو معصية إلّا علمنيه وحفظته ولم أنس منه حرفاً واحداً</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وأيضاً 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نزلت آية إلّا وأنا علمت فيمن أنزلت وأين نزلت وعلى من نزلت، إنّ ربّى وهب لي قلباً عقولاً و لساناً طلقا</w:t>
      </w:r>
      <w:r>
        <w:rPr>
          <w:rFonts w:eastAsia="Amiri" w:cs="Amiri" w:ascii="Amiri" w:hAnsi="Amiri"/>
          <w:color w:val="111111"/>
          <w:sz w:val="28"/>
          <w:szCs w:val="28"/>
          <w:rtl w:val="true"/>
          <w:lang w:bidi="ar-SA"/>
        </w:rPr>
        <w:t xml:space="preserve">» .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فلا يمكني لمنصفٍ أن ينكر عظمة علم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يدّعي كون أحد الصحابة يناظره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ابن مسعود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أعلم أنّ أحداً أعلم بكتاب الله منّي لأتيته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أبو عبد الرحمن السلمي وهو من القرّاء المشهورين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له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آته؟</w:t>
      </w:r>
      <w:r>
        <w:rPr>
          <w:rFonts w:eastAsia="Amiri" w:cs="Amiri" w:ascii="Amiri" w:hAnsi="Amiri"/>
          <w:color w:val="111111"/>
          <w:sz w:val="28"/>
          <w:szCs w:val="28"/>
          <w:rtl w:val="true"/>
          <w:lang w:bidi="ar-SA"/>
        </w:rPr>
        <w:t xml:space="preserve">» . </w:t>
      </w:r>
      <w:r>
        <w:rPr>
          <w:rStyle w:val="FootnoteAnchor"/>
          <w:rtl w:val="true"/>
        </w:rPr>
        <w:footnoteReference w:id="8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شك في أنّ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أعلم الناس بكتاب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أفضل شاهد ومؤيّد لذلك حديث الثقلين المتواتر الذي يقرن بينهم وبين القرآن الكريم إلى يوم القيامة، ويؤكّد على أنّ الهدى بملازمتهما معاً وعدم تركهما، وأنّهما لا يفترقان أبداً</w:t>
      </w:r>
      <w:r>
        <w:rPr>
          <w:rFonts w:eastAsia="Amiri" w:cs="Amiri" w:ascii="Amiri" w:hAnsi="Amiri"/>
          <w:color w:val="111111"/>
          <w:sz w:val="28"/>
          <w:szCs w:val="28"/>
          <w:rtl w:val="true"/>
          <w:lang w:bidi="ar-SA"/>
        </w:rPr>
        <w:t xml:space="preserve">. </w:t>
      </w:r>
      <w:bookmarkStart w:id="79" w:name="pg2007_10913"/>
    </w:p>
    <w:p>
      <w:pPr>
        <w:pStyle w:val="Heading5"/>
        <w:numPr>
          <w:ilvl w:val="4"/>
          <w:numId w:val="1"/>
        </w:numPr>
        <w:rPr/>
      </w:pPr>
      <w:bookmarkStart w:id="80" w:name="__RefHeading___Toc4036595_3650668749"/>
      <w:bookmarkStart w:id="81" w:name="_Toc29"/>
      <w:bookmarkEnd w:id="79"/>
      <w:bookmarkEnd w:id="80"/>
      <w:r>
        <w:rPr>
          <w:rtl w:val="true"/>
        </w:rPr>
        <w:t xml:space="preserve">الثاني </w:t>
      </w:r>
      <w:r>
        <w:rPr>
          <w:rtl w:val="true"/>
        </w:rPr>
        <w:t xml:space="preserve">- </w:t>
      </w:r>
      <w:r>
        <w:rPr>
          <w:rtl w:val="true"/>
        </w:rPr>
        <w:t xml:space="preserve">علم النبيّ </w:t>
      </w:r>
      <w:r>
        <w:rPr>
          <w:rtl w:val="true"/>
        </w:rPr>
        <w:t>(</w:t>
      </w:r>
      <w:r>
        <w:rPr>
          <w:rtl w:val="true"/>
        </w:rPr>
        <w:t>ص</w:t>
      </w:r>
      <w:r>
        <w:rPr>
          <w:rtl w:val="true"/>
        </w:rPr>
        <w:t>)</w:t>
      </w:r>
      <w:bookmarkEnd w:id="81"/>
    </w:p>
    <w:p>
      <w:pPr>
        <w:pStyle w:val="BookText"/>
        <w:rPr/>
      </w:pPr>
      <w:r>
        <w:rPr>
          <w:rFonts w:ascii="Amiri" w:hAnsi="Amiri" w:eastAsia="Amiri" w:cs="Amiri"/>
          <w:color w:val="111111"/>
          <w:sz w:val="28"/>
          <w:sz w:val="28"/>
          <w:szCs w:val="28"/>
          <w:rtl w:val="true"/>
          <w:lang w:bidi="ar-SA"/>
        </w:rPr>
        <w:t xml:space="preserve">ثاني مصدر لعلوم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النبيّ الكريم ورسول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يهمل قضايا أُمّته السياسيّة بعد رحيله وأخبر المسلمين بما يجب عليهم فعله في هذا المجال، كذلك لم يهمل القضايا الدينيّة والعلميّة وترك لهم إرثاً غنيّاً ينتفعون منه ويلبّي جميع متطلّباتهم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حياته المباركة عيّن الوصيّ من بعده في مناسباتٍ عديدةٍ وأساليب مختلفةٍ، حيث أكّد على أنّه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أحدعشر إماماً معصوماً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الأمور هي من معتقدات الشيعة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الشواهد التأريخية والروائية نعلم أنّ طريقة انتقال علم النبيّ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شفاهياً وانتقاله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كان بالتوريث المكتوب كما اقتضته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سابقاً للعلاقة التي تربط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الكريم وما كان يختص به من قرب منزلة ومكانه وما خصّه به من نجوى، ولا شكّ في أنّ أهمّ سببٍ لاختلاء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 بالأسرار الغيبّية، هو توريثه علم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الأحاديث المشهورة في المصادر الشيعية، الحديث الذي ينصّ على تعليم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باب من أبواب العلم، يفتح له من كلّ باب ألف باب من العلم </w:t>
      </w:r>
      <w:r>
        <w:rPr>
          <w:rStyle w:val="FootnoteAnchor"/>
          <w:rtl w:val="true"/>
        </w:rPr>
        <w:footnoteReference w:id="88"/>
      </w:r>
      <w:r>
        <w:rPr>
          <w:rFonts w:ascii="Amiri" w:hAnsi="Amiri" w:eastAsia="Amiri" w:cs="Amiri"/>
          <w:color w:val="111111"/>
          <w:sz w:val="28"/>
          <w:sz w:val="28"/>
          <w:szCs w:val="28"/>
          <w:rtl w:val="true"/>
          <w:lang w:bidi="ar-SA"/>
        </w:rPr>
        <w:t>، والذي روي في بعض المصادر السنّية أيضاً</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وبحسب ما وصلنا من رواياتٍ حول هذا </w:t>
      </w:r>
    </w:p>
    <w:p>
      <w:pPr>
        <w:pStyle w:val="BookText"/>
        <w:rPr/>
      </w:pPr>
      <w:r>
        <w:rPr>
          <w:rFonts w:ascii="Amiri" w:hAnsi="Amiri" w:eastAsia="Amiri" w:cs="Amiri"/>
          <w:color w:val="111111"/>
          <w:sz w:val="28"/>
          <w:sz w:val="28"/>
          <w:szCs w:val="28"/>
          <w:rtl w:val="true"/>
          <w:lang w:bidi="ar-SA"/>
        </w:rPr>
        <w:t xml:space="preserve">الموضوع، فإنّ جانباً من ميراث النبي العلمي الذي خلّفه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يتناقلونه مشافهة وبشكلٍ مباشر ويروونه واحداً عن الآخر حتى يصل إلى رسول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هو الحال في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حديثي حديث أبي، وحديث أبي حديث جدّي، وحديث جدّي حديث الحسين، وحديث الحسين حديث الحسن، وحديث الحسن حديث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أميرالمؤمنين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رسول الله قول الله عزّ وجل</w:t>
      </w:r>
      <w:r>
        <w:rPr>
          <w:rFonts w:eastAsia="Amiri" w:cs="Amiri" w:ascii="Amiri" w:hAnsi="Amiri"/>
          <w:color w:val="111111"/>
          <w:sz w:val="28"/>
          <w:szCs w:val="28"/>
          <w:rtl w:val="true"/>
          <w:lang w:bidi="ar-SA"/>
        </w:rPr>
        <w:t xml:space="preserve">» . </w:t>
      </w:r>
      <w:r>
        <w:rPr>
          <w:rStyle w:val="FootnoteAnchor"/>
          <w:rtl w:val="true"/>
        </w:rPr>
        <w:footnoteReference w:id="90"/>
      </w:r>
      <w:r>
        <w:rPr>
          <w:rFonts w:ascii="Amiri" w:hAnsi="Amiri" w:eastAsia="Amiri" w:cs="Amiri"/>
          <w:color w:val="111111"/>
          <w:sz w:val="28"/>
          <w:sz w:val="28"/>
          <w:szCs w:val="28"/>
          <w:rtl w:val="true"/>
          <w:lang w:bidi="ar-SA"/>
        </w:rPr>
        <w:t>لذلك فإنّ الكثير من أحاديث الأئمّة لها هذا الاعتبار والمتانة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الآخر من ميراث النبوّة العلمي فقد وصلهم بشكلٍ مكتوبٍ، وقد أشار أهل‌البيت لمثل هذا الأمر مراراً عن طريق ذكر أسماء بعض هذه الكتب، مثل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والجفر، والجامعة، ومصحف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غير مطّلعين على تفاصيل هذه الكتب أو خصوصياتها، إلا أنّنا نستطيع أن نقطع بأنّها كانت تحوي ميراث النبوّة والعلم النبوي الأصيل الذي يشمل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عديدة في المصادر السنّية تنفي وجود مثل هكذا علوم لدى أئمّة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الروايات مع غض النظر عن كونها موضوعة ولا صحّة لها، فهي تكشف عن علم أهل السنّة بمثل هكذا موضوع وصحّه تداوله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ولدينا روايات صحيحة وكثيرة يمكن الاعتماد عليها تؤكّد وجود مثل هذه الكتب والقراطيس والجوامع التي تحوي هذا الإرث العلمي العظيم </w:t>
      </w:r>
      <w:bookmarkStart w:id="82" w:name="pg2007_10915"/>
    </w:p>
    <w:p>
      <w:pPr>
        <w:pStyle w:val="BookText"/>
        <w:rPr/>
      </w:pPr>
      <w:bookmarkEnd w:id="82"/>
      <w:r>
        <w:rPr>
          <w:rFonts w:ascii="Amiri" w:hAnsi="Amiri" w:eastAsia="Amiri" w:cs="Amiri"/>
          <w:color w:val="111111"/>
          <w:sz w:val="28"/>
          <w:sz w:val="28"/>
          <w:szCs w:val="28"/>
          <w:rtl w:val="true"/>
          <w:lang w:bidi="ar-SA"/>
        </w:rPr>
        <w:t>والذي فيه تفاصيل أحكام الشريعة وكل شيء حتى أبسط الأمور ممّا يرتبط بالحلال والحرام وأخبار المستقبل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شكّ فيه أنّ 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نظير له يرفع من شأنهم ويجعل من أقوالهم وآرائهم معتبرةً اكثر من سواها</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4036597_3650668749"/>
      <w:bookmarkStart w:id="84" w:name="_Toc30"/>
      <w:bookmarkEnd w:id="83"/>
      <w:r>
        <w:rPr>
          <w:rtl w:val="true"/>
        </w:rPr>
        <w:t xml:space="preserve">الثالث </w:t>
      </w:r>
      <w:r>
        <w:rPr>
          <w:rtl w:val="true"/>
        </w:rPr>
        <w:t xml:space="preserve">- </w:t>
      </w:r>
      <w:r>
        <w:rPr>
          <w:rtl w:val="true"/>
        </w:rPr>
        <w:t xml:space="preserve">الإلهام </w:t>
      </w:r>
      <w:r>
        <w:rPr>
          <w:rtl w:val="true"/>
        </w:rPr>
        <w:t>(</w:t>
      </w:r>
      <w:r>
        <w:rPr>
          <w:rtl w:val="true"/>
        </w:rPr>
        <w:t>حديث الملائكة</w:t>
      </w:r>
      <w:r>
        <w:rPr>
          <w:rtl w:val="true"/>
        </w:rPr>
        <w:t>)</w:t>
      </w:r>
      <w:bookmarkEnd w:id="84"/>
    </w:p>
    <w:p>
      <w:pPr>
        <w:pStyle w:val="BookText"/>
        <w:rPr/>
      </w:pPr>
      <w:r>
        <w:rPr>
          <w:rFonts w:ascii="Amiri" w:hAnsi="Amiri" w:eastAsia="Amiri" w:cs="Amiri"/>
          <w:color w:val="111111"/>
          <w:sz w:val="28"/>
          <w:sz w:val="28"/>
          <w:szCs w:val="28"/>
          <w:rtl w:val="true"/>
          <w:lang w:bidi="ar-SA"/>
        </w:rPr>
        <w:t xml:space="preserve">الإلهام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المصادر الأخرى لعلوم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منه بحسب ما نصّت عليه الروايات الكثيرة في مصادر الشيعة، نوع من الارتباط بعالم الغيب بحيث يمكنهم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يسمعوا صوت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النوع من الارتباط بالغيب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الوحي النبوي، ولا يجعلهم أنبياء مع جلالة قدرهم ورفعة 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أكّدت الروايات المنقولة في مصادر الشيعة على الفرق ما بين النبيّ والمحدَّث في كيفية الاتّصال بالوحي والتلقي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يؤسف له إنكار هذا الأمر من قبل بعض أهل السنّة واستبعاده عن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حين أنّهم يرون ذلك ممكناً لعمر بن الخطاب بحسب ما تنقل رواياتهم، وأنّه كان يحدّث الملائكة وتحدّثه</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تأمّلنا في القرآن الكريم ولاحظنا الآيات العديدة التي تناولت مسألة الحديث بين الملائكة وبعض خواصّ الناس في الأمم السابقة، بالإضافة إلى ما يثبته أهل السنّة من وقوع مثل هذا الأمر بالنسبة لعمر، لا يمكننا أن ننفيه أو نستبعده عن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لهم من المنزلة الرفيعة</w:t>
      </w:r>
      <w:r>
        <w:rPr>
          <w:rFonts w:eastAsia="Amiri" w:cs="Amiri" w:ascii="Amiri" w:hAnsi="Amiri"/>
          <w:color w:val="111111"/>
          <w:sz w:val="28"/>
          <w:szCs w:val="28"/>
          <w:rtl w:val="true"/>
          <w:lang w:bidi="ar-SA"/>
        </w:rPr>
        <w:t xml:space="preserve">. </w:t>
      </w:r>
      <w:bookmarkStart w:id="85" w:name="pg2007_10916"/>
    </w:p>
    <w:p>
      <w:pPr>
        <w:pStyle w:val="Heading3"/>
        <w:numPr>
          <w:ilvl w:val="2"/>
          <w:numId w:val="1"/>
        </w:numPr>
        <w:rPr/>
      </w:pPr>
      <w:bookmarkStart w:id="86" w:name="__RefHeading___Toc4036599_3650668749"/>
      <w:bookmarkStart w:id="87" w:name="_Toc31"/>
      <w:bookmarkEnd w:id="85"/>
      <w:bookmarkEnd w:id="86"/>
      <w:r>
        <w:rPr/>
        <w:t>٢</w:t>
      </w:r>
      <w:r>
        <w:rPr>
          <w:rtl w:val="true"/>
        </w:rPr>
        <w:t xml:space="preserve">- </w:t>
      </w:r>
      <w:r>
        <w:rPr>
          <w:rtl w:val="true"/>
        </w:rPr>
        <w:t>العصمة برأي الشيعة</w:t>
      </w:r>
      <w:bookmarkEnd w:id="87"/>
    </w:p>
    <w:p>
      <w:pPr>
        <w:pStyle w:val="Heading4"/>
        <w:numPr>
          <w:ilvl w:val="3"/>
          <w:numId w:val="1"/>
        </w:numPr>
        <w:rPr/>
      </w:pPr>
      <w:bookmarkStart w:id="88" w:name="__RefHeading___Toc4036601_3650668749"/>
      <w:bookmarkStart w:id="89" w:name="_Toc32"/>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العصمة في اللغة هي الحفظ والامتناع، وفي الاصطلاح فهي بمعنى الابتعاد عن كل معصية أو زلل أوخطأ، وتجنّب أيّ انحراف في فكرٍ أو سلوكٍ أو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 الشيعة ثابتة بالضرورة للأنبياء والأوصياء، لذا سنتحدّث عنها تحت هاذين العنوانين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Heading4"/>
        <w:numPr>
          <w:ilvl w:val="3"/>
          <w:numId w:val="1"/>
        </w:numPr>
        <w:rPr/>
      </w:pPr>
      <w:bookmarkStart w:id="90" w:name="__RefHeading___Toc4036603_3650668749"/>
      <w:bookmarkStart w:id="91" w:name="_Toc33"/>
      <w:bookmarkEnd w:id="90"/>
      <w:r>
        <w:rPr>
          <w:rtl w:val="true"/>
        </w:rPr>
        <w:t>أ</w:t>
      </w:r>
      <w:r>
        <w:rPr>
          <w:rtl w:val="true"/>
        </w:rPr>
        <w:t xml:space="preserve">- </w:t>
      </w:r>
      <w:r>
        <w:rPr>
          <w:rtl w:val="true"/>
        </w:rPr>
        <w:t xml:space="preserve">عصمة الأنبياء </w:t>
      </w:r>
      <w:r>
        <w:rPr>
          <w:rtl w:val="true"/>
        </w:rPr>
        <w:t>(</w:t>
      </w:r>
      <w:r>
        <w:rPr>
          <w:rtl w:val="true"/>
        </w:rPr>
        <w:t>ع</w:t>
      </w:r>
      <w:r>
        <w:rPr>
          <w:rtl w:val="true"/>
        </w:rPr>
        <w:t>)</w:t>
      </w:r>
      <w:bookmarkEnd w:id="91"/>
    </w:p>
    <w:p>
      <w:pPr>
        <w:pStyle w:val="BookText"/>
        <w:rPr/>
      </w:pPr>
      <w:r>
        <w:rPr>
          <w:rFonts w:ascii="Amiri" w:hAnsi="Amiri" w:eastAsia="Amiri" w:cs="Amiri"/>
          <w:color w:val="111111"/>
          <w:sz w:val="28"/>
          <w:sz w:val="28"/>
          <w:szCs w:val="28"/>
          <w:rtl w:val="true"/>
          <w:lang w:bidi="ar-SA"/>
        </w:rPr>
        <w:t xml:space="preserve">عصمة الأنبياء هي من المسائل المختلف فيها بين المذاهب الإسلامية، وهذا الاختلاف بالطبع لا يتناول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الكفر بالله تعالى وتعمّد الكذب وكبائر الذنوب المتّفق عليها، لأنّ عصمتهم عن مثل ذلك أمرٌ ثابتٌ ومتّفقٌ عليه لأنّ مثل هذه الذنوب توجب الفسق، فتنتفي حجيّة كلامهم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الحديث يتمحور حول عصمتهم عن صغائر الذنوب، فهل هم معصومون عنها كالكبائر؟</w:t>
      </w:r>
    </w:p>
    <w:p>
      <w:pPr>
        <w:pStyle w:val="BookText"/>
        <w:rPr/>
      </w:pPr>
      <w:r>
        <w:rPr>
          <w:rFonts w:ascii="Amiri" w:hAnsi="Amiri" w:eastAsia="Amiri" w:cs="Amiri"/>
          <w:color w:val="111111"/>
          <w:sz w:val="28"/>
          <w:sz w:val="28"/>
          <w:szCs w:val="28"/>
          <w:rtl w:val="true"/>
          <w:lang w:bidi="ar-SA"/>
        </w:rPr>
        <w:t>أكثر أهل السنّة يذهبون إلى أنّ الأنبياء لا يرتكبون صغائر الذنوب عن عمد، ولكن يمكن صدورها منهم سهواً أو نسياناً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إلا أنّ الشيعة يعتقدون بعصمتهم عن جميع أنواع الذنوب، صغائرها وكبائرها، ومن خلال تقواهم ولطف الله تعالى بهم، فهم لا يرتكبون الذنوب ولا الخطايا عمداً ولا سهواً</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سبب هذا الاختلاف يرجع إلى ظاهر بعض الآيات القرآنية التي </w:t>
      </w:r>
    </w:p>
    <w:p>
      <w:pPr>
        <w:pStyle w:val="BookText"/>
        <w:rPr/>
      </w:pPr>
      <w:r>
        <w:rPr>
          <w:rFonts w:ascii="Amiri" w:hAnsi="Amiri" w:eastAsia="Amiri" w:cs="Amiri"/>
          <w:color w:val="111111"/>
          <w:sz w:val="28"/>
          <w:sz w:val="28"/>
          <w:szCs w:val="28"/>
          <w:rtl w:val="true"/>
          <w:lang w:bidi="ar-SA"/>
        </w:rPr>
        <w:t xml:space="preserve">يرى بعض أهل السنة انّها تتنافى مع القول بعصمة من تناولتهم، مثل الآيات الدالّة على معصية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الأنبياء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الشيعة يذهبون إلى أنّ هذه الآيات تؤوّل وتفسّر بغير ما يستنبطه علماء أهل السنّة، حيث يثبتون أنّ القرآن الكريم نفسه قد برّأ الانبياء من الخطأ، وأيضاً يثبتون ذلك بالأدلّة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قد مجّد الأنبياء في كثير من آياته ومدحهم واعتبرهم منزّهين عن وساوس الشيطان الذي لا سلطان ولا ولاية له عليهم، وأكّد على أنّهم يتمتّعون بسموٍ أخلاقي وروحي، وليس ذلك سوى العصمة بذالتها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الآيات الدالة على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أَرْسَلْنا مِنْ رَسُولٍ إِلَّا لِيُطاعَ بِإِذْنِ اللهِ</w:t>
      </w:r>
      <w:r>
        <w:rPr>
          <w:rFonts w:eastAsia="Amiri" w:cs="Amiri" w:ascii="Amiri" w:hAnsi="Amiri"/>
          <w:color w:val="111111"/>
          <w:sz w:val="28"/>
          <w:szCs w:val="28"/>
          <w:rtl w:val="true"/>
          <w:lang w:bidi="ar-SA"/>
        </w:rPr>
        <w:t xml:space="preserve">) .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ومن المؤكّد أنّ هذه القاعدة التي ذكرتها الآية الكريمة مطلقةٌ وتشمل جميع الأنبياء، ومن البديهي أيضاً أن وجوب الطاعة التامّة للأنبياء يستلزم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ويستمدّ شرعيّته منها تماماً؛ لأنّه من غير الممكن أن يرسل الله تعالى رسولاً ويأمر بطاعته طاعةً عمياء مع إمكان ارتكابه الذنب عمداً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آيات عديدةٌ أُخرى يمكن الاستدلال بها على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من شكّك في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لبعض الآيات القرآنية، غافلٌ عن هذه الآيات التي تثبت عصمتهم بشكل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فالأجدر حين الاستدلال بالآيات القرآنية التركيز على سائر الآيات كي لا نقع في تهافت أو تناقض في الاستنتاج</w:t>
      </w:r>
      <w:r>
        <w:rPr>
          <w:rFonts w:eastAsia="Amiri" w:cs="Amiri" w:ascii="Amiri" w:hAnsi="Amiri"/>
          <w:color w:val="111111"/>
          <w:sz w:val="28"/>
          <w:szCs w:val="28"/>
          <w:rtl w:val="true"/>
          <w:lang w:bidi="ar-SA"/>
        </w:rPr>
        <w:t xml:space="preserve">. </w:t>
      </w:r>
      <w:bookmarkStart w:id="92" w:name="pg2007_10918"/>
    </w:p>
    <w:p>
      <w:pPr>
        <w:pStyle w:val="BookText"/>
        <w:rPr/>
      </w:pPr>
      <w:bookmarkEnd w:id="92"/>
      <w:r>
        <w:rPr>
          <w:rFonts w:ascii="Amiri" w:hAnsi="Amiri" w:eastAsia="Amiri" w:cs="Amiri"/>
          <w:color w:val="111111"/>
          <w:sz w:val="28"/>
          <w:sz w:val="28"/>
          <w:szCs w:val="28"/>
          <w:rtl w:val="true"/>
          <w:lang w:bidi="ar-SA"/>
        </w:rPr>
        <w:t xml:space="preserve">إذن، لابدّ من التذكير بآياتٍ كثيرةٍ تدلّ على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خلال تفسير أو توجيه الآيات التي تدل بظاهرها على ارتكابهم للمعصية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ولو تركنا الأدلة الروائيّة جانباً، فإنّ العقل يحكم بالاستدلال القاطع على أن من ينالون منصب الرسالة الإلهية يجب أن يكونوا بعيدين عن كل ذنب ومعصية وخطأ كي يصدّقهم السامع ولا ينفر منهم قلبه وحتّى تكون طاعتهم مؤدّية للغرض ومفيدة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أمكن صدور المعصية منهم سوف لا يحصل الوثوق بصحة قولهم لجواز كذبهم حينئذٍ عليهم، وإذا لم‌يحصل الوثوق بهم فلا يمكن الانقياد لأمرهم ونهيهم، فتنتفي فائدة بعثهم كأنبياء</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ونظراً لأهمّية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عصمة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بعض العلماء البارزين من السنّة والشيعة بشحذ أقلامهم وتدوين كتب ورسائل حولها، ومن بين علماء الشيعة السيد المرتضى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العلماء السنّة الفخر الرازي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فهاذان العلمان القديران أجابا في كتابيهما المذكورين على شبهات المنكرين بشكل تفصيلي مستندين للأدلة العقلية والروائية الكثيرة التي تثبت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Heading4"/>
        <w:numPr>
          <w:ilvl w:val="3"/>
          <w:numId w:val="1"/>
        </w:numPr>
        <w:rPr/>
      </w:pPr>
      <w:bookmarkStart w:id="93" w:name="__RefHeading___Toc4036605_3650668749"/>
      <w:bookmarkStart w:id="94" w:name="_Toc34"/>
      <w:bookmarkEnd w:id="93"/>
      <w:r>
        <w:rPr>
          <w:rtl w:val="true"/>
        </w:rPr>
        <w:t>ب</w:t>
      </w:r>
      <w:r>
        <w:rPr>
          <w:rtl w:val="true"/>
        </w:rPr>
        <w:t xml:space="preserve">- </w:t>
      </w:r>
      <w:r>
        <w:rPr>
          <w:rtl w:val="true"/>
        </w:rPr>
        <w:t xml:space="preserve">عصمة أئمّة أهل‌البيت </w:t>
      </w:r>
      <w:r>
        <w:rPr>
          <w:rtl w:val="true"/>
        </w:rPr>
        <w:t>(</w:t>
      </w:r>
      <w:r>
        <w:rPr>
          <w:rtl w:val="true"/>
        </w:rPr>
        <w:t>ع</w:t>
      </w:r>
      <w:r>
        <w:rPr>
          <w:rtl w:val="true"/>
        </w:rPr>
        <w:t>)</w:t>
      </w:r>
      <w:bookmarkEnd w:id="94"/>
    </w:p>
    <w:p>
      <w:pPr>
        <w:pStyle w:val="Heading5"/>
        <w:numPr>
          <w:ilvl w:val="4"/>
          <w:numId w:val="1"/>
        </w:numPr>
        <w:rPr/>
      </w:pPr>
      <w:bookmarkStart w:id="95" w:name="__RefHeading___Toc4036607_3650668749"/>
      <w:bookmarkStart w:id="96" w:name="_Toc35"/>
      <w:bookmarkEnd w:id="95"/>
      <w:r>
        <w:rPr>
          <w:rtl w:val="true"/>
        </w:rPr>
        <w:t>اشارة</w:t>
      </w:r>
      <w:bookmarkEnd w:id="9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عصمة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أهم العقائد الأساسية التي يعتقد بها الشيعة والتي هي غير قابلة للنقاش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أحاديث كثيرة تؤكّد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مسألة هامّةٌ يجب الإلتفات إليها، وهي أن لا نجعل مسألة عصمتهم من المسائل التي طرُحت في فترةٍ متأخّرة عن زمانهم وأنّها شاعت بين اتباعهم بعد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أكّد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عصمة عترته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وكذلك فقد روي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منّا لا يكون إلّا معصوماً، وليست العصمة في ظاهر الخلقة فيعرف بها، ولذلك لا يكون إلّا منصوصاً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فما معنى المعصوم؟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المعتصم بحبل الله، وحبل الله هو القرآن لا يفترقان إلى يوم القيامة، والإمام يهدي إلى القرآن والقرآن يهدي إلى الإمام،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الْقُرْآنَ يِهْدِي لِلَّتِي هِيَ أَقْوَمُ</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وكذلك روي بسند صحيح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خزّان علم الله، نحن تراجمة أمرالله، نحن قوم معصومون؛ أمرالله تبارك وتعالى بطاعتنا ونهى عن معصيتنا، نحن الحجّة البالغة على من دون السماء و فوق الأرض</w:t>
      </w:r>
      <w:r>
        <w:rPr>
          <w:rFonts w:eastAsia="Amiri" w:cs="Amiri" w:ascii="Amiri" w:hAnsi="Amiri"/>
          <w:color w:val="111111"/>
          <w:sz w:val="28"/>
          <w:szCs w:val="28"/>
          <w:rtl w:val="true"/>
          <w:lang w:bidi="ar-SA"/>
        </w:rPr>
        <w:t xml:space="preserve">» .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فمن خلال هذه الروايات وروايات أخرى نستنتج أنّ عصمة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بجانبين،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يتحلّى بصفاء وسمو روحي، وأنّه منزّهٌ من أيّ انحراف أو تلوّث بالمعاصي في قول أو عمل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اجتماعيٌّ وتبليغيٌّ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الإمام معصوم عن الخطأ </w:t>
      </w:r>
      <w:bookmarkStart w:id="97" w:name="pg2007_10920"/>
    </w:p>
    <w:p>
      <w:pPr>
        <w:pStyle w:val="BookText"/>
        <w:rPr/>
      </w:pPr>
      <w:bookmarkEnd w:id="97"/>
      <w:r>
        <w:rPr>
          <w:rFonts w:ascii="Amiri" w:hAnsi="Amiri" w:eastAsia="Amiri" w:cs="Amiri"/>
          <w:color w:val="111111"/>
          <w:sz w:val="28"/>
          <w:sz w:val="28"/>
          <w:szCs w:val="28"/>
          <w:rtl w:val="true"/>
          <w:lang w:bidi="ar-SA"/>
        </w:rPr>
        <w:t>والمعصية في تبليغه للدين وتعليم الأحكام الشرعية، لتكون فتواه وتعاليمه مطابقة للأحكام الواقعية التي يريدها الله تعالى</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4036609_3650668749"/>
      <w:bookmarkStart w:id="99" w:name="_Toc36"/>
      <w:bookmarkEnd w:id="98"/>
      <w:r>
        <w:rPr>
          <w:rtl w:val="true"/>
        </w:rPr>
        <w:t xml:space="preserve">منشأ عصمة أهل‌البيت </w:t>
      </w:r>
      <w:r>
        <w:rPr>
          <w:rtl w:val="true"/>
        </w:rPr>
        <w:t>(</w:t>
      </w:r>
      <w:r>
        <w:rPr>
          <w:rtl w:val="true"/>
        </w:rPr>
        <w:t>ع</w:t>
      </w:r>
      <w:r>
        <w:rPr>
          <w:rtl w:val="true"/>
        </w:rPr>
        <w:t>)</w:t>
      </w:r>
      <w:bookmarkEnd w:id="99"/>
    </w:p>
    <w:p>
      <w:pPr>
        <w:pStyle w:val="Heading6"/>
        <w:numPr>
          <w:ilvl w:val="5"/>
          <w:numId w:val="1"/>
        </w:numPr>
        <w:rPr/>
      </w:pPr>
      <w:bookmarkStart w:id="100" w:name="__RefHeading___Toc4036611_3650668749"/>
      <w:bookmarkStart w:id="101" w:name="_Toc37"/>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هناك أمران تجدر الإشارة إليهما بالنسبة إلى عصمة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مؤهّلاتهم العلميّة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التسديد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فهاذان الأمران هما أهمّ سببين لملكة العصمة التي اتّصفوابها، فنظراً لمنزلتهم العلمية الرفيعة وما هم عليه من قابليّات علميةٍ وأخلاقيةٍ نشأت من تربية مميّزةٍ، فقد أصبح كلّ واحدٍ منهم معصوماً مؤهّلاً لنيل الكمال واللطف الإلهي، فهذان الأمران هما منشأ ومصدر العصمة في شخصية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لذلك فإنّ عصمة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لطفٌ وتوفيقٌ من الله تعالى الذي أكرمهم بما يتناسب مع قابليّاتهم العلميّة والاخلاقيّة، وهذا الرأي مصداقٌ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Heading6"/>
        <w:numPr>
          <w:ilvl w:val="5"/>
          <w:numId w:val="1"/>
        </w:numPr>
        <w:rPr/>
      </w:pPr>
      <w:bookmarkStart w:id="102" w:name="__RefHeading___Toc4036613_3650668749"/>
      <w:bookmarkStart w:id="103" w:name="_Toc38"/>
      <w:bookmarkEnd w:id="102"/>
      <w:r>
        <w:rPr>
          <w:rtl w:val="true"/>
        </w:rPr>
        <w:t xml:space="preserve">الأدلّة على عصمة الأئمّة </w:t>
      </w:r>
      <w:r>
        <w:rPr>
          <w:rtl w:val="true"/>
        </w:rPr>
        <w:t>(</w:t>
      </w:r>
      <w:r>
        <w:rPr>
          <w:rtl w:val="true"/>
        </w:rPr>
        <w:t>ع</w:t>
      </w:r>
      <w:r>
        <w:rPr>
          <w:rtl w:val="true"/>
        </w:rPr>
        <w:t>)</w:t>
      </w:r>
      <w:bookmarkEnd w:id="103"/>
    </w:p>
    <w:p>
      <w:pPr>
        <w:pStyle w:val="Heading6"/>
        <w:numPr>
          <w:ilvl w:val="5"/>
          <w:numId w:val="1"/>
        </w:numPr>
        <w:rPr/>
      </w:pPr>
      <w:bookmarkStart w:id="104" w:name="__RefHeading___Toc4036615_3650668749"/>
      <w:bookmarkStart w:id="105" w:name="_Toc39"/>
      <w:bookmarkEnd w:id="104"/>
      <w:r>
        <w:rPr>
          <w:rtl w:val="true"/>
        </w:rPr>
        <w:t>اشارة</w:t>
      </w:r>
      <w:bookmarkEnd w:id="10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البداية لا بد من التنبيه إلى أنّ العصمة حالة داخلية وملكة خفيّة لاتظهر بشكل محسوس على من يتحلّى بهكذا كعلامةٍ تميّزه عن غيره، فهي ليست شيئاً مكتوباً على جبين الشخص أو ظاهراً عليه بحيث يبدو للناظر بمجرّد أن ينظر إليه، بل هي ملكة نفسانية لا يعرفها في العباد إلا الله العالم </w:t>
      </w:r>
      <w:bookmarkStart w:id="106" w:name="pg2007_10921"/>
    </w:p>
    <w:p>
      <w:pPr>
        <w:pStyle w:val="BookText"/>
        <w:rPr/>
      </w:pPr>
      <w:bookmarkEnd w:id="106"/>
      <w:r>
        <w:rPr>
          <w:rFonts w:ascii="Amiri" w:hAnsi="Amiri" w:eastAsia="Amiri" w:cs="Amiri"/>
          <w:color w:val="111111"/>
          <w:sz w:val="28"/>
          <w:sz w:val="28"/>
          <w:szCs w:val="28"/>
          <w:rtl w:val="true"/>
          <w:lang w:bidi="ar-SA"/>
        </w:rPr>
        <w:t>بالخفايا جلّ وعلا، فهو العالم بالظاهر والباطن من الأمور، وكذلك يعرفها من ارتبط بالله تعالى عن طريق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لو أردنا معرفة الدليل على العصمة يجب علينا أن نبحث عنه في كلام الله تعالى أو كلام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أوضح الأدلّة على العصمة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4036617_3650668749"/>
      <w:bookmarkStart w:id="108" w:name="_Toc40"/>
      <w:bookmarkEnd w:id="107"/>
      <w:r>
        <w:rPr>
          <w:rtl w:val="true"/>
        </w:rPr>
        <w:t>الدليل الأوّل</w:t>
      </w:r>
      <w:r>
        <w:rPr>
          <w:rtl w:val="true"/>
        </w:rPr>
        <w:t xml:space="preserve">: </w:t>
      </w:r>
      <w:r>
        <w:rPr>
          <w:rtl w:val="true"/>
        </w:rPr>
        <w:t>آية التطهير</w:t>
      </w:r>
      <w:bookmarkEnd w:id="108"/>
    </w:p>
    <w:p>
      <w:pPr>
        <w:pStyle w:val="Heading6"/>
        <w:numPr>
          <w:ilvl w:val="5"/>
          <w:numId w:val="1"/>
        </w:numPr>
        <w:rPr/>
      </w:pPr>
      <w:bookmarkStart w:id="109" w:name="__RefHeading___Toc4036619_3650668749"/>
      <w:bookmarkStart w:id="110" w:name="_Toc41"/>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03"/>
      </w:r>
      <w:r>
        <w:rPr>
          <w:rFonts w:ascii="Amiri" w:hAnsi="Amiri" w:eastAsia="Amiri" w:cs="Amiri"/>
          <w:color w:val="111111"/>
          <w:sz w:val="28"/>
          <w:sz w:val="28"/>
          <w:szCs w:val="28"/>
          <w:rtl w:val="true"/>
          <w:lang w:bidi="ar-SA"/>
        </w:rPr>
        <w:t xml:space="preserve">هذه الآية التي نزلت بشكل صريح في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من أوضح الأدلّة على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تفيد الحصر، وقد أكّدت بالإرادة الإلهية لإبعاد الرجس عنهم، وتخصيص التطهير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والمقصود بالإرادة هنا ليست الإرادة التشريعية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 وَ لكِنْ يُرِيدُ لِيُطَهِّرَكُمْ وَ لِيُتِمَّ نِعْمَتَهُ عَلَيْكُمْ لَعَلَّكُمْ تَشْكُرُونَ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لأنَّ هذه الآية ناظرة إلى تشريع الأحكام والحدود من قبل الله تعالى لتهيئة سبل طهارة النفس المعنوية لدى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الإرادة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الممكن انتزاعه من آية التطهير؛ فلو كان المراد من آية التطهير هو الإرادة التشريعية في منحهم الطهارة المعنوية من خلال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الأحكام والحدود، فيلزم أن تكون الاحكام شرّعت لهم خاصة دون غيرهم، وهذا غير صحيح، ولم يدّعيه أحد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فتشريع الأحكام والحدود عامٌّ ولا يختصّ بأحدٍ، وغرض الإرادة في آية </w:t>
      </w:r>
    </w:p>
    <w:p>
      <w:pPr>
        <w:pStyle w:val="BookText"/>
        <w:rPr/>
      </w:pPr>
      <w:r>
        <w:rPr>
          <w:rFonts w:ascii="Amiri" w:hAnsi="Amiri" w:eastAsia="Amiri" w:cs="Amiri"/>
          <w:color w:val="111111"/>
          <w:sz w:val="28"/>
          <w:sz w:val="28"/>
          <w:szCs w:val="28"/>
          <w:rtl w:val="true"/>
          <w:lang w:bidi="ar-SA"/>
        </w:rPr>
        <w:t xml:space="preserve">التطهير قد حُدِّد بأداة الحصر بأهل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المقصود بالإرادة هنا هو محض إرادةٍ تكوينيّةٍ، وهي الإرادة الحتمية الوقوع والتي تبعد عن أهل‌البيت كلّ رجسٍ، كما جاء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ومن خلال ذلك نجزم بتحقّق هذه الإرادة في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ثبوت عصمتهم وطهارتهم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الرِّجس لغة هو القَذِر والمستقذَر، وكل ما تنفر منه الطبائع وتتجنّبه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عاماً شاملاً لكل مستقذَر مادي أو معنوي، والأولى أن يكون شاملاً للذنوب والمعاصي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الآيات الكثيرة التي استخدمت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الذنب أو الخطأ والمعصية وما شابه ذلك من الأمور المعنوية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واستناداً إلى هذه الآيات ودلالتها على طهارة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الشيعة بعصمة هؤلاء النخبة ونزاهتهم عن كل أنواع الرجس والنقائص المعنوية بإرادة تكوينية حتمية من الله تبارك وتعالى، وكما هو واضح ومؤكّد في خاتمة الآية الكريمة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يُطَهِّرَكُمْ تَطْهِيراً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يثبت لنا من خلال هذا الاستدلال أن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 كما يقول الشيعة</w:t>
      </w:r>
      <w:r>
        <w:rPr>
          <w:rFonts w:eastAsia="Amiri" w:cs="Amiri" w:ascii="Amiri" w:hAnsi="Amiri"/>
          <w:color w:val="111111"/>
          <w:sz w:val="28"/>
          <w:szCs w:val="28"/>
          <w:rtl w:val="true"/>
          <w:lang w:bidi="ar-SA"/>
        </w:rPr>
        <w:t xml:space="preserve">. </w:t>
      </w:r>
      <w:bookmarkStart w:id="111" w:name="pg2007_10923"/>
    </w:p>
    <w:p>
      <w:pPr>
        <w:pStyle w:val="Heading6"/>
        <w:numPr>
          <w:ilvl w:val="5"/>
          <w:numId w:val="1"/>
        </w:numPr>
        <w:rPr/>
      </w:pPr>
      <w:bookmarkStart w:id="112" w:name="__RefHeading___Toc4036621_3650668749"/>
      <w:bookmarkStart w:id="113" w:name="_Toc42"/>
      <w:bookmarkEnd w:id="111"/>
      <w:bookmarkEnd w:id="112"/>
      <w:r>
        <w:rPr>
          <w:rtl w:val="true"/>
        </w:rPr>
        <w:t>نقض شبهة</w:t>
      </w:r>
      <w:bookmarkEnd w:id="113"/>
    </w:p>
    <w:p>
      <w:pPr>
        <w:pStyle w:val="BookText"/>
        <w:rPr/>
      </w:pPr>
      <w:r>
        <w:rPr>
          <w:rFonts w:ascii="Amiri" w:hAnsi="Amiri" w:eastAsia="Amiri" w:cs="Amiri"/>
          <w:color w:val="111111"/>
          <w:sz w:val="28"/>
          <w:sz w:val="28"/>
          <w:szCs w:val="28"/>
          <w:rtl w:val="true"/>
          <w:lang w:bidi="ar-SA"/>
        </w:rPr>
        <w:t>إنّ أهم سؤال يمكن أن يطرح حول آية التطهير يدور حول مفهوم أهل‌البيت المذكورين في الآية، فمن هم أهل‌البيت الذين قصدهم الله تعالى؟ و قد أجاب عليه بعض من أهل السنّة دون أن يُراعوا الإنصاف وغفلوا عن الحقيقة أو تغافلوا عنها رغم وضوحها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بهم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جميع أهله وأقربائه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سنناقش هاذين القولين باختصار،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بهذا الرأي استدل بسياق الآية، وذلك بملاحظة ما قبلها وما بعدها فمن الواضح أنّه يتعلّق بنساء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كان ما قبل الآية وما بعدها متعلّق بنساء النبيّ، كذلك هذا المقطع، أي أهل‌البيت، يكون متعلقاً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وللإجابة على هذا الرأي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آية التطهير من الآيات النازلة في حق نساء النبيّ والخطاب فيها موجّه لهنّ، يمكن أن يكون الادّعاء المذكور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الحقيقة ترتيب الآيات في السُّوَر القرآنيّة لا دلالة فيه على ترتيب النزول أو سبب النزول، ولا ملازمة بينهما في ذلك كما هو معلوم، وإنّما رُتّب القرآن بهذا الشكل بأمرٍ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لاحقاً، أو كما يحتمل أنّه رتّب باجتهادٍ من قبل الصحابة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الاعتماد في الاستدلال بسياق الآيات يجب أن يكون حسب ترتيب نزولها وتعاقبها في ذلك، وليس حسب ترتيبها الذي دوّنت عليه في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يتعلّق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سبب نزولها يختلف عن سبب نزول الآيات التي تسبقها وتليها، وهذا ما يؤكّد عليه </w:t>
      </w:r>
    </w:p>
    <w:p>
      <w:pPr>
        <w:pStyle w:val="BookText"/>
        <w:rPr/>
      </w:pPr>
      <w:r>
        <w:rPr>
          <w:rFonts w:ascii="Amiri" w:hAnsi="Amiri" w:eastAsia="Amiri" w:cs="Amiri"/>
          <w:color w:val="111111"/>
          <w:sz w:val="28"/>
          <w:sz w:val="28"/>
          <w:szCs w:val="28"/>
          <w:rtl w:val="true"/>
          <w:lang w:bidi="ar-SA"/>
        </w:rPr>
        <w:t xml:space="preserve">المفسّرون والمؤرّخون، فضلاً عن تصريح الكثير من الاحاديث بأنها نزلت بشأن أهل‌البيت وأنّها لا تتعلّق بنساء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يجب تفسير آية التطهير بشكلٍ منفصل تماماً عن الآيات الأخرى القريبة منها في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الرأي يستند قائله إلى رأي زيد بن أرقم القائل بأنّ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وعشيرته الذين تحرم عليهم الصدقة من بعده</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ولا بدّ من الالتفات هنا إلى أنّ الاستدلال بقول هذا الصحابي يكون مقابل الاستدلال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لأنّه صلوات الله عليه قد عرّف أهل بيته للناس مراراً وتكراراً وفي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أشهر هذه الأحاديث التي ذكرت أهل‌البيت وعيّنتهم، حديث الكساء المعروف والذي يمكن أن يصل إلى حدّ التواتر عن طريق الشيعة والسنّة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هذا الحديث الشريف كما رُوي في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على وحسن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كلّ واحدٍ منهما بيده حتى دخل فأدنى علياً وفاطمة فأجلسهما بين يديه وأجلس حسناً وحسيناً كل واحد منهما على فخذه ثمّ لفّ عليهم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وأهل بيتي أحقّ</w:t>
      </w:r>
      <w:r>
        <w:rPr>
          <w:rFonts w:eastAsia="Amiri" w:cs="Amiri" w:ascii="Amiri" w:hAnsi="Amiri"/>
          <w:color w:val="111111"/>
          <w:sz w:val="28"/>
          <w:szCs w:val="28"/>
          <w:rtl w:val="true"/>
          <w:lang w:bidi="ar-SA"/>
        </w:rPr>
        <w:t xml:space="preserve">» . </w:t>
      </w:r>
      <w:r>
        <w:rPr>
          <w:rStyle w:val="FootnoteAnchor"/>
          <w:rtl w:val="true"/>
        </w:rPr>
        <w:footnoteReference w:id="10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أكّدت روايات أخرى على أنّ آية التطهير نزلت في هذا الوقت بالضبط، ومن الجدير بالذكر أنّ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أم‌سلمة كانت حاضرة في هذه الحادثة، وقد 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معهم؟ فأجابها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إنّك إلى </w:t>
      </w:r>
      <w:bookmarkStart w:id="114" w:name="pg2007_10925"/>
    </w:p>
    <w:p>
      <w:pPr>
        <w:pStyle w:val="BookText"/>
        <w:rPr/>
      </w:pPr>
      <w:bookmarkEnd w:id="114"/>
      <w:r>
        <w:rPr>
          <w:rFonts w:ascii="Amiri" w:hAnsi="Amiri" w:eastAsia="Amiri" w:cs="Amiri"/>
          <w:color w:val="111111"/>
          <w:sz w:val="28"/>
          <w:sz w:val="28"/>
          <w:szCs w:val="28"/>
          <w:rtl w:val="true"/>
          <w:lang w:bidi="ar-SA"/>
        </w:rPr>
        <w:t>خير، إنّك إلى خير</w:t>
      </w:r>
      <w:r>
        <w:rPr>
          <w:rFonts w:eastAsia="Amiri" w:cs="Amiri" w:ascii="Amiri" w:hAnsi="Amiri"/>
          <w:color w:val="111111"/>
          <w:sz w:val="28"/>
          <w:szCs w:val="28"/>
          <w:rtl w:val="true"/>
          <w:lang w:bidi="ar-SA"/>
        </w:rPr>
        <w:t xml:space="preserve">» .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وكذلك روى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يمر ببيت فاطمة ستة أشهر إذا خرج إلى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أهل‌البيت إِنَّما يُرِيدُ اللهُ لِيُذْهِبَ عَنْكُمُ الرِّجْسَ أَهْلَ الْبَيْتِ وَ يُطَهِّرَكُمْ تَطْهِيراً </w:t>
      </w:r>
      <w:r>
        <w:rPr>
          <w:rFonts w:eastAsia="Amiri" w:cs="Amiri" w:ascii="Amiri" w:hAnsi="Amiri"/>
          <w:color w:val="111111"/>
          <w:sz w:val="28"/>
          <w:szCs w:val="28"/>
          <w:rtl w:val="true"/>
          <w:lang w:bidi="ar-SA"/>
        </w:rPr>
        <w:t xml:space="preserve">» .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ويفهم ممّا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يريد تعريف الناس بأهل بيته والتأكيد على ذلك، وبيان المصداق الحقيقي للآية الكريمة من خلال تكرار هذا العمل لستة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يثبت أنّ المراد بآية التطهير ليس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جميع أقربائه ومن يتّصل به، بل هم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ويلحق بهم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Heading6"/>
        <w:numPr>
          <w:ilvl w:val="5"/>
          <w:numId w:val="1"/>
        </w:numPr>
        <w:rPr/>
      </w:pPr>
      <w:bookmarkStart w:id="115" w:name="__RefHeading___Toc4036623_3650668749"/>
      <w:bookmarkStart w:id="116" w:name="_Toc43"/>
      <w:bookmarkEnd w:id="115"/>
      <w:r>
        <w:rPr>
          <w:rtl w:val="true"/>
        </w:rPr>
        <w:t>الدليل الثاني</w:t>
      </w:r>
      <w:r>
        <w:rPr>
          <w:rtl w:val="true"/>
        </w:rPr>
        <w:t xml:space="preserve">: </w:t>
      </w:r>
      <w:r>
        <w:rPr>
          <w:rtl w:val="true"/>
        </w:rPr>
        <w:t>آية الابتلاء</w:t>
      </w:r>
      <w:bookmarkEnd w:id="11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من آية الابتلاء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Style w:val="FootnoteAnchor"/>
          <w:rtl w:val="true"/>
        </w:rPr>
        <w:footnoteReference w:id="112"/>
      </w:r>
      <w:r>
        <w:rPr>
          <w:rFonts w:ascii="Amiri" w:hAnsi="Amiri" w:eastAsia="Amiri" w:cs="Amiri"/>
          <w:color w:val="111111"/>
          <w:sz w:val="28"/>
          <w:sz w:val="28"/>
          <w:szCs w:val="28"/>
          <w:rtl w:val="true"/>
          <w:lang w:bidi="ar-SA"/>
        </w:rPr>
        <w:t xml:space="preserve">، فهذه الآية تبيّن مواجهة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لاختبارٍ صعب، وذلك بتنصيبه إماماً للأمّة حيث اجتاز هذا الاختبار بنجاح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 اللهَ تعالى بعد تجاوزه هذا الابتلاء لأن يجعل بعض ذريّته أئمّةً للناس، إلا أنّ طليه هذا قد رُفض، وخاطبه تعالى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وهذه الآية هي </w:t>
      </w:r>
      <w:bookmarkStart w:id="117" w:name="pg2007_10926"/>
    </w:p>
    <w:p>
      <w:pPr>
        <w:pStyle w:val="BookText"/>
        <w:rPr/>
      </w:pPr>
      <w:bookmarkEnd w:id="117"/>
      <w:r>
        <w:rPr>
          <w:rFonts w:ascii="Amiri" w:hAnsi="Amiri" w:eastAsia="Amiri" w:cs="Amiri"/>
          <w:color w:val="111111"/>
          <w:sz w:val="28"/>
          <w:sz w:val="28"/>
          <w:szCs w:val="28"/>
          <w:rtl w:val="true"/>
          <w:lang w:bidi="ar-SA"/>
        </w:rPr>
        <w:t xml:space="preserve">أوضح دليلٍ على عصمة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الله تعالى نفى الإمامة عن كل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أخرى، لو تتبّعنا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ومعانيه في القرآن الكريم سنلاحظ أنّه مفهومٌ واسعٌ يشمل جميع أنواع الظلم، ابتداءاً من الظلم بحقّ الله تعالى مروراً بظلم الناس وصولاً إلى ظلم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 كل ذنبٍ أو زللٍ صغيراً كان أو كبيراً، هو ظلمٌ في حقيقة، وبالتالي فإنّ مرتكبه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مقتضى الآية أنّ من يتصدّى للإمامة يجب أن يكون منزّهاً عن كل تقصير وسوء وزلل يوجب ظلماً بأيّ نحوٍ كان، وأن لا يتّصف بذلك في أيّ زمان من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ولو قيل إنّ من كان ظالماً فيما مضى وقد تاب الآن عن ظلمه فقد عفى الله عنه وهو ليس ظالماً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فإنّ المصداق الحقيقيّ لعدم الظلم هو عدم الاتّصاف به في أيّ وقت من الأوقات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المصداق الوحيد والأكمل الذي يمكن أن تنطبق عليه هذه المواصفات لأنّهم لم يكونوا في حياتهم ولو لحظة واحدة متّصفين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نجد الشيعة يؤكّدون ويشدّدون من خلال هذه الآية على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ينقل صاحب تفسيرالميزان عن بعض أساتذته استدلالاً رائعاً لإثبات اختصاص الإمامة بمن كان غير ظالم في جميع مراحل حياته، لكن لا مجال هنا لطرحه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Heading6"/>
        <w:numPr>
          <w:ilvl w:val="5"/>
          <w:numId w:val="1"/>
        </w:numPr>
        <w:rPr/>
      </w:pPr>
      <w:bookmarkStart w:id="118" w:name="__RefHeading___Toc4036625_3650668749"/>
      <w:bookmarkStart w:id="119" w:name="_Toc44"/>
      <w:bookmarkEnd w:id="118"/>
      <w:r>
        <w:rPr>
          <w:rtl w:val="true"/>
        </w:rPr>
        <w:t>الدليل الثالث</w:t>
      </w:r>
      <w:r>
        <w:rPr>
          <w:rtl w:val="true"/>
        </w:rPr>
        <w:t xml:space="preserve">: </w:t>
      </w:r>
      <w:r>
        <w:rPr>
          <w:rtl w:val="true"/>
        </w:rPr>
        <w:t>آية الطاعة</w:t>
      </w:r>
      <w:bookmarkEnd w:id="11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من آية الطاعة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وهذه الآية تدل بوضوح على عصمة أولي الأمر، وهم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قرنت الأمر بطاعتهم في طاعة الله تبارك وتعالى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ووجوب الطاعة ملازم لوجود العصمة؛ فمن البديهي أنّه يستحيل على الله تعالى بحكمته أَنْ يأمر بطاعة من يحتمل صدور المعصية والزلل منه بقصد أو بغير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فإنّ الأمر بوجوب إطاعة مَن يمكن أن يصدر منه الخطأ أو المعصية، هو أمرٌ من الله تعالى بارتكاب المعصية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تعارضٌ بين الأمر بالشي والنهي عنه من قبل الله تبارك وتعالى، ومن المستحيل أن يصدر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لا بد أن يكون أولي الأمر معصومين عن اقتراف الخطأ والوقوع بالمعصية، وهو ما يؤمن به الشيعة وينسبوه لأئمّتهم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والطريف أنّ الفخر الرازي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فسّرين المعروفين عند أهل‌السنّة، يؤيدّ استدلال الشيعة في وجوب كون ولي الأمر معصوماً بحسب هذه الآية، ولكن ينتهج بعد ذلك أسلوباً للتملّص، وذلك إمّا تعصّبٌ أو ما شابهه،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أولي الأمر المعصومين لا يمكن أن يكونوا أفراداً مخصوصين من الأمّة؛ لأنّ إطاعة أفراد مثل هؤلاء متوقّف على معرفتهم وتشخيصهم، وهم غير موجودين في زماننا هذا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يذهب إلى أنّ المقصود من أولي الامر هم أهل الحلّ والعقد من الأمّة، ويعتبره دليلاً على حجية إجماع الأمّة</w:t>
      </w:r>
      <w:r>
        <w:rPr>
          <w:rFonts w:eastAsia="Amiri" w:cs="Amiri" w:ascii="Amiri" w:hAnsi="Amiri"/>
          <w:color w:val="111111"/>
          <w:sz w:val="28"/>
          <w:szCs w:val="28"/>
          <w:rtl w:val="true"/>
          <w:lang w:bidi="ar-SA"/>
        </w:rPr>
        <w:t xml:space="preserve">. </w:t>
      </w:r>
      <w:r>
        <w:rPr>
          <w:rStyle w:val="FootnoteAnchor"/>
          <w:rtl w:val="true"/>
        </w:rPr>
        <w:footnoteReference w:id="116"/>
      </w:r>
      <w:bookmarkStart w:id="120" w:name="pg2007_10928"/>
    </w:p>
    <w:p>
      <w:pPr>
        <w:pStyle w:val="BookText"/>
        <w:rPr/>
      </w:pPr>
      <w:bookmarkEnd w:id="120"/>
      <w:r>
        <w:rPr>
          <w:rFonts w:ascii="Amiri" w:hAnsi="Amiri" w:eastAsia="Amiri" w:cs="Amiri"/>
          <w:color w:val="111111"/>
          <w:sz w:val="28"/>
          <w:sz w:val="28"/>
          <w:szCs w:val="28"/>
          <w:rtl w:val="true"/>
          <w:lang w:bidi="ar-SA"/>
        </w:rPr>
        <w:t>ومن الواضح أنّ مثل هكذا تفسير للآية مخالفٌ للظاهر وحكم العقل، وهو تبريرٌ واضحٌ للتنصّل عن المنطق والإنصاف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المفسّر القدير قد تجاهل الأحاديث النبويّة الكثيرة التي عيّن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اهل‌بيته وأكد على عصمتهم، كحديث الثقلين الذي يعرّف أهل‌البيت ويؤكّد على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فبأيّ دليل يدّعى عدم إمكان معرفة أهل‌البيت في زمانه وعدم قدرته على تشخيصهم؟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إنّ التغاضي عن مثل هذه المسائل والإجابة عن الشبهات التي تطرح حولها بأسلوب غير علميٍّ وغير منطقيٍّ هو أمرٌ مرفوضٌ ولا يليق بالعلماء المسلمين</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4036627_3650668749"/>
      <w:bookmarkStart w:id="122" w:name="_Toc45"/>
      <w:bookmarkEnd w:id="121"/>
      <w:r>
        <w:rPr>
          <w:rtl w:val="true"/>
        </w:rPr>
        <w:t>الدليل الرابع</w:t>
      </w:r>
      <w:r>
        <w:rPr>
          <w:rtl w:val="true"/>
        </w:rPr>
        <w:t xml:space="preserve">: </w:t>
      </w:r>
      <w:r>
        <w:rPr>
          <w:rtl w:val="true"/>
        </w:rPr>
        <w:t>حديث الثقلين</w:t>
      </w:r>
      <w:bookmarkEnd w:id="122"/>
    </w:p>
    <w:p>
      <w:pPr>
        <w:pStyle w:val="BookText"/>
        <w:rPr/>
      </w:pPr>
      <w:r>
        <w:rPr>
          <w:rFonts w:ascii="Amiri" w:hAnsi="Amiri" w:eastAsia="Amiri" w:cs="Amiri"/>
          <w:color w:val="111111"/>
          <w:sz w:val="28"/>
          <w:sz w:val="28"/>
          <w:szCs w:val="28"/>
          <w:rtl w:val="true"/>
          <w:lang w:bidi="ar-SA"/>
        </w:rPr>
        <w:t xml:space="preserve">حديث الثقلين يدل على عصمة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القرآن والعترة متلازمين و لا يفترقان أبداً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القرآن والعترة سبباًً لهداية الأمة ونجاتها من التيه </w:t>
      </w:r>
      <w:bookmarkStart w:id="123" w:name="pg2007_10929"/>
    </w:p>
    <w:p>
      <w:pPr>
        <w:pStyle w:val="BookText"/>
        <w:rPr/>
      </w:pPr>
      <w:bookmarkEnd w:id="123"/>
      <w:r>
        <w:rPr>
          <w:rFonts w:ascii="IRNazanin" w:hAnsi="IRNazanin" w:eastAsia="IRNazanin"/>
          <w:color w:val="111111"/>
          <w:sz w:val="28"/>
          <w:sz w:val="28"/>
          <w:szCs w:val="28"/>
          <w:rtl w:val="true"/>
          <w:lang w:bidi="fa-IR"/>
        </w:rPr>
        <w:t>والضلال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البديهي أنّ القرآن وحي إلهي لا عوج فيه ولا نقص ولا خطأ، ولكي يلازمه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وحتى لايفترقوا عنه يجب أن يكونوا منزّهين عن كل نقص أو خطأ في قول أو عمل، وإلّا افترقوا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 افتراقهم يتعارض مع ما أكّد عليه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فهم منزّهين من كل نقص وشائبة تبعدهم عن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المتواتر يثبت أنّ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سبيل الهداية وضمان الأمّة من الضلال، والسبيل الوحيد ليكونوا أماناً لها وسبيلاً لهدايتها هو تنزّههم عن كل زلل أو خطأ أو ذنب، صغيراً كان أو كبيراً، وإلّا فلا يمكن أن يكونوا سبيلاً لنجاة الأمّة وأماناً لها من الضلال، بل سيضلّونها عن الحق ويبعدونها عن الصراط المستقيم</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4036629_3650668749"/>
      <w:bookmarkStart w:id="125" w:name="_Toc46"/>
      <w:bookmarkEnd w:id="124"/>
      <w:r>
        <w:rPr/>
        <w:t>٣</w:t>
      </w:r>
      <w:r>
        <w:rPr>
          <w:rtl w:val="true"/>
        </w:rPr>
        <w:t xml:space="preserve">- </w:t>
      </w:r>
      <w:r>
        <w:rPr>
          <w:rtl w:val="true"/>
        </w:rPr>
        <w:t>تنصيب الإمام والنص عليه عند الشيعة</w:t>
      </w:r>
      <w:bookmarkEnd w:id="125"/>
    </w:p>
    <w:p>
      <w:pPr>
        <w:pStyle w:val="Heading4"/>
        <w:numPr>
          <w:ilvl w:val="3"/>
          <w:numId w:val="1"/>
        </w:numPr>
        <w:rPr/>
      </w:pPr>
      <w:bookmarkStart w:id="126" w:name="__RefHeading___Toc4036631_3650668749"/>
      <w:bookmarkStart w:id="127" w:name="_Toc47"/>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مع الإلتزام بوجوب عصمة الامام وأعلميّته، نستنتج بشكلٍ قطعيٍّ ضرورة وجوب النصّ على الإمام وتنصيبه؛ لأنّ العصمة والأعلمية من الصفات الباطنية والأمور الخفية التي لا تُعلم بالظاهر ولا يقف عليها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واجباً على الله تعالى من باب اللطف بعباده هدايتهم نحو الخير وما فيه صلاحهم، ولأنّه تعالى جعل في كل أمّة نذيراً يبلّغ رسالته ويبيّن أحكامه، فمن الضروريّ أيضاً أن يبيّن لهم الحجّة عليهم وينصّ عليه لطفاً بهم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الشيعة أنّ هناك نصوصاً قرآنيّةً عديدةً تثبت إمامة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والائمّة المعصومين من ولده، حيث نذكر أهمّها في المبحث التالي</w:t>
      </w:r>
      <w:r>
        <w:rPr>
          <w:rFonts w:eastAsia="Amiri" w:cs="Amiri" w:ascii="Amiri" w:hAnsi="Amiri"/>
          <w:color w:val="111111"/>
          <w:sz w:val="28"/>
          <w:szCs w:val="28"/>
          <w:rtl w:val="true"/>
          <w:lang w:bidi="ar-SA"/>
        </w:rPr>
        <w:t xml:space="preserve">: </w:t>
      </w:r>
      <w:bookmarkStart w:id="128" w:name="pg2007_10930"/>
    </w:p>
    <w:p>
      <w:pPr>
        <w:pStyle w:val="Heading4"/>
        <w:numPr>
          <w:ilvl w:val="3"/>
          <w:numId w:val="1"/>
        </w:numPr>
        <w:rPr/>
      </w:pPr>
      <w:bookmarkStart w:id="129" w:name="__RefHeading___Toc4036633_3650668749"/>
      <w:bookmarkStart w:id="130" w:name="_Toc48"/>
      <w:bookmarkEnd w:id="128"/>
      <w:bookmarkEnd w:id="129"/>
      <w:r>
        <w:rPr>
          <w:rtl w:val="true"/>
        </w:rPr>
        <w:t>أ</w:t>
      </w:r>
      <w:r>
        <w:rPr>
          <w:rtl w:val="true"/>
        </w:rPr>
        <w:t xml:space="preserve">- </w:t>
      </w:r>
      <w:r>
        <w:rPr>
          <w:rtl w:val="true"/>
        </w:rPr>
        <w:t>النصّ على الإمامة في القرآن الكريم</w:t>
      </w:r>
      <w:bookmarkEnd w:id="130"/>
    </w:p>
    <w:p>
      <w:pPr>
        <w:pStyle w:val="BookText"/>
        <w:rPr/>
      </w:pPr>
      <w:r>
        <w:rPr>
          <w:rFonts w:ascii="Amiri" w:hAnsi="Amiri" w:eastAsia="Amiri" w:cs="Amiri"/>
          <w:color w:val="111111"/>
          <w:sz w:val="28"/>
          <w:sz w:val="28"/>
          <w:szCs w:val="28"/>
          <w:rtl w:val="true"/>
          <w:lang w:bidi="ar-SA"/>
        </w:rPr>
        <w:t xml:space="preserve">هناك آياتٌ عديدة تؤكّد على امامة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وعصمتهم،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أكّد تعالى في هذه الآية الشريفة على وجوب طاعة الله تعالى، ثمّ أمر بطاعة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عطف عليهما وجوب طاعة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طاعة الله تعالى على طاعة الرسول وأولي الأمر في الآية إشارة إلى أصالة هذه الطاعة وأولويّتها على غيرها من الطاعات؛ لأنّ طاعة الرسول وطاعة أولي الأمر تعود إلى طاعة الله تبارك وتعالى أي أنّ طاعة غير الله تعالى هنا تبعٌ لطاعته، فطاعة الرسول وأولي الأمر لاتتعارض مع طاعة الله تعالى، بل هي في موازاتها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ويذهب الشيعة إلى أنّ المقصود من أُولي الأمر في الآية هم أئمّة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والحقّ والإنصاف أنّ هذا الرأي مؤيّد بأدلّةٍ عقليةٍ وروائيّةٍ كثيرةٍ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الدليل العقلي على ذلك، فهو أنّ الله تبارك وتعالى من المستحيل أن يأمر بوجوب طاعة شخص غير منزّهٍ عن الخطايا والمعاصي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حديثنا عن عصمة الأئمّة وأكّدنا هناك على أنّه ليس من الممكن أن يوجب الله تبارك وتعالى وجوب طاعة أحدٍ بلا قيدٍ أو شرطٍ دون أن يكون هذا الشخص منزّهاً وغير معرّضٍ لارتكاب المعصية أو الوقوع في الخطأ، ويفتقد مؤهّلات </w:t>
      </w:r>
    </w:p>
    <w:p>
      <w:pPr>
        <w:pStyle w:val="BookText"/>
        <w:rPr/>
      </w:pPr>
      <w:r>
        <w:rPr>
          <w:rFonts w:ascii="Amiri" w:hAnsi="Amiri" w:eastAsia="Amiri" w:cs="Amiri"/>
          <w:color w:val="111111"/>
          <w:sz w:val="28"/>
          <w:sz w:val="28"/>
          <w:szCs w:val="28"/>
          <w:rtl w:val="true"/>
          <w:lang w:bidi="ar-SA"/>
        </w:rPr>
        <w:t>العصمة التي توجب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نفس الأمر المطلق بوجوب طاعة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عصمتهم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الكثير من الروايات المذكورة في مصادر الشيعة تؤيّد هذه الحقيقة</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فقد أشارت هذه الروايات إلى أنّ المراد من أولي الأمر هو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وأكّدت بعضها على أنّ المراد من أولي الأمر هم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وأمّا أهل السنّة، فقد اختلفوا فيما بينهم في بيان المراد من هذا الاصطلاح القرآني، أي أولي الأمر؛ فقال بعضهم إنّ المقصود به أمراء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رايا </w:t>
      </w:r>
      <w:r>
        <w:rPr>
          <w:rStyle w:val="FootnoteAnchor"/>
          <w:rtl w:val="true"/>
        </w:rPr>
        <w:footnoteReference w:id="121"/>
      </w:r>
      <w:r>
        <w:rPr>
          <w:rFonts w:ascii="IRNazanin" w:hAnsi="IRNazanin" w:eastAsia="IRNazanin"/>
          <w:color w:val="111111"/>
          <w:sz w:val="28"/>
          <w:sz w:val="28"/>
          <w:szCs w:val="28"/>
          <w:rtl w:val="true"/>
          <w:lang w:bidi="fa-IR"/>
        </w:rPr>
        <w:t xml:space="preserve">، وقال آخرون هم مطلق العلماء والفقهاء </w:t>
      </w:r>
      <w:r>
        <w:rPr>
          <w:rStyle w:val="FootnoteAnchor"/>
          <w:rtl w:val="true"/>
        </w:rPr>
        <w:footnoteReference w:id="122"/>
      </w:r>
      <w:r>
        <w:rPr>
          <w:rFonts w:ascii="Amiri" w:hAnsi="Amiri" w:eastAsia="Amiri" w:cs="Amiri"/>
          <w:color w:val="111111"/>
          <w:sz w:val="28"/>
          <w:sz w:val="28"/>
          <w:szCs w:val="28"/>
          <w:rtl w:val="true"/>
          <w:lang w:bidi="ar-SA"/>
        </w:rPr>
        <w:t>، وذهب بعضهم إلى أنّهم الخلفاء الأربعة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وهناك من قال بأنّهم السلاطين</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ومن الواضح أنّ هذه الآراء لا صحّة مطلقاً، وذلك لأنّ أمراء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رايا والفقهاء والخلفاء والملوك والسلاطين لم يكونوا معصومين كي يحكم العقل بوجوب طاعتهم وكون طاعتهم طاعة لله تعالى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حقيقةٌ تأريخيّةٌ لا ينكرها أحدٌ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للخلفاء، فلا خلاف بين العلماء حول عدم عصمة أبي بكر وعمر وعثمان، ووحده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اختلف فيه، فقال الشيعة بعصمته </w:t>
      </w:r>
    </w:p>
    <w:p>
      <w:pPr>
        <w:pStyle w:val="BookText"/>
        <w:rPr/>
      </w:pPr>
      <w:r>
        <w:rPr>
          <w:rFonts w:ascii="Amiri" w:hAnsi="Amiri" w:eastAsia="Amiri" w:cs="Amiri"/>
          <w:color w:val="111111"/>
          <w:sz w:val="28"/>
          <w:sz w:val="28"/>
          <w:szCs w:val="28"/>
          <w:rtl w:val="true"/>
          <w:lang w:bidi="ar-SA"/>
        </w:rPr>
        <w:t>ولم‌يقل بذلك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محور البحث يجب أن يكون حول عصمة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شبهةٌ يطرحها البعض، وهي أنّ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 الرَّسُولِ أمرت بالرجوع إلى الله تعالى والرسول ولم تأمر بالرجوع إلى أولي الأمر، لذلك يمكن القول بأنّ الأمر بالرجوع إلى الله والرسول فيه دلالة على عدم عصمة 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أنّ عدم ذكر الأمر بالرجوع إلى أولي الأمر، أو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إنّما هو من جهة عدم كونهم مشرّعين كي يكون الرجوع إليهم بمنزلة الرجوع إلى الله تعالى وإلى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سّرون لآيات القرآن ومبيّنون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يرجعون أيضاً إلى كتاب الله تعالى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الفارق بين رجوعهم وتفسيرهم لكتاب الله تعالى وسنّة نبيه عن غيرهم أنّهم معصومون في ذلك عن الخطأ والزلل وبعيدون كل البعد عن الوقوع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125"/>
      </w:r>
      <w:r>
        <w:rPr>
          <w:rFonts w:ascii="Amiri" w:hAnsi="Amiri" w:eastAsia="Amiri" w:cs="Amiri"/>
          <w:color w:val="111111"/>
          <w:sz w:val="28"/>
          <w:sz w:val="28"/>
          <w:szCs w:val="28"/>
          <w:rtl w:val="true"/>
          <w:lang w:bidi="ar-SA"/>
        </w:rPr>
        <w:t>، هذه الآية تؤكد على أنّ ولي المؤمنين هو الله تعالى ورسوله، وفئةٌ خاصّةٌ من المؤمنين، وهم مَن يعطون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الروايات الشيعية التي تواتر في هذا الصدد تمّ تحديد هذه الفئة بأنّهم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وبالأخصّ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12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الكثير من علماء أهل السنّة أكّدوا على أنها نزلت بشأن عليّ بن </w:t>
      </w:r>
    </w:p>
    <w:p>
      <w:pPr>
        <w:pStyle w:val="BookText"/>
        <w:rPr/>
      </w:pPr>
      <w:r>
        <w:rPr>
          <w:rFonts w:ascii="Amiri" w:hAnsi="Amiri" w:eastAsia="Amiri" w:cs="Amiri"/>
          <w:color w:val="111111"/>
          <w:sz w:val="28"/>
          <w:sz w:val="28"/>
          <w:szCs w:val="28"/>
          <w:rtl w:val="true"/>
          <w:lang w:bidi="ar-SA"/>
        </w:rPr>
        <w:t xml:space="preserve">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وما هو ثابتٌ تأريخيّاً ولا غبار عليه، هو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يصلّي دخل سائلٌ المسجد، 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بإصبعه ليأخذ خاتمه وهو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اختلف فيه بين السنة والشيعة في خصوص هذه الحادثة يتلخّص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أهل السنّة فسّر الزكاة في الآية بالزكاة الواجبة سنوياً، وعندئذٍ لا تنطبق على إعطاء الخاتم للفقير من 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بعض أهل‌السنّة إلى أنّ دلالة الآية عامة تصلح للانطباق على كل المؤمنين، ولا اختصاص لها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بعض أهل‌السنة أنّ الآية بصدد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الزكاة أثناء الركوع، ولادلالة فيها على مدّعى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ولنقض هذه الادّعاءات،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وبحسب ما ذكره أشهر المفسّرين، هي الزكاة بالمعنى الأعم لها وليست الواجبة، ومن القرائن على ذلك أنّ الزكاة الواجبة في القرآن الكريم أشير إليها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يكون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منسجماً مع حادثة التصدّق بالخاتم من قبل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راكعاً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دلالة ظاهرة في ولاية الله تبارك وتعالى ورسوله على المؤمنين، وأنهما أولى بهم من أنفسهم، ولمّا كان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معطوفاً على الله تبارك وتعالى ورسوله، دلّ ذلك على ثبوت ولاية الإمام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للآية مع أخذ دلالة أداة الحص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بعين الاعتبار يكون أكثر وضوحاً وظهوراً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لنقض الادّعاء الثالث من الادّعاءات التي ذكرناها في موضع الخلاف في الآية،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تصور كون الآية بصدد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الزكاة أثناء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تصور ساذج وركيك ومخالف لما عليه سياق الآية ويتنافى مع ظاهر 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هذه الآية جملة خبرية في مقام الإخبار عن الولي على الأمور، وليست جملة إنشائية في صدد التشريع لحكمٍ ما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الأمور التي تؤيّد ما ذهب إليه الشيعة في دلالة الآية، وجود روايات كثيرة في المصادر الروائية السنّية تذكر شأن نزول آية الولاية هذه وسبب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بعض هذه الروايات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صلّيت مع رسول الله يوماً من الأيام صلاة الظهر فدخل سائل في المسجد فلم يعطه أحد، 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في مسجد رسول الله فلم يعطني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راكعاً فأومى إليه بخنصره اليمنى وكان يتختم فيها، فأقبل السائل حتى أخذ الخاتم من خنص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فرغ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فرفع رأسه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 الآية، فأنزلت عليه قرآنا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عَضُدَكَ بِأَخِيكَ وَ نَجْعَلُ لَكُما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وأنا محمّد نبيّك وصفيّك اللّهم فاشرح لي صدري ويسّر لي أمري واجعل لي وزيراً من أهلي علياً اشدد به ظهري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استتم رسول الله الكلمة حتى أنزل عليه </w:t>
      </w:r>
      <w:bookmarkStart w:id="131" w:name="pg2007_10935"/>
    </w:p>
    <w:p>
      <w:pPr>
        <w:pStyle w:val="BookText"/>
        <w:rPr/>
      </w:pPr>
      <w:bookmarkEnd w:id="131"/>
      <w:r>
        <w:rPr>
          <w:rFonts w:ascii="Amiri" w:hAnsi="Amiri" w:eastAsia="Amiri" w:cs="Amiri"/>
          <w:color w:val="111111"/>
          <w:sz w:val="28"/>
          <w:sz w:val="28"/>
          <w:szCs w:val="28"/>
          <w:rtl w:val="true"/>
          <w:lang w:bidi="ar-SA"/>
        </w:rPr>
        <w:t>جبرئيل من عندالله،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إقرأ،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راكِعُونَ </w:t>
      </w:r>
      <w:r>
        <w:rPr>
          <w:rFonts w:eastAsia="Amiri" w:cs="Amiri" w:ascii="Amiri" w:hAnsi="Amiri"/>
          <w:color w:val="111111"/>
          <w:sz w:val="28"/>
          <w:szCs w:val="28"/>
          <w:rtl w:val="true"/>
          <w:lang w:bidi="ar-SA"/>
        </w:rPr>
        <w:t xml:space="preserve">» .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بناءاً على هذا تكون دلالة الآية على ثبوت الولاية والإمامة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الحقائق الثابتة</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4036635_3650668749"/>
      <w:bookmarkStart w:id="133" w:name="_Toc49"/>
      <w:bookmarkEnd w:id="132"/>
      <w:r>
        <w:rPr>
          <w:rtl w:val="true"/>
        </w:rPr>
        <w:t>ب</w:t>
      </w:r>
      <w:r>
        <w:rPr>
          <w:rtl w:val="true"/>
        </w:rPr>
        <w:t xml:space="preserve">- </w:t>
      </w:r>
      <w:r>
        <w:rPr>
          <w:rtl w:val="true"/>
        </w:rPr>
        <w:t xml:space="preserve">النصّ على إمامة عليّ </w:t>
      </w:r>
      <w:r>
        <w:rPr>
          <w:rtl w:val="true"/>
        </w:rPr>
        <w:t>(</w:t>
      </w:r>
      <w:r>
        <w:rPr>
          <w:rtl w:val="true"/>
        </w:rPr>
        <w:t>ع</w:t>
      </w:r>
      <w:r>
        <w:rPr>
          <w:rtl w:val="true"/>
        </w:rPr>
        <w:t xml:space="preserve">) </w:t>
      </w:r>
      <w:r>
        <w:rPr>
          <w:rtl w:val="true"/>
        </w:rPr>
        <w:t>في السنّة النبوية</w:t>
      </w:r>
      <w:bookmarkEnd w:id="133"/>
    </w:p>
    <w:p>
      <w:pPr>
        <w:pStyle w:val="Heading5"/>
        <w:numPr>
          <w:ilvl w:val="4"/>
          <w:numId w:val="1"/>
        </w:numPr>
        <w:rPr/>
      </w:pPr>
      <w:bookmarkStart w:id="134" w:name="__RefHeading___Toc4036637_3650668749"/>
      <w:bookmarkStart w:id="135" w:name="_Toc50"/>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استدل الشيعة على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بأحاديث كثيرة، وأشهر هذه الأحاديث ثلاثة، هي حديث الغدير وحديث الثقلين وحديث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نذكرها فيما يلي تباعاً</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4036639_3650668749"/>
      <w:bookmarkStart w:id="137" w:name="_Toc51"/>
      <w:bookmarkEnd w:id="136"/>
      <w:r>
        <w:rPr>
          <w:rtl w:val="true"/>
        </w:rPr>
        <w:t>الحديث الأول</w:t>
      </w:r>
      <w:r>
        <w:rPr>
          <w:rtl w:val="true"/>
        </w:rPr>
        <w:t xml:space="preserve">: </w:t>
      </w:r>
      <w:r>
        <w:rPr>
          <w:rtl w:val="true"/>
        </w:rPr>
        <w:t>حديث الغدير</w:t>
      </w:r>
      <w:bookmarkEnd w:id="13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رجع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في السنة العاشرة للهجرة، جاءه الأمر الإلهي العظيم في موضع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 رسالةٍ هامّةٍ للناس، وبحسب روايات صحيحة كثيرة فإنّ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هذه الواقعة،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واستجابة لهذا الأمر الإلهي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وطأة حرارة الشمس آمراً بالتوقّف حتى اجتمع الناس، ثمّ نادى بأعلى صوته بعد حمد الله تبارك وتعالى وشكره على نعمائه ونصحه ووعظه للمسلمين وإخبارهم بأنّه مفارقهم عن قريب، وقال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ألستم تعلمون أنّي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كنت مولاه، </w:t>
      </w:r>
    </w:p>
    <w:p>
      <w:pPr>
        <w:pStyle w:val="BookText"/>
        <w:rPr/>
      </w:pPr>
      <w:r>
        <w:rPr>
          <w:rFonts w:ascii="Amiri" w:hAnsi="Amiri" w:eastAsia="Amiri" w:cs="Amiri"/>
          <w:color w:val="111111"/>
          <w:sz w:val="28"/>
          <w:sz w:val="28"/>
          <w:szCs w:val="28"/>
          <w:rtl w:val="true"/>
          <w:lang w:bidi="ar-SA"/>
        </w:rPr>
        <w:t>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فراح الناس يأتون عليّاً جماعات جماعات يباركون له، وهذه آخر فريضة بلّغها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للأمّة، فنزلت من بعد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وتبليغه هذا الأمر الآية الشريفة المبشّرة بإتمام النعمة وإكمال الدين،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ويتمتّع حديث الغدير بقوّة سندية وثبات في النقل بشكل مميّز، بحيث إنّه روي في مصادر الفريقين شيعةً وسنّةً بشكل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طرق هذا الحديث المختلفة وأسانيده كتاباً مستقلاً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الكتب المعروفة لدى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القرن الماضي قام المرحوم العلامة الأميني بتأليف أفضل مصدر يمكن أن يحكي واقعة الغدير العظيمة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هذا الحديث عن أهل السنّة بطرق مختلفة، وكنموذج على ذلك نذكر المصادر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شيبة </w:t>
      </w:r>
      <w:r>
        <w:rPr>
          <w:rStyle w:val="FootnoteAnchor"/>
          <w:rtl w:val="true"/>
        </w:rPr>
        <w:footnoteReference w:id="1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النيسابوري </w:t>
      </w:r>
      <w:r>
        <w:rPr>
          <w:rStyle w:val="FootnoteAnchor"/>
          <w:rtl w:val="true"/>
        </w:rPr>
        <w:footnoteReference w:id="135"/>
      </w:r>
      <w:r>
        <w:rPr>
          <w:rFonts w:ascii="IRNazanin" w:hAnsi="IRNazanin" w:eastAsia="IRNazanin"/>
          <w:color w:val="111111"/>
          <w:sz w:val="28"/>
          <w:sz w:val="28"/>
          <w:szCs w:val="28"/>
          <w:rtl w:val="true"/>
          <w:lang w:bidi="fa-IR"/>
        </w:rPr>
        <w:t>، وعشرات المصادر الأخرى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والظاهر أنّ السنّة لا يجدون مشكلة في هذا الحديث من ناحية السند، ولكنّهم يناقشون في معناه ودلالته على ولاية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والشيعة يرون وبشكلٍ قاطع أنّ مفردة المولى في هذا الحديث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الأولوية في التصرّف والخلافة، وهي دلالة نصّيّة صريحة على الإمامة والخلافة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السنّة فيرون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الصدد لا بدّ من التأكيد على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لها معاني متعدّدة في اللغة العربية، لكن من الواضح لكلّ منصفٍ أنّ المراد منها هنا الأولوية في التصرّف وولاية الأمر؛ وذلك مع الأخذ بنظر الاعتبار القرائن السابقة واللاحقة للتلفّظ بهذه المفردة، وكذلك القرائن الخارجية، كآية التبليغ ودلالتها، وآية إكمال الدين وشأن نزولها، حيث يؤكّد الكثير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فسّرين والمؤرّخين أنّها نزلت بعد خطبة الغدير واجتماع الحجّاج في ذلك الحرّ الذي لايطاق، فسيتضح حينئذٍ أنّ مراد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أكبر وأعلى شأناً من إعلان المحبّة والصحبة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وأوضح قرينة على ذلك تكرار السؤال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ألستم تعلمون أنّي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السؤال هذا له ارتباطٌ وثيقٌ مع إعلان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ليس إلّا إثبات الولاية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أهل السنة غفلوا أو تغافلوا عن الارتباط الموجود بين صدر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دُوّنت في الرد على رأي أهل السنة في تفسيرهم لكلام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كتب ومقالات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أنّ التعرض إلى كل جوانب هذا الموضوع خارج عن أهداف هذا الكتيب الذي يتناول </w:t>
      </w:r>
      <w:bookmarkStart w:id="138" w:name="pg2007_10938"/>
    </w:p>
    <w:p>
      <w:pPr>
        <w:pStyle w:val="BookText"/>
        <w:rPr/>
      </w:pPr>
      <w:bookmarkEnd w:id="138"/>
      <w:r>
        <w:rPr>
          <w:rFonts w:ascii="Amiri" w:hAnsi="Amiri" w:eastAsia="Amiri" w:cs="Amiri"/>
          <w:color w:val="111111"/>
          <w:sz w:val="28"/>
          <w:sz w:val="28"/>
          <w:szCs w:val="28"/>
          <w:rtl w:val="true"/>
          <w:lang w:bidi="ar-SA"/>
        </w:rPr>
        <w:t>الأمور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أوّل العلماء الذين كتبوا حول حديث الغدير ودلالته على إمامة أميرالمؤمنين العالم الشيعي النحرير محمّد بن علي الكراجكي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وكتابه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النص بخبر الغدير</w:t>
      </w:r>
      <w:r>
        <w:rPr>
          <w:rFonts w:eastAsia="Amiri" w:cs="Amiri" w:ascii="Amiri" w:hAnsi="Amiri"/>
          <w:color w:val="111111"/>
          <w:sz w:val="28"/>
          <w:szCs w:val="28"/>
          <w:rtl w:val="true"/>
          <w:lang w:bidi="ar-SA"/>
        </w:rPr>
        <w:t xml:space="preserve">) . </w:t>
      </w:r>
      <w:r>
        <w:rPr>
          <w:rStyle w:val="FootnoteAnchor"/>
          <w:rtl w:val="true"/>
        </w:rPr>
        <w:footnoteReference w:id="136"/>
      </w:r>
    </w:p>
    <w:p>
      <w:pPr>
        <w:pStyle w:val="Heading5"/>
        <w:numPr>
          <w:ilvl w:val="4"/>
          <w:numId w:val="1"/>
        </w:numPr>
        <w:rPr/>
      </w:pPr>
      <w:bookmarkStart w:id="139" w:name="__RefHeading___Toc4036641_3650668749"/>
      <w:bookmarkStart w:id="140" w:name="_Toc52"/>
      <w:bookmarkEnd w:id="139"/>
      <w:r>
        <w:rPr>
          <w:rtl w:val="true"/>
        </w:rPr>
        <w:t>الحديث الثاني</w:t>
      </w:r>
      <w:r>
        <w:rPr>
          <w:rtl w:val="true"/>
        </w:rPr>
        <w:t xml:space="preserve">: </w:t>
      </w:r>
      <w:r>
        <w:rPr>
          <w:rtl w:val="true"/>
        </w:rPr>
        <w:t>حديث الثقلين</w:t>
      </w:r>
      <w:bookmarkEnd w:id="140"/>
    </w:p>
    <w:p>
      <w:pPr>
        <w:pStyle w:val="BookText"/>
        <w:rPr/>
      </w:pPr>
      <w:r>
        <w:rPr>
          <w:rFonts w:ascii="Amiri" w:hAnsi="Amiri" w:eastAsia="Amiri" w:cs="Amiri"/>
          <w:color w:val="111111"/>
          <w:sz w:val="28"/>
          <w:sz w:val="28"/>
          <w:szCs w:val="28"/>
          <w:rtl w:val="true"/>
          <w:lang w:bidi="ar-SA"/>
        </w:rPr>
        <w:t xml:space="preserve">المقصود من حديث الثقلين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تمسكتم بهما لن تضلوا، وإنّهما لن يفترقا حتى يردا عليّ الحوض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الحديث أيضاً قد روي بطرق الشيعة والسنّة معاً، وهو حديثٌ متواترٌ وعند التدقيق والتأمل فيه نجد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هذا الحديث مرّات عديدة وفي مواطن مختلفة، وأحد هذه المواطن هو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والثقل في العمل اصطلاحاً يعني كلّ شيء ثمينٍ، والعمل فيه يكون ثميناً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اعتبر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الثقل الآخر المعادل للقرآن، وأنهما لن يفترقا عن القرآن حتى يردا عليه يوم القيامة، وأمر بالتمسّك بهما معاً، دون ترك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تشبيه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بيته بالثقل الآخر المعادل للقرآن دلالات لطيفة وفوائد عديدة، قد أشرنا لبعضها آنفاً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الدلالات التي نستلهمها من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أنّ أمره صلوات الله عليه بالتمسّك بهما معاً واعتباره التخلّي عنهما وعدم اتباعهما ظلالاً وانحرافاً، دليلٌ واضحٌ على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من بعده</w:t>
      </w:r>
      <w:r>
        <w:rPr>
          <w:rFonts w:eastAsia="Amiri" w:cs="Amiri" w:ascii="Amiri" w:hAnsi="Amiri"/>
          <w:color w:val="111111"/>
          <w:sz w:val="28"/>
          <w:szCs w:val="28"/>
          <w:rtl w:val="true"/>
          <w:lang w:bidi="ar-SA"/>
        </w:rPr>
        <w:t xml:space="preserve">. </w:t>
      </w:r>
      <w:bookmarkStart w:id="141" w:name="pg2007_10939"/>
    </w:p>
    <w:p>
      <w:pPr>
        <w:pStyle w:val="BookText"/>
        <w:rPr/>
      </w:pPr>
      <w:bookmarkEnd w:id="141"/>
      <w:r>
        <w:rPr>
          <w:rFonts w:ascii="Amiri" w:hAnsi="Amiri" w:eastAsia="Amiri" w:cs="Amiri"/>
          <w:color w:val="111111"/>
          <w:sz w:val="28"/>
          <w:sz w:val="28"/>
          <w:szCs w:val="28"/>
          <w:rtl w:val="true"/>
          <w:lang w:bidi="ar-SA"/>
        </w:rPr>
        <w:t xml:space="preserve">وقد يشكّك البعض بهذا الحديث ويدّعي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وردت في بعض الروايات بدل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الأمر الذي يعني وجود تعارض في دلالة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التشكيك بأنّ هذا الحديث ورد في المصادر المعتبرة والمعتدّ بها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هنا تتّضح آثار التحريف والدسّ في الحديث وتبديل هذه الكلمة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أذعنّا بصحّة الحديث الذي وردت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لايقدح في صحّته، لأنّه يمكن اعتبار هاذين الحديثين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فسّرين لبعضها البعض، وأنّ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أفضل وأكمل 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لسنّته وخير حافظٍ لها، وبالتالي فإن اتّباعهم يعني اتّباع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التفسير ينسجم مع ما يذهب إليه الشيعة الإمامية</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4036643_3650668749"/>
      <w:bookmarkStart w:id="143" w:name="_Toc53"/>
      <w:bookmarkEnd w:id="142"/>
      <w:r>
        <w:rPr>
          <w:rtl w:val="true"/>
        </w:rPr>
        <w:t>الحديث الثالث</w:t>
      </w:r>
      <w:r>
        <w:rPr>
          <w:rtl w:val="true"/>
        </w:rPr>
        <w:t xml:space="preserve">: </w:t>
      </w:r>
      <w:r>
        <w:rPr>
          <w:rtl w:val="true"/>
        </w:rPr>
        <w:t>حديث المنزلة</w:t>
      </w:r>
      <w:bookmarkEnd w:id="143"/>
    </w:p>
    <w:p>
      <w:pPr>
        <w:pStyle w:val="BookText"/>
        <w:rPr/>
      </w:pPr>
      <w:r>
        <w:rPr>
          <w:rFonts w:ascii="Amiri" w:hAnsi="Amiri" w:eastAsia="Amiri" w:cs="Amiri"/>
          <w:color w:val="111111"/>
          <w:sz w:val="28"/>
          <w:sz w:val="28"/>
          <w:szCs w:val="28"/>
          <w:rtl w:val="true"/>
          <w:lang w:bidi="ar-SA"/>
        </w:rPr>
        <w:t xml:space="preserve">من الأحاديث الدالة على إمامة وخلافة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في أمور الأمة هو حديث المنزلة المرويّ في مصادر السنّة والشيعة معاً، ويبلغ في قوة سنده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الحديث يخاطب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 xml:space="preserve">» . </w:t>
      </w:r>
      <w:r>
        <w:rPr>
          <w:rStyle w:val="FootnoteAnchor"/>
          <w:rtl w:val="true"/>
        </w:rPr>
        <w:footnoteReference w:id="13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نفهم ما يقصده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نعرف مقام </w:t>
      </w:r>
    </w:p>
    <w:p>
      <w:pPr>
        <w:pStyle w:val="BookText"/>
        <w:rPr/>
      </w:pPr>
      <w:r>
        <w:rPr>
          <w:rFonts w:ascii="IRNazanin" w:hAnsi="IRNazanin" w:eastAsia="IRNazanin"/>
          <w:color w:val="111111"/>
          <w:sz w:val="28"/>
          <w:sz w:val="28"/>
          <w:szCs w:val="28"/>
          <w:rtl w:val="true"/>
          <w:lang w:bidi="fa-IR"/>
        </w:rPr>
        <w:t xml:space="preserve">هارون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فقد أطلق القرآن على وظائف هارون والمقام الذي كان يشغله بالنسبة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تسميات،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وزيره</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شريكه</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الآيات</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يجب طاعته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خليفته في قومه</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حديث المنزلة يثبت كلّ هذه الوظائف والمقامات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عدا وظيفة النبوّة التي نفاها عنه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لذا فهو نصٌّ صريحٌ على خلافة وإمامة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الجدير في ختام هذا البحث أن نطرح سؤالاً هامّاً حول هذا الموضوع على أهل‌السنّة وننتظر جوابهم عليه بإنصافٍ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يعتقدون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 على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وترك أمر الخلافة للأمّة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كخليفة من بعده وإماماً للأمّة، فما هي الألفاظ التي كان ينبغي عليه استخدامها؟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برأينا لو أراد أهل السنّة أن ينصفوا في جوابهم، فسوف لا يتخطّون ما استعمله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يمكن أن يضيفوا إليها شيئاً؛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 مفردات في كلامه بحقّ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من الكلمات الدالة على إمامته وخلافته بأوضح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وسنشير هنا إلى بعض الأحاديث التي وردت فيها بعض هذه الكلمات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 وهو وليّ كلّ مؤمن بعدي</w:t>
      </w:r>
      <w:r>
        <w:rPr>
          <w:rFonts w:eastAsia="Amiri" w:cs="Amiri" w:ascii="Amiri" w:hAnsi="Amiri"/>
          <w:color w:val="111111"/>
          <w:sz w:val="28"/>
          <w:szCs w:val="28"/>
          <w:rtl w:val="true"/>
          <w:lang w:bidi="ar-SA"/>
        </w:rPr>
        <w:t xml:space="preserve">» .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وليكم بعدي</w:t>
      </w:r>
      <w:r>
        <w:rPr>
          <w:rFonts w:eastAsia="Amiri" w:cs="Amiri" w:ascii="Amiri" w:hAnsi="Amiri"/>
          <w:color w:val="111111"/>
          <w:sz w:val="28"/>
          <w:szCs w:val="28"/>
          <w:rtl w:val="true"/>
          <w:lang w:bidi="ar-SA"/>
        </w:rPr>
        <w:t xml:space="preserve">» .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 ولا يؤدّي عنّي إلّا أنا أو عليّ</w:t>
      </w:r>
      <w:r>
        <w:rPr>
          <w:rFonts w:eastAsia="Amiri" w:cs="Amiri" w:ascii="Amiri" w:hAnsi="Amiri"/>
          <w:color w:val="111111"/>
          <w:sz w:val="28"/>
          <w:szCs w:val="28"/>
          <w:rtl w:val="true"/>
          <w:lang w:bidi="ar-SA"/>
        </w:rPr>
        <w:t xml:space="preserve">» .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أخي ووارثي</w:t>
      </w:r>
      <w:r>
        <w:rPr>
          <w:rFonts w:eastAsia="Amiri" w:cs="Amiri" w:ascii="Amiri" w:hAnsi="Amiri"/>
          <w:color w:val="111111"/>
          <w:sz w:val="28"/>
          <w:szCs w:val="28"/>
          <w:rtl w:val="true"/>
          <w:lang w:bidi="ar-SA"/>
        </w:rPr>
        <w:t xml:space="preserve">» .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وصاحبي ووارثي ووزيري</w:t>
      </w:r>
      <w:r>
        <w:rPr>
          <w:rFonts w:eastAsia="Amiri" w:cs="Amiri" w:ascii="Amiri" w:hAnsi="Amiri"/>
          <w:color w:val="111111"/>
          <w:sz w:val="28"/>
          <w:szCs w:val="28"/>
          <w:rtl w:val="true"/>
          <w:lang w:bidi="ar-SA"/>
        </w:rPr>
        <w:t xml:space="preserve">» .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كنفسي</w:t>
      </w:r>
      <w:r>
        <w:rPr>
          <w:rFonts w:eastAsia="Amiri" w:cs="Amiri" w:ascii="Amiri" w:hAnsi="Amiri"/>
          <w:color w:val="111111"/>
          <w:sz w:val="28"/>
          <w:szCs w:val="28"/>
          <w:rtl w:val="true"/>
          <w:lang w:bidi="ar-SA"/>
        </w:rPr>
        <w:t xml:space="preserve">» .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علي فصفيّي وأميني</w:t>
      </w:r>
      <w:r>
        <w:rPr>
          <w:rFonts w:eastAsia="Amiri" w:cs="Amiri" w:ascii="Amiri" w:hAnsi="Amiri"/>
          <w:color w:val="111111"/>
          <w:sz w:val="28"/>
          <w:szCs w:val="28"/>
          <w:rtl w:val="true"/>
          <w:lang w:bidi="ar-SA"/>
        </w:rPr>
        <w:t xml:space="preserve">» .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وصيّي وموضع سرّي وخير من أترك بعدي وينجز عدّتي ويقض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ديني عليّ بن أبي‌طالب</w:t>
      </w:r>
      <w:r>
        <w:rPr>
          <w:rFonts w:eastAsia="Amiri" w:cs="Amiri" w:ascii="Amiri" w:hAnsi="Amiri"/>
          <w:color w:val="111111"/>
          <w:sz w:val="28"/>
          <w:szCs w:val="28"/>
          <w:rtl w:val="true"/>
          <w:lang w:bidi="ar-SA"/>
        </w:rPr>
        <w:t xml:space="preserve">» . </w:t>
      </w:r>
      <w:r>
        <w:rPr>
          <w:rStyle w:val="FootnoteAnchor"/>
          <w:rtl w:val="true"/>
        </w:rPr>
        <w:footnoteReference w:id="15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يا ترى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يستخدم من ألفاظ وتعابير غير هذه كي تدل على تنصيبه علياً خليفة وإماماً للمسلمين؟ </w:t>
      </w:r>
      <w:r>
        <w:rPr>
          <w:rFonts w:eastAsia="Amiri" w:cs="Amiri" w:ascii="Amiri" w:hAnsi="Amiri"/>
          <w:color w:val="111111"/>
          <w:sz w:val="28"/>
          <w:szCs w:val="28"/>
          <w:rtl w:val="true"/>
          <w:lang w:bidi="ar-SA"/>
        </w:rPr>
        <w:t xml:space="preserve">! </w:t>
      </w:r>
      <w:bookmarkStart w:id="144" w:name="pg2007_10942"/>
    </w:p>
    <w:p>
      <w:pPr>
        <w:pStyle w:val="Heading4"/>
        <w:numPr>
          <w:ilvl w:val="3"/>
          <w:numId w:val="1"/>
        </w:numPr>
        <w:rPr/>
      </w:pPr>
      <w:bookmarkStart w:id="145" w:name="__RefHeading___Toc4036645_3650668749"/>
      <w:bookmarkStart w:id="146" w:name="_Toc54"/>
      <w:bookmarkEnd w:id="144"/>
      <w:bookmarkEnd w:id="145"/>
      <w:r>
        <w:rPr>
          <w:rtl w:val="true"/>
        </w:rPr>
        <w:t>ج</w:t>
      </w:r>
      <w:r>
        <w:rPr>
          <w:rtl w:val="true"/>
        </w:rPr>
        <w:t xml:space="preserve">- </w:t>
      </w:r>
      <w:r>
        <w:rPr>
          <w:rtl w:val="true"/>
        </w:rPr>
        <w:t>نظرة على أحداث السقيفة</w:t>
      </w:r>
      <w:bookmarkEnd w:id="146"/>
    </w:p>
    <w:p>
      <w:pPr>
        <w:pStyle w:val="BookText"/>
        <w:rPr/>
      </w:pPr>
      <w:r>
        <w:rPr>
          <w:rFonts w:ascii="Amiri" w:hAnsi="Amiri" w:eastAsia="Amiri" w:cs="Amiri"/>
          <w:color w:val="111111"/>
          <w:sz w:val="28"/>
          <w:sz w:val="28"/>
          <w:szCs w:val="28"/>
          <w:rtl w:val="true"/>
          <w:lang w:bidi="ar-SA"/>
        </w:rPr>
        <w:t xml:space="preserve">تعتبر السقيفة في ذاكرة التأريخ الإسلامي حَدَثاً ارتبط بكثير من الوقائع الهامّة التي حدثت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وكانت سقيفة بني ساعدة محلاً يجتمع فيه الأنصار لحل مشاكلهم وفضّ نزاعاتهم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رهط من المهاجرين والأنصار في سقيفة بني ساعدة، وذلك للتشاور في أمور الأمّة كي لا تبقى دون مدبّرٍ لأُمورها وذلك انطلاقاً من اعتقادهم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رحل إلى ربّه وترك الأمّة وشأنها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هذا الوقت كان بني هاشم وعلى رأسهم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مشغولين بتجهيز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 ولم يكن لديهم علم باجتماع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يطرحه لدى الشيعة دائماً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الأمر الذي دعا بعض المهاجرين والأنصار للاجتماع فور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وتعيين خليفةٍ له، في حين أنّه لازال مُسجّى في فراشه؟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يجيب أهل السنّة على هذا السؤال، مع حسن ظنّهم التامّ بالذين اجتمعوا في السقيفة، بأنّ ذلك تمّ درْءاً للفتنة وخطرها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نجد الشيعة لا يستسيغون هذا التصرف نظراً لما للشواهد التأريخيّة والقرائن التي تثير الشكّ في نفس مَن يتأمّل في الهدف الكامن وراء 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فالشيعة يرون أنّ هذا الاجتماع لم يكن لدرء الفتنة وخطرها، بل كان بداية لتأجيج فتنةٍ عظيمةٍ في الأمة الإسلامية، وشرع الخلاف على المنصب بطرح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كل حال وبعد جدال وتجاذب في سقيفة بني ساعدة بين المهاجرين والأنصار، كان المهاجرون يرون لهم الفضل والقرابة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ونظراً لحال الأنصار وما هم عليه من اختلاف في أمرهم كانت الغلبة في عاقبة الأمر للمهاجرين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الحقائق التأريخية التي هي مدعاة للتأمل والترديد، أنّ مجموعة من الأنصار في سقيفة بني ساعدة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 xml:space="preserve">! !» </w:t>
      </w:r>
      <w:r>
        <w:rPr>
          <w:rStyle w:val="FootnoteAnchor"/>
          <w:rtl w:val="true"/>
        </w:rPr>
        <w:footnoteReference w:id="154"/>
      </w:r>
      <w:r>
        <w:rPr>
          <w:rFonts w:ascii="Amiri" w:hAnsi="Amiri" w:eastAsia="Amiri" w:cs="Amiri"/>
          <w:color w:val="111111"/>
          <w:sz w:val="28"/>
          <w:sz w:val="28"/>
          <w:szCs w:val="28"/>
          <w:rtl w:val="true"/>
          <w:lang w:bidi="ar-SA"/>
        </w:rPr>
        <w:t>ولكن ما أسرع أن أُهمل رأيهم بآراء أخرى تتنازع حول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فغيّبت هذه الأصوات وسكنت، وانتهى الأمر لِما أراده بعض المهاجرين، وخصوصاً عمر بن الخطاب؛ فنصّب أبوبكر بن أبي قحافة على المسلمين خليفةً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حجّتهم في ذلك عمره الطويل وخبرته الواسعة، وهي أمور لا تعني شيئاً في مقاييس الشيعة لمن يريد أن يتسنّم منصباً إلهياً هامّاً كخلافة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نؤكّد على أنّ خلافة أبي بكر، وعلى خلاف ما يذهب إليه أهل السنّة، لم تحصل بإجماع المهاجرين والأنصار، وهذه المسألة لا شكّ فيها من الناحية التأريخية، وذلك للسببين التاليين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بني‌هاشم وهم أقرباء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وعشيرته، وعددٌ كبيرٌ من المهاجرين، لم يحضروا في سقيفة بني‌ساعدة، مثل العبّاس بن عبد المطلب، الفضل بن العبّاس، الزبير بن العوام، خالد بن سعيد، المقداد بن عمرو، سلمان الفارسي، أبي ذر الغفاري، عمّار بن ياسر، البراء بن عازب، وآخرون غيرهم</w:t>
      </w:r>
      <w:r>
        <w:rPr>
          <w:rFonts w:eastAsia="Amiri" w:cs="Amiri" w:ascii="Amiri" w:hAnsi="Amiri"/>
          <w:color w:val="111111"/>
          <w:sz w:val="28"/>
          <w:szCs w:val="28"/>
          <w:rtl w:val="true"/>
          <w:lang w:bidi="ar-SA"/>
        </w:rPr>
        <w:t xml:space="preserve">. </w:t>
      </w:r>
      <w:r>
        <w:rPr>
          <w:rStyle w:val="FootnoteAnchor"/>
          <w:rtl w:val="true"/>
        </w:rPr>
        <w:footnoteReference w:id="155"/>
      </w:r>
      <w:bookmarkStart w:id="147" w:name="pg2007_10944"/>
    </w:p>
    <w:p>
      <w:pPr>
        <w:pStyle w:val="BookText"/>
        <w:rPr/>
      </w:pPr>
      <w:bookmarkEnd w:id="147"/>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ومعهم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اطلاعهم على ما جرى في السقيفة من مبايعة أبي‌بكر، اعترضوا على ذلك وخالفوا هذا الأمر وتخلّفوا عنهم أشهراً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وعليه يكون أهل السنّة بحاجة إلى دليل آخر غير الإجماع لإثبات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حينئذٍ سبب اعتراض الشيعة على أهل السنة وانتقادهم لهم، وذلك لأنّهم يعتقدون باستحالة أن يترك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دون أن يعيّن خليفته من بعده، إذ يعتقدون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نصّب علياً خليفة من بعده</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4036647_3650668749"/>
      <w:bookmarkStart w:id="149" w:name="_Toc55"/>
      <w:bookmarkEnd w:id="148"/>
      <w:r>
        <w:rPr>
          <w:rtl w:val="true"/>
        </w:rPr>
        <w:t>د</w:t>
      </w:r>
      <w:r>
        <w:rPr>
          <w:rtl w:val="true"/>
        </w:rPr>
        <w:t xml:space="preserve">- </w:t>
      </w:r>
      <w:r>
        <w:rPr>
          <w:rtl w:val="true"/>
        </w:rPr>
        <w:t>النصّ على إمامة الأئمّة الاثني عشر في مصادر أهل السنّة</w:t>
      </w:r>
      <w:bookmarkEnd w:id="149"/>
    </w:p>
    <w:p>
      <w:pPr>
        <w:pStyle w:val="BookText"/>
        <w:rPr/>
      </w:pPr>
      <w:r>
        <w:rPr>
          <w:rFonts w:ascii="Amiri" w:hAnsi="Amiri" w:eastAsia="Amiri" w:cs="Amiri"/>
          <w:color w:val="111111"/>
          <w:sz w:val="28"/>
          <w:sz w:val="28"/>
          <w:szCs w:val="28"/>
          <w:rtl w:val="true"/>
          <w:lang w:bidi="ar-SA"/>
        </w:rPr>
        <w:t xml:space="preserve">هناك الكثير من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أهل السنة تؤكّد على أنّ الأئمّة من بعده اثني‌عشر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يزال الدين قائماً حتى يكون اثنا عشر خليفة من قريش ثمّ يخرج كذّابون بين يدي الساعة</w:t>
      </w:r>
      <w:r>
        <w:rPr>
          <w:rFonts w:eastAsia="Amiri" w:cs="Amiri" w:ascii="Amiri" w:hAnsi="Amiri"/>
          <w:color w:val="111111"/>
          <w:sz w:val="28"/>
          <w:szCs w:val="28"/>
          <w:rtl w:val="true"/>
          <w:lang w:bidi="ar-SA"/>
        </w:rPr>
        <w:t xml:space="preserve">» .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وفي رواية أخرى عن جابر بن سمرة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لن يزال ظاهراً على من ناواه لا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مخالف ولا مفارق حتى يمضي من أمّتي اثنا عشر 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بشئ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 </w:t>
      </w:r>
      <w:r>
        <w:rPr>
          <w:rStyle w:val="FootnoteAnchor"/>
          <w:rtl w:val="true"/>
        </w:rPr>
        <w:footnoteReference w:id="15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وجود اختلاف بسيط في ألفاظ هذه الأحاديث، لكنّها مشتركة بالمضمون بشكل قطعي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جاء في بعض الروايات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وفيما يتعلّق ببيان المقصود من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هؤلاء الخلفاء أو الأمراء الاثنا عشر، فإنّ البحث محتدمٌ واختلفت فيه وجهات النظر منذ القدم حول تشخيصهم ومعرفة من ينطبق عليه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فيعتقد السنة أنّ الخلفاء الثلاثة أبو بكر وعمر وعثمان هم من هؤلاء الاثني‌عش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ويكملون العدد بخلفاء من بني أميّة ويختمونهم بالخليفة عمر بن عبدالعزيز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الرأي لا يستند للمنطق السليم ولا يؤيّده أيّ دليلٍ، وهو تخرّص وقول بلا أيّ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والطريف أنّ الأمر لا يستقيم على حساباتهم بأيّ شكلٍ من الأشكال أو بأيّ عددٍ حاولوا حسابه، بحيث لا يكتمل عندهم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 غضّ النظر عن هذا الخلل، فإنّ الحديث النبوي يصف الدين بأنّه ظاهرٌ ومنتصرٌ في زمن الأئمّة الاثني‌عشر، بينما نجد الدين كان في أحلك الظروف وأصعبها في زمن حكّام بني أمية الذين سفكوا دماء المسلمين واستباحوا حرماتهم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هؤلاء الحكّام سبباً لظهور البدع في الدين وانحرافه عن طريقه القويم، ولم تسهم أعمالهم إلّا في إضعاف جسد الأمّة الإسلامية وشيوع الفتن والمحن فيها، وقتل ابن بنت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المؤمنين والعبّاد والزهّاد والشخصيات المرموقة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 هذا فهل من اللائق أن نقول بأنّ هؤلاء الأمراء هم الخلفاء الاثنا عشر الذين قصدهم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أنّهم لم يكونوا يوماً خلفاء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أمّته وأمناء على دينه، </w:t>
      </w:r>
    </w:p>
    <w:p>
      <w:pPr>
        <w:pStyle w:val="BookText"/>
        <w:rPr/>
      </w:pPr>
      <w:r>
        <w:rPr>
          <w:rFonts w:ascii="Amiri" w:hAnsi="Amiri" w:eastAsia="Amiri" w:cs="Amiri"/>
          <w:color w:val="111111"/>
          <w:sz w:val="28"/>
          <w:sz w:val="28"/>
          <w:szCs w:val="28"/>
          <w:rtl w:val="true"/>
          <w:lang w:bidi="ar-SA"/>
        </w:rPr>
        <w:t>بل كانوا وبحسب الوثائق التأريخية أسوأ الحكام والخلفاء</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وبعبارة موجزة 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يمكن أن نفسّر الخلفاء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في كلام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بالخلفاء الأربعة كما يعتقد أهل السنّة، لأنّ عددهم أقل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يكونوا هم خلفاء بني أمّية وبني العبّاس، لأنّ عددهم أكثر من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ومن جانب آخر نجد أنّ الصفات المذكورة في الخلفاء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لا تنطبق عليهم ولاتتوفّر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أننّا لو ابتعدنا عن التعصّب واتبعنا الانصاف، نجزم بأن الخلفاء الاثني عشر ليسوا هم سوى أئمّة الشيعة الاثني عشر، وهم عترة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ينطبق العدد إلّا عليهم، حيث أكّدت على ذلك أحاديث أخرى مثل حديث جابر وحديث اللوح</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جابر بن عبدالله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جابر إنّ أوصيائي وأئمّة المسلمين من بعدي أوّلهم علي ثمّ الحسن ثمّ الحسين ثمّ علي بن الحسين ثمّ محمد بن علي المعروف بالباقر ستدركه يا جابر فإذا لقيته فاقرأه منّي السلام، ثمّ جعفر بن محمّد ثمّ موسى بن جعفر ثمّ علي بن موسى ثمّ محمّد بن علي ثمّ علي بن محمّد ثمّ الحسن بن علي ثمّ القائم اسمه اسمي وكنيته كنيتي محمّد بن الحسن بن علي، ذاك الذي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مشارق الأرض ومغاربها، ذاك الذي يغيب عن أوليائه غيبة لا يثبت على القول بإمامته إلّا من امتحن الله قلبه للايمان</w:t>
      </w:r>
      <w:r>
        <w:rPr>
          <w:rFonts w:eastAsia="Amiri" w:cs="Amiri" w:ascii="Amiri" w:hAnsi="Amiri"/>
          <w:color w:val="111111"/>
          <w:sz w:val="28"/>
          <w:szCs w:val="28"/>
          <w:rtl w:val="true"/>
          <w:lang w:bidi="ar-SA"/>
        </w:rPr>
        <w:t xml:space="preserve">» .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وقد ذُكرت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أحاديث الشيعة المشهورة، حيث رواه أبو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16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والتأمّل في الأحاديث المذكورة وسائر الأحاديث، يتبيّن أنّ المقصود من الخلفاء والأمراء الاثني عشر هم أئمّة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الاعتقادات الأساسية والثابته عند الشيعة</w:t>
      </w:r>
      <w:r>
        <w:rPr>
          <w:rFonts w:eastAsia="Amiri" w:cs="Amiri" w:ascii="Amiri" w:hAnsi="Amiri"/>
          <w:color w:val="111111"/>
          <w:sz w:val="28"/>
          <w:szCs w:val="28"/>
          <w:rtl w:val="true"/>
          <w:lang w:bidi="ar-SA"/>
        </w:rPr>
        <w:t xml:space="preserve">. </w:t>
      </w:r>
      <w:bookmarkStart w:id="150" w:name="pg2007_10948"/>
    </w:p>
    <w:p>
      <w:pPr>
        <w:pStyle w:val="Heading2"/>
        <w:numPr>
          <w:ilvl w:val="1"/>
          <w:numId w:val="1"/>
        </w:numPr>
        <w:rPr/>
      </w:pPr>
      <w:bookmarkStart w:id="151" w:name="__RefHeading___Toc4036649_3650668749"/>
      <w:bookmarkStart w:id="152" w:name="_Toc56"/>
      <w:bookmarkEnd w:id="150"/>
      <w:bookmarkEnd w:id="151"/>
      <w:r>
        <w:rPr>
          <w:rtl w:val="true"/>
        </w:rPr>
        <w:t xml:space="preserve">إطلالة على نظرية المهدي الموعود ونصوص إمامة الإمام المهدي </w:t>
      </w:r>
      <w:r>
        <w:rPr>
          <w:rtl w:val="true"/>
        </w:rPr>
        <w:t>(</w:t>
      </w:r>
      <w:r>
        <w:rPr>
          <w:rtl w:val="true"/>
        </w:rPr>
        <w:t>عج</w:t>
      </w:r>
      <w:r>
        <w:rPr>
          <w:rtl w:val="true"/>
        </w:rPr>
        <w:t>)</w:t>
      </w:r>
      <w:bookmarkEnd w:id="152"/>
    </w:p>
    <w:p>
      <w:pPr>
        <w:pStyle w:val="Heading3"/>
        <w:numPr>
          <w:ilvl w:val="2"/>
          <w:numId w:val="1"/>
        </w:numPr>
        <w:rPr/>
      </w:pPr>
      <w:bookmarkStart w:id="153" w:name="__RefHeading___Toc4036651_3650668749"/>
      <w:bookmarkStart w:id="154" w:name="_Toc57"/>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في بادئ الأمر لا بد أن نعرّف أنّ مسألة الاعتقاد بظهور مصلح عالمي يقيم العدل بين البشرية، هي مسألة لا تختص بالشيعة الاماميّة أو الدين الإسلامي فحسب، بل كل الأديان السماوية والمدارس الفكرية البشرية تؤمن بهذا الأمر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من ذلك، إذ يمكننا أن نلاحظ هذه النظرية والتصور للمصلح في حضارة الشعوب البدائية أيضاً وفي كل أرجاء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ليس من المستبعد أن يقال بأنّ هذا الاعتقاد يشكّل جزءاً من الفطرة الانسانية، وينبع من توقه إلى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زاويةٍ إسلاميّةٍ، فإنّ الاعتقاد بظهور مصلح ومنجي للبش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رية من نسل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الأرض قسطاً وعدلاً، هو من المعتقدات التي تشترك فيها جميع المذاهب الإسلامية على تنوّعها، حيث تعود جذوره إلى الآيات القرآنية المبشّرة بذلك و روايات متواترة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ما وُعد به المؤمنون ويأمله المستضعفون، ومصدر إلهام الأبطال وأهل الكفاح في الأمّة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شك فيه أنّ هذا الاعتقاد له دور كبير وأساسي في ترسيخ الشعور </w:t>
      </w:r>
      <w:bookmarkStart w:id="155" w:name="pg2007_10949"/>
    </w:p>
    <w:p>
      <w:pPr>
        <w:pStyle w:val="BookText"/>
        <w:rPr/>
      </w:pPr>
      <w:bookmarkEnd w:id="155"/>
      <w:r>
        <w:rPr>
          <w:rFonts w:ascii="Amiri" w:hAnsi="Amiri" w:eastAsia="Amiri" w:cs="Amiri"/>
          <w:color w:val="111111"/>
          <w:sz w:val="28"/>
          <w:sz w:val="28"/>
          <w:szCs w:val="28"/>
          <w:rtl w:val="true"/>
          <w:lang w:bidi="ar-SA"/>
        </w:rPr>
        <w:t>بعدم الرضا عن الظلم، من أجل التغيير لما هو أفضل وأكمل وأرقي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وسنتناول هذه المسألة من وجهة نظر القرآن الكريم والسنة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وبالتحديد من خلال أحاديث أهل السنّة، ثمّ سنجيب على بعض الشبهات المطروحة حولها</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4036653_3650668749"/>
      <w:bookmarkStart w:id="157" w:name="_Toc58"/>
      <w:bookmarkEnd w:id="156"/>
      <w:r>
        <w:rPr/>
        <w:t>١</w:t>
      </w:r>
      <w:r>
        <w:rPr>
          <w:rtl w:val="true"/>
        </w:rPr>
        <w:t xml:space="preserve">- </w:t>
      </w:r>
      <w:r>
        <w:rPr>
          <w:rtl w:val="true"/>
        </w:rPr>
        <w:t>نظرية المهدي الموعود في القرآن</w:t>
      </w:r>
      <w:bookmarkEnd w:id="157"/>
    </w:p>
    <w:p>
      <w:pPr>
        <w:pStyle w:val="BookText"/>
        <w:rPr/>
      </w:pPr>
      <w:r>
        <w:rPr>
          <w:rFonts w:ascii="Amiri" w:hAnsi="Amiri" w:eastAsia="Amiri" w:cs="Amiri"/>
          <w:color w:val="111111"/>
          <w:sz w:val="28"/>
          <w:sz w:val="28"/>
          <w:szCs w:val="28"/>
          <w:rtl w:val="true"/>
          <w:lang w:bidi="ar-SA"/>
        </w:rPr>
        <w:t>كما قلنا آنفاً، فإنّ نظرية المهدي الموعود تستند قبل كلّ شيءٍ إلى بشارات جميلة في القرآن الكريم وردت في آياتٍ عديدةٍ ونشير فيها يلي الى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في هذه الآية إشارة إلى الإرادة الحتمية لله سبحانه وتعالى لانتصار الدين الإسلامي وظهوره على سائر الأديان، وهذه الإرادة بحسب ما جاء في الروايات وما ذهب إليه المفسّرون، لا تتحقّق إلا على يد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في هذه الآية الشريفة إشارة لورود البشارة في الكتب السماوية السالفة بانتصار المؤمنين وأنّهم سوف يرثون الأرض ويحكمونها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تفسير الآية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 xml:space="preserve">» . </w:t>
      </w:r>
      <w:r>
        <w:rPr>
          <w:rStyle w:val="FootnoteAnchor"/>
          <w:rtl w:val="true"/>
        </w:rPr>
        <w:footnoteReference w:id="165"/>
      </w:r>
      <w:bookmarkStart w:id="158" w:name="pg2007_10950"/>
    </w:p>
    <w:p>
      <w:pPr>
        <w:pStyle w:val="BookText"/>
        <w:rPr/>
      </w:pPr>
      <w:bookmarkEnd w:id="158"/>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رِكُونَ بِي شَيْئاً وَ مَنْ كَفَرَ بَعْدَ ذلِكَ فَأُولئِكَ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هذه الآية تؤكّد بوضوح تحقق الوعد الإلهي وبشّر بظهور المصلح وإمام العصر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هذه الآية هي الأخرى تتحدّث عن تحقّق إرادة الله تعالى الحتمية في نصرته للمستضعفين في الأرض، وتؤكدّ صيرورتهم حكّاماً على الأرض، ويتجلّى ذلك بانتصار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p>
    <w:p>
      <w:pPr>
        <w:pStyle w:val="Heading3"/>
        <w:numPr>
          <w:ilvl w:val="2"/>
          <w:numId w:val="1"/>
        </w:numPr>
        <w:rPr/>
      </w:pPr>
      <w:bookmarkStart w:id="159" w:name="__RefHeading___Toc4036655_3650668749"/>
      <w:bookmarkStart w:id="160" w:name="_Toc59"/>
      <w:bookmarkEnd w:id="159"/>
      <w:r>
        <w:rPr/>
        <w:t>٢</w:t>
      </w:r>
      <w:r>
        <w:rPr>
          <w:rtl w:val="true"/>
        </w:rPr>
        <w:t xml:space="preserve">- </w:t>
      </w:r>
      <w:r>
        <w:rPr>
          <w:rtl w:val="true"/>
        </w:rPr>
        <w:t>نظرّية المهدي الموعود في السنة</w:t>
      </w:r>
      <w:bookmarkEnd w:id="160"/>
    </w:p>
    <w:p>
      <w:pPr>
        <w:pStyle w:val="BookText"/>
        <w:rPr/>
      </w:pPr>
      <w:r>
        <w:rPr>
          <w:rFonts w:ascii="Amiri" w:hAnsi="Amiri" w:eastAsia="Amiri" w:cs="Amiri"/>
          <w:color w:val="111111"/>
          <w:sz w:val="28"/>
          <w:sz w:val="28"/>
          <w:szCs w:val="28"/>
          <w:rtl w:val="true"/>
          <w:lang w:bidi="ar-SA"/>
        </w:rPr>
        <w:t xml:space="preserve">إنّ نظرّية المهدي الموعود هي من القضايا الإسلامية التي وردت بصددها أحاديث متواترة، وهذه من المسائل الإسلامية الأحاديث من حيث العدد والسند تبلغ مرتبة لا تبقي أيّ مجالٍ للشك في أصالة وأهمية نظرّية المصلح الموعود وصحّة صدورها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 من الصحابة رووا هذه الأحاديث،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سلمان الفارسي، أبي ذرٍ الغفاري، حذيفة بن اليمان، عبدالله بن مسعود، أبو سعيد الخدري، جابر بن عبدالله الأنصاري، عمّار بن ياسر، عبدالله بن العبّاس، عمر بن الخطّاب، أنس‌بن مالك، معاذ بن جبل، وكثيرون غيرهم ذكرتهم مصادر الحديث </w:t>
      </w:r>
    </w:p>
    <w:p>
      <w:pPr>
        <w:pStyle w:val="BookText"/>
        <w:rPr/>
      </w:pPr>
      <w:r>
        <w:rPr>
          <w:rFonts w:ascii="Amiri" w:hAnsi="Amiri" w:eastAsia="Amiri" w:cs="Amiri"/>
          <w:color w:val="111111"/>
          <w:sz w:val="28"/>
          <w:sz w:val="28"/>
          <w:szCs w:val="28"/>
          <w:rtl w:val="true"/>
          <w:lang w:bidi="ar-SA"/>
        </w:rPr>
        <w:t>الشيعية والسنّية القديمة والمعتبرة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هنا إلى بعض النماذج من هذه الأحاديث التي وردت في المصادر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يبعث فيه رجلاً من أهل بيتي يواطئ اسمه اسمي، واسم أبيه اسم أبي، يملؤها عدلاً كما ملئت ظلماً وجَوَراً</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تقوم الساعة حتى يلي رجل من أهل بيتي يواطئ اسمه اسمي</w:t>
      </w:r>
      <w:r>
        <w:rPr>
          <w:rFonts w:eastAsia="Amiri" w:cs="Amiri" w:ascii="Amiri" w:hAnsi="Amiri"/>
          <w:color w:val="111111"/>
          <w:sz w:val="28"/>
          <w:szCs w:val="28"/>
          <w:rtl w:val="true"/>
          <w:lang w:bidi="ar-SA"/>
        </w:rPr>
        <w:t xml:space="preserve">» .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وجميع الأحاديث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السنّية والشيعية تؤكّد على أنّ المهدي هو من سلالة الرسول ومن عترته وأنّه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أولاد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المحقّقين من أهل السنّة اعتبروا كثيراً من أحاديث المهدي صحيحة ومعتبرة، وألّفوا حولها رسائل وكتب مستقلّة، ومنهم الترمذي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العقيلي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البيهقي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تيمية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الذهبي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وكثيرون غيرهم ممّن كانوا يعتقدون بصحّة هذه الأحاديث واعتبارها</w:t>
      </w:r>
      <w:r>
        <w:rPr>
          <w:rFonts w:eastAsia="Amiri" w:cs="Amiri" w:ascii="Amiri" w:hAnsi="Amiri"/>
          <w:color w:val="111111"/>
          <w:sz w:val="28"/>
          <w:szCs w:val="28"/>
          <w:rtl w:val="true"/>
          <w:lang w:bidi="ar-SA"/>
        </w:rPr>
        <w:t xml:space="preserve">. </w:t>
      </w:r>
      <w:bookmarkStart w:id="161" w:name="pg2007_10952"/>
    </w:p>
    <w:p>
      <w:pPr>
        <w:pStyle w:val="BookText"/>
        <w:rPr/>
      </w:pPr>
      <w:bookmarkEnd w:id="161"/>
      <w:r>
        <w:rPr>
          <w:rFonts w:ascii="Amiri" w:hAnsi="Amiri" w:eastAsia="Amiri" w:cs="Amiri"/>
          <w:color w:val="111111"/>
          <w:sz w:val="28"/>
          <w:sz w:val="28"/>
          <w:szCs w:val="28"/>
          <w:rtl w:val="true"/>
          <w:lang w:bidi="ar-SA"/>
        </w:rPr>
        <w:t xml:space="preserve">وهناك ممّن قال بتواترها، مثل محمد بن الحسين الأبري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الكنجي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القرطبي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حجر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الشوكاني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وآخرون غيرهم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الكثير من العلماء الذين ألفوا كتباً ورسائل مستقلّة في هذا الصدد</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وقد تطرّق الدكتور عبدالعليم عبدالعظيم البستوني إلى البحث في هذا الموضوع في كتابٍ قيّمٍ ألّفه، حيث تناول بيان الأحاديث والأخبار الصحيحة، وجَمَع شواهد كثيرة تدل على اهتمام السلف الصالح بهذه المسألة واشتهارها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يتّضح لنا أنّ نظريّة المهدي الموعود هي عقيدة مشتركة بين جميع الفرق والمذاهب الإسلامية</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4036657_3650668749"/>
      <w:bookmarkStart w:id="163" w:name="_Toc60"/>
      <w:bookmarkEnd w:id="162"/>
      <w:r>
        <w:rPr/>
        <w:t>٣</w:t>
      </w:r>
      <w:r>
        <w:rPr>
          <w:rtl w:val="true"/>
        </w:rPr>
        <w:t xml:space="preserve">- </w:t>
      </w:r>
      <w:r>
        <w:rPr>
          <w:rtl w:val="true"/>
        </w:rPr>
        <w:t xml:space="preserve">مواطن الاختلاف في نظرية المهدي الموعود </w:t>
      </w:r>
      <w:r>
        <w:rPr>
          <w:rtl w:val="true"/>
        </w:rPr>
        <w:t>(</w:t>
      </w:r>
      <w:r>
        <w:rPr>
          <w:rtl w:val="true"/>
        </w:rPr>
        <w:t>عج</w:t>
      </w:r>
      <w:r>
        <w:rPr>
          <w:rtl w:val="true"/>
        </w:rPr>
        <w:t>)</w:t>
      </w:r>
      <w:bookmarkEnd w:id="163"/>
    </w:p>
    <w:p>
      <w:pPr>
        <w:pStyle w:val="Heading4"/>
        <w:numPr>
          <w:ilvl w:val="3"/>
          <w:numId w:val="1"/>
        </w:numPr>
        <w:rPr/>
      </w:pPr>
      <w:bookmarkStart w:id="164" w:name="__RefHeading___Toc4036659_3650668749"/>
      <w:bookmarkStart w:id="165" w:name="_Toc61"/>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إنّ أهم مسألتين أصبحتا مثاراً للجدل والاختلاف في نظرية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هما مسألتا حياته وغيبته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فالشيعة يعتقدون بأنّ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على قيد الحياة مذ وفاة والده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الذي سيتولّى منصب الخلافة والإمامة بعد ظهوره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أنّنا نجد أنّ أكثر أهل السنّة لا يعتقدون بصحّة هذا الأمر، ويعتبرون أنّ المهدي الموعود الذي ذكر في الروايات لم يعيّن ولم يولد حتى الآن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هناك شواهد وأدلة كثيرة تؤكّد صحّة عقيدة الشيعة بالنسبة إلى هذا </w:t>
      </w:r>
      <w:bookmarkStart w:id="166" w:name="pg2007_10953"/>
    </w:p>
    <w:p>
      <w:pPr>
        <w:pStyle w:val="BookText"/>
        <w:rPr/>
      </w:pPr>
      <w:bookmarkEnd w:id="166"/>
      <w:r>
        <w:rPr>
          <w:rFonts w:ascii="Amiri" w:hAnsi="Amiri" w:eastAsia="Amiri" w:cs="Amiri"/>
          <w:color w:val="111111"/>
          <w:sz w:val="28"/>
          <w:sz w:val="28"/>
          <w:szCs w:val="28"/>
          <w:rtl w:val="true"/>
          <w:lang w:bidi="ar-SA"/>
        </w:rPr>
        <w:t>الموضوع، وتثبت عدم صحة نظرية أهل السنّة، ونشير هنا إلى بعض هذه الأدلة باختصار</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4036661_3650668749"/>
      <w:bookmarkStart w:id="168" w:name="_Toc62"/>
      <w:bookmarkEnd w:id="167"/>
      <w:r>
        <w:rPr>
          <w:rtl w:val="true"/>
        </w:rPr>
        <w:t xml:space="preserve">الأول </w:t>
      </w:r>
      <w:r>
        <w:rPr>
          <w:rtl w:val="true"/>
        </w:rPr>
        <w:t xml:space="preserve">- </w:t>
      </w:r>
      <w:r>
        <w:rPr>
          <w:rtl w:val="true"/>
        </w:rPr>
        <w:t>حديث الثقلين المتواتر</w:t>
      </w:r>
      <w:bookmarkEnd w:id="168"/>
    </w:p>
    <w:p>
      <w:pPr>
        <w:pStyle w:val="BookText"/>
        <w:rPr/>
      </w:pPr>
      <w:r>
        <w:rPr>
          <w:rFonts w:ascii="Amiri" w:hAnsi="Amiri" w:eastAsia="Amiri" w:cs="Amiri"/>
          <w:color w:val="111111"/>
          <w:sz w:val="28"/>
          <w:sz w:val="28"/>
          <w:szCs w:val="28"/>
          <w:rtl w:val="true"/>
          <w:lang w:bidi="ar-SA"/>
        </w:rPr>
        <w:t xml:space="preserve">كما ذكرنا آنفاً فإنّ حديث الثقلين يدل على الصلة الوثيقة بين القرآن وأهل‌البيت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على تلازمهما وعدم انفصالهما عن بعضهما إلى يوم القيامة فكما أنّ القرآن موجود بين الناس على مدى العصور، كذا هو الحال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إمامتهم مستمرّةٌ إلى يوم القيامة، ويبقى الوصول إلى هاذين المنبعين الصافيين للإسلام الأصيل سهل يسير في كلّ حينٍ وهذا الكلام لا يمكن إثباته وفهمه إلّا بناءً على الأصول العقائدية للمدرسة الشيعية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4036663_3650668749"/>
      <w:bookmarkStart w:id="170" w:name="_Toc63"/>
      <w:bookmarkEnd w:id="169"/>
      <w:r>
        <w:rPr>
          <w:rtl w:val="true"/>
        </w:rPr>
        <w:t xml:space="preserve">الثاني </w:t>
      </w:r>
      <w:r>
        <w:rPr>
          <w:rtl w:val="true"/>
        </w:rPr>
        <w:t xml:space="preserve">- </w:t>
      </w:r>
      <w:r>
        <w:rPr>
          <w:rtl w:val="true"/>
        </w:rPr>
        <w:t>حديث</w:t>
      </w:r>
      <w:r>
        <w:rPr>
          <w:rtl w:val="true"/>
        </w:rPr>
        <w:t>: «</w:t>
      </w:r>
      <w:r>
        <w:rPr>
          <w:rtl w:val="true"/>
        </w:rPr>
        <w:t>مَن مات ولم يَعرف إمامَ زمانهِ ماتَ مِيتةً جاهليةً</w:t>
      </w:r>
      <w:r>
        <w:rPr>
          <w:rtl w:val="true"/>
        </w:rPr>
        <w:t>»</w:t>
      </w:r>
      <w:bookmarkEnd w:id="170"/>
    </w:p>
    <w:p>
      <w:pPr>
        <w:pStyle w:val="BookText"/>
        <w:rPr/>
      </w:pPr>
      <w:r>
        <w:rPr>
          <w:rFonts w:ascii="Amiri" w:hAnsi="Amiri" w:eastAsia="Amiri" w:cs="Amiri"/>
          <w:color w:val="111111"/>
          <w:sz w:val="28"/>
          <w:sz w:val="28"/>
          <w:szCs w:val="28"/>
          <w:rtl w:val="true"/>
          <w:lang w:bidi="ar-SA"/>
        </w:rPr>
        <w:t>هذا الحديث الشريف مرويٌّ في المصادر الشيعية والسنّية على السواء، ويدلّ بوضوحٍ لايقبل الشكّ على أنّ كلّ مسلمٍ مكلّفٌ بمعرفة إمام زمانه في كل عصر من العصور، وأن الموت بدون معرفته إنّما هو موت على الجاهلية البعيدة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 المراد من إمام الزمان في هذا الحديث ليس الساسة والحكّام الذين يرأسون الحكومات ويديرون دفّة الأمور، لانّ معرفة هؤلاء ليست إلى هذه الدرجة من الأهمّية كما هو واضح، ولا يترتب على عدم معرفتهم النتيجة المخيفة التي ذُكرت في الحديث الشريف</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من إمام الزمان هو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يتطابق مع ما يذهب إليه الشيعة في عقيدتهم حول وجود الإمام المعصوم في كل زمان وأنّه حي </w:t>
      </w:r>
      <w:bookmarkStart w:id="171" w:name="pg2007_10954"/>
    </w:p>
    <w:p>
      <w:pPr>
        <w:pStyle w:val="BookText"/>
        <w:rPr/>
      </w:pPr>
      <w:bookmarkEnd w:id="171"/>
      <w:r>
        <w:rPr>
          <w:rFonts w:ascii="Amiri" w:hAnsi="Amiri" w:eastAsia="Amiri" w:cs="Amiri"/>
          <w:color w:val="111111"/>
          <w:sz w:val="28"/>
          <w:sz w:val="28"/>
          <w:szCs w:val="28"/>
          <w:rtl w:val="true"/>
          <w:lang w:bidi="ar-SA"/>
        </w:rPr>
        <w:t>يرزق في زماننا هذا، وأنّ معرفته مقدّمة لمعرفة الدين وأحكام الله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أنّ عدم معرفته هو ابتعاد عن الدين وجهلٌ به وإنسداد لطريق الحصول على العلم بالأحكام الشرعية الواقعية، وبعبارة أخرى، فإنّ عدم معرفة الإمام تعني التَّيه في ظلمات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عن الإمام ينسجم مع ما يعتقدبه الشيعة من أصول</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4036665_3650668749"/>
      <w:bookmarkStart w:id="173" w:name="_Toc64"/>
      <w:bookmarkEnd w:id="172"/>
      <w:r>
        <w:rPr>
          <w:rtl w:val="true"/>
        </w:rPr>
        <w:t xml:space="preserve">الثالث </w:t>
      </w:r>
      <w:r>
        <w:rPr>
          <w:rtl w:val="true"/>
        </w:rPr>
        <w:t xml:space="preserve">- </w:t>
      </w:r>
      <w:r>
        <w:rPr>
          <w:rtl w:val="true"/>
        </w:rPr>
        <w:t>الأحاديث الدالّة على أنّ الخلفاء اثنا عشر</w:t>
      </w:r>
      <w:bookmarkEnd w:id="173"/>
    </w:p>
    <w:p>
      <w:pPr>
        <w:pStyle w:val="BookText"/>
        <w:rPr/>
      </w:pPr>
      <w:r>
        <w:rPr>
          <w:rFonts w:ascii="Amiri" w:hAnsi="Amiri" w:eastAsia="Amiri" w:cs="Amiri"/>
          <w:color w:val="111111"/>
          <w:sz w:val="28"/>
          <w:sz w:val="28"/>
          <w:szCs w:val="28"/>
          <w:rtl w:val="true"/>
          <w:lang w:bidi="ar-SA"/>
        </w:rPr>
        <w:t>لقد تطرّقنا آنفاً الى الاحاديث التي تثبت أن الائمّة اثنا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بشكلٍ مفصّلٍ، واتّضح جليّاً أنّه لا بدّ من وجود أحد هؤلاء الخلفاء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في كل زمان من الأزمنة لكي يبيّن النهج الصحيح للنبيّ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والطريف أنّ أغلب أهل السنّة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صرّحون بأنّ الإمام المهدي هو أحد هؤلاء الخلفاء الاثني عشر، وهو كما تلاحظ ينطبق على ما يذهب إليه الشيعة الإمامية</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4036667_3650668749"/>
      <w:bookmarkStart w:id="175" w:name="_Toc65"/>
      <w:bookmarkEnd w:id="174"/>
      <w:r>
        <w:rPr>
          <w:rtl w:val="true"/>
        </w:rPr>
        <w:t xml:space="preserve">الرابع </w:t>
      </w:r>
      <w:r>
        <w:rPr>
          <w:rtl w:val="true"/>
        </w:rPr>
        <w:t xml:space="preserve">- </w:t>
      </w:r>
      <w:r>
        <w:rPr>
          <w:rtl w:val="true"/>
        </w:rPr>
        <w:t xml:space="preserve">الأحاديث الواردة عن أهل‌البيت </w:t>
      </w:r>
      <w:r>
        <w:rPr>
          <w:rtl w:val="true"/>
        </w:rPr>
        <w:t>(</w:t>
      </w:r>
      <w:r>
        <w:rPr>
          <w:rtl w:val="true"/>
        </w:rPr>
        <w:t>ع</w:t>
      </w:r>
      <w:r>
        <w:rPr>
          <w:rtl w:val="true"/>
        </w:rPr>
        <w:t>)</w:t>
      </w:r>
      <w:bookmarkEnd w:id="175"/>
    </w:p>
    <w:p>
      <w:pPr>
        <w:pStyle w:val="BookText"/>
        <w:rPr/>
      </w:pPr>
      <w:r>
        <w:rPr>
          <w:rFonts w:ascii="Amiri" w:hAnsi="Amiri" w:eastAsia="Amiri" w:cs="Amiri"/>
          <w:color w:val="111111"/>
          <w:sz w:val="28"/>
          <w:sz w:val="28"/>
          <w:szCs w:val="28"/>
          <w:rtl w:val="true"/>
          <w:lang w:bidi="ar-SA"/>
        </w:rPr>
        <w:t xml:space="preserve">هناك أحاديث كثيرةٌ مرويّةٌ عن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لنا أحداث حياة الإمام المهدي وتشير إلى غيبته بعد والده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كيف يمكن لأهل‌السنّة التغاضى عن هذه الأخبار الصحيحة التي ذكرها اهل‌بيت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المعصومون؟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لصحّة وتواتر هذه الأدلة والشواهد، فقد أقرّ بعض علماء وعرفاء أهل السنّة بصحّة عقيدة الشيعة في هذا الأمر، واعترفوا بأن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وغائب وأنّه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ونذكر منهم</w:t>
      </w:r>
      <w:r>
        <w:rPr>
          <w:rFonts w:eastAsia="Amiri" w:cs="Amiri" w:ascii="Amiri" w:hAnsi="Amiri"/>
          <w:color w:val="111111"/>
          <w:sz w:val="28"/>
          <w:szCs w:val="28"/>
          <w:rtl w:val="true"/>
          <w:lang w:bidi="ar-SA"/>
        </w:rPr>
        <w:t xml:space="preserve">: </w:t>
      </w:r>
      <w:bookmarkStart w:id="176" w:name="pg2007_10955"/>
    </w:p>
    <w:p>
      <w:pPr>
        <w:pStyle w:val="BookText"/>
        <w:rPr/>
      </w:pPr>
      <w:bookmarkEnd w:id="176"/>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الوهّاب الشعراني، كمال الدين محمد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سبط ابن الجوزي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طولون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آخرون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 هؤلاء العارف محي الدين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خصّص باباً في كتابه الفتوحات المكّية في ذكر أحوال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أشعاره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ختم الأولياء شهيد</w:t>
      </w:r>
    </w:p>
    <w:p>
      <w:pPr>
        <w:pStyle w:val="BookText"/>
        <w:rPr/>
      </w:pPr>
      <w:r>
        <w:rPr>
          <w:rFonts w:ascii="Amiri" w:hAnsi="Amiri" w:eastAsia="Amiri" w:cs="Amiri"/>
          <w:color w:val="111111"/>
          <w:sz w:val="28"/>
          <w:sz w:val="28"/>
          <w:szCs w:val="28"/>
          <w:rtl w:val="true"/>
          <w:lang w:bidi="ar-SA"/>
        </w:rPr>
        <w:t>ثم يعقّب بعد هذه الأشعار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جاءكم زمانه وأظلّكم أوانه وظهر في القرن الرابع اللاحق بالقرون الثلاثة الماضية</w:t>
      </w:r>
      <w:r>
        <w:rPr>
          <w:rFonts w:eastAsia="Amiri" w:cs="Amiri" w:ascii="Amiri" w:hAnsi="Amiri"/>
          <w:color w:val="111111"/>
          <w:sz w:val="28"/>
          <w:szCs w:val="28"/>
          <w:rtl w:val="true"/>
          <w:lang w:bidi="ar-SA"/>
        </w:rPr>
        <w:t>» .</w:t>
      </w:r>
    </w:p>
    <w:p>
      <w:pPr>
        <w:pStyle w:val="Heading3"/>
        <w:numPr>
          <w:ilvl w:val="2"/>
          <w:numId w:val="1"/>
        </w:numPr>
        <w:rPr/>
      </w:pPr>
      <w:bookmarkStart w:id="177" w:name="__RefHeading___Toc4036669_3650668749"/>
      <w:bookmarkStart w:id="178" w:name="_Toc66"/>
      <w:bookmarkEnd w:id="177"/>
      <w:r>
        <w:rPr/>
        <w:t>۴</w:t>
      </w:r>
      <w:r>
        <w:rPr>
          <w:rtl w:val="true"/>
        </w:rPr>
        <w:t xml:space="preserve">- </w:t>
      </w:r>
      <w:r>
        <w:rPr>
          <w:rtl w:val="true"/>
        </w:rPr>
        <w:t>شبهات على نظرية المهديّ الموعود</w:t>
      </w:r>
      <w:bookmarkEnd w:id="178"/>
    </w:p>
    <w:p>
      <w:pPr>
        <w:pStyle w:val="Heading4"/>
        <w:numPr>
          <w:ilvl w:val="3"/>
          <w:numId w:val="1"/>
        </w:numPr>
        <w:rPr/>
      </w:pPr>
      <w:bookmarkStart w:id="179" w:name="__RefHeading___Toc4036671_3650668749"/>
      <w:bookmarkStart w:id="180" w:name="_Toc67"/>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يمكن أن نتعرّض لِما طرح من شبهات وتساؤلات حول مسألة المهدوية من خلال حصرها في عدّة محاور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 الشبهات التي يطرحها البعض حول نظريّة المهديّ الموعود تتمحور في ثلاث مسائل،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المبكرة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الإمام الغائب</w:t>
      </w:r>
      <w:r>
        <w:rPr>
          <w:rFonts w:eastAsia="Amiri" w:cs="Amiri" w:ascii="Amiri" w:hAnsi="Amiri"/>
          <w:color w:val="111111"/>
          <w:sz w:val="28"/>
          <w:szCs w:val="28"/>
          <w:rtl w:val="true"/>
          <w:lang w:bidi="ar-SA"/>
        </w:rPr>
        <w:t xml:space="preserve">. </w:t>
      </w:r>
      <w:bookmarkStart w:id="181" w:name="pg2007_10956"/>
    </w:p>
    <w:p>
      <w:pPr>
        <w:pStyle w:val="Heading4"/>
        <w:numPr>
          <w:ilvl w:val="3"/>
          <w:numId w:val="1"/>
        </w:numPr>
        <w:rPr/>
      </w:pPr>
      <w:bookmarkStart w:id="182" w:name="__RefHeading___Toc4036673_3650668749"/>
      <w:bookmarkStart w:id="183" w:name="_Toc68"/>
      <w:bookmarkEnd w:id="181"/>
      <w:bookmarkEnd w:id="182"/>
      <w:r>
        <w:rPr>
          <w:rtl w:val="true"/>
        </w:rPr>
        <w:t>المحور الأوّل</w:t>
      </w:r>
      <w:r>
        <w:rPr>
          <w:rtl w:val="true"/>
        </w:rPr>
        <w:t xml:space="preserve">: </w:t>
      </w:r>
      <w:r>
        <w:rPr>
          <w:rtl w:val="true"/>
        </w:rPr>
        <w:t xml:space="preserve">طول عمر الإمام المهدي </w:t>
      </w:r>
      <w:r>
        <w:rPr>
          <w:rtl w:val="true"/>
        </w:rPr>
        <w:t>(</w:t>
      </w:r>
      <w:r>
        <w:rPr>
          <w:rtl w:val="true"/>
        </w:rPr>
        <w:t>عج</w:t>
      </w:r>
      <w:r>
        <w:rPr>
          <w:rtl w:val="true"/>
        </w:rPr>
        <w:t>)</w:t>
      </w:r>
      <w:bookmarkEnd w:id="183"/>
    </w:p>
    <w:p>
      <w:pPr>
        <w:pStyle w:val="BookText"/>
        <w:rPr/>
      </w:pPr>
      <w:r>
        <w:rPr>
          <w:rFonts w:ascii="Amiri" w:hAnsi="Amiri" w:eastAsia="Amiri" w:cs="Amiri"/>
          <w:color w:val="111111"/>
          <w:sz w:val="28"/>
          <w:sz w:val="28"/>
          <w:szCs w:val="28"/>
          <w:rtl w:val="true"/>
          <w:lang w:bidi="ar-SA"/>
        </w:rPr>
        <w:t xml:space="preserve">يعتقد الشيعة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وعاش من ذلك الحين وحتى يومنا الحاضر خلف أستار الغيبة، أي أنّه يتمتّع بعمرٍ طويلٍ، على خلاف ما هو طبيعي ومتعارف، وقد اعترض اهل‌السنّه على هذه المسألة وشكّكوابها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الإجابة على التساؤل المطروح عن عمر الإمام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طول العمر بحد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هذا الأمر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وهي إمكان طول عمر الإنسان، فإنّه من خلال الحقائق العلميّة نستنتج أنّ عمر الإنسان لايُحدّد بعددٍ معيّنٍ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إنّما يعرض على الإنسان نتيجة لعدة عوامل خارجية طارئة على بدن الإنسان، ومن البديهي أن نستنتج حينها أن عدم توفّر هذه العوامل سيمكن الإنسان من العيش لفترة أطول ممّا هو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يجب أن لا نصنّف طول العمر إذا ما حصل على أنّه حالة غير طبيعية، وإن كانت غير شائعة أو متعارفة؛ لأنّ قوانين الطبيعة التي وضعها الله تعالى لها القابلية في ذلك، أي زيادة عمر الإنسان، كما قد تكون سبباً لقصر عمر الانسان اكثر ممّا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يمكننا أن ننكر مسألة طول العمر لمجرّد كونها غير شائعة أو لأنها نادرة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للجهة الثانية من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الشواهد التأريخية تُشير إلى حصول ظاهرة طول العمر في الأجيال السالفة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فالقرآن الكريم يصرّح بأنّ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في قومه تسعمائة وخمسين سنة ينذرهم ويبلّغهم رسالة السماء، وبالطبع فإن عمره باستثناء فترة نبوّته </w:t>
      </w:r>
    </w:p>
    <w:p>
      <w:pPr>
        <w:pStyle w:val="BookText"/>
        <w:rPr/>
      </w:pPr>
      <w:r>
        <w:rPr>
          <w:rFonts w:ascii="IRNazanin" w:hAnsi="IRNazanin" w:eastAsia="IRNazanin"/>
          <w:color w:val="111111"/>
          <w:sz w:val="28"/>
          <w:sz w:val="28"/>
          <w:szCs w:val="28"/>
          <w:rtl w:val="true"/>
          <w:lang w:bidi="fa-IR"/>
        </w:rPr>
        <w:t>هذه، أطول</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فقد ورد في بعض الروايات الصحيحة أنّ عمره الشريف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وهناك روايات أخرى ذكرت متوسّط عمر الإنسان في ذلك 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وحددته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منطقي تبعاً 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 الموضوعية التي توفّرها البيئة النقية من هواء وماء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هو مشهور أنّ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عمر طويل أيضاً، ففي بعض الروايات أُشير إلى أنّ عمره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وقد أفرد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خاصّاً ذكر فيه بعض من عُرف بطول عمره في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أيضاً من بين علماء أهل السنّة من صنّف كتاباً مختصاً بهذا الموضوع، وهو أبو حاتم السجستاني في كتابه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 ماذُكر، كيف يبقى مجال للتشكيك في إمكانية طول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روايات كثيرة ذكرت طول عمره الشريف، منها ما روي عن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 ضمن حديث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التاسع من ولد أخي الحسين ابن سيدة الإماء، يطيل الله عمره في غيبته، ثمّ يظهره بقدرته في صورة شاب دون أربعين سنة، ذلك ليعلم أنّ الله على كل شيء قدير</w:t>
      </w:r>
      <w:r>
        <w:rPr>
          <w:rFonts w:eastAsia="Amiri" w:cs="Amiri" w:ascii="Amiri" w:hAnsi="Amiri"/>
          <w:color w:val="111111"/>
          <w:sz w:val="28"/>
          <w:szCs w:val="28"/>
          <w:rtl w:val="true"/>
          <w:lang w:bidi="ar-SA"/>
        </w:rPr>
        <w:t xml:space="preserve">» . </w:t>
      </w:r>
      <w:r>
        <w:rPr>
          <w:rStyle w:val="FootnoteAnchor"/>
          <w:rtl w:val="true"/>
        </w:rPr>
        <w:footnoteReference w:id="176"/>
      </w:r>
      <w:bookmarkStart w:id="184" w:name="pg2007_10958"/>
    </w:p>
    <w:p>
      <w:pPr>
        <w:pStyle w:val="BookText"/>
        <w:rPr/>
      </w:pPr>
      <w:bookmarkEnd w:id="184"/>
      <w:r>
        <w:rPr>
          <w:rFonts w:ascii="Amiri" w:hAnsi="Amiri" w:eastAsia="Amiri" w:cs="Amiri"/>
          <w:color w:val="111111"/>
          <w:sz w:val="28"/>
          <w:sz w:val="28"/>
          <w:szCs w:val="28"/>
          <w:rtl w:val="true"/>
          <w:lang w:bidi="ar-SA"/>
        </w:rPr>
        <w:t xml:space="preserve">وكذلك روي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القائم سنّة من نوح عليه السلام وهي طول العمر</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Heading4"/>
        <w:numPr>
          <w:ilvl w:val="3"/>
          <w:numId w:val="1"/>
        </w:numPr>
        <w:rPr/>
      </w:pPr>
      <w:bookmarkStart w:id="185" w:name="__RefHeading___Toc4036675_3650668749"/>
      <w:bookmarkStart w:id="186" w:name="_Toc69"/>
      <w:bookmarkEnd w:id="185"/>
      <w:r>
        <w:rPr>
          <w:rtl w:val="true"/>
        </w:rPr>
        <w:t>المحور الثاني</w:t>
      </w:r>
      <w:r>
        <w:rPr>
          <w:rtl w:val="true"/>
        </w:rPr>
        <w:t xml:space="preserve">: </w:t>
      </w:r>
      <w:r>
        <w:rPr>
          <w:rtl w:val="true"/>
        </w:rPr>
        <w:t>الإمامة المبكّرة</w:t>
      </w:r>
      <w:bookmarkEnd w:id="186"/>
    </w:p>
    <w:p>
      <w:pPr>
        <w:pStyle w:val="BookText"/>
        <w:rPr/>
      </w:pPr>
      <w:r>
        <w:rPr>
          <w:rFonts w:ascii="Amiri" w:hAnsi="Amiri" w:eastAsia="Amiri" w:cs="Amiri"/>
          <w:color w:val="111111"/>
          <w:sz w:val="28"/>
          <w:sz w:val="28"/>
          <w:szCs w:val="28"/>
          <w:rtl w:val="true"/>
          <w:lang w:bidi="ar-SA"/>
        </w:rPr>
        <w:t xml:space="preserve">من الشبهات الأخرى التي يطرحها البعض حول نظريّة المهديّ الموعود، هي مسألة الإمامة المبكرة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وجهة نظرهم لا يجعل الله عزّ وجل الإمامة وهي منصب رفيع لصبيٍّ عمره خمس سنوات، ويأمر جميع الناس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هذه الشبهة باطلة وغير صحيحة وبأدنى تأمل في القرآن الكريم والتأريخ والروايات المنقولة في مصادر السنّة والشيعة، فإنّنا نجد من حصل على هذا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العظيم والرتبة الرفيعة في مثل هذا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وبتصريح القرآن آتاه الله العلم والحكمة وهو صبي وجعله نبياً</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وكذلك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لما تصرّح به الآيات الكريمة في أنّه صار نبيّاً وهو لا يزال رضيعاً، فأطلق الله لسانه ونبّأهم بأنّ الله تعالى آتاه الكتاب وجعله نبيّاً</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فإنّ الإمامة المبكرة قد نالها بعض آباء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كل هذا لا يبقى مجال لإنكار حصول هذا الامر لشخص يختاره الله تعالى بحكمته وينصّبه إماماً ويوجب طاعته على الجميع</w:t>
      </w:r>
      <w:r>
        <w:rPr>
          <w:rFonts w:eastAsia="Amiri" w:cs="Amiri" w:ascii="Amiri" w:hAnsi="Amiri"/>
          <w:color w:val="111111"/>
          <w:sz w:val="28"/>
          <w:szCs w:val="28"/>
          <w:rtl w:val="true"/>
          <w:lang w:bidi="ar-SA"/>
        </w:rPr>
        <w:t xml:space="preserve">. </w:t>
      </w:r>
      <w:bookmarkStart w:id="187" w:name="pg2007_10959"/>
    </w:p>
    <w:p>
      <w:pPr>
        <w:pStyle w:val="Heading4"/>
        <w:numPr>
          <w:ilvl w:val="3"/>
          <w:numId w:val="1"/>
        </w:numPr>
        <w:rPr/>
      </w:pPr>
      <w:bookmarkStart w:id="188" w:name="__RefHeading___Toc4036677_3650668749"/>
      <w:bookmarkStart w:id="189" w:name="_Toc70"/>
      <w:bookmarkEnd w:id="187"/>
      <w:bookmarkEnd w:id="188"/>
      <w:r>
        <w:rPr>
          <w:rtl w:val="true"/>
        </w:rPr>
        <w:t>المحور الثالث</w:t>
      </w:r>
      <w:r>
        <w:rPr>
          <w:rtl w:val="true"/>
        </w:rPr>
        <w:t xml:space="preserve">: </w:t>
      </w:r>
      <w:r>
        <w:rPr>
          <w:rtl w:val="true"/>
        </w:rPr>
        <w:t>فائدة الإمام الغائب</w:t>
      </w:r>
      <w:bookmarkEnd w:id="189"/>
    </w:p>
    <w:p>
      <w:pPr>
        <w:pStyle w:val="BookText"/>
        <w:rPr/>
      </w:pPr>
      <w:r>
        <w:rPr>
          <w:rFonts w:ascii="Amiri" w:hAnsi="Amiri" w:eastAsia="Amiri" w:cs="Amiri"/>
          <w:color w:val="111111"/>
          <w:sz w:val="28"/>
          <w:sz w:val="28"/>
          <w:szCs w:val="28"/>
          <w:rtl w:val="true"/>
          <w:lang w:bidi="ar-SA"/>
        </w:rPr>
        <w:t>الشبهة الأخرى التي تطرح حول نظرية المهديّ الموعود اعتراضاً على غيبته تتمحور حول فائدته للأمة إذا كانت لا تراه ولا تستطيع أن تسأله؟</w:t>
      </w:r>
    </w:p>
    <w:p>
      <w:pPr>
        <w:pStyle w:val="BookText"/>
        <w:rPr/>
      </w:pPr>
      <w:r>
        <w:rPr>
          <w:rFonts w:ascii="Amiri" w:hAnsi="Amiri" w:eastAsia="Amiri" w:cs="Amiri"/>
          <w:color w:val="111111"/>
          <w:sz w:val="28"/>
          <w:sz w:val="28"/>
          <w:szCs w:val="28"/>
          <w:rtl w:val="true"/>
          <w:lang w:bidi="ar-SA"/>
        </w:rPr>
        <w:t>وقد أجاب الشيعة على هذه الشبهة بهذا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غيبة الإمام المهدي هي حادثة تأريخية وقعت نتيجة لبعض الأسباب والعوامل من جهة، ولها بعض الأهداف والآثار في حياة الناس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ثبوت أصل تحقّق هذه الحادثة استناداً للشواهد التأريخية، لا يمكننا وبسبب بعض العوامل التي يراها البعض سلبيّةً، أن نشكّك في أصل 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التمييز بين نوعين من الفوائد التي يحظى بها الناس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النوع الأوّل فهو مرتبط بنفس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النوع الثاني فيرتبط بظهوره بين الناس وتعرّفهم عليه ورؤيتهم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حينئذٍ أن نستنتج أنّه لو لم ننتفع بفوائد وبركة ظهوره بيننا فمن القطعيّ أننا سننتفع ببركة نفس وجوده الشريف حتّى في غيابه عن أنظارنا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ذكرت روايات كثيرة أنّ الله لو رفع الإمام المعصوم من الأرض لساخت بأهلها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فإنّ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يتعلّق بها من مسائل فيها أبحاث كثيرة ودقيقة لابد من الوقوف عليها، والمجال لايسع هنا لتناولها بالشرح والتفصيل</w:t>
      </w:r>
      <w:r>
        <w:rPr>
          <w:rFonts w:eastAsia="Amiri" w:cs="Amiri" w:ascii="Amiri" w:hAnsi="Amiri"/>
          <w:color w:val="111111"/>
          <w:sz w:val="28"/>
          <w:szCs w:val="28"/>
          <w:rtl w:val="true"/>
          <w:lang w:bidi="ar-SA"/>
        </w:rPr>
        <w:t xml:space="preserve">. </w:t>
      </w:r>
      <w:bookmarkStart w:id="190" w:name="pg2007_10960"/>
    </w:p>
    <w:p>
      <w:pPr>
        <w:pStyle w:val="Heading2"/>
        <w:numPr>
          <w:ilvl w:val="1"/>
          <w:numId w:val="1"/>
        </w:numPr>
        <w:rPr/>
      </w:pPr>
      <w:bookmarkStart w:id="191" w:name="__RefHeading___Toc4036679_3650668749"/>
      <w:bookmarkStart w:id="192" w:name="_Toc71"/>
      <w:bookmarkEnd w:id="190"/>
      <w:bookmarkEnd w:id="191"/>
      <w:r>
        <w:rPr>
          <w:rtl w:val="true"/>
        </w:rPr>
        <w:t>أهم معتقدات الشيعة</w:t>
      </w:r>
      <w:bookmarkEnd w:id="192"/>
    </w:p>
    <w:p>
      <w:pPr>
        <w:pStyle w:val="Heading3"/>
        <w:numPr>
          <w:ilvl w:val="2"/>
          <w:numId w:val="1"/>
        </w:numPr>
        <w:rPr/>
      </w:pPr>
      <w:bookmarkStart w:id="193" w:name="__RefHeading___Toc4036681_3650668749"/>
      <w:bookmarkStart w:id="194" w:name="_Toc72"/>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يمكننا تقسيم معتقدات الشيعة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المعتقدات الأساسية والجوهرية والتي ترتبط بأسس المذهب الشيعي بشكل مباشر، والتي يمكن اعتبارها مباني المدرسة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المعتقدات الفرعية والفقهية، والتي هي أقلّ أهميّةً بالنسبة لغيرها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القسم الأوّل هو الاعتقاد بمودّة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وعدالة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القسم الثاني هو اعتقاد الشيعة بالتقيّة والزواج المؤقّت، وبعض التفاصيل الأخرى المتعلّقة بالوضوء والصلاة والأذان</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4036683_3650668749"/>
      <w:bookmarkStart w:id="196" w:name="_Toc73"/>
      <w:bookmarkEnd w:id="195"/>
      <w:r>
        <w:rPr>
          <w:rtl w:val="true"/>
        </w:rPr>
        <w:t>القسم الأوّل</w:t>
      </w:r>
      <w:r>
        <w:rPr>
          <w:rtl w:val="true"/>
        </w:rPr>
        <w:t xml:space="preserve">: </w:t>
      </w:r>
      <w:r>
        <w:rPr>
          <w:rtl w:val="true"/>
        </w:rPr>
        <w:t>المعتقدات الأساسية</w:t>
      </w:r>
      <w:bookmarkEnd w:id="196"/>
    </w:p>
    <w:p>
      <w:pPr>
        <w:pStyle w:val="Heading4"/>
        <w:numPr>
          <w:ilvl w:val="3"/>
          <w:numId w:val="1"/>
        </w:numPr>
        <w:rPr/>
      </w:pPr>
      <w:bookmarkStart w:id="197" w:name="__RefHeading___Toc4036685_3650668749"/>
      <w:bookmarkStart w:id="198" w:name="_Toc74"/>
      <w:bookmarkEnd w:id="197"/>
      <w:r>
        <w:rPr/>
        <w:t>١</w:t>
      </w:r>
      <w:r>
        <w:rPr>
          <w:rtl w:val="true"/>
        </w:rPr>
        <w:t xml:space="preserve">- </w:t>
      </w:r>
      <w:r>
        <w:rPr>
          <w:rtl w:val="true"/>
        </w:rPr>
        <w:t xml:space="preserve">مودة أهل‌البيت </w:t>
      </w:r>
      <w:r>
        <w:rPr>
          <w:rtl w:val="true"/>
        </w:rPr>
        <w:t>(</w:t>
      </w:r>
      <w:r>
        <w:rPr>
          <w:rtl w:val="true"/>
        </w:rPr>
        <w:t>ع</w:t>
      </w:r>
      <w:r>
        <w:rPr>
          <w:rtl w:val="true"/>
        </w:rPr>
        <w:t>)</w:t>
      </w:r>
      <w:bookmarkEnd w:id="198"/>
    </w:p>
    <w:p>
      <w:pPr>
        <w:pStyle w:val="Heading5"/>
        <w:numPr>
          <w:ilvl w:val="4"/>
          <w:numId w:val="1"/>
        </w:numPr>
        <w:rPr/>
      </w:pPr>
      <w:bookmarkStart w:id="199" w:name="__RefHeading___Toc4036687_3650668749"/>
      <w:bookmarkStart w:id="200" w:name="_Toc75"/>
      <w:bookmarkEnd w:id="199"/>
      <w:r>
        <w:rPr>
          <w:rtl w:val="true"/>
        </w:rPr>
        <w:t>اشارة</w:t>
      </w:r>
      <w:bookmarkEnd w:id="20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المودة في اللغة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الاستعمال القرآني بمعنى الرابطة الحميمة والمحبة العميقة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الأمور التي يؤكّد عليها شيعة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مودّة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المودّة متّفقٌ عليها بين </w:t>
      </w:r>
      <w:bookmarkStart w:id="201" w:name="pg2007_10961"/>
    </w:p>
    <w:p>
      <w:pPr>
        <w:pStyle w:val="BookText"/>
        <w:rPr/>
      </w:pPr>
      <w:bookmarkEnd w:id="201"/>
      <w:r>
        <w:rPr>
          <w:rFonts w:ascii="Amiri" w:hAnsi="Amiri" w:eastAsia="Amiri" w:cs="Amiri"/>
          <w:color w:val="111111"/>
          <w:sz w:val="28"/>
          <w:sz w:val="28"/>
          <w:szCs w:val="28"/>
          <w:rtl w:val="true"/>
          <w:lang w:bidi="ar-SA"/>
        </w:rPr>
        <w:t xml:space="preserve">الشيعة والسنّة، بل هي من أهم المشتركات التي تجمع بين المدرستين، وهي نواة طيبة لغرس شجرة التقريب والوحدة بين المذهبين ولكنّ أهل السنّة يذهبون إلى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جميع أهل‌بيت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وأقرباؤه ولا يقتصر على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والواقع أنّ جذور هذه العقيدة المشتركة بين المسلمين نجدها في القرآن الكريم والسنّة النبوّية، ونذكر فيما يلي أمثلةً على ذلك</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4036689_3650668749"/>
      <w:bookmarkStart w:id="203" w:name="_Toc76"/>
      <w:bookmarkEnd w:id="202"/>
      <w:r>
        <w:rPr>
          <w:rtl w:val="true"/>
        </w:rPr>
        <w:t>أ</w:t>
      </w:r>
      <w:r>
        <w:rPr>
          <w:rtl w:val="true"/>
        </w:rPr>
        <w:t xml:space="preserve">- </w:t>
      </w:r>
      <w:r>
        <w:rPr>
          <w:rtl w:val="true"/>
        </w:rPr>
        <w:t xml:space="preserve">مودّة أهل‌البيت </w:t>
      </w:r>
      <w:r>
        <w:rPr>
          <w:rtl w:val="true"/>
        </w:rPr>
        <w:t>(</w:t>
      </w:r>
      <w:r>
        <w:rPr>
          <w:rtl w:val="true"/>
        </w:rPr>
        <w:t>ع</w:t>
      </w:r>
      <w:r>
        <w:rPr>
          <w:rtl w:val="true"/>
        </w:rPr>
        <w:t xml:space="preserve">) </w:t>
      </w:r>
      <w:r>
        <w:rPr>
          <w:rtl w:val="true"/>
        </w:rPr>
        <w:t>في القرآن</w:t>
      </w:r>
      <w:bookmarkEnd w:id="203"/>
    </w:p>
    <w:p>
      <w:pPr>
        <w:pStyle w:val="BookText"/>
        <w:rPr/>
      </w:pPr>
      <w:r>
        <w:rPr>
          <w:rFonts w:ascii="Amiri" w:hAnsi="Amiri" w:eastAsia="Amiri" w:cs="Amiri"/>
          <w:color w:val="111111"/>
          <w:sz w:val="28"/>
          <w:sz w:val="28"/>
          <w:szCs w:val="28"/>
          <w:rtl w:val="true"/>
          <w:lang w:bidi="ar-SA"/>
        </w:rPr>
        <w:t xml:space="preserve">هناك آية صريحة في القرآن الكريم تؤكّد على ضرورة مودّة ومحبّة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الآية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هي هذه المودّة التي جعلها الله تعالى أجراً لرسالة خاتم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هؤلاء الذين جُعلت مودّتهم بهذا المستوى من الأهمّية؟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والمصادر التفسيرية والتأريخية والروائية الشيعية والسنّية هي التي تبيّن في المراد من القربى في هذه الآية، وتعرّفنا عليهم، فهم من قال عنهم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كنفسه، ونهى الناس عن ايذائهم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كل من أحمد بن حنبل </w:t>
      </w:r>
      <w:r>
        <w:rPr>
          <w:rStyle w:val="FootnoteAnchor"/>
          <w:rtl w:val="true"/>
        </w:rPr>
        <w:footnoteReference w:id="180"/>
      </w:r>
      <w:r>
        <w:rPr>
          <w:rFonts w:ascii="Amiri" w:hAnsi="Amiri" w:eastAsia="Amiri" w:cs="Amiri"/>
          <w:color w:val="111111"/>
          <w:sz w:val="28"/>
          <w:sz w:val="28"/>
          <w:szCs w:val="28"/>
          <w:rtl w:val="true"/>
          <w:lang w:bidi="ar-SA"/>
        </w:rPr>
        <w:t xml:space="preserve">والبخاري </w:t>
      </w:r>
      <w:r>
        <w:rPr>
          <w:rStyle w:val="FootnoteAnchor"/>
          <w:rtl w:val="true"/>
        </w:rPr>
        <w:footnoteReference w:id="181"/>
      </w:r>
      <w:r>
        <w:rPr>
          <w:rFonts w:ascii="Amiri" w:hAnsi="Amiri" w:eastAsia="Amiri" w:cs="Amiri"/>
          <w:color w:val="111111"/>
          <w:sz w:val="28"/>
          <w:sz w:val="28"/>
          <w:szCs w:val="28"/>
          <w:rtl w:val="true"/>
          <w:lang w:bidi="ar-SA"/>
        </w:rPr>
        <w:t xml:space="preserve">والترمذي </w:t>
      </w:r>
      <w:r>
        <w:rPr>
          <w:rStyle w:val="FootnoteAnchor"/>
          <w:rtl w:val="true"/>
        </w:rPr>
        <w:footnoteReference w:id="182"/>
      </w:r>
      <w:r>
        <w:rPr>
          <w:rFonts w:ascii="Amiri" w:hAnsi="Amiri" w:eastAsia="Amiri" w:cs="Amiri"/>
          <w:color w:val="111111"/>
          <w:sz w:val="28"/>
          <w:sz w:val="28"/>
          <w:szCs w:val="28"/>
          <w:rtl w:val="true"/>
          <w:lang w:bidi="ar-SA"/>
        </w:rPr>
        <w:t xml:space="preserve">والنسائي </w:t>
      </w:r>
      <w:r>
        <w:rPr>
          <w:rStyle w:val="FootnoteAnchor"/>
          <w:rtl w:val="true"/>
        </w:rPr>
        <w:footnoteReference w:id="183"/>
      </w:r>
      <w:r>
        <w:rPr>
          <w:rFonts w:ascii="IRNazanin" w:hAnsi="IRNazanin" w:eastAsia="IRNazanin"/>
          <w:color w:val="111111"/>
          <w:sz w:val="28"/>
          <w:sz w:val="28"/>
          <w:szCs w:val="28"/>
          <w:rtl w:val="true"/>
          <w:lang w:bidi="fa-IR"/>
        </w:rPr>
        <w:t xml:space="preserve">، وآخرون </w:t>
      </w:r>
      <w:r>
        <w:rPr>
          <w:rStyle w:val="FootnoteAnchor"/>
          <w:rtl w:val="true"/>
        </w:rPr>
        <w:footnoteReference w:id="184"/>
      </w:r>
      <w:r>
        <w:rPr>
          <w:rFonts w:ascii="Amiri" w:hAnsi="Amiri" w:eastAsia="Amiri" w:cs="Amiri"/>
          <w:color w:val="111111"/>
          <w:sz w:val="28"/>
          <w:sz w:val="28"/>
          <w:szCs w:val="28"/>
          <w:rtl w:val="true"/>
          <w:lang w:bidi="ar-SA"/>
        </w:rPr>
        <w:t xml:space="preserve">،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المودّة 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bookmarkStart w:id="204" w:name="pg2007_10962"/>
    </w:p>
    <w:p>
      <w:pPr>
        <w:pStyle w:val="BookText"/>
        <w:rPr/>
      </w:pPr>
      <w:bookmarkEnd w:id="204"/>
      <w:r>
        <w:rPr>
          <w:rFonts w:ascii="Amiri" w:hAnsi="Amiri" w:eastAsia="Amiri" w:cs="Amiri"/>
          <w:color w:val="111111"/>
          <w:sz w:val="28"/>
          <w:sz w:val="28"/>
          <w:szCs w:val="28"/>
          <w:rtl w:val="true"/>
          <w:lang w:bidi="ar-SA"/>
        </w:rPr>
        <w:t>وقد رُوي 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قُلْ لا أَسْئَلُكُمْ عَلَيْهِ أَجْراً إِلَّا الْمَوَدَّةَ فِي الْقُرْبى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ومن الطبيعي أن يكون المراد والمقصود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بمنزلة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يمكن أن يكون المقصود كلّ أقرباء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لأنّنا نجد فيهم من يتصف بصفات غير حميدةٍ أو يفعل أفعالاً سيّئةً، لذا لا يمكن أن يأمر الله تعالى بمودّته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حقيقة يجب أن نُذعن بها؛ فإنّ ليس كلّ من كان من أقرباء النبيّ وعشيرته تجب مودّته وتعتبر مودّته أجراً للرسالة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العبّاس استغلّوا قرابتهم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للسيطرة على الحكم، ورغم هذه القرابة فقد كانت لهم صفحاتٌ سوداء في تأريخ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بعض ألدّ أعداء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كانوا ممّن تربطهم به قرابة، وعلى رأسهم عمّه أبولهب الذي ذمّه القرآن الكريم صراحةً ونزلت فيه سورةٌ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عصمهم الله تعالى من الذنوب والخطايا</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4036691_3650668749"/>
      <w:bookmarkStart w:id="206" w:name="_Toc77"/>
      <w:bookmarkEnd w:id="205"/>
      <w:r>
        <w:rPr>
          <w:rtl w:val="true"/>
        </w:rPr>
        <w:t>ب</w:t>
      </w:r>
      <w:r>
        <w:rPr>
          <w:rtl w:val="true"/>
        </w:rPr>
        <w:t xml:space="preserve">- </w:t>
      </w:r>
      <w:r>
        <w:rPr>
          <w:rtl w:val="true"/>
        </w:rPr>
        <w:t xml:space="preserve">مودّة أهل‌البيت </w:t>
      </w:r>
      <w:r>
        <w:rPr>
          <w:rtl w:val="true"/>
        </w:rPr>
        <w:t>(</w:t>
      </w:r>
      <w:r>
        <w:rPr>
          <w:rtl w:val="true"/>
        </w:rPr>
        <w:t>ع</w:t>
      </w:r>
      <w:r>
        <w:rPr>
          <w:rtl w:val="true"/>
        </w:rPr>
        <w:t xml:space="preserve">) </w:t>
      </w:r>
      <w:r>
        <w:rPr>
          <w:rtl w:val="true"/>
        </w:rPr>
        <w:t>في السنّة</w:t>
      </w:r>
      <w:bookmarkEnd w:id="206"/>
    </w:p>
    <w:p>
      <w:pPr>
        <w:pStyle w:val="Heading6"/>
        <w:numPr>
          <w:ilvl w:val="5"/>
          <w:numId w:val="1"/>
        </w:numPr>
        <w:rPr/>
      </w:pPr>
      <w:bookmarkStart w:id="207" w:name="__RefHeading___Toc4036693_3650668749"/>
      <w:bookmarkStart w:id="208" w:name="_Toc78"/>
      <w:bookmarkEnd w:id="207"/>
      <w:r>
        <w:rPr>
          <w:rtl w:val="true"/>
        </w:rPr>
        <w:t>اشارة</w:t>
      </w:r>
      <w:bookmarkEnd w:id="20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الأدلّة التي استند إليها الشيعة في وجوب مودّة أهل‌البيت هي الأحاديث النبويّة الكريمة الدالّة على ذلك، من قبيل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عنوان صحيفة المؤمن حبّ علي بن أبي‌طالب</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اجتمع الناس على </w:t>
      </w:r>
    </w:p>
    <w:p>
      <w:pPr>
        <w:pStyle w:val="BookText"/>
        <w:rPr/>
      </w:pPr>
      <w:r>
        <w:rPr>
          <w:rFonts w:ascii="Amiri" w:hAnsi="Amiri" w:eastAsia="Amiri" w:cs="Amiri"/>
          <w:color w:val="111111"/>
          <w:sz w:val="28"/>
          <w:sz w:val="28"/>
          <w:szCs w:val="28"/>
          <w:rtl w:val="true"/>
          <w:lang w:bidi="ar-SA"/>
        </w:rPr>
        <w:t>حب عليّ بن أبي‌طالب لَما خلق الله النار</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وروى ابن مسعود أيضاً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زعم أنّه آمن بي وبما جئت به وهو يبغض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كاذب ليس بمؤمن</w:t>
      </w:r>
      <w:r>
        <w:rPr>
          <w:rFonts w:eastAsia="Amiri" w:cs="Amiri" w:ascii="Amiri" w:hAnsi="Amiri"/>
          <w:color w:val="111111"/>
          <w:sz w:val="28"/>
          <w:szCs w:val="28"/>
          <w:rtl w:val="true"/>
          <w:lang w:bidi="ar-SA"/>
        </w:rPr>
        <w:t xml:space="preserve">» .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وروى أبو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إيمانٌ، وبغضه نفاق، والنظر إليه رأفة، ومودّته عبادة</w:t>
      </w:r>
      <w:r>
        <w:rPr>
          <w:rFonts w:eastAsia="Amiri" w:cs="Amiri" w:ascii="Amiri" w:hAnsi="Amiri"/>
          <w:color w:val="111111"/>
          <w:sz w:val="28"/>
          <w:szCs w:val="28"/>
          <w:rtl w:val="true"/>
          <w:lang w:bidi="ar-SA"/>
        </w:rPr>
        <w:t xml:space="preserve">» .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وقد شاع بين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يميّزون المنافق عن غيره من خلال بغضه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 وهو تطبيق لما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لايحبّك إلّا مؤمن ولا يبغضك إلّا منافق</w:t>
      </w:r>
      <w:r>
        <w:rPr>
          <w:rFonts w:eastAsia="Amiri" w:cs="Amiri" w:ascii="Amiri" w:hAnsi="Amiri"/>
          <w:color w:val="111111"/>
          <w:sz w:val="28"/>
          <w:szCs w:val="28"/>
          <w:rtl w:val="true"/>
          <w:lang w:bidi="ar-SA"/>
        </w:rPr>
        <w:t xml:space="preserve">» .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وكذلك الحال في محبّة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وصلتنا أحاديث كثيرة حول وجوب مودّتهم، وعلى سبيل المثال لا الحصر الحديث الوارد عن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 xml:space="preserve">» . </w:t>
      </w:r>
      <w:r>
        <w:rPr>
          <w:rStyle w:val="FootnoteAnchor"/>
          <w:rtl w:val="true"/>
        </w:rPr>
        <w:footnoteReference w:id="19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منّى فمن أغضبها أغضبني</w:t>
      </w:r>
      <w:r>
        <w:rPr>
          <w:rFonts w:eastAsia="Amiri" w:cs="Amiri" w:ascii="Amiri" w:hAnsi="Amiri"/>
          <w:color w:val="111111"/>
          <w:sz w:val="28"/>
          <w:szCs w:val="28"/>
          <w:rtl w:val="true"/>
          <w:lang w:bidi="ar-SA"/>
        </w:rPr>
        <w:t xml:space="preserve">» .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أحبّهما فقد أحبّني ومن أبغضهما فقد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حسناً وحسيناً</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كثير من الأحاديث الواردة بهذه المضامين المؤكّدة لوجوب محبّة </w:t>
      </w:r>
      <w:bookmarkStart w:id="209" w:name="pg2007_10964"/>
    </w:p>
    <w:p>
      <w:pPr>
        <w:pStyle w:val="BookText"/>
        <w:rPr/>
      </w:pPr>
      <w:bookmarkEnd w:id="209"/>
      <w:r>
        <w:rPr>
          <w:rFonts w:ascii="Amiri" w:hAnsi="Amiri" w:eastAsia="Amiri" w:cs="Amiri"/>
          <w:color w:val="111111"/>
          <w:sz w:val="28"/>
          <w:sz w:val="28"/>
          <w:szCs w:val="28"/>
          <w:rtl w:val="true"/>
          <w:lang w:bidi="ar-SA"/>
        </w:rPr>
        <w:t xml:space="preserve">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يطرح في عقائد الشيعة من وجوب ولايتهم والبراءة من أعدائهم، وهذه العقيدة هي استجابةٌ لأوامر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محبّة من يحب أهل بيته وبغض من يبغضهم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فولاية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من أعدائهم في المدرسة الشيعية ليست شعاراً سطحيّاً وإبرازاً للأحاسيس، بل هي ممارسة عبادية وسياسية تستمد جذورها من كتاب الله تعالى وسنّة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6"/>
        <w:numPr>
          <w:ilvl w:val="5"/>
          <w:numId w:val="1"/>
        </w:numPr>
        <w:rPr/>
      </w:pPr>
      <w:bookmarkStart w:id="210" w:name="__RefHeading___Toc4036695_3650668749"/>
      <w:bookmarkStart w:id="211" w:name="_Toc79"/>
      <w:bookmarkEnd w:id="210"/>
      <w:r>
        <w:rPr>
          <w:rtl w:val="true"/>
        </w:rPr>
        <w:t xml:space="preserve">آثار مودّة أهل‌البيت </w:t>
      </w:r>
      <w:r>
        <w:rPr>
          <w:rtl w:val="true"/>
        </w:rPr>
        <w:t>(</w:t>
      </w:r>
      <w:r>
        <w:rPr>
          <w:rtl w:val="true"/>
        </w:rPr>
        <w:t>ع</w:t>
      </w:r>
      <w:r>
        <w:rPr>
          <w:rtl w:val="true"/>
        </w:rPr>
        <w:t>)</w:t>
      </w:r>
      <w:bookmarkEnd w:id="211"/>
    </w:p>
    <w:p>
      <w:pPr>
        <w:pStyle w:val="BookText"/>
        <w:rPr/>
      </w:pPr>
      <w:r>
        <w:rPr>
          <w:rFonts w:ascii="Amiri" w:hAnsi="Amiri" w:eastAsia="Amiri" w:cs="Amiri"/>
          <w:color w:val="111111"/>
          <w:sz w:val="28"/>
          <w:sz w:val="28"/>
          <w:szCs w:val="28"/>
          <w:rtl w:val="true"/>
          <w:lang w:bidi="ar-SA"/>
        </w:rPr>
        <w:t xml:space="preserve">إنّ لمودّة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جذريٌّ في حياة الإنسان، حيث تظهر آثارها في أقواله وأفعاله وكل سلوكياته، فتعيّن له مقاصده وأهدافه في مسيرته الدنيوية، وتجعله متشبهاً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هو حال الشخص الذي يحب الدنيا وبهرجها وينساق وراءها ويتعلّق بها، بينما الشخص الذي يحب الله تعالى واليوم الآخر يكون ربانيّاً ويعيش كما أمره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القرآن الكريم إلى هذه الحقيقة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يَتَّخِذُ مِنْ دُونِ اللهِ أَنْداداً يُحِبُّونَهُمْ كَحُبِّ اللهِ وَ الَّذِينَ آمَنُوا أَشَدُّ حُبًّا لِلَّهِ </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القرآن الكريم الى آثار محبّة الله تعالى وما يترتّب عليها،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Style w:val="FootnoteAnchor"/>
          <w:rtl w:val="true"/>
        </w:rPr>
        <w:footnoteReference w:id="196"/>
      </w:r>
      <w:r>
        <w:rPr>
          <w:rFonts w:ascii="Amiri" w:hAnsi="Amiri" w:eastAsia="Amiri" w:cs="Amiri"/>
          <w:color w:val="111111"/>
          <w:sz w:val="28"/>
          <w:sz w:val="28"/>
          <w:szCs w:val="28"/>
          <w:rtl w:val="true"/>
          <w:lang w:bidi="ar-SA"/>
        </w:rPr>
        <w:t xml:space="preserve">، فنجد الآية تؤكّد على أنّ محبّة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لاتتحقّق إلّا باتباعه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وتبعاً لذلك فإنّ محبّة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مستثناة من هذه القاعدة، فلا بدّ من اتباعهم لتتحقّق ثمار محبّة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الحقيقة هو معنى المودّة التي جعلها الله تعالى </w:t>
      </w:r>
    </w:p>
    <w:p>
      <w:pPr>
        <w:pStyle w:val="BookText"/>
        <w:rPr/>
      </w:pPr>
      <w:r>
        <w:rPr>
          <w:rFonts w:ascii="IRNazanin" w:hAnsi="IRNazanin" w:eastAsia="IRNazanin"/>
          <w:color w:val="111111"/>
          <w:sz w:val="28"/>
          <w:sz w:val="28"/>
          <w:szCs w:val="28"/>
          <w:rtl w:val="true"/>
          <w:lang w:bidi="fa-IR"/>
        </w:rPr>
        <w:t>أجراً للرساله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لسان أهل‌البيت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وصفت المودّة بهذا التعبير الجميل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الدين إلّا الحبّ</w:t>
      </w:r>
      <w:r>
        <w:rPr>
          <w:rFonts w:eastAsia="Amiri" w:cs="Amiri" w:ascii="Amiri" w:hAnsi="Amiri"/>
          <w:color w:val="111111"/>
          <w:sz w:val="28"/>
          <w:szCs w:val="28"/>
          <w:rtl w:val="true"/>
          <w:lang w:bidi="ar-SA"/>
        </w:rPr>
        <w:t xml:space="preserve">» .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وبالإضافة إلى الآيات التي ذكرناها، هناك أحاديث كثيرة وصلتنا عن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هذه الحقيقة، لدرجة أنّ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فيه صفات الشيعة الحقيقيّين بحسب ما ورد عن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 ننقل هنا ما رواه هو بسنده عن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الجعفي،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جابر، أيكتفي من اتّخذ التشيّع يقول بحبنا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شيعتنا إلّا من اتّقى الله وأطاعه، وما كانوا يُعرفون إلّا بالتواضع والتخشّع وأداء الأمانة وكثرة ذكر الله والصوم والصلاة والبر بالوالدين والتعهّد للجيران من الفقراء وأهل المسكنة والغارمين والأيتام وصدق الحديث وتلاوة القرآن وكفّ الألسن الناس إلّا من خير وكانوا أُمناء عشائرهم في الأشياء</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رسول الله، ما نعرف أحداً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لا تذهبنَّ بك المذاهب، حسب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علياً صلوات الله عليه وأتولّاه، فلو قال إنّي أحبّ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ورسول الله خير من عليّ، ثمّ لايتّبع سيرته ولا يعمل بسنّته ما نفعه حبّه إياه شيئاً، فاتّقوا الله واعملوا لِما عندالله، ليس بين الله وبين أحد قَرابة، أحبّ العباد إلى الله وأكرمهم اتقاهم له وأعملهم بطاعته</w:t>
      </w:r>
      <w:r>
        <w:rPr>
          <w:rFonts w:eastAsia="Amiri" w:cs="Amiri" w:ascii="Amiri" w:hAnsi="Amiri"/>
          <w:color w:val="111111"/>
          <w:sz w:val="28"/>
          <w:szCs w:val="28"/>
          <w:rtl w:val="true"/>
          <w:lang w:bidi="ar-SA"/>
        </w:rPr>
        <w:t xml:space="preserve">. </w:t>
      </w:r>
      <w:bookmarkStart w:id="212" w:name="pg2007_10966"/>
    </w:p>
    <w:p>
      <w:pPr>
        <w:pStyle w:val="BookText"/>
        <w:rPr/>
      </w:pPr>
      <w:bookmarkEnd w:id="212"/>
      <w:r>
        <w:rPr>
          <w:rFonts w:ascii="Amiri" w:hAnsi="Amiri" w:eastAsia="Amiri" w:cs="Amiri"/>
          <w:color w:val="111111"/>
          <w:sz w:val="28"/>
          <w:sz w:val="28"/>
          <w:szCs w:val="28"/>
          <w:rtl w:val="true"/>
          <w:lang w:bidi="ar-SA"/>
        </w:rPr>
        <w:t>يا جابر، ما يتقرّب العبد إلى الله تبارك وتعالى إلّا بالطاعة، ما معنا براءة النار ولاعلى الله لأحدٍ منكم حجّة، من كان لله مطيعاً فهو لنا ولي، ومن كان لله عاصياً فهو لنا عدو، ولا تنال ولايتنا إلّا بالعمل والورع</w:t>
      </w:r>
      <w:r>
        <w:rPr>
          <w:rFonts w:eastAsia="Amiri" w:cs="Amiri" w:ascii="Amiri" w:hAnsi="Amiri"/>
          <w:color w:val="111111"/>
          <w:sz w:val="28"/>
          <w:szCs w:val="28"/>
          <w:rtl w:val="true"/>
          <w:lang w:bidi="ar-SA"/>
        </w:rPr>
        <w:t xml:space="preserve">» .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فهذا الحديث واضحٌ وصريحٌ ولايحتاج إلى شرحٍ وبيانٍ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أحاديث أخرى كثيرة تؤكّد على هذا المضمون، وترشدنا إلى أنّ التشيّع الحقيقي يستند إلى عنصرين أساسيين،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الاعتقاد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لأوامر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هنا يتبيّن لنا أنّ من يعتقد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ويعقد قلبه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سيجد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بوصاياهم، ويستمد من عقيدته بهم إيمانه بعدم ترك ساحة التطبيق العملي خالية مهما كانت الصعاب، لأنّه يدرك المسؤولية العظيمة التي تقع على عاتقه وعلى عاتق كل شيعي ملتزم بمودّة أهل‌البيت وما يترتّب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على يقين أنّ أيّ تقصير أو تفريط في مراعاة الأحكام الإسلامية سيكون ذريعة لمبغض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ومخالفي أهل‌البيت للانقضاض على مذهبهم</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4036697_3650668749"/>
      <w:bookmarkStart w:id="214" w:name="_Toc80"/>
      <w:bookmarkEnd w:id="213"/>
      <w:r>
        <w:rPr/>
        <w:t>٢</w:t>
      </w:r>
      <w:r>
        <w:rPr>
          <w:rtl w:val="true"/>
        </w:rPr>
        <w:t xml:space="preserve">- </w:t>
      </w:r>
      <w:r>
        <w:rPr>
          <w:rtl w:val="true"/>
        </w:rPr>
        <w:t>عدم الاعتقاد بعدالة جميع الصحابة</w:t>
      </w:r>
      <w:bookmarkEnd w:id="21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الإيمان بعدالة جميع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إحدى أهم معتقدات أهل‌السنة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جعلهم عرضةً للنقد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بالعدالة هي المَلَكة النفسانية والحالة الروحية التي يتمتّع بها الصحابي، إلى أن تجعله ثقةً في الأحاديث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هو كلّ من أسلم، ورأى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حديثاً منه، كثيراً كان أو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ويعتمد أهل السنّة على إطلاق الآيات التي تمدح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فيقولون بعدالتهم جميعاً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المقابل نجد الشيعة يعتقدون بعدم صحّة التمسك بإطلاق هذه الآيات، لأن إطلاقها مقيّد بآياتٍ كثيرةٍ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السنّة عند استدلالهم بالآيات التي تمدح الصحابة يغفلون أو يتغافلون عن الآيات الأخرى التي تذمّهم وتؤنّبهم على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اعتقاد أهل‌السنّه بعدالة جميع الصحابة من أكثر الاعتقادات المثيرة للتعجّب والدهشة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يثير العجب أكثر في هذا الاعتقاد أنّ الصحابة أنفسهم قد تنازعوا فيها بينهم واشتبكوا في حروبٍ داميةٍ بعد وفاة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 الثابت تأريخيّاً انقسام الصحابة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أحزاب وفئات مختلفة، وكل منهم أخذ بالدفاع عمّا يعتقده من رُؤى وأسس يجب أن تسود بعد رحيل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وقائع كثيرة يمكن ذكرها كشواهد على هذه النزاعات الشديدة التي أرّقت الأمّة الإسلامية، والتي لا يمكن تبريرها بوجهٍ وأبرز الأمثلة على ذلك نزاعات سقيفة بني‌ساعدة، وحروب الردّة في زمن أبي بكر، والاختلاف في الآراء بين عمر وبعض الصحابة، والثورة على عثمان التي انتهت بمقتله، ونفي الصحابي الشهير أبي ذرٍ الغفاري، وأحداث الحروب الثلاثة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وصفّين والنهروان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يصحّ الادّعاء بعدالة الصحابة جميعاً بعد أن كفّر بعضهم بعضاً وقتل بعضهم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ألايخالف ذلك حكم العقل وصريح القرآن الكريم والسنّة النبوّية؟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فالعقل يقضي بأنّ العدالة والفسق أمران لا يجتمعان، فالفاسق لايمكن </w:t>
      </w:r>
    </w:p>
    <w:p>
      <w:pPr>
        <w:pStyle w:val="BookText"/>
        <w:rPr/>
      </w:pPr>
      <w:r>
        <w:rPr>
          <w:rFonts w:ascii="Amiri" w:hAnsi="Amiri" w:eastAsia="Amiri" w:cs="Amiri"/>
          <w:color w:val="111111"/>
          <w:sz w:val="28"/>
          <w:sz w:val="28"/>
          <w:szCs w:val="28"/>
          <w:rtl w:val="true"/>
          <w:lang w:bidi="ar-SA"/>
        </w:rPr>
        <w:t>أن يتّصف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يحكي لنا ما كان عليه بعض الصحابة من زلل وضعف في الإيمان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اتّباعهم خطوات الشيطان </w:t>
      </w:r>
      <w:r>
        <w:rPr>
          <w:rStyle w:val="FootnoteAnchor"/>
          <w:rtl w:val="true"/>
        </w:rPr>
        <w:footnoteReference w:id="199"/>
      </w:r>
      <w:r>
        <w:rPr>
          <w:rFonts w:ascii="Amiri" w:hAnsi="Amiri" w:eastAsia="Amiri" w:cs="Amiri"/>
          <w:color w:val="111111"/>
          <w:sz w:val="28"/>
          <w:sz w:val="28"/>
          <w:szCs w:val="28"/>
          <w:rtl w:val="true"/>
          <w:lang w:bidi="ar-SA"/>
        </w:rPr>
        <w:t xml:space="preserve">، وكذلك أكدّ على انحرافهم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وانقلابهم على أعقابهم </w:t>
      </w:r>
      <w:r>
        <w:rPr>
          <w:rStyle w:val="FootnoteAnchor"/>
          <w:rtl w:val="true"/>
        </w:rPr>
        <w:footnoteReference w:id="200"/>
      </w:r>
      <w:r>
        <w:rPr>
          <w:rFonts w:ascii="Amiri" w:hAnsi="Amiri" w:eastAsia="Amiri" w:cs="Amiri"/>
          <w:color w:val="111111"/>
          <w:sz w:val="28"/>
          <w:sz w:val="28"/>
          <w:szCs w:val="28"/>
          <w:rtl w:val="true"/>
          <w:lang w:bidi="ar-SA"/>
        </w:rPr>
        <w:t>، بل أكثر من ذلك؛ حيث صرّح بفسق بعضهم</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فقد وصف ربّ العزّة بعض الصحابه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w:t>
      </w:r>
      <w:r>
        <w:rPr>
          <w:rStyle w:val="FootnoteAnchor"/>
          <w:rtl w:val="true"/>
        </w:rPr>
        <w:footnoteReference w:id="202"/>
      </w:r>
      <w:r>
        <w:rPr>
          <w:rFonts w:ascii="Amiri" w:hAnsi="Amiri" w:eastAsia="Amiri" w:cs="Amiri"/>
          <w:color w:val="111111"/>
          <w:sz w:val="28"/>
          <w:sz w:val="28"/>
          <w:szCs w:val="28"/>
          <w:rtl w:val="true"/>
          <w:lang w:bidi="ar-SA"/>
        </w:rPr>
        <w:t>، وخاطب بعضهم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قُولُوا أَسْلَمْنا وَ لَمَّا يَدْخُلِ الإِْيمانُ فِي قُلُوبِكُمْ </w:t>
      </w:r>
      <w:r>
        <w:rPr>
          <w:rStyle w:val="FootnoteAnchor"/>
          <w:rtl w:val="true"/>
        </w:rPr>
        <w:footnoteReference w:id="203"/>
      </w:r>
      <w:r>
        <w:rPr>
          <w:rFonts w:ascii="Amiri" w:hAnsi="Amiri" w:eastAsia="Amiri" w:cs="Amiri"/>
          <w:color w:val="111111"/>
          <w:sz w:val="28"/>
          <w:sz w:val="28"/>
          <w:szCs w:val="28"/>
          <w:rtl w:val="true"/>
          <w:lang w:bidi="ar-SA"/>
        </w:rPr>
        <w:t>، وبّخ بعضهم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يُؤْذُونَ النَّبِيَّ وَ يَقُولُونَ هُوَ أُذُنٌ </w:t>
      </w:r>
      <w:r>
        <w:rPr>
          <w:rStyle w:val="FootnoteAnchor"/>
          <w:rtl w:val="true"/>
        </w:rPr>
        <w:footnoteReference w:id="204"/>
      </w:r>
      <w:r>
        <w:rPr>
          <w:rFonts w:ascii="Amiri" w:hAnsi="Amiri" w:eastAsia="Amiri" w:cs="Amiri"/>
          <w:color w:val="111111"/>
          <w:sz w:val="28"/>
          <w:sz w:val="28"/>
          <w:szCs w:val="28"/>
          <w:rtl w:val="true"/>
          <w:lang w:bidi="ar-SA"/>
        </w:rPr>
        <w:t>، حكى‌حال بعضهم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اعْتَرَفُوا بِذُنُوبِهِمْ خَلَطُوا عَمَلاً صالِحاً وَ آخَرَ سَيِّئاً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وكذلك هناك الكثير من الروايات التي تؤكّد على ارتداد بعضهم وانحرافهم </w:t>
      </w:r>
      <w:r>
        <w:rPr>
          <w:rStyle w:val="FootnoteAnchor"/>
          <w:rtl w:val="true"/>
        </w:rPr>
        <w:footnoteReference w:id="206"/>
      </w:r>
      <w:r>
        <w:rPr>
          <w:rFonts w:ascii="Amiri" w:hAnsi="Amiri" w:eastAsia="Amiri" w:cs="Amiri"/>
          <w:color w:val="111111"/>
          <w:sz w:val="28"/>
          <w:sz w:val="28"/>
          <w:szCs w:val="28"/>
          <w:rtl w:val="true"/>
          <w:lang w:bidi="ar-SA"/>
        </w:rPr>
        <w:t xml:space="preserve">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20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ما ينقله لنا التأريخ من إقامة الحدّ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 على بعض الصحابة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ارتكابهم بعض الكبائر، مثل ماعز بن مالك والمغيرة بن شعبة، وآخرون</w:t>
      </w:r>
      <w:r>
        <w:rPr>
          <w:rFonts w:eastAsia="Amiri" w:cs="Amiri" w:ascii="Amiri" w:hAnsi="Amiri"/>
          <w:color w:val="111111"/>
          <w:sz w:val="28"/>
          <w:szCs w:val="28"/>
          <w:rtl w:val="true"/>
          <w:lang w:bidi="ar-SA"/>
        </w:rPr>
        <w:t xml:space="preserve">. </w:t>
      </w:r>
      <w:bookmarkStart w:id="215" w:name="pg2007_10969"/>
    </w:p>
    <w:p>
      <w:pPr>
        <w:pStyle w:val="BookText"/>
        <w:rPr/>
      </w:pPr>
      <w:bookmarkEnd w:id="215"/>
      <w:r>
        <w:rPr>
          <w:rFonts w:ascii="Amiri" w:hAnsi="Amiri" w:eastAsia="Amiri" w:cs="Amiri"/>
          <w:color w:val="111111"/>
          <w:sz w:val="28"/>
          <w:sz w:val="28"/>
          <w:szCs w:val="28"/>
          <w:rtl w:val="true"/>
          <w:lang w:bidi="ar-SA"/>
        </w:rPr>
        <w:t xml:space="preserve">فهل يمكن لنا أن نعتبر أشخاصاً من أمثال هؤلاء عادلين لمجرّد أنّهم عاصروا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عليهم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الشيعة فلديهم رؤية واقعية تجاه هذا الموضوع، تنطلق من واقع الصحابة وما كانوا عليه، فهم لا يحكمون بفسق كلّ الصحابة، كما أنّهم لايحكمون بعدالتهم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فهم يوقّرون ويحترمون ويبجّلون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ثبتت عدالتهم وتفانيهم في سبيل الله ورسوله، وينتقدون ويشنعون على من كان منحرفاً وغير مخلص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ملتزمٍ بأوامره ونواهيه</w:t>
      </w:r>
      <w:r>
        <w:rPr>
          <w:rFonts w:eastAsia="Amiri" w:cs="Amiri" w:ascii="Amiri" w:hAnsi="Amiri"/>
          <w:color w:val="111111"/>
          <w:sz w:val="28"/>
          <w:szCs w:val="28"/>
          <w:rtl w:val="true"/>
          <w:lang w:bidi="ar-SA"/>
        </w:rPr>
        <w:t xml:space="preserve">. </w:t>
      </w:r>
      <w:r>
        <w:rPr>
          <w:rStyle w:val="FootnoteAnchor"/>
          <w:rtl w:val="true"/>
        </w:rPr>
        <w:footnoteReference w:id="208"/>
      </w:r>
    </w:p>
    <w:p>
      <w:pPr>
        <w:pStyle w:val="Heading4"/>
        <w:numPr>
          <w:ilvl w:val="3"/>
          <w:numId w:val="1"/>
        </w:numPr>
        <w:rPr/>
      </w:pPr>
      <w:bookmarkStart w:id="216" w:name="__RefHeading___Toc4036699_3650668749"/>
      <w:bookmarkStart w:id="217" w:name="_Toc81"/>
      <w:bookmarkEnd w:id="216"/>
      <w:r>
        <w:rPr/>
        <w:t>٣</w:t>
      </w:r>
      <w:r>
        <w:rPr>
          <w:rtl w:val="true"/>
        </w:rPr>
        <w:t xml:space="preserve">- </w:t>
      </w:r>
      <w:r>
        <w:rPr>
          <w:rtl w:val="true"/>
        </w:rPr>
        <w:t>السب واللعن</w:t>
      </w:r>
      <w:bookmarkEnd w:id="217"/>
    </w:p>
    <w:p>
      <w:pPr>
        <w:pStyle w:val="BookText"/>
        <w:rPr/>
      </w:pPr>
      <w:r>
        <w:rPr>
          <w:rFonts w:ascii="Amiri" w:hAnsi="Amiri" w:eastAsia="Amiri" w:cs="Amiri"/>
          <w:color w:val="111111"/>
          <w:sz w:val="28"/>
          <w:sz w:val="28"/>
          <w:szCs w:val="28"/>
          <w:rtl w:val="true"/>
          <w:lang w:bidi="ar-SA"/>
        </w:rPr>
        <w:t>لانرى بأساً من الإشارة بإيجازٍ إلى مسألة السب واللعن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 هو بمعنى الشتم والاسم الشَتيمَةُ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التسابُّ، والمُشاتَمَةُ </w:t>
      </w:r>
      <w:r>
        <w:rPr>
          <w:rStyle w:val="FootnoteAnchor"/>
          <w:rtl w:val="true"/>
        </w:rPr>
        <w:footnoteReference w:id="209"/>
      </w:r>
      <w:r>
        <w:rPr>
          <w:rFonts w:ascii="Amiri" w:hAnsi="Amiri" w:eastAsia="Amiri" w:cs="Amiri"/>
          <w:color w:val="111111"/>
          <w:sz w:val="28"/>
          <w:sz w:val="28"/>
          <w:szCs w:val="28"/>
          <w:rtl w:val="true"/>
          <w:lang w:bidi="ar-SA"/>
        </w:rPr>
        <w:t>، واللَعْنُ يعني الطردُ والإبعادُ من الخير</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فأهل السنّة يتهمون الشيعة بسبّ الصحابة ولعنهم، ويعتقدون بأنّ ذلك من أبرز الشعائر لديهم في مذهبهم</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 شك فيه أنّ السب بمعنى الشتم لا وجود له في معتقدات الشيعة، فهم ليسوا بسبّابين بتاتاً، لأنّ الله تعالى نهى المؤمنين حتى عن سبّ الكافرين، فقال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الَّذِينَ يَدْعُونَ مِنْ دُونِ اللهِ فَيَسُبُّوا اللهَ عَدْواً بِغَيْرِ عِلْمٍ كَذلِكَ زَيَّنَّا لِكُلِّ أُمَّةٍ عَمَلَهُمْ ثُمَّ إِلى رَبِّهِمْ مَرْجِعُهُمْ فَيُنَبِّئُهُمْ بِما </w:t>
      </w:r>
    </w:p>
    <w:p>
      <w:pPr>
        <w:pStyle w:val="BookText"/>
        <w:rPr/>
      </w:pPr>
      <w:r>
        <w:rPr>
          <w:rFonts w:ascii="Amiri" w:hAnsi="Amiri" w:eastAsia="Amiri" w:cs="Amiri"/>
          <w:color w:val="111111"/>
          <w:sz w:val="28"/>
          <w:sz w:val="28"/>
          <w:szCs w:val="28"/>
          <w:rtl w:val="true"/>
          <w:lang w:bidi="ar-SA"/>
        </w:rPr>
        <w:t xml:space="preserve">كانُوا يَعْمَلُونَ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وهكذا علّم أئمّة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أصحابهم وشيعتهم وأكّدوا على أنّ السباب إثم عظيم، فكيف لأتباعهم أن يشتموا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 حين سمع أنّهم يسبّون أهل الشام في حربهم بصفين،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 ولكنّكم لو وصفتم أعمالهم وذكرتم حالهم كان أصوب في القول وأبلغ في العذر، وقلتم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حتى يعرف الحقّ مَن جهله ويرعوي عن الغي والعدوان من لهج به</w:t>
      </w:r>
      <w:r>
        <w:rPr>
          <w:rFonts w:eastAsia="Amiri" w:cs="Amiri" w:ascii="Amiri" w:hAnsi="Amiri"/>
          <w:color w:val="111111"/>
          <w:sz w:val="28"/>
          <w:szCs w:val="28"/>
          <w:rtl w:val="true"/>
          <w:lang w:bidi="ar-SA"/>
        </w:rPr>
        <w:t xml:space="preserve">» .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إنّ ما يعتقده الشيعة في الحقيقة هو عدم عدالة جميع الصحابة؛ وهذه حقيقة تأريخية، فإنّ ليس كلّ من أظهر الإسلام أمام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مخلصاً في ذلك ومؤمناً به، بل كان بين أولئك منافقون يكنوّن العداوة للإسلام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الكريم بدوره يؤكّد على هذه الحقيقة التأريخية، حيث يؤيّد وجود بعض المنحرفين الذين يظهرون الدين ويضمرون الكفر بين أصحاب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تطبيقاً لمضامين هذه الآيات، والتزاماً بالأحاديث الكثيرة التي أشرنا إلى بعضٍ منها، فإنهم يؤمنون بعدم عدالة كلّ الصحابة، ويرون أنّ بعضهم يستحقّ النقد ولابدّ من بيان أفعاله المنحرفة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الحديث المشهور المنقول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ولأُنازَعنّ أقواماً ثمّ لأُغلَبنَّ عليهم،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 xml:space="preserve">!» .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فهذا الحديث يدل بصراحةٍ على أنّ بعض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انحرفوا بعده حقّاً، وأنّ غضب الله تعالى سيحلّ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عقيدة الشيعة بالصحابة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اللعن، فنقول إنّ ما لا شك فيه فإنّ القرآن قد لعن بعض المجتمعات والأفراد غير النزيهين الذين اتبعوا خطوات الشيطان وابتعدوا عن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يرى أنّ البعض يستحقّ اللعن، وقد لعنهم الله تعالى والملائكة والناس، وكمثال على ذلك ما تحكيه لنا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واستناداً إلى هذه الآية فإنّ كتمان الحقّ والبيّنات التي تهدي إلى سبيل الله تعالى، هو أمر يستحقّ فاعله اللعن من قبل الله تعالى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داوُدَ وَ عِيسَى ابْنِ مَرْيَمَ ذلِكَ بِما عَصَوْا وَ 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الآيتان تحكيان وقوع اللعن على لسان بعض الأنبياء للعاصين والمعتدين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والشيعة اعتماداً على هذه الآيات، وآيات أخرى، يجيزون لعن من يكتم الهدى والبيّنات، وكل ظالم ومعتدٍ وعدو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القاعدة لديهم تنطبق على الجميع من دون فرق بين من عاصروا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 </w:t>
      </w:r>
      <w:bookmarkStart w:id="218" w:name="pg2007_10972"/>
    </w:p>
    <w:p>
      <w:pPr>
        <w:pStyle w:val="BookText"/>
        <w:rPr/>
      </w:pPr>
      <w:bookmarkEnd w:id="218"/>
      <w:r>
        <w:rPr>
          <w:rFonts w:ascii="Amiri" w:hAnsi="Amiri" w:eastAsia="Amiri" w:cs="Amiri"/>
          <w:color w:val="111111"/>
          <w:sz w:val="28"/>
          <w:sz w:val="28"/>
          <w:szCs w:val="28"/>
          <w:rtl w:val="true"/>
          <w:lang w:bidi="ar-SA"/>
        </w:rPr>
        <w:t xml:space="preserve">وعلى رأس هؤلاء آل أُميّة، التي اعتبرها الله تعالى في القرآن الكريم شجرةً ملعونة؛ وهذا الأمر لا يقتصر على الشيعة فحسب، بل إنّ بعض أهل‌السنّة يرون ذلك أيضاً،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لعنهم مراراً</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4036701_3650668749"/>
      <w:bookmarkStart w:id="220" w:name="_Toc82"/>
      <w:bookmarkEnd w:id="219"/>
      <w:r>
        <w:rPr>
          <w:rtl w:val="true"/>
        </w:rPr>
        <w:t>القسم الثاني</w:t>
      </w:r>
      <w:r>
        <w:rPr>
          <w:rtl w:val="true"/>
        </w:rPr>
        <w:t xml:space="preserve">: </w:t>
      </w:r>
      <w:r>
        <w:rPr>
          <w:rtl w:val="true"/>
        </w:rPr>
        <w:t>المعتقدات الفرعية</w:t>
      </w:r>
      <w:bookmarkEnd w:id="220"/>
    </w:p>
    <w:p>
      <w:pPr>
        <w:pStyle w:val="Heading4"/>
        <w:numPr>
          <w:ilvl w:val="3"/>
          <w:numId w:val="1"/>
        </w:numPr>
        <w:rPr/>
      </w:pPr>
      <w:bookmarkStart w:id="221" w:name="__RefHeading___Toc4036703_3650668749"/>
      <w:bookmarkStart w:id="222" w:name="_Toc83"/>
      <w:bookmarkEnd w:id="221"/>
      <w:r>
        <w:rPr/>
        <w:t>١</w:t>
      </w:r>
      <w:r>
        <w:rPr>
          <w:rtl w:val="true"/>
        </w:rPr>
        <w:t xml:space="preserve">- </w:t>
      </w:r>
      <w:r>
        <w:rPr>
          <w:rtl w:val="true"/>
        </w:rPr>
        <w:t>التقيّة</w:t>
      </w:r>
      <w:bookmarkEnd w:id="222"/>
    </w:p>
    <w:p>
      <w:pPr>
        <w:pStyle w:val="BookText"/>
        <w:rPr/>
      </w:pPr>
      <w:r>
        <w:rPr>
          <w:rFonts w:ascii="Amiri" w:hAnsi="Amiri" w:eastAsia="Amiri" w:cs="Amiri"/>
          <w:color w:val="111111"/>
          <w:sz w:val="28"/>
          <w:sz w:val="28"/>
          <w:szCs w:val="28"/>
          <w:rtl w:val="true"/>
          <w:lang w:bidi="ar-SA"/>
        </w:rPr>
        <w:t>إنّ أهل السنّة يؤاخذون الشيعة على‌اعتقادهم بالتقيّة وينتقدونهم عليها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رأي أهل السنّة في هذه المسالة عجول، وسبب ذلك هو عدم فهمهم لمعنى التقيّة التي يؤمن بها الشيعة بشكلٍ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فالتقيّة التي يعمل بها الشيعة تستمد شرعيتها من القرآن الكريم وسنّة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وتتفق مع كل الأسس والأصول العقلائية لفطرة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والفطرة يقتضيان أن يحفظ الانسان نفسه وأمواله من المخاطر التي تهدّده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يشعر في باطنه بأنّ الله الحكيم قد أودع في ذاته السعي لبقاء نوعه، لذا فإنّ إنكار هذه الحقيقة هو عنادٌ ومكابرةٌ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وطبقاً للأصل المبدئيّ، فإنّ الشيعة يوجبون على الإنسان المؤمن أن يظهر عقائده الصحيحة ويرشد الناس إليها ما دام هذا الامر ممكناً له ليستفيد الآخرون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حينما يكون إظهار هذه الحقائق والعقائد الحقّة موجباً لحصول ضرر له أو لمّا يتعلّق به، بسبب عدم استيعاب المجتمع لمثل هكذا حقائق وأمور، أو لوجود موانع تحول دون ذلك، فتكون عاقبة من يجهر بالحق ليست إلّا الهلاكة والوقوع في الشدّة والحرج؛ يكون حينئذٍ ابراز هذه الأمور غير مجازٍ من الناحية الشرعية، وهذا هو معنى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والحقيقة هي على خلاف ما يتصوّره أهل السنّة من أنّ التقيّة هي عدم قول الحقّ، بل هي قول الحقّ في المكان والزمان المناسبين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لكل مقام مقالاً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ويؤيد القرآن الكريم هذه النظرية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214"/>
      </w:r>
      <w:r>
        <w:rPr>
          <w:rFonts w:ascii="Amiri" w:hAnsi="Amiri" w:eastAsia="Amiri" w:cs="Amiri"/>
          <w:color w:val="111111"/>
          <w:sz w:val="28"/>
          <w:sz w:val="28"/>
          <w:szCs w:val="28"/>
          <w:rtl w:val="true"/>
          <w:lang w:bidi="ar-SA"/>
        </w:rPr>
        <w:t>، بل في مكان آخر يصرّح تعالى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الطريف أنّ البخاري يذهب إلى أنّ المراد من هذه الآية هو التقيّة</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ويقول تعالى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وَ لكِنْ مَنْ شَرَحَ بِالْكُفْرِ صَدْراً فَعَلَيْهِمْ غَضَبٌ مِنَ اللهِ وَ لَهُمْ عَذابٌ عَظِيمٌ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هذه الآية تستثني من آمن قلبه واضطرّ إلى إظهار الكفر حفاظاً على نفسه، من سخط الله تعالى، وهي دليلٌ صريحٌ على جواز التقيّة وضرورتها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أهل السنّة في تفسير هذه الآية 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أن من كفر بعد إيمانه فعليه غضب من الله وأمّا من أكره بلسانه وخالفه قلبه بالإيمان لينجو بذلك من عدوه، فلا حرج عليه؛ إنّ الله إنّما يأخذ العباد بما عقدت عليه قلوبهم</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خصّص البخاري في صحيحه باباً خاصاً للإكراه ذكر فيه جواز </w:t>
      </w:r>
    </w:p>
    <w:p>
      <w:pPr>
        <w:pStyle w:val="BookText"/>
        <w:rPr/>
      </w:pPr>
      <w:r>
        <w:rPr>
          <w:rFonts w:ascii="Amiri" w:hAnsi="Amiri" w:eastAsia="Amiri" w:cs="Amiri"/>
          <w:color w:val="111111"/>
          <w:sz w:val="28"/>
          <w:sz w:val="28"/>
          <w:szCs w:val="28"/>
          <w:rtl w:val="true"/>
          <w:lang w:bidi="ar-SA"/>
        </w:rPr>
        <w:t xml:space="preserve">التقيّة </w:t>
      </w:r>
      <w:r>
        <w:rPr>
          <w:rStyle w:val="FootnoteAnchor"/>
          <w:rtl w:val="true"/>
        </w:rPr>
        <w:footnoteReference w:id="219"/>
      </w:r>
      <w:r>
        <w:rPr>
          <w:rFonts w:ascii="Amiri" w:hAnsi="Amiri" w:eastAsia="Amiri" w:cs="Amiri"/>
          <w:color w:val="111111"/>
          <w:sz w:val="28"/>
          <w:sz w:val="28"/>
          <w:szCs w:val="28"/>
          <w:rtl w:val="true"/>
          <w:lang w:bidi="ar-SA"/>
        </w:rPr>
        <w:t>، وكذلك نقل عن أبي الحسن البصري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وقد ورد في هذا المضمار حديث نبوي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به عمّار بن ياسر، وقد روي في المصادر السنّية والشيعية، ذكر فيه أحداثاً وقعت في بداية الدعوة النبوية مع الصحابي الجليل عمّار بن ياسر حين اعتقله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ركو مكّة وأجبروه على إظهار البراءة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عناء ومقاومة شديدة اضطر حفاظاً على نفسه لأن يفعل ذلك، ثمّ جاء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اطلع على ما حدث له، فسأله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حتى نلت منك، وذكرت آلهتهم بخير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مطمئناً بالإيمان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فعد</w:t>
      </w:r>
      <w:r>
        <w:rPr>
          <w:rFonts w:eastAsia="Amiri" w:cs="Amiri" w:ascii="Amiri" w:hAnsi="Amiri"/>
          <w:color w:val="111111"/>
          <w:sz w:val="28"/>
          <w:szCs w:val="28"/>
          <w:rtl w:val="true"/>
          <w:lang w:bidi="ar-SA"/>
        </w:rPr>
        <w:t xml:space="preserve">» .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وكثيرون غير عمّار بن ياسر من فعلوا ذلك حفاظاً على أنفسهم، بل وأكثر من ذلك؛ حيث نجد أنّ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 إلى التقيّة في بداية دعوته، فأبقى على الدعوة لمدّة ثلاث سنوات محاطة بالسريّة، حتى دخل في الإسلام مجموعة وأعلنوا عن نصرتهم له واستعدادهم للجهر بالدعوة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بعض أهل السنّة ولأجل إثبات عدم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روعية التقيّة يستدلون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التقيّة مشروعة لكان على الأنبياء أن يعملوا بها ويتركوا دعوة الناس الى‌الهدى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الاستدلال المتخبّط وغير المتأنّي، ناشئ من عدم الدقّة في المفاهيم الإسلامية وعدم 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بأنّ التقيّة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روعة ولا شكّ في أنّ الأنبياء عملوا بها، ولكن بمعنى أنّهم قاموا بتبليغ الحقائق والمعارف الدينية </w:t>
      </w:r>
      <w:bookmarkStart w:id="223" w:name="pg2007_10975"/>
    </w:p>
    <w:p>
      <w:pPr>
        <w:pStyle w:val="BookText"/>
        <w:rPr/>
      </w:pPr>
      <w:bookmarkEnd w:id="223"/>
      <w:r>
        <w:rPr>
          <w:rFonts w:ascii="Amiri" w:hAnsi="Amiri" w:eastAsia="Amiri" w:cs="Amiri"/>
          <w:color w:val="111111"/>
          <w:sz w:val="28"/>
          <w:sz w:val="28"/>
          <w:szCs w:val="28"/>
          <w:rtl w:val="true"/>
          <w:lang w:bidi="ar-SA"/>
        </w:rPr>
        <w:t>والخطابات الإلهية في الزمان والمكان المناسبين، وبالطريقة التي يقرّها العقلاء، ولم يقعوا في خطأ الخلط بين تشخيص وقت الحزم في الأمور وزمان وجوب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والمؤسف أنّ بعض أهل السنّة يخلطون بين التقيّة والنفاق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ويعتبرون التقيّة ضرباً من ضروب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الاختلاف بينهما كبير ولا يمكن لأحدٍ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يُكتم في النفاق ليس إلّا عقيدة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والضلال، ولكنّ الأمر الذي يجب كتمانه في التقيّة فهو الإيمان والهدى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أنّ الشيعة لا يقولون بمشروعية التقية بدون أي قيد او شرط، بل هم يضعون لها الأسس والقواعد التي يجب التقيّد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شروط التقية هو أن لا تؤدّي إلى رواج الباطل وضياع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هكذا حال ليست التقيّة غير مشروعة وحسب، بل يجب إظهار الحق والمجاهرة به، وهو بحكم الجهاد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أبرز الأمثلة على وجوب الجهر بالحق،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 قلّة الناصر وكثرة العدو واليقين بالاستشهاد، جَهَر بالحقّ لأجل إحقاقه والحيلولة دون رواج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أهل السنّة يتمتعون بالكثرة وكانوا دائماً مستفيدين من دعم السلطات السياسية، بخلاف ما عليه الطائفة الشيعية، فإنهم لم يكونوا بحاجة إلى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كانوا لا يرون لها حاجة، واتخذوا منها موقفاً مناهضاً</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036705_3650668749"/>
      <w:bookmarkStart w:id="225" w:name="_Toc84"/>
      <w:bookmarkEnd w:id="224"/>
      <w:r>
        <w:rPr/>
        <w:t>٢</w:t>
      </w:r>
      <w:r>
        <w:rPr>
          <w:rtl w:val="true"/>
        </w:rPr>
        <w:t xml:space="preserve">- </w:t>
      </w:r>
      <w:r>
        <w:rPr>
          <w:rtl w:val="true"/>
        </w:rPr>
        <w:t>الزواج المؤقت</w:t>
      </w:r>
      <w:bookmarkEnd w:id="22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المسائل الخلافية الأخرى بين الشيعة والسنّة هي مسألة الزواج المنقطع أو المؤقّت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الشيعة، وطبقاً للآيات القرآنية والأحاديث النبوية وما أكّد عليه أئمّة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يذهبون إلى أنّ الزواج ينقسم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شديد الأسف فإنّ أهل السنّة لم يفهموا بشكل دقيق رأي الشيعة في خصوص هذه المسألة، فيعجلون بانتقادهم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يشنعون على الشيعة في مسألة الزواج المؤقت إلى حدٍّ يساوون بينه وبين الروابط الجنسية غير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ويستغلّون الخلاف في هذا الحكم الفقهي الفرعي للنيل من حرمة المذهب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والوقع أنّ أيّ شخص يقف على حقيقة هذا الزواج وشروطه ويفهمها بشكلٍ صحيح سيتوصّل إلى الفارق الكبير بينه وبين الروابط الجنسية غير المشروعة وسيثبت له أنّ مشروعيته لاغبار عليها وأنها من أفضل آراء الشيعة وأرقاها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التأكيد على أنّ مراد الشيعة من الزواج المؤقت هو تلك الرابطة المنضبطة التي تتمّ عن طريق العقد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الكامل والصحيح، والذي لايختلف عن عقد الزواج الدائم إلّا بتعيين الوقت والمهر؛ فإنّ الزواج الدائمي لا يوجد فيه تحديد للمدّة الزمنية لرابطة الزواج كما أنّ عدم تعيين المهرفيه لا يؤدي شرعاً لبطلان العقد المنجز بين الطرفين مع صحّة سائر شروطه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الزواج المؤقّت له مدّة معلومة يجب تعيينها، والإخلال بتعيين المهر يحول دون صحّة عقد النكاح</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الرابطة الزوجية في العقد المؤقّت لا تختلف عن الرابطة الزوجية في العقد الدائم، إذ كلا الزوجين لهما حقوقٌ </w:t>
      </w:r>
    </w:p>
    <w:p>
      <w:pPr>
        <w:pStyle w:val="BookText"/>
        <w:rPr/>
      </w:pPr>
      <w:r>
        <w:rPr>
          <w:rFonts w:ascii="Amiri" w:hAnsi="Amiri" w:eastAsia="Amiri" w:cs="Amiri"/>
          <w:color w:val="111111"/>
          <w:sz w:val="28"/>
          <w:sz w:val="28"/>
          <w:szCs w:val="28"/>
          <w:rtl w:val="true"/>
          <w:lang w:bidi="ar-SA"/>
        </w:rPr>
        <w:t>وعليهما 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حينئذٍ أنّ الوليد من هذه الرابطة الشرعية هو ولد شرعيّ كالوليد من الزواج الدائم، ويستحقّ الإرث لأنّه ابن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ممّا لاشك فيه أنّ على المرأة بعد انقضاء أجل زواجها أن تعمل بأحكام العدّة الخاصة وتكون كالأجنبية بالنسبة للرجل الذي كانت تربطها به رابطة الزواج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مدى خطأ أهل السنّة في ادّعائهم بأنّ الزواج المؤقت أشبه بالعلاقات الجنسية غير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فوائد الزواج المؤقّت أنّه يوفّر متنفّساً للرجل والمرأة المسلمة اللذين لايستطيعان بسبب ظروفهما الاجتماعية أو الاقتصادية الارتباط بزواج دائم، أو بسبب عدم كونهما على استعداد لتحمّل مسؤولية تأسيس حياةٍ مشتركة بينهما، وفي نفس الوقت لا يستطيعان تحمّل الضغوط العاطفية أو الجنسية؛ لذلك فإنهما يجدان في الزواج المؤقت الطمأنينة والحل المؤقت الذي يبعدهم عن التورّط في ما يلوث نزاهتهم ويجعلهم في عداد العاصين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أنّه لو تمّت مراعاة الشروط والظروف الخاصّة بهذا الزواج من الناحية الشرعيّة، فإنّ بعض الأمور السلبية التي تُطرح حوله سوف تصل إلى أدنى مستوىً؛ وهذا هو رأي الشيعة، وكما ذكرنا أنفاً فإنّهم يستندون في كل تفاصيل ذلك إلى كتاب الله تبارك وتعالى وسنّة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الكريم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الزواج المؤقّت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w:t>
      </w:r>
      <w:r>
        <w:rPr>
          <w:rStyle w:val="FootnoteAnchor"/>
          <w:rtl w:val="true"/>
        </w:rPr>
        <w:footnoteReference w:id="222"/>
      </w:r>
      <w:r>
        <w:rPr>
          <w:rFonts w:ascii="Amiri" w:hAnsi="Amiri" w:eastAsia="Amiri" w:cs="Amiri"/>
          <w:color w:val="111111"/>
          <w:sz w:val="28"/>
          <w:sz w:val="28"/>
          <w:szCs w:val="28"/>
          <w:rtl w:val="true"/>
          <w:lang w:bidi="ar-SA"/>
        </w:rPr>
        <w:t xml:space="preserve">، وهناك اتّفاق في الرأي بين </w:t>
      </w:r>
    </w:p>
    <w:p>
      <w:pPr>
        <w:pStyle w:val="BookText"/>
        <w:rPr/>
      </w:pPr>
      <w:r>
        <w:rPr>
          <w:rFonts w:ascii="Amiri" w:hAnsi="Amiri" w:eastAsia="Amiri" w:cs="Amiri"/>
          <w:color w:val="111111"/>
          <w:sz w:val="28"/>
          <w:sz w:val="28"/>
          <w:szCs w:val="28"/>
          <w:rtl w:val="true"/>
          <w:lang w:bidi="ar-SA"/>
        </w:rPr>
        <w:t xml:space="preserve">الشيعة والسنّة في دلالة هذه الآية على جواز زواج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إنّه لا خلاف في وقوع مثل هذا الزواج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روعيته تدل عليها الآية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وقع الخلاف بين الشيعة والسنّة في بقاء هذا الحكم واستمراره أو القول بأنّه تمّ نسخه وإيقاف العمل به، فأهل السنّة يذهبون إلى نسخ هذا الحكم وعدم استمرار العمل به، ويصرّون على أنّ زواج المتعة قد نسخ ببعض الآيات والأحاديث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يقولون ببقاء الحكم وعدم نسخه، وأنّ ادعاء نسخه يحتاج إلى دليل، والحقيقة أنّه لايوجد أيّ دليلٍ صحيحٍ على‌ذلك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التي استدلّ بها أهل‌السنة على النسخ غير ناظرة للآية المذكورة، وأمّا الأحاديث فهي متعارضة فيما بينها وفيها من الضعف السندي ما يمنع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فإنّ الكثير من الصحابة قد أكّدوا على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روعية زواج المتعة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يؤيّدوا يقبل دعوى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خالف هذا الحكم الشرعي هو الخليفة الثاني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المصادر السنّية عن الصحابي الجليل جابر بن عبدالله الأنصاري، في جوابه لسائلٍ سأله عن اختلاف رأي الصحابة حول زواج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أبي بكر، فلمّا وليَ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هو القرآن،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الرسول، وإنّهما كانتا متعتان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إحداهما متعة الحجّ، والأخرى متعة النساء، فنهى عنهما</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الصحابيّ عمران بن الحصين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المتعة في كتاب </w:t>
      </w:r>
    </w:p>
    <w:p>
      <w:pPr>
        <w:pStyle w:val="BookText"/>
        <w:rPr/>
      </w:pPr>
      <w:r>
        <w:rPr>
          <w:rFonts w:ascii="Amiri" w:hAnsi="Amiri" w:eastAsia="Amiri" w:cs="Amiri"/>
          <w:color w:val="111111"/>
          <w:sz w:val="28"/>
          <w:sz w:val="28"/>
          <w:szCs w:val="28"/>
          <w:rtl w:val="true"/>
          <w:lang w:bidi="ar-SA"/>
        </w:rPr>
        <w:t xml:space="preserve">الله ففعلناها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ينزل قرآن يحرّمه، ولم ينهَ عنها حتى مات، قال رجلٌ برأيه ما شاء</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ومراده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والطريف أنّ أحمد بن حنبل حين يذكر الرواية عن عمر يذكر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أخشى أن يعرسوا بهن تحت الأراك ثمّ يروحوا بهن حجّاجاً </w:t>
      </w:r>
      <w:r>
        <w:rPr>
          <w:rStyle w:val="FootnoteAnchor"/>
          <w:rtl w:val="true"/>
        </w:rPr>
        <w:footnoteReference w:id="225"/>
      </w:r>
      <w:r>
        <w:rPr>
          <w:rFonts w:ascii="Amiri" w:hAnsi="Amiri" w:eastAsia="Amiri" w:cs="Amiri"/>
          <w:color w:val="111111"/>
          <w:sz w:val="28"/>
          <w:sz w:val="28"/>
          <w:szCs w:val="28"/>
          <w:rtl w:val="true"/>
          <w:lang w:bidi="ar-SA"/>
        </w:rPr>
        <w:t>، فيذكر علّة تحريمه لها بحسب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عمر نهى عن المتعة، ما زنى إلّا شقي</w:t>
      </w:r>
      <w:r>
        <w:rPr>
          <w:rFonts w:eastAsia="Amiri" w:cs="Amiri" w:ascii="Amiri" w:hAnsi="Amiri"/>
          <w:color w:val="111111"/>
          <w:sz w:val="28"/>
          <w:szCs w:val="28"/>
          <w:rtl w:val="true"/>
          <w:lang w:bidi="ar-SA"/>
        </w:rPr>
        <w:t xml:space="preserve">» .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كما روى الصحابيّ سعيد بن جبير حكاية جديرةً بالاهتمام، فقد روى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 بكر وعمر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نهى أبو بكر وعمر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سيهلكون،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 بكر وعمر</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والحقيقة أنّ ما روي من أحاديث تعارض حلّيّة المتعة، قد دُوّنت في مصادر أهل‌السنّة بشكلٍ متناقضٍ وذلك لتبرير رأي عمر قدر المستطاع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هذه الروايات ادّعي أنّ المتعة نسخت في السنة التي وقعت فيها غزوة خيبر، وفي رواية أخرى أنّها نسخت في السنة التي فتحت فيها مكّة، وفي أخرى أنّها نسخت في السنة التي وقعت فيها غزوة حُنين، بل ادّعى البعض أنّها لم تشرّع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القضاء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القضاء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أوطاس</w:t>
      </w:r>
      <w:r>
        <w:rPr>
          <w:rFonts w:eastAsia="IRNazanin" w:cs="IRNazanin"/>
          <w:color w:val="111111"/>
          <w:sz w:val="28"/>
          <w:szCs w:val="28"/>
          <w:rtl w:val="true"/>
          <w:lang w:bidi="fa-IR"/>
        </w:rPr>
        <w:t xml:space="preserve">) .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والإنصاف أنّ الاختلاف في تأريخ النسخ المدّعى من قبل أهل السنّة لزواج المتعة في بعض الروايات لا صحّة له وفيه دلالة على وهن هذا الادّعاء، لأنّه ليس من المعقول أن يقوم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بنسخ حكم شرعي ورد في القرآن، دون أن يعلم به صحابته، وهذا التعارض لا يمكن وقوعه بوجهٍ ناهيك عن أنّه ليس من المنطقي ولا يمكن قبول نسخ حكم شرعي في آية قرآنية بأحاديث بهذا المستوى من الضعف والإرباك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وبالإضافة إلى كل هذه الأدلّة، فإنّ ما يهم الشيعة هو رأي أئمّتهم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جاءت روايات متواترة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المصادر الشيعية لاتقبل الشك ولا تبقي للترديد محلاً، على مشروعية هذا النوع من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أنّ أهل السنّة ينسبون بعض أخبار النسخ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ومعظم أدلتهم في النسخ ينسبونها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هذا في الحقيقة دليلٌ على خطأهم وعدم صحّة الأخبار التي نسبوها إليه، لأنّه ممّا لا شكّ فيه من الناحية التأريخية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روعية الزواج المؤقّت، ويؤكّد على حليّته، ويعترض على نهي عمر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على ذلك ما ينقله أحمد بن حنبل من نهي عثمان بن عفّان عن زواج المتعة، وأمر عليّ بها، حيث قال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المتعة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بها، فقال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علمت أنّا قد 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ولكنّا كنّا خائفين</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عليّ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bookmarkStart w:id="226" w:name="pg2007_10981"/>
    </w:p>
    <w:p>
      <w:pPr>
        <w:pStyle w:val="BookText"/>
        <w:rPr/>
      </w:pPr>
      <w:bookmarkEnd w:id="226"/>
      <w:r>
        <w:rPr>
          <w:rFonts w:ascii="Amiri" w:hAnsi="Amiri" w:eastAsia="Amiri" w:cs="Amiri"/>
          <w:color w:val="111111"/>
          <w:sz w:val="28"/>
          <w:sz w:val="28"/>
          <w:szCs w:val="28"/>
          <w:rtl w:val="true"/>
          <w:lang w:bidi="ar-SA"/>
        </w:rPr>
        <w:t>بعسفان، فكان عثمان ينهى عن المتعة أو العمرة،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تريد إلى أمر فعله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عثمان دعنا منك</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وهذه الحكايات تبيّن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المسألة بشكلٍ واضحٍ وصريحٍ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فقد ألّف علماء المذهب الشيعي، ومنذ قديم الزمان، رسائل وكتب في بيان مشروعية زواج المتعة، وأجابوا على الشبهات المطروحة حوله، مستدلّين على ذلك بالمصادر السنّية والشيعية على حدٍّ سواء</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4036707_3650668749"/>
      <w:bookmarkStart w:id="228" w:name="_Toc85"/>
      <w:bookmarkEnd w:id="227"/>
      <w:r>
        <w:rPr/>
        <w:t>٣</w:t>
      </w:r>
      <w:r>
        <w:rPr>
          <w:rtl w:val="true"/>
        </w:rPr>
        <w:t xml:space="preserve">- </w:t>
      </w:r>
      <w:r>
        <w:rPr>
          <w:rtl w:val="true"/>
        </w:rPr>
        <w:t>مسح الرجلين في الوضوء</w:t>
      </w:r>
      <w:bookmarkEnd w:id="228"/>
    </w:p>
    <w:p>
      <w:pPr>
        <w:pStyle w:val="BookText"/>
        <w:rPr/>
      </w:pPr>
      <w:r>
        <w:rPr>
          <w:rFonts w:ascii="Amiri" w:hAnsi="Amiri" w:eastAsia="Amiri" w:cs="Amiri"/>
          <w:color w:val="111111"/>
          <w:sz w:val="28"/>
          <w:sz w:val="28"/>
          <w:szCs w:val="28"/>
          <w:rtl w:val="true"/>
          <w:lang w:bidi="ar-SA"/>
        </w:rPr>
        <w:t>من المسائل الفرعية الأخرى التي اختلف فيها السنّة والشيعة هي مسألة المسح على الرجلين عند الوضوء للصلاة، فعلى الرغم من عدم وجود اتّفاق في وجهات النظر حول سائر جزئيات الوضوء الأخرى بين المذاهب الإسلامية كافّة، إلا أن أبرز اختلاف نشأ في هذه المسألة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أن نتطرّق إلى بيان هذه المسألة الخلافية، نلفت الانتباه إلى أنّ الاختلاف فيها بين المسلمين يعتبر من الأمور المثيرة للدهشة والتعجّب، لأنّ المسلمين كانوا ملازمين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ويشاهدونه على مدار اليوم والليلة يتوضّأ عدّة مرّات، وكانوا يقلّدونه في كيفية وضوءه، فكيف حصل بينهم مثل هذا الاختلاف في الآراء؟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ولكن من المحتمل أن يكون هذا الاختلاف قدنشأ بسبب الأوضاع السياسيّة التي سادت في عهد الخلفاء والعهود اللاحقة تحت تأثير الحكّام الأمويين والعبّاسيين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حال، فإنّ أهل السنّة لا يقولون بعدم وجوب المسح على القدمين </w:t>
      </w:r>
    </w:p>
    <w:p>
      <w:pPr>
        <w:pStyle w:val="BookText"/>
        <w:rPr/>
      </w:pPr>
      <w:r>
        <w:rPr>
          <w:rFonts w:ascii="Amiri" w:hAnsi="Amiri" w:eastAsia="Amiri" w:cs="Amiri"/>
          <w:color w:val="111111"/>
          <w:sz w:val="28"/>
          <w:sz w:val="28"/>
          <w:szCs w:val="28"/>
          <w:rtl w:val="true"/>
          <w:lang w:bidi="ar-SA"/>
        </w:rPr>
        <w:t>بعد الوضوء وحسب، بل يقولون بأنّ ذلك ليس بصحيح شرعاً، وأنّ المكلّف لا يجزيه غير 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ويخالفهم أبناء المذهب الشيعي بالقول إنّ الواجب والصحيح هو المسح على الرجلين في الوضوء، وليس غسلهما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الآيات القرآنية بوضوح على ما ذهب إليه الشيعة في رأيهم، والحقّ أن لا يقدّم شيء على دليلهم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الاختلاف في هذه المسألة نشأ من الاختلاف في قراءة هذه الآية، فقد قُرأت كلمة أَرْجُلَكُمْ في الآية مجرورةً عطفاً على قوله رُؤُسِكُمْ ، وهي تدل على مسح الرجلين كما هو حال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وقرأها آخرون بالنصب معطوفة على وُجُوهَكُمْ وَ أَيْدِيَكُمْ وهو ما يوافق رأي أهل السنّة بوجوب الغسل مثل الوجه واليدين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أنّنا لا بدّ وأن نرجّح واحدة من القراءتين على الأخرى، وهذا لايمكن إلا من خلال الرجوع إلى القواعد النحويّة العربية، وما فهمه الصحابة المخاطبين من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 أعلم الناس بكتاب الله تعالى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القواعد العربية، فممّا لا شك فيه أنّ قراءة الجر أكثر تناسباً مع السياق العربي ومقاييس الفصاحة واستقامة الكلام؛ لأنّ عطف كلمة على ما هو أقرب لها هو الشائع والمتعارف، وهو أولى من عطفها على كلمة أخرى يفصل بينهما كلام مكون من عدّة كلمات، على الرغم من إمكان أن يقال بعطف كلمة أَرْجُلَكُمْ مع أنّها منصوبة على كلمة بِرُؤُسِكُمْ وتكون دالّة </w:t>
      </w:r>
    </w:p>
    <w:p>
      <w:pPr>
        <w:pStyle w:val="BookText"/>
        <w:rPr/>
      </w:pPr>
      <w:r>
        <w:rPr>
          <w:rFonts w:ascii="Amiri" w:hAnsi="Amiri" w:eastAsia="Amiri" w:cs="Amiri"/>
          <w:color w:val="111111"/>
          <w:sz w:val="28"/>
          <w:sz w:val="28"/>
          <w:szCs w:val="28"/>
          <w:rtl w:val="true"/>
          <w:lang w:bidi="ar-SA"/>
        </w:rPr>
        <w:t>على وجوب المسح؛ لأنّها في محلّ مفعول به فيمكن نصبها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ذهب الفقيه والمفسّر الفخر الرازي الذي يعتبر أحد أشهر علماء أهل‌السنّة، إلى أنّ كلا القراءتين تدلان على وجوب المسح</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أضف إلى ذلك، فإنّ الكثير من الصحابة والتابعين قدفهموا من هذه الآية الكريمة وجوب المسح، وكمثال على ذلك ما روي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أجد في الكتاب إلّا غسلتين ومسحتين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ومراده من المسحتين هو مسح الرأس والرجلين</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وكذلك نقل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بالمسح ويأبى الناس إلّا الغسل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وكذلك روي عن أنس بن مالك أنّه حين سمع الحجّاج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وجوهكم وأيديكم وأرجلكم فاغسلوا ظاهرهما وباطنهما وعراقيبهما، فإنّ ذلك أقرب إلى جنّتكم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وكذب الحجّاج؛ فامسحوا برؤوسكم وأرجلِكم إلى الكعبين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 بجر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 عكرمة أنّه كان يمسح على رجليه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غسل الرجلين، والواجب مسحهما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والشعبي من التابعين المشهورين ومن الشخصيات المعروفة عند أهل السنّة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نزل بالمسح على القدمين</w:t>
      </w:r>
      <w:r>
        <w:rPr>
          <w:rFonts w:eastAsia="Amiri" w:cs="Amiri" w:ascii="Amiri" w:hAnsi="Amiri"/>
          <w:color w:val="111111"/>
          <w:sz w:val="28"/>
          <w:szCs w:val="28"/>
          <w:rtl w:val="true"/>
          <w:lang w:bidi="ar-SA"/>
        </w:rPr>
        <w:t xml:space="preserve">» . </w:t>
      </w:r>
      <w:r>
        <w:rPr>
          <w:rStyle w:val="FootnoteAnchor"/>
          <w:rtl w:val="true"/>
        </w:rPr>
        <w:footnoteReference w:id="23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افترض الله غسلين ومسحين</w:t>
      </w:r>
      <w:r>
        <w:rPr>
          <w:rFonts w:eastAsia="Amiri" w:cs="Amiri" w:ascii="Amiri" w:hAnsi="Amiri"/>
          <w:color w:val="111111"/>
          <w:sz w:val="28"/>
          <w:szCs w:val="28"/>
          <w:rtl w:val="true"/>
          <w:lang w:bidi="ar-SA"/>
        </w:rPr>
        <w:t xml:space="preserve">» . </w:t>
      </w:r>
      <w:r>
        <w:rPr>
          <w:rStyle w:val="FootnoteAnchor"/>
          <w:rtl w:val="true"/>
        </w:rPr>
        <w:footnoteReference w:id="235"/>
      </w:r>
      <w:r>
        <w:rPr>
          <w:rFonts w:ascii="Amiri" w:hAnsi="Amiri" w:eastAsia="Amiri" w:cs="Amiri"/>
          <w:color w:val="111111"/>
          <w:sz w:val="28"/>
          <w:sz w:val="28"/>
          <w:szCs w:val="28"/>
          <w:rtl w:val="true"/>
          <w:lang w:bidi="ar-SA"/>
        </w:rPr>
        <w:t>وهكذا الحسن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أيضاً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وعلى رأس من يرى وجوب مسح القدمين بدل غسلهما،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هو باعتراف كثير من أهل السنّة أعرف الناس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أكثر الأصحاب التزاماً بها فقد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الدين برأيٍ، كان باطن القدمين أحق بالمسح من ظاهرهما، ولكن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ظاهرهما</w:t>
      </w:r>
      <w:r>
        <w:rPr>
          <w:rFonts w:eastAsia="Amiri" w:cs="Amiri" w:ascii="Amiri" w:hAnsi="Amiri"/>
          <w:color w:val="111111"/>
          <w:sz w:val="28"/>
          <w:szCs w:val="28"/>
          <w:rtl w:val="true"/>
          <w:lang w:bidi="ar-SA"/>
        </w:rPr>
        <w:t xml:space="preserve">» .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وكذلك نجد الطبري ينقل هذا الحكم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وكذلك فقد رَوى عبدالرزاق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لمطر بن طهمان الورّاق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يقول المسح على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كثير</w:t>
      </w:r>
      <w:r>
        <w:rPr>
          <w:rFonts w:eastAsia="Amiri" w:cs="Amiri" w:ascii="Amiri" w:hAnsi="Amiri"/>
          <w:color w:val="111111"/>
          <w:sz w:val="28"/>
          <w:szCs w:val="28"/>
          <w:rtl w:val="true"/>
          <w:lang w:bidi="ar-SA"/>
        </w:rPr>
        <w:t xml:space="preserve">» .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وهناك أحاديث كثيرة تؤيّد هذا الرأي في المصادر السنّية وبسندٍ صحيح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العيني في كتابه عمدة القاري إلى كثير منها</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وهذه الأحاديث تحكي عن مسح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غض النظر عن كل هذه الأدلّة والشواهد، فإنّ ما يعتمد عليه عند المذهب الشيعي هو ما يروى في مصادره من الروايات الصحيحة عن أئمّة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بعض هذه الأحاديث وضّحوا كيفية وضوء جدّهم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وأكّدوا على أنّه كان يمسح على رجليه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طبق قواعد اللّغة العربية المعتبرة والأحاديث المرويّة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أهل السنه، وكذلك حسب إجماع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الآية الكريمة تدلّ على وجوب المسح على الرجلين </w:t>
      </w:r>
      <w:bookmarkStart w:id="229" w:name="pg2007_10985"/>
    </w:p>
    <w:p>
      <w:pPr>
        <w:pStyle w:val="BookText"/>
        <w:rPr/>
      </w:pPr>
      <w:bookmarkEnd w:id="229"/>
      <w:r>
        <w:rPr>
          <w:rFonts w:ascii="Amiri" w:hAnsi="Amiri" w:eastAsia="Amiri" w:cs="Amiri"/>
          <w:color w:val="111111"/>
          <w:sz w:val="28"/>
          <w:sz w:val="28"/>
          <w:szCs w:val="28"/>
          <w:rtl w:val="true"/>
          <w:lang w:bidi="ar-SA"/>
        </w:rPr>
        <w:t>بشكلٍ قطعيٍّ لايقبل الشكّ والترديد، وبالتالي بطلان غسلهما عند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العلامة الجليل أبو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مستقلة في هذه المسألة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المبين عن وجوب المسح على الرجلين</w:t>
      </w:r>
      <w:r>
        <w:rPr>
          <w:rFonts w:eastAsia="Amiri" w:cs="Amiri" w:ascii="Amiri" w:hAnsi="Amiri"/>
          <w:color w:val="111111"/>
          <w:sz w:val="28"/>
          <w:szCs w:val="28"/>
          <w:rtl w:val="true"/>
          <w:lang w:bidi="ar-SA"/>
        </w:rPr>
        <w:t>) .</w:t>
      </w:r>
    </w:p>
    <w:p>
      <w:pPr>
        <w:pStyle w:val="Heading4"/>
        <w:numPr>
          <w:ilvl w:val="3"/>
          <w:numId w:val="1"/>
        </w:numPr>
        <w:rPr/>
      </w:pPr>
      <w:bookmarkStart w:id="230" w:name="__RefHeading___Toc4036709_3650668749"/>
      <w:bookmarkStart w:id="231" w:name="_Toc86"/>
      <w:bookmarkEnd w:id="230"/>
      <w:r>
        <w:rPr/>
        <w:t>۴</w:t>
      </w:r>
      <w:r>
        <w:rPr>
          <w:rtl w:val="true"/>
        </w:rPr>
        <w:t xml:space="preserve">- </w:t>
      </w:r>
      <w:r>
        <w:rPr>
          <w:rtl w:val="true"/>
        </w:rPr>
        <w:t>الأذان</w:t>
      </w:r>
      <w:bookmarkEnd w:id="231"/>
    </w:p>
    <w:p>
      <w:pPr>
        <w:pStyle w:val="BookText"/>
        <w:rPr/>
      </w:pPr>
      <w:r>
        <w:rPr>
          <w:rFonts w:ascii="Amiri" w:hAnsi="Amiri" w:eastAsia="Amiri" w:cs="Amiri"/>
          <w:color w:val="111111"/>
          <w:sz w:val="28"/>
          <w:sz w:val="28"/>
          <w:szCs w:val="28"/>
          <w:rtl w:val="true"/>
          <w:lang w:bidi="ar-SA"/>
        </w:rPr>
        <w:t xml:space="preserve">من المسائل الخلافية الأخرى بين الشيعة والسنّة، هي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يذكر أهل السنّة في أذان الصبح بدلاً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ما يصطلح عليه عندهم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التثويب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قبل البدء بالحديث عن مسألة التثويب من الناحية التأريخية والروائية، ينبغي أن نلفت الانتباه إلى أنّ أي شخص له اطّلاعٌ على كلام الله تعالى وكلام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يسعه إنكار ما بينهما وبين هذه العبارات الدخيلة على الأذان من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فالطبع السليم والذوق الرفيع ينبذ العبارة غير المنسجمة والغريبة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عندما يقارنها مع عبارات الأذان ذات المعاني الرفيعة والبليغة، وهذا حال اللطخة السوداء في الرداء الأبيض تكون واضحة لذي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وإنصافاً للحق، فقد أشار بعض المحقّقين المعاصرين إلى ذلك وبيّنوه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الواقع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بدعة في الأذان ظهرت بعد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عهد الخليفة عمر بن الخطّاب، وتستمد أساسها من اجتهاده الشخصي وذوقه الخاص</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وجود بعض الأحاديث المرويّة عن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المصادر السنّية تُشير إلى تشريع هذه العبارة في الأذان، ولكن يوجد في المقابل من الشواهد التأريخية ما يقابل ذلك ويؤكّد صحّة ما يذهب إليه الشيعة من كون هذه العبارة بدعة لا أساس لها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على ذلك، فقد روي أنّ رجلاً سأل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قيل الصلاة خير من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وروي عن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عن التثويب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قيل الصلاة خير من النوم؟ فقال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لم تُقل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بلالاً سمعها في زمان أبي بكر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رجل غير مؤذّن فأخذها منه فأذّن بها، فلم يمكث أبوبكر إلّا قليلاً، حتى إذا كان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نهينا بلالاً عن هذا الذي أحدث، وكأنّه نسيه، فأذّن به الناس حتى اليوم</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وكذلك روى أحدهم عن عمر بن حفص مايلي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عمر بن حفص أنّ سعداً أوّل من قال الصلاة خير من النوم، في خلافة عمر</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لذلك فإنّ ما قاله ابن شيبه في كتابه المصنّف هو واقع ما جرى،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يقال له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المؤذن عمر بصلاة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به عمر، وقال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أقرّها في أذانك</w:t>
      </w:r>
      <w:r>
        <w:rPr>
          <w:rFonts w:eastAsia="Amiri" w:cs="Amiri" w:ascii="Amiri" w:hAnsi="Amiri"/>
          <w:color w:val="111111"/>
          <w:sz w:val="28"/>
          <w:szCs w:val="28"/>
          <w:rtl w:val="true"/>
          <w:lang w:bidi="ar-SA"/>
        </w:rPr>
        <w:t xml:space="preserve">» . </w:t>
      </w:r>
      <w:r>
        <w:rPr>
          <w:rStyle w:val="FootnoteAnchor"/>
          <w:rtl w:val="true"/>
        </w:rPr>
        <w:footnoteReference w:id="24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من المؤكّد أنّ هذه العبارة لم يشرّعها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ابتدعت من </w:t>
      </w:r>
    </w:p>
    <w:p>
      <w:pPr>
        <w:pStyle w:val="BookText"/>
        <w:rPr/>
      </w:pPr>
      <w:r>
        <w:rPr>
          <w:rFonts w:ascii="Amiri" w:hAnsi="Amiri" w:eastAsia="Amiri" w:cs="Amiri"/>
          <w:color w:val="111111"/>
          <w:sz w:val="28"/>
          <w:sz w:val="28"/>
          <w:szCs w:val="28"/>
          <w:rtl w:val="true"/>
          <w:lang w:bidi="ar-SA"/>
        </w:rPr>
        <w:t>بعده، وهو كما صرّح به بعض التابعين من أنّ التثويب ليس من السنّة</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والطريف أنّ ابن ابي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ابتدعوا بدعة أحبّ إلي من التثويب</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ومع غضّ النظر عن ذلك، فإنّ أحد الرواة في أسانيد أحاديث التثويب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الأسماء التي قال الترمذي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بذلك القوى عند أهل الحديث </w:t>
      </w:r>
      <w:r>
        <w:rPr>
          <w:rStyle w:val="FootnoteAnchor"/>
          <w:rtl w:val="true"/>
        </w:rPr>
        <w:footnoteReference w:id="248"/>
      </w:r>
      <w:r>
        <w:rPr>
          <w:rFonts w:ascii="Amiri" w:hAnsi="Amiri" w:eastAsia="Amiri" w:cs="Amiri"/>
          <w:color w:val="111111"/>
          <w:sz w:val="28"/>
          <w:sz w:val="28"/>
          <w:szCs w:val="28"/>
          <w:rtl w:val="true"/>
          <w:lang w:bidi="ar-SA"/>
        </w:rPr>
        <w:t>، وغالباً ما تضعّف الروايات التي يأتي في سندها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وقد فصّل المحقّق المعاصر الأستاذ الشيخ جعفر السبحاني الكلام في تضعيف أسانيد روايات التثويب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بالكتاب والسنة</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وقد احتمل وجود أغراض وغايات شخصية وراء إدخال هذه البدعة في الأذان والتأكيد عليها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وفي المقابل هناك كمّ كبيرٌ من الروايات الصحيحة المعتبرة في المصادر الشيعية والسنّية على حدٍّ سواء تدل على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وأنّ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وكمثال على ذلك ما روي عن الإمام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كان يقول في أذانه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الأذان الأوّل</w:t>
      </w:r>
      <w:r>
        <w:rPr>
          <w:rFonts w:eastAsia="Amiri" w:cs="Amiri" w:ascii="Amiri" w:hAnsi="Amiri"/>
          <w:color w:val="111111"/>
          <w:sz w:val="28"/>
          <w:szCs w:val="28"/>
          <w:rtl w:val="true"/>
          <w:lang w:bidi="ar-SA"/>
        </w:rPr>
        <w:t xml:space="preserve">» . </w:t>
      </w:r>
      <w:r>
        <w:rPr>
          <w:rStyle w:val="FootnoteAnchor"/>
          <w:rtl w:val="true"/>
        </w:rPr>
        <w:footnoteReference w:id="25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واستناداً إلى ما ذُكر يجب القول</w:t>
      </w:r>
      <w:r>
        <w:rPr>
          <w:rFonts w:eastAsia="Amiri" w:cs="Amiri" w:ascii="Amiri" w:hAnsi="Amiri"/>
          <w:color w:val="111111"/>
          <w:sz w:val="28"/>
          <w:szCs w:val="28"/>
          <w:rtl w:val="true"/>
          <w:lang w:bidi="ar-SA"/>
        </w:rPr>
        <w:t xml:space="preserve">: </w:t>
      </w:r>
      <w:bookmarkStart w:id="232" w:name="pg2007_10988"/>
    </w:p>
    <w:p>
      <w:pPr>
        <w:pStyle w:val="BookText"/>
        <w:rPr/>
      </w:pPr>
      <w:bookmarkEnd w:id="232"/>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السنّة ليسوا متّفقين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وبعضهم يرى كراهية قول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وإن كان هذا الرأي ليس مشهوراً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أهل السنّة أنّهم يرون استحباب ذكر هذه العبارة في الأذان وليس وجوبها</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4036711_3650668749"/>
      <w:bookmarkStart w:id="234" w:name="_Toc87"/>
      <w:bookmarkEnd w:id="233"/>
      <w:r>
        <w:rPr/>
        <w:t>۵</w:t>
      </w:r>
      <w:r>
        <w:rPr>
          <w:rtl w:val="true"/>
        </w:rPr>
        <w:t xml:space="preserve">- </w:t>
      </w:r>
      <w:r>
        <w:rPr>
          <w:rtl w:val="true"/>
        </w:rPr>
        <w:t>الصلاة</w:t>
      </w:r>
      <w:bookmarkEnd w:id="234"/>
    </w:p>
    <w:p>
      <w:pPr>
        <w:pStyle w:val="Heading5"/>
        <w:numPr>
          <w:ilvl w:val="4"/>
          <w:numId w:val="1"/>
        </w:numPr>
        <w:rPr/>
      </w:pPr>
      <w:bookmarkStart w:id="235" w:name="__RefHeading___Toc4036713_3650668749"/>
      <w:bookmarkStart w:id="236" w:name="_Toc88"/>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من المسائل الخلافية الأخرى بين الشيعة والسنّة، ما يتعلّق بأهم عمل عبادي يقوم به المسلم، وهو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الخلاف في عدّة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التكتّف، وهو وضع اليد اليمنى على اليسرى عند القيام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قراءة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التربة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صلاتي الظهر والعصر، والمغرب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وسنتطرّق إلى بيان هذه المسائل الخلافيّة تباعاً فيما يلي</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4036715_3650668749"/>
      <w:bookmarkStart w:id="238" w:name="_Toc89"/>
      <w:bookmarkEnd w:id="237"/>
      <w:r>
        <w:rPr>
          <w:rtl w:val="true"/>
        </w:rPr>
        <w:t>أ</w:t>
      </w:r>
      <w:r>
        <w:rPr>
          <w:rtl w:val="true"/>
        </w:rPr>
        <w:t xml:space="preserve">- </w:t>
      </w:r>
      <w:r>
        <w:rPr>
          <w:rtl w:val="true"/>
        </w:rPr>
        <w:t>التكتّف</w:t>
      </w:r>
      <w:bookmarkEnd w:id="238"/>
    </w:p>
    <w:p>
      <w:pPr>
        <w:pStyle w:val="BookText"/>
        <w:rPr/>
      </w:pPr>
      <w:r>
        <w:rPr>
          <w:rFonts w:ascii="Amiri" w:hAnsi="Amiri" w:eastAsia="Amiri" w:cs="Amiri"/>
          <w:color w:val="111111"/>
          <w:sz w:val="28"/>
          <w:sz w:val="28"/>
          <w:szCs w:val="28"/>
          <w:rtl w:val="true"/>
          <w:lang w:bidi="ar-SA"/>
        </w:rPr>
        <w:t>المراد من التكتّف كما ذكرنا أعلاه، هو وضع اليد اليمنى على اليد اليس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عند القيام في الصلاة، وهو الذي يفعله أهل السنّة في صلاتهم، ويعد أحياناً من العلامات المميّزة للشيعي عن السنّي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أوّلاً إلى وجود اتّفاق بين المذاهب الإسلامية على عدم وجوب التكتّف أثناء الصلاة، فمن يقول به من أهل السنّة يراه من المستحبّات، بينما لا يراه الشيعة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يمكن القول، مع غضّ </w:t>
      </w:r>
    </w:p>
    <w:p>
      <w:pPr>
        <w:pStyle w:val="BookText"/>
        <w:rPr/>
      </w:pPr>
      <w:r>
        <w:rPr>
          <w:rFonts w:ascii="Amiri" w:hAnsi="Amiri" w:eastAsia="Amiri" w:cs="Amiri"/>
          <w:color w:val="111111"/>
          <w:sz w:val="28"/>
          <w:sz w:val="28"/>
          <w:szCs w:val="28"/>
          <w:rtl w:val="true"/>
          <w:lang w:bidi="ar-SA"/>
        </w:rPr>
        <w:t>النظر عن صواب هذا الرأي أو ذاك، فإنّه من الممكن الاتّفاق بالرأي حول هذه المسألة الفرعيّة نظريّاً وعمليّاً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يقوم أهل السنّة ولأجل حفظ وحدة المسلمين وتجميل صف المسلمين المصلّين، بترك ما هو غير واجب، ويعملون بالاحتياط العقلي الذي يقتضي الاقتصار على ما هو ثابت ومقطوع به، وهذا العمل منهم بالتأكيد لايؤثر سلبيّاً عليهم، بل هو خطوة نحو تقريب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شديد الأسف نلاحظ أنّ الكثير من أهل السنّة يتعاملون مع هذه الأمور الخلافيّة بحسّاسيّةٍ كبيرةٍ وإصرارٍ وعنادٍ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أهل السنّة عندما يرون شيعياً يصلّي وهو مسبل اليدين يأخذون عنه انطباعاً سيّئاً، ويرون عمله هذا بدعة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التكتف، وكما قلنا، من الأمورالمستحبة في الصلاة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والطريف أنّ أتباع المذهب المالكي وهم طيف واسع من أهل السنّة يرون عدم استحباب التكتف أثناء الصلاة، ويقولون إنّ المستحب هو إسبال اليدين، كما يفعل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الذي يستند إليه أهل السنّة في استحباب هذا العمل، فهو عبارة عن روايتين ضعيفتين من حيث السند</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وبغض النظر عن ذلك، فمن الواضح أنّ هذا العدد من الروايات قليل جداً وغير صالحٍ للاستدلال، إذ لو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يتكتف في صلاته أمام مئات الصحابة يوميّاً عندما كان بينهم، لروي ذلك عنه بكثرةٍ؛ بينما لا نرى في هذا الصدد سوى شخصين رويا هذا الأمر؟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أنّ هذا العمل وطبقاً للشواهد التأريخية الكثيرة هو بدعة من بعض </w:t>
      </w:r>
      <w:bookmarkStart w:id="239" w:name="pg2007_10990"/>
    </w:p>
    <w:p>
      <w:pPr>
        <w:pStyle w:val="BookText"/>
        <w:rPr/>
      </w:pPr>
      <w:bookmarkEnd w:id="239"/>
      <w:r>
        <w:rPr>
          <w:rFonts w:ascii="Amiri" w:hAnsi="Amiri" w:eastAsia="Amiri" w:cs="Amiri"/>
          <w:color w:val="111111"/>
          <w:sz w:val="28"/>
          <w:sz w:val="28"/>
          <w:szCs w:val="28"/>
          <w:rtl w:val="true"/>
          <w:lang w:bidi="ar-SA"/>
        </w:rPr>
        <w:t xml:space="preserve">الخلفاء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تصوراً منهم أنّه سببٌ للخشوع، فأدخلوه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فإنّ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عارضوا هذا العمل ونهوا عنه وشبّهوه بما يفعله المجوس عند ملوكهم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المستبعد أن المسلمين تعرّفوا على التكتّف أمام الملوك خلال فتوحاتهم لبلاد فارس واختلاطهم مع الفرس في زمن الخليفة الثاني عمر بن الخطّاب</w:t>
      </w:r>
      <w:r>
        <w:rPr>
          <w:rFonts w:eastAsia="Amiri" w:cs="Amiri" w:ascii="Amiri" w:hAnsi="Amiri"/>
          <w:color w:val="111111"/>
          <w:sz w:val="28"/>
          <w:szCs w:val="28"/>
          <w:rtl w:val="true"/>
          <w:lang w:bidi="ar-SA"/>
        </w:rPr>
        <w:t xml:space="preserve">. </w:t>
      </w:r>
      <w:r>
        <w:rPr>
          <w:rStyle w:val="FootnoteAnchor"/>
          <w:rtl w:val="true"/>
        </w:rPr>
        <w:footnoteReference w:id="254"/>
      </w:r>
    </w:p>
    <w:p>
      <w:pPr>
        <w:pStyle w:val="Heading5"/>
        <w:numPr>
          <w:ilvl w:val="4"/>
          <w:numId w:val="1"/>
        </w:numPr>
        <w:rPr/>
      </w:pPr>
      <w:bookmarkStart w:id="240" w:name="__RefHeading___Toc4036717_3650668749"/>
      <w:bookmarkStart w:id="241" w:name="_Toc90"/>
      <w:bookmarkEnd w:id="240"/>
      <w:r>
        <w:rPr>
          <w:rtl w:val="true"/>
        </w:rPr>
        <w:t>ب</w:t>
      </w:r>
      <w:r>
        <w:rPr>
          <w:rtl w:val="true"/>
        </w:rPr>
        <w:t xml:space="preserve">- </w:t>
      </w:r>
      <w:r>
        <w:rPr>
          <w:rtl w:val="true"/>
        </w:rPr>
        <w:t xml:space="preserve">قول </w:t>
      </w:r>
      <w:r>
        <w:rPr>
          <w:rtl w:val="true"/>
        </w:rPr>
        <w:t>(</w:t>
      </w:r>
      <w:r>
        <w:rPr>
          <w:rtl w:val="true"/>
        </w:rPr>
        <w:t>آمين</w:t>
      </w:r>
      <w:r>
        <w:rPr>
          <w:rtl w:val="true"/>
        </w:rPr>
        <w:t xml:space="preserve">) </w:t>
      </w:r>
      <w:r>
        <w:rPr>
          <w:rtl w:val="true"/>
        </w:rPr>
        <w:t>بعد قراءة سورة الحمد في الصلاة</w:t>
      </w:r>
      <w:bookmarkEnd w:id="241"/>
    </w:p>
    <w:p>
      <w:pPr>
        <w:pStyle w:val="BookText"/>
        <w:rPr/>
      </w:pPr>
      <w:r>
        <w:rPr>
          <w:rFonts w:ascii="Amiri" w:hAnsi="Amiri" w:eastAsia="Amiri" w:cs="Amiri"/>
          <w:color w:val="111111"/>
          <w:sz w:val="28"/>
          <w:sz w:val="28"/>
          <w:szCs w:val="28"/>
          <w:rtl w:val="true"/>
          <w:lang w:bidi="ar-SA"/>
        </w:rPr>
        <w:t xml:space="preserve">يقول أهل السنّة في صلاتهم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الانتهاء من قراءة سورة الحمد، ويرى الشيعة أنّ هذا العمل غير صحيح ولا يعرفون له مستنداً شرعياً، لأنّه من المؤكّد أنّ هذه الكلمة ليست جزءاً من سورة الحمد أو من القرآن، ولايوجد دليلٌ شرعيٌّ مقبول يسوّغ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والراوي للحديث الذي يعتمد عليه أهل السنّة في استدلالهم على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روعية ذلك هو أبو هريرة </w:t>
      </w:r>
      <w:r>
        <w:rPr>
          <w:rStyle w:val="FootnoteAnchor"/>
          <w:rtl w:val="true"/>
        </w:rPr>
        <w:footnoteReference w:id="255"/>
      </w:r>
      <w:r>
        <w:rPr>
          <w:rFonts w:ascii="Amiri" w:hAnsi="Amiri" w:eastAsia="Amiri" w:cs="Amiri"/>
          <w:color w:val="111111"/>
          <w:sz w:val="28"/>
          <w:sz w:val="28"/>
          <w:szCs w:val="28"/>
          <w:rtl w:val="true"/>
          <w:lang w:bidi="ar-SA"/>
        </w:rPr>
        <w:t>، وقد قيل الكثير في شأن رواياته وضعفها وعدم صحّة الاستناد إليها، إذ إنّ ما يرويه لايخلو من تحريفٍ وتلاعبٍ؛ لأنّ مضمون رواياته في أماكن أخرى قد جاء خالياً من الإشارة إلى كون ذلك في حال الصلاة أو بعد الفراغ من سورة الحمد، وكان مقتصراً على قول آمين بعد دعاء الآخرِين</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دليل آخر وهو قول أحد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أسمع الأئمّة ابن الزبير ومن بعده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للمسجد للجة</w:t>
      </w:r>
      <w:r>
        <w:rPr>
          <w:rFonts w:eastAsia="Amiri" w:cs="Amiri" w:ascii="Amiri" w:hAnsi="Amiri"/>
          <w:color w:val="111111"/>
          <w:sz w:val="28"/>
          <w:szCs w:val="28"/>
          <w:rtl w:val="true"/>
          <w:lang w:bidi="ar-SA"/>
        </w:rPr>
        <w:t xml:space="preserve">. </w:t>
      </w:r>
      <w:r>
        <w:rPr>
          <w:rStyle w:val="FootnoteAnchor"/>
          <w:rtl w:val="true"/>
        </w:rPr>
        <w:footnoteReference w:id="257"/>
      </w:r>
      <w:bookmarkStart w:id="242" w:name="pg2007_10991"/>
    </w:p>
    <w:p>
      <w:pPr>
        <w:pStyle w:val="BookText"/>
        <w:rPr/>
      </w:pPr>
      <w:bookmarkEnd w:id="242"/>
      <w:r>
        <w:rPr>
          <w:rFonts w:ascii="Amiri" w:hAnsi="Amiri" w:eastAsia="Amiri" w:cs="Amiri"/>
          <w:color w:val="111111"/>
          <w:sz w:val="28"/>
          <w:sz w:val="28"/>
          <w:szCs w:val="28"/>
          <w:rtl w:val="true"/>
          <w:lang w:bidi="ar-SA"/>
        </w:rPr>
        <w:t xml:space="preserve">لكن من بديهي القول أنّ هذه الرواية لا تدل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 وأقصى ما تدل عليه أنّ البعض من أمثال ابن الزبير كان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المقابل، اعتبر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العمل بدعة في الصلاة، وأنّ نسبة هذا الفعل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لأحد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خلف إمام فقرأ الحمد وفرغ من قراءتها فقل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يقول القاضي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رأي أهل‌البيت في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وكرهوا صلوات الله عليهم أن يقال بعد فراغ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 بن محمّد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كانت النصارى تقولها</w:t>
      </w:r>
      <w:r>
        <w:rPr>
          <w:rFonts w:eastAsia="Amiri" w:cs="Amiri" w:ascii="Amiri" w:hAnsi="Amiri"/>
          <w:color w:val="111111"/>
          <w:sz w:val="28"/>
          <w:szCs w:val="28"/>
          <w:rtl w:val="true"/>
          <w:lang w:bidi="ar-SA"/>
        </w:rPr>
        <w:t xml:space="preserve">» .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وعند التأمّل في كلام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 هذا العمل كالتكتّف، أي أنّه ليس من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من نتائج الفتوحات الإسلامية في العقود الأولى من تأريخ الأمّة الإسلامية</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4036719_3650668749"/>
      <w:bookmarkStart w:id="244" w:name="_Toc91"/>
      <w:bookmarkEnd w:id="243"/>
      <w:r>
        <w:rPr>
          <w:rtl w:val="true"/>
        </w:rPr>
        <w:t>ج</w:t>
      </w:r>
      <w:r>
        <w:rPr>
          <w:rtl w:val="true"/>
        </w:rPr>
        <w:t xml:space="preserve">- </w:t>
      </w:r>
      <w:r>
        <w:rPr>
          <w:rtl w:val="true"/>
        </w:rPr>
        <w:t>السجود على التربة</w:t>
      </w:r>
      <w:bookmarkEnd w:id="24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المسائل الفقهية الفرعية الأخرى التي حدث فيها خلاف بين الشيعة والسنّة هي مسألة السجود على التربة </w:t>
      </w:r>
      <w:r>
        <w:rPr>
          <w:rStyle w:val="FootnoteAnchor"/>
          <w:rtl w:val="true"/>
        </w:rPr>
        <w:footnoteReference w:id="260"/>
      </w:r>
      <w:r>
        <w:rPr>
          <w:rFonts w:ascii="Amiri" w:hAnsi="Amiri" w:eastAsia="Amiri" w:cs="Amiri"/>
          <w:color w:val="111111"/>
          <w:sz w:val="28"/>
          <w:sz w:val="28"/>
          <w:szCs w:val="28"/>
          <w:rtl w:val="true"/>
          <w:lang w:bidi="ar-SA"/>
        </w:rPr>
        <w:t xml:space="preserve">، ومن الواضح أنّ المقصود بالتربة هو </w:t>
      </w:r>
    </w:p>
    <w:p>
      <w:pPr>
        <w:pStyle w:val="BookText"/>
        <w:rPr/>
      </w:pPr>
      <w:r>
        <w:rPr>
          <w:rFonts w:ascii="Amiri" w:hAnsi="Amiri" w:eastAsia="Amiri" w:cs="Amiri"/>
          <w:color w:val="111111"/>
          <w:sz w:val="28"/>
          <w:sz w:val="28"/>
          <w:szCs w:val="28"/>
          <w:rtl w:val="true"/>
          <w:lang w:bidi="ar-SA"/>
        </w:rPr>
        <w:t>التراب لا أكثر، على خلاف ما يتصوّره بعض أهل السنّة من أنّ الشيعة يكنّون قداسة واحتراماً خاصّاً للتربة التي يسجدون عليها في الصلاة، بل يصل الأمر لبعض أهل‌السنّة أنّهم يتهمون الشيعة بعبادتها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يسجدون على التربة لا للتربة، والغريب أنّ بعض أهل السنّة يعتقدون بأنّ الشيعة لمّا كانوا يضعون التربة أمامهم عند الصلاة فهم يعبدونها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كان هذا هو التفسير لذلك، فمن غير الممكن أن لا يكون أمام المصلي حال صلاته شيء أو يقف وليس أمامه شيء، فماذا يقولون في هذه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نعتبر أهل السنّة حين يضعون جباههم أثناء الصلاة على الفراش أو السجادة أو ما شابه ذلك أنّهم يعبدون هذه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نيّة المصلّي في سجوده هي التي تشخّص طبيعة عبادته؟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السجود هو إظهار للعبودية والتذلّل والاستكانة بين يدي ربّ العالمين، ومن المؤكدّ أنّه إذا تمّ هذا العمل على التراب كان أبلغ في الدلالة على إظهار هذه النوايا التي يكنّها العبد المؤمن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فالتراب هو مصدر نشأة الإنسان وإليه يعود في آخر المطاف، والسجود عليه تذكيرٌ بهذه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السجود على التراب قطعاً ليس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حيث أصبح من الامور البديهيّة، وإنكاره لايعدو كونه انحرافاً في الفكر ومكابرة وعناد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يرى الشيعة اعتماداً على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كثير من الصحابة، أنّ السجود لا يجوز إلّا على الأرض أو ما هو منها، ويرون انّ السجود على المأكولات والملبوسات والسجّادة وما شابه ذلك غير جائز، خلافاً لما يذهب إليه أهل السنة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أهل السنّة يرون أنّ السجود على الأرض مستحبٌّ، وأنّ السجود على ما تنبته الأرض جائز، والسجود على الثياب وما </w:t>
      </w:r>
    </w:p>
    <w:p>
      <w:pPr>
        <w:pStyle w:val="BookText"/>
        <w:rPr/>
      </w:pPr>
      <w:r>
        <w:rPr>
          <w:rFonts w:ascii="Amiri" w:hAnsi="Amiri" w:eastAsia="Amiri" w:cs="Amiri"/>
          <w:color w:val="111111"/>
          <w:sz w:val="28"/>
          <w:sz w:val="28"/>
          <w:szCs w:val="28"/>
          <w:rtl w:val="true"/>
          <w:lang w:bidi="ar-SA"/>
        </w:rPr>
        <w:t>شابهها مكروه</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وعل كل حال فمن المؤكدّ أنّ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وصحابته كانوا يضعون جباههم على التراب إعراباً عن عبوديّتهم لله تعالى، وأمّا وضع الجباه على الفرش الفاخرة وما شابه ذلك، ممّا راج في العصر الراهن، فليس من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الأحاديث التي يمكن الاستدلال بها على هذا الأمر، الحديث المتواتر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xml:space="preserve">» .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فطبقاً لهذا الحديث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ولأمّته، الأرضَ محلاً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الأخبار التي تحكي لنا فعل الصحابة أثناء صلاتهم من سجودهم في الحرّ الشديد على الحص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التي يضعونها في أيديهم حتى تبرد ليتمكّنوا من السجود عليها</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لذا، من المؤكدّ أنّ السجود لو كان جائزاً على الثياب وغيرها لما وقعوا بهذا الحرج، وكان يكفي كل واحد منهم أن يضع قطعة من القماش فيسجد عليها، بل يمكنه الاستعاضة عن ذلك بالسجود على عبائته أو طرف عمامته، كما يقرّ بذلك بعض علماء أهل السنّة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وقد أكد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مسألة السجود على الأرض، وهذا يعتبر أهم دليل لدى الشيعة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هشام بن الحكم مايلي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يصح السجود عليه وما لا يصح، فأجابني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السجود لا يجوز إلّا على الأرض أو ما أنبتت الأرض إلّا ما </w:t>
      </w:r>
    </w:p>
    <w:p>
      <w:pPr>
        <w:pStyle w:val="BookText"/>
        <w:rPr/>
      </w:pPr>
      <w:r>
        <w:rPr>
          <w:rFonts w:ascii="Amiri" w:hAnsi="Amiri" w:eastAsia="Amiri" w:cs="Amiri"/>
          <w:color w:val="111111"/>
          <w:sz w:val="28"/>
          <w:sz w:val="28"/>
          <w:szCs w:val="28"/>
          <w:rtl w:val="true"/>
          <w:lang w:bidi="ar-SA"/>
        </w:rPr>
        <w:t>أُكل أو لُبس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العلّة 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السجود هو الخضوع لله عزّ وجل، فلا ينبغي أن يكون على ما يؤكل ويلبس؛ لأنّ أبناء الدنيا عبيد ما يأكلون ويلبسون، والساجد في سجوده في عبادة الله تعالى فلا ينبغي أن يضع جبهته في سجوده على معبود أبناء الدنيا الذين اغتروا بغرورها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والسجود على الأرض أفضل؛ لأنّه أبلغ في التواضع والخضوع لله عزّ وجل</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وأيضاً 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السجود على الأرض فريضة وعلى الحصير وما شابه من الأشياء المصنوعة من نبات الأرض، من السنّة</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وكذلك فقد أجاب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سأله عن جواز السجود على القير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على الثوب الكرسف ولا على الصوف ولا على شيء من الحيوان ولاعلى طعام ولا على شيء من ثمار الأرض ولا على شيء من الرياش</w:t>
      </w:r>
      <w:r>
        <w:rPr>
          <w:rFonts w:eastAsia="Amiri" w:cs="Amiri" w:ascii="Amiri" w:hAnsi="Amiri"/>
          <w:color w:val="111111"/>
          <w:sz w:val="28"/>
          <w:szCs w:val="28"/>
          <w:rtl w:val="true"/>
          <w:lang w:bidi="ar-SA"/>
        </w:rPr>
        <w:t xml:space="preserve">» .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ويجدر بنا هنا التعرّض للشبهة التي يطرحها أهل‌السنّة بخصوص السجود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 الحسينية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الشخصيات الإسلامية ذات الشأن العالي وأن قدره عظيمٌ وهو من عترة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ثار ضدّ الظلم من أجل الإصلاح في أمّة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وإحياء لسنّته، وقد استشهد هو وكوكبة من أهل بيته وأصحابه النجباء في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حول شخصيته وما رافقها من أحداث هامّة، متفّقٌ عليه تقريباً بين جميع الطوائف الإسلامية على اختلاف مشاربها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واستناداً إلى الأحاديث المرويّة في المصادر الشيعية ومصادر أهل السنّة من </w:t>
      </w:r>
      <w:bookmarkStart w:id="245" w:name="pg2007_10995"/>
    </w:p>
    <w:p>
      <w:pPr>
        <w:pStyle w:val="BookText"/>
        <w:rPr/>
      </w:pPr>
      <w:bookmarkEnd w:id="245"/>
      <w:r>
        <w:rPr>
          <w:rFonts w:ascii="Amiri" w:hAnsi="Amiri" w:eastAsia="Amiri" w:cs="Amiri"/>
          <w:color w:val="111111"/>
          <w:sz w:val="28"/>
          <w:sz w:val="28"/>
          <w:szCs w:val="28"/>
          <w:rtl w:val="true"/>
          <w:lang w:bidi="ar-SA"/>
        </w:rPr>
        <w:t xml:space="preserve">إخبار جبرائيل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شهادة حفيده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العلائم التي أعطاها جبرائيل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قبضة من تربة أرض كربلاء، حفظتها 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المضمون قد جاء في مجموعة من الروايات رواها كبار علماء أهل السنّة، فقد رواها كل من أحمد بن حنبل </w:t>
      </w:r>
      <w:r>
        <w:rPr>
          <w:rStyle w:val="FootnoteAnchor"/>
          <w:rtl w:val="true"/>
        </w:rPr>
        <w:footnoteReference w:id="268"/>
      </w:r>
      <w:r>
        <w:rPr>
          <w:rFonts w:ascii="Amiri" w:hAnsi="Amiri" w:eastAsia="Amiri" w:cs="Amiri"/>
          <w:color w:val="111111"/>
          <w:sz w:val="28"/>
          <w:sz w:val="28"/>
          <w:szCs w:val="28"/>
          <w:rtl w:val="true"/>
          <w:lang w:bidi="ar-SA"/>
        </w:rPr>
        <w:t xml:space="preserve">، أبويعلى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الهيثمي </w:t>
      </w:r>
      <w:r>
        <w:rPr>
          <w:rStyle w:val="FootnoteAnchor"/>
          <w:rtl w:val="true"/>
        </w:rPr>
        <w:footnoteReference w:id="272"/>
      </w:r>
      <w:r>
        <w:rPr>
          <w:rFonts w:ascii="Amiri" w:hAnsi="Amiri" w:eastAsia="Amiri" w:cs="Amiri"/>
          <w:color w:val="111111"/>
          <w:sz w:val="28"/>
          <w:sz w:val="28"/>
          <w:szCs w:val="28"/>
          <w:rtl w:val="true"/>
          <w:lang w:bidi="ar-SA"/>
        </w:rPr>
        <w:t>، وكثيرون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فالشيعة، وانطلاقاً من هذه الروايات الكثيرة وروايات متواترة أخرى عن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يرون في تربة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 رمزاً للإيمان وروح الجهاد وعنوان الشهادة، ويعتقدون بأنّ لها آثاراً معنوية كثيرة، ولذا يرون أنّ السجود عليها عند الصلاة أمر راجح ومستحسن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العلامة الأميني حول هذه المسألة رسالة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أجاب فيها على التساؤلات والشبهات المطروحة من قبل بعض عوام أهل السنّة حولها وبشكل علمي رصين</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4036721_3650668749"/>
      <w:bookmarkStart w:id="247" w:name="_Toc92"/>
      <w:bookmarkEnd w:id="246"/>
      <w:r>
        <w:rPr>
          <w:rtl w:val="true"/>
        </w:rPr>
        <w:t>د</w:t>
      </w:r>
      <w:r>
        <w:rPr>
          <w:rtl w:val="true"/>
        </w:rPr>
        <w:t xml:space="preserve">- </w:t>
      </w:r>
      <w:r>
        <w:rPr>
          <w:rtl w:val="true"/>
        </w:rPr>
        <w:t>الجمع بين الصلاتين</w:t>
      </w:r>
      <w:bookmarkEnd w:id="24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المسائل الأخرى التي اختلف فيها الشيعة والسنّة، هي مسألة الجمع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يجمعون عادة بين صلاتي الظهر والعص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فيصلون </w:t>
      </w:r>
    </w:p>
    <w:p>
      <w:pPr>
        <w:pStyle w:val="BookText"/>
        <w:rPr/>
      </w:pPr>
      <w:r>
        <w:rPr>
          <w:rFonts w:ascii="Amiri" w:hAnsi="Amiri" w:eastAsia="Amiri" w:cs="Amiri"/>
          <w:color w:val="111111"/>
          <w:sz w:val="28"/>
          <w:sz w:val="28"/>
          <w:szCs w:val="28"/>
          <w:rtl w:val="true"/>
          <w:lang w:bidi="ar-SA"/>
        </w:rPr>
        <w:t>الظهر والعصر معاً بشكل متتابع، والمغرب والعشاء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السنّة فعادة يفصلون بين الصلاتين ويتجنّبون الجمع بينهما ما أمكنهم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بدءاً لا بد أن نعرف أنّ هذه المسألة ليست ذات أهمية كبيرة، لأنّ الجمع بين الصلاتين ليس بواجب بناءاً على رأي الشيعة، وليس هو بغير جائزٍ على رأي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يقومون بالجمع بين صلاتي الظهر والعص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وصلاتي المغرب والعشاء، حتى من دون عذر اتباعاً لسنّة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وامتثالاً للأحاديث الكثيرة الواردة عن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الرغم من أنّهم يرون الفصل بين الصلاتين مشروعاً بل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مصادر الشيعة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السفر يجمع بين المغرب والعشاء والظهر والعص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إنّما يفعل ذلك إذا كان مستعجلاً</w:t>
      </w:r>
      <w:r>
        <w:rPr>
          <w:rFonts w:eastAsia="Amiri" w:cs="Amiri" w:ascii="Amiri" w:hAnsi="Amiri"/>
          <w:color w:val="111111"/>
          <w:sz w:val="28"/>
          <w:szCs w:val="28"/>
          <w:rtl w:val="true"/>
          <w:lang w:bidi="ar-SA"/>
        </w:rPr>
        <w:t xml:space="preserve">» .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الظهر والعص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حين زالت الشمس في جماعة من غير علّة، وصلّى بهم المغرب والعشاء الآخرة قبل سقوط الشفق من غير علّة في جماعة؛ وإنّما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ليتّسع الوقت على أمّته</w:t>
      </w:r>
      <w:r>
        <w:rPr>
          <w:rFonts w:eastAsia="Amiri" w:cs="Amiri" w:ascii="Amiri" w:hAnsi="Amiri"/>
          <w:color w:val="111111"/>
          <w:sz w:val="28"/>
          <w:szCs w:val="28"/>
          <w:rtl w:val="true"/>
          <w:lang w:bidi="ar-SA"/>
        </w:rPr>
        <w:t xml:space="preserve">» .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كما رويت أحاديث كثيرة عن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جواز الجمع بين الصلاتين لا لعلّة ولا لسفر</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أهل السنّة فيرون أنّه لا مانع من الجمع بين الصلاتين اتباعاً لسنّة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لكنّهم يؤكّدون عل الاقتصار بأن يكون هذا الجمع بين الصلاتين في السفر أو لعذر، أمّا في غيرهما فيرون التفريق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واستناداً إلى ما جاء في المصادر الروائية عند أهل السنّة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يكون على عجلة في سفره كان يجمع بين الصلاتين</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وكذلك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مصادرهم أنّه في عام تبوك قد جمع بين الصلاتين لا لعلّة أو عذر</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وكذلك روي عن عبدالله بن شقيق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ابن عبّاس يوماً بعد العصر حتى غربت الشمس وبدت النجوم، وعلق الناس ينادونه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القوم رجلٌ من بني تميم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أتعلّمني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فوجدت في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من ذلك شيئاً، فلقيت أباهريرة فسألته، فوافقه</w:t>
      </w:r>
      <w:r>
        <w:rPr>
          <w:rFonts w:eastAsia="Amiri" w:cs="Amiri" w:ascii="Amiri" w:hAnsi="Amiri"/>
          <w:color w:val="111111"/>
          <w:sz w:val="28"/>
          <w:szCs w:val="28"/>
          <w:rtl w:val="true"/>
          <w:lang w:bidi="ar-SA"/>
        </w:rPr>
        <w:t xml:space="preserve">» .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وهناك روايات أخرى تحكي جمع النبيّ بين الصلاتين في غير السفر ولالعذر، ممّا يجعل هذا الأمر مطابقاً لسنّة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27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يتبيّن أن هاذين الرأيين في هذه المسألة قريبان جداً من بعضهما البعض، ويمكن أن نوفّق بينهما ونجمعهما، بل يمكن أن يقال إنّه لا خلاف بينهما</w:t>
      </w:r>
      <w:r>
        <w:rPr>
          <w:rFonts w:eastAsia="Amiri" w:cs="Amiri" w:ascii="Amiri" w:hAnsi="Amiri"/>
          <w:color w:val="111111"/>
          <w:sz w:val="28"/>
          <w:szCs w:val="28"/>
          <w:rtl w:val="true"/>
          <w:lang w:bidi="ar-SA"/>
        </w:rPr>
        <w:t xml:space="preserve">! </w:t>
      </w:r>
      <w:bookmarkStart w:id="248" w:name="pg2007_10998"/>
    </w:p>
    <w:p>
      <w:pPr>
        <w:pStyle w:val="Heading2"/>
        <w:numPr>
          <w:ilvl w:val="1"/>
          <w:numId w:val="1"/>
        </w:numPr>
        <w:rPr/>
      </w:pPr>
      <w:bookmarkStart w:id="249" w:name="__RefHeading___Toc4036723_3650668749"/>
      <w:bookmarkStart w:id="250" w:name="_Toc93"/>
      <w:bookmarkEnd w:id="248"/>
      <w:bookmarkEnd w:id="249"/>
      <w:r>
        <w:rPr>
          <w:rtl w:val="true"/>
        </w:rPr>
        <w:t>المصادر</w:t>
      </w:r>
      <w:bookmarkEnd w:id="2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تحقيق محمّد عبده، دار الذخائر،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الآحاد والمثاني، ابن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دارالدراية،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أحمد بن علي الجصّاص، بيروت، دار 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الحديث، محمّد بن إدريس الشافعي، بلا تأريخ 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محمّد بن الحسن الطوسي،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إلى سبيل الرشاد، المنصور بالله، صنعاء، دار الحكمة اليمانية،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محمّد بن محمد بن نعمان المفيد، بيروت، دار المفيد،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الإستبصار، محمّد بن الحسن الطوسي، دارالكتب الإسلامية،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الإستذكار، يوسف بن عبدالله بن عبدالبر، بيروت، دارالكتب العلمية،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الاستيعاب، يوسف بن عبدالله بن عبدالبر، بيروت، دار الجيل،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الشيعة و أصولها، محمّد حسين كاشف الغطاء، مؤسّسة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على السنّة النبويّة، محمود أبو ريه، نشر البطحاء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المسيحية، يوسف شلبي متولّي، الدار الكويتية،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الإعتصام بالكتاب والسنّة، 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الاعتقادات، محمّد بن محمد بن نعمان المفيد، بلا تأريخ 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محمّد بن الحسن الطوسي، دار الثقافة،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محمّد بن علي بن بابويه، قم، مركز الطباعة والنش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في مؤسّسة البعثة،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وعقيدة، رمضان لاوند، بيروت، دار مكتبة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والتبصرة، علي بن بابويه القمّي، قم،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فضل بن شاذان، نشر جامعة طهران،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الكفر، جعفر السبحاني، بلا تأريخ 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محمّد باقر المجلسي، بيروت، دار الرضا،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محمّد بن الحسن بن صفّار، منشورات الأعلمي،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خلدون، عبدالرحمن بن خلدون، بيروت، مؤسّسة الأعلمي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الإسلام، محمّد بن أحمد الذهبي، بيروت، دار الكتاب العربي،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 محمّد بن جرير الطبري، بيروت، 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التأريخ الكبير محمّد بن إسماعيل البخاري، تركيا، المكتبة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علي بن الحسن بن عساكر، بيروت، دارالفكر،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مختلف الحديث، عبدالله بن مسلم بن قتيبة، بيروت، 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الأحوذي، عبدالرحمن بن عبدالرحيم المباركفوري، بيروت، دارالكتب العلمية،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محمّد بن أحمد الذهبي، بيروت، دار احياء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الموضوعات، محمّد طاهر بن علي الفتني، بلا تأريخ 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الثعلبي، الثعلبي، بيروت، دار إحياء التراث العربي،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محمّد بن مسعود العياشي، المكتبة العلمية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فخرالدين الرازي، بيروت، دارالكتب العلمية،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أحمد بن علي بن حجر، بيروت، دارالكتب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يوسف بن عبدالله بن عبدالبر، المغرب، وزارة عموم الأوقاف والشؤون الإسلامية،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الأحكام، محمّد بن الحسن الطوسي، دارالكتب الإسلامية،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يوسف المزي، بيروت، مؤسّسة الرسالة،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و الشرك في القرآن الكريم، جعفر السبحاني، بلا تأريخ 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محمّد بن علي بن بابويه، 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محمد بن حِبّان، مؤسّسة الكتب الثقافية،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محمّد بن جرير الطبري، بيروت، دارالفكر،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بيان العلم و فضله، يوسف بن عبدالله بن عبدالبر، بيروت، دارالكتب العلمية،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أبوحاتم الرازي، بيروت، دار إحياء التراث العربي،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جزء الحميري، علي بن محمّد الحميري، دار الطحاوي،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خيثمة، خيثمة بن سليمان، بيروت، دارالكتاب العربي،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أميرالمؤمنين، أحمد بن شعيب النسائي، طهران، مكتبة نينوى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محمّد بن علي بن بابويه، تصحيح علي أكبر غفاري، جماعة المدرسّين،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محمّد بن عمرو العقيلي، نشر الفقاهة،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جلال الدين السيوطي، جدّة، دارالمعرفة،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معالم الحكم، محمد بن سلامة، قم، مكتبة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القاضي نعمان المغربي، القاهرة، دارالمعارف،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الارتياب عن حديث الباب، علي بن محمّد العلوي، قم، دارالقرآن الكريم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النصّ بخبر الغدير، محمّد بن علي الكراجكي، قم، مؤسّسة آل‌البيت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الطوسي، محمّد بن الحسن الطوسي، 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الإسلامي،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 أحمد بن علي النجاشي، قم، 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الإسلامي،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رهيافتي بر علم سياست و جنبش‌هاي اسلامي معاصر، الفراتي، المركز العالمين للعلوم الإسلاميّة،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سليمان بن أشعث أبو داود، بيروت، دارالفكر،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محمّد بن عيسى الترمذي، بيروت، دارالفكر،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علي بن عمر الدارقطني، دارالكتب العلمية،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 عبدالله بن عبدالرحمن الدارمي، دمشق، مطبعة الإعتدال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الكبري، أبو بكر البيهقي،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الكبري، أحمد بن شعيب النسائي، بيروت، دارالفكر،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محمّد بن يزيد بن ماجة،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المواقف، علي بن محمّد الجرجاني،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مطبعة السعادة،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صحيح مسلم، محيي الدين النووي، بيروت، دارالكتاب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أبي الحديد، دار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في الميزان، محمّد جواد مغنيه، بيروت، دار التعارف،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إسماعيل بن حمّاد الجوهري، بيروت، دارالعلم للملايين،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محمد بن حِبّان، مؤسّسة الرسالة،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خزيمة، محمّد بن إسحاق بن خزيمه، المكتب الإسلامي،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الحجّاج،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محمّد بن إسماعيل البخاري،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الشيعة، محمّد بن علي بن بابويه، طهران، عابدي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الضعفاء، محمّد بن عمرو العقيلي، بيروت، دارالكتب العلمية،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ضعيف سنن الترمذي، محمّد ناصرالدين الألباني، بيروت، المكتب الإسلامي،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سبأ، سيد مرتضي العسكري، نشر توحيد،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محمد بن نعمان المفيد، بيروت، دار المفيد،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علي بن بابويه، النجف، المكتبة الحيدرية،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محمّد حسين المظفّر، بيروت، دار الزهراء،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 محمود بن أحمد العيني، بيروت،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علي بن بابويه، بيروت، مؤسّسة الأعلمي،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إبراهيم بن محمّد الثقفي، تحقيق سيد جلال‌الدين حسيني، بلاتأريخ 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أحمد بن علي بن حجر، بيروت، 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الملك العلي بصحّة حديث باب مدينة العلم علي، أحمد بن الصديق المغربي، اصفهان، مكتبة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الفتنة ووقعة الجمل، سيف بن عمر الضبّي، بيروت، دار النفائس،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المكّية، محيي‌الدين بن عربي،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تأليف الأمّة، عبدالحسين شرف الدين، قسم الإعلام الخارجي لمؤسّسة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احمد بن حنبل، بيروت، دارالكتب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أحمد بن شعيب النسائي، بيروت، 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محمّد عبدالرؤوف المناوي، بيروت، دارالكتب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عبدالله بن جعفر الحميري، قم، مؤسّسة آل البيت لإحياء التراث،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قطب الدين الراوندي، قم، مؤسّسة الهادي،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المبين عن وجوب مسح الرّجلين، محمّد بن علي الكراجكي، قم، مؤسّسة آل البيت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محمّد بن يعقوب الكليني، طهران، دارالكتب الإسلامية،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جعفر بن محمّد بن قولويه، نشر الفقاهة،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عبدالله بن عدي، بيروت، دارالفكر،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السنّة، ابن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 الإسلامي،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المسند، محمّد بن إدريس الشافعي، بيروت، دارالكتب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الارتياب، سيد محسن الأمين، قم، مؤسّسة أنصاريان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ابن ابي الفتوح الأربلي، بيروت، دارالأضواء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كمال‌الدين و تمام النعمة، محمّد بن علي بن بابويه، 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الإسلامي،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المتّقي الهندي، بيروت،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محمّد بن علي الكراجكي، مكتبة المصطفوي،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فخر الدين الطريحي، مكتب نشر الثقافة الإسلامية،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فضل بن الحسن الطبرسي، بيروت، مؤسّسة الأعلمي للمطبوعات،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نور الدين الهيثمي، بيروت، دارالكتب العلمية،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محيي الدين النووي، دارالفكر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گفتمان‌هاي مذاهب اسلامي، محمّد تقي فخلعي، نشر المشعر،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أحمد بن محمّد البرقي، طهران، دارالكتب الإسلامية،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عبدالله الحاكم النيشابوري، بيروت، دار المعرفة،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مستدركات علم رجال الحديث، علي نمازي، الناشر ابن المؤلّف،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المسترشد،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مؤسّسة الثقافة الإسلامية لكوشانبور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المسلك في أصول الدين، جعفر بن الحسن المحقّق الحلّي، مشهد، مجمع البحوث العلمية،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حنيفة، أبو نعيم الإصفهاني، الرياض، مكتبة الكوثر،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أبو يعلى الموصلي، دارالمأمون،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الطيالسي، سليمان بن داود الطيالسي، بيروت، دارالحديث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احمد بن حنبل،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مشاهير علماء الأمصار، محمّد بن أحمد الذهبي، دارالوفاء،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ابن أبي شيبة، بيروت، دارالفكر،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عبدالرزاق الصنعاني، المجلس العلمي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رجال الفكر، السيد مرتض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الرضوي، بيروت، الإرشاد،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محمّد بن علي بن بابويه، 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الإسلامي،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أبو جعفر النحّاس، جامعة أمّ القرى،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الأوسط، سليمان بن أحمد الطبراني، دار الحرمين،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سليمان بن أحمد الطبراني،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الثقات، أحمد بن عبدالله العجلي، المدينة، مكتبة الدار،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والنحل، محمّد بن عبدالكريم الشهرستاني، بيروت، 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محمّد بن علي بن بابويه، تصحيح علي أكبر غفاري، قم،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محمّد بن علي بن شهرآشوب، النجف، المطبعة الحيدرية،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سليمان الكوفي، مجمع إحياء الثقافة الإسلامية،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موفّق الدين الخوارزمي، مؤسّسة النشر الإسلامي،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المنتظر في ضوء الأحاديث والآثار الصحيحة، عبدالعظيم البستوني، المكتبة المكّية،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 محمّد حسين الطباطبائي، قم، 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النافع يوم الحش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شرح الباب الحادي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المقداد السيوري، بيروت، دار الأضواء،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نشأة التشيع، السيد طالب الخرسان، نشر الشريف الرضي،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 السمطين، الزرندي الحنفي، مكتبة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الكبرى، الحسين بن حمدان الخصيبي، بيروت، مؤسّسة البلاغ،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الصفدي، بيروت، دار إحياء التراث،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محمّد بن الحسن الحرّ العاملي، قم، مؤسّسة آل البيت،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سليمان بن إبراهيم القندوزي، دار الأسوة،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ووقعة الجمل، دعوة عبدالله بن سبأ،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تأويل مختلف الأحاديث،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الضعفاء،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الوافي بالوفيات،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من المصادر السنية المعاصرة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النبوية،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المهدي المنتظر في ضوء الاحاديث والأخبار الصحيحة،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سبأ،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الشخصية المعروفة المعاصرة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لمعرفة رأيه في هذا الموضوع، 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رجال الفكر،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من لا يحض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الأمالي للطوسي،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الهداية الكبرى،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كمثال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رجال الطوسي،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خلاصة الاقوال،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التشيع</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جزء الحميري،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الاستذكار،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وأصولها،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في الميزان،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إلى سبيل الرشاد،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أكثر الشيعة في عصرنا الحاضر في دولة اليمن هم من الشيعة الزيدية</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على هذه الفرق المزعومة،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كنز الفوائد،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الإمام، محمد حسين المظفر، نشر سنة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مع اختلاف يسير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أبي‌يعلى،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أحمد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المصنّف، عبد الرزاق الصنعاني،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المصنف ابن أبي‌شيبه،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الآحاد والمثاني،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الإستيعاب،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حديث خيثمة،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 بصحّة حديث باب مدينة العلم علي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الارتياب عن حديث الباب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سنن الترمذي،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الإيضاح،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المناوي، فيض القدير،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دستور معالم الحكم،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دستور معالم الحكم،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صص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المناوي،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التواتر مصطلح حديثي يطلق على الرواية التي يبلغ عدد رواتها في طبقة واحدة من الرواة بقدر يستحيل عادة تبانيهم وتواطؤهم على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هذا الحديث يتمتّع بأعلى درجات الاعتبار والقبول وتكون حجّيته ثابتة بالدليل العقلي حينئذٍ</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كمثال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باب في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إنّي تارك فيكم الثقلين ،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سنن الدارمي،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فضائل الصحابة،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السنن الكبرى،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الوقوف على تفصيل أكثر في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مرجعية أهل البيت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حوارات المذاهب الإسلامية، للدكتور محمد تقي فخلعي،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والكتاب عنوانه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گفتمان‌هاى مذاهب اسلامى</w:t>
      </w:r>
      <w:r>
        <w:rPr>
          <w:rFonts w:eastAsia="IRNazanin" w:cs="IRNazanin"/>
          <w:b w:val="false"/>
          <w:bCs w:val="false"/>
          <w:i w:val="false"/>
          <w:iCs w:val="false"/>
          <w:color w:val="333333"/>
          <w:sz w:val="20"/>
          <w:szCs w:val="20"/>
          <w:rtl w:val="true"/>
        </w:rPr>
        <w:t>) .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حنيفة،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التاريخ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وعقيدة،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وقد ورد نص هذا الحديث في بعض المصادر السنية،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الكبير،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وفي بعضها الآخر بدل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يَعْلَمُ تَأْوِيلَهُ إِلَّا اللهُ وَ الرَّاسِخُونَ فِي الْعِلْمِ يَقُولُونَ آمَنَّا بِهِ كُلٌّ مِنْ عِنْدِ رَبِّنا وَ ما يَذَّكَّرُ إِلَّا أُولُوا الْأَلْبابِ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الَّذِينَ كَفَرُوا لَسْتَ مُرْسَلاً قُلْ كَفى بِاللهِ شَهِيداً بَيْنِي وَ بَيْنَكُمْ وَ مَنْ عِنْدَهُ عِلْمُ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مناقب آل أبي‌طالب،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جامع بيان العلم وفضله،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فتح الملك العلى،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تفسير الرازي،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تاريخ الإسلام،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في أصول الدين،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في أصول الدين،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كنموذج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يوم الحشر في شرح الباب الحادي عشر،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عيون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وهذا نص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عندنا على أنّ إجماع الأمة حجة؛ والدليل على ذلك أنّ الله تعالى أمر بطاعة أولي الأمر على سبيل الجزم في هذه الآية، ومن أمر الله بطاعته على سبيل الجزم والقطع لا بد وأن يكون معصوماً عن الخطأ، إذ لو لم يكن معصوماً عن الخطأ كان بتقدير إقدامه على الخطأ يكون قد أمر الله بمتابعته، فيكون ذلك أمراً بفعل ذلك الخطأ، والخطأ لكونه خطأ منهياً عنه، فهذا يفضي إلى اجتماع الأمر والنهي في الفعل الواحد بالاعتبار الواحد، وأنّه محال، فثبت أنّ الله تعالى أمر بطاعة أولي الأمر على سبيل الجزم، وثبت أنّ كل من أمر الله بطاعته على سبيل الجزم وجب أن يكون معصوماً عن الخطأ، فثبت قطعاً أنّ أولي الأمر المذكور في هذه الآية لا بد وأن يكون معصوماً، ثمّ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المعصوم إمّا مجموع الأمّة أو بعض الأمّة، لا جائز أن يكون بعض الأمة؛ لأنّا بيّنّا أن الله تعالى أوجب طاعة أولي الأمر في هذه الآية قطعاً، وإيجاب طاعتهم قطعاً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روط بكوننا عارفين بهم قادرين على الوصول إليهم والاستفادة منهم، ونحن نعلم بالضرورة أنّا في زماننا هذا عاجزون عن معرفة الإمام المعصوم، عاجزون عن الوصول إليهم، عاجزون عن استفادة الدين والعلم منهم، وإذا كان الأمر كذلك علمنا أنّ المعصوم الذي أمر الله المؤمنين بطاعته ليس بعضاً من أبعاض الأمّة، ولا طائفة من طوائفهم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بطل هذا وجب أن يكون ذلك المعصوم الذي هو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الحل والعقد من الأمة، وذلك يوجب القطع بأنّ إجماع الأمة حجّة</w:t>
      </w:r>
      <w:r>
        <w:rPr>
          <w:rFonts w:eastAsia="IRNazanin" w:cs="IRNazanin"/>
          <w:b w:val="false"/>
          <w:bCs w:val="false"/>
          <w:i w:val="false"/>
          <w:iCs w:val="false"/>
          <w:color w:val="333333"/>
          <w:sz w:val="20"/>
          <w:szCs w:val="20"/>
          <w:rtl w:val="true"/>
        </w:rPr>
        <w:t>» .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كمثال على 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ينابيع المودّة لذوي القربى،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كمال الدين و تمام النعمة،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السنن الكبري،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للنووي،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الأمالي، ابن بابويه،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المعجم الأوسط،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أحكام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تفسيرالرازي،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النص بخبر الغدير</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علل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فضائل الصحابة،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المصنّف، ابن أبي شيبة،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كتاب السنّة،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السنن الكبري،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جزء الحميري،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سنن النسائي،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فضائل الصحابة،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مسند الطيالسي،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فضائل الصحابة،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قصص الأنبياء، قطب الدين الراوندي،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الإمامة والتبصرة،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 اختلاف في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سنن أبي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حديث خيثمة،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سنن أبي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 في ضوء الأحاديث والآثارالصحيحة، صص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أَرْسَلْنا نُوحاً إِلى قَوْمِهِ فَلَبِثَ فِيهِمْ أَلْفَ سَنَةٍ إِلَّا خَمْسِينَ عاماً فَأَخَذَهُمُ الطُّوفانُ وَ هُمْ ظالِمُونَ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يَحْيى خُذِ الْكِتابَ بِقُوَّةٍ وَ آتَيْناهُ الْحُكْمَ صَبِيًّا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إِنِّي عَبْدُ اللهِ آتانِيَ الْكِتابَ وَ جَعَلَنِي 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نظم درر السمطين،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ومعاني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الخوارزمي،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ينابيع المودّة، القندوزي،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الخوارزمي،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الكافي للكليني،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ابن بابويه،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تَوَلَّوْا مِنْكُمْ يَوْمَ الْتَقَى الْجَمْعانِ إِنَّمَا اسْتَزَلَّهُمُ الشَّيْطانُ بِبَعْضِ ما كَسَبُوا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فَإِنْ ماتَ أَوْ قُتِلَ انْقَلَبْتُمْ عَلى أَعْقابِكُمْ وَ مَنْ يَنْقَلِبْ عَلى عَقِبَيْهِ فَلَنْ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 اللهَ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جاءَكُمْ فاسِقٌ بِنَبَإٍ فَتَبَيَّنُوا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أكثر على نظرية عدالة الصحابة وتقيمها،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حوارات بين المذاهب الإسلامية،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 .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جاء فيه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تَتَّقُواْ مِنْهُمْ تُقَاةً وهي تقيّة</w:t>
      </w:r>
      <w:r>
        <w:rPr>
          <w:rFonts w:eastAsia="IRNazanin" w:cs="IRNazanin"/>
          <w:b w:val="false"/>
          <w:bCs w:val="false"/>
          <w:i w:val="false"/>
          <w:iCs w:val="false"/>
          <w:color w:val="333333"/>
          <w:sz w:val="20"/>
          <w:szCs w:val="20"/>
          <w:rtl w:val="true"/>
        </w:rPr>
        <w:t>. . .»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السنن الكبرى،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كمثال على اختلاف في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الحديث،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بالكتاب والسنّة،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 الرزّاق الصنعاني،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جملة الآراء في المسألة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الطبري،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 الرزّاق الصنعاني،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بالكتاب والسنة،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 الرزّاق الصنعاني،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وما بعدها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بالكتاب والسنة،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السنن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بالكتاب والسنة،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الحديث الثالث لم يروَ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يصح الاستناد إليه</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المسند،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المسند، الشافعي،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نشر دار المعارف، القاهرة،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الحجارة تتخذ من التراب الطاهر وتصنع على شكل قوالب مختلفة، توضع في المساجد والبيوت ليضع المصلّين جباههم عليها أثناء السجود؛ باعتبارها طاهرةً يصح السجود عليها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صحيح ابن خزيمة،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سنن أبي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السنن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باب جواز الجمع بين الصلاتين لغير عذر أيضاً</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الشافعي، صص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الشافعي،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سنن الدارمي،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سنن الدارمي،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28690</Words>
  <Characters>127040</Characters>
  <CharactersWithSpaces>154637</CharactersWithSpaces>
  <Paragraphs>1547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2026-08-16T20:19:08Z</dcterms:created>
  <dc:creator>ghaemiyeh.com</dc:creator>
  <dc:description/>
  <dc:language>en-US</dc:language>
  <cp:lastModifiedBy/>
  <dcterms:modified xsi:type="dcterms:W3CDTF">2026-08-16T23:49:12Z</dcterms:modified>
  <cp:revision>1</cp:revision>
  <dc:subject/>
  <dc:title>التشیع نشاته و عقایده</dc:title>
</cp:coreProperties>
</file>

<file path=docProps/custom.xml><?xml version="1.0" encoding="utf-8"?>
<Properties xmlns="http://schemas.openxmlformats.org/officeDocument/2006/custom-properties" xmlns:vt="http://schemas.openxmlformats.org/officeDocument/2006/docPropsVTypes"/>
</file>