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نور هدایت در نقد کتاب آن گاه که صحابه را شناختم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96349_3650668749">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3696351_365066874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3696353_3650668749">
            <w:r>
              <w:rPr>
                <w:webHidden/>
                <w:rStyle w:val="IndexLink"/>
                <w:rtl w:val="true"/>
              </w:rPr>
              <w:t>مقدمه</w:t>
            </w:r>
            <w:r>
              <w:rPr>
                <w:rStyle w:val="IndexLink"/>
                <w:rtl w:val="true"/>
              </w:rPr>
              <w:tab/>
            </w:r>
            <w:r>
              <w:rPr>
                <w:rStyle w:val="IndexLink"/>
              </w:rPr>
              <w:t>23</w:t>
            </w:r>
          </w:hyperlink>
        </w:p>
        <w:p>
          <w:pPr>
            <w:pStyle w:val="Contents2"/>
            <w:tabs>
              <w:tab w:val="clear" w:pos="8743"/>
              <w:tab w:val="right" w:pos="9026" w:leader="dot"/>
            </w:tabs>
            <w:rPr/>
          </w:pPr>
          <w:hyperlink w:anchor="__RefHeading___Toc3696355_3650668749">
            <w:r>
              <w:rPr>
                <w:webHidden/>
                <w:rStyle w:val="IndexLink"/>
              </w:rPr>
              <w:t>١</w:t>
            </w:r>
            <w:r>
              <w:rPr>
                <w:rStyle w:val="IndexLink"/>
                <w:rtl w:val="true"/>
              </w:rPr>
              <w:t xml:space="preserve"> عاشورا و فرصت طلبى برخى از افراد ناآگاه</w:t>
            </w:r>
            <w:r>
              <w:rPr>
                <w:rStyle w:val="IndexLink"/>
                <w:rtl w:val="true"/>
              </w:rPr>
              <w:tab/>
            </w:r>
            <w:r>
              <w:rPr>
                <w:rStyle w:val="IndexLink"/>
              </w:rPr>
              <w:t>27</w:t>
            </w:r>
          </w:hyperlink>
        </w:p>
        <w:p>
          <w:pPr>
            <w:pStyle w:val="Contents3"/>
            <w:tabs>
              <w:tab w:val="clear" w:pos="8459"/>
              <w:tab w:val="right" w:pos="9026" w:leader="dot"/>
            </w:tabs>
            <w:rPr/>
          </w:pPr>
          <w:hyperlink w:anchor="__RefHeading___Toc3696357_3650668749">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3696359_3650668749">
            <w:r>
              <w:rPr>
                <w:webHidden/>
                <w:rStyle w:val="IndexLink"/>
                <w:rtl w:val="true"/>
              </w:rPr>
              <w:t>پاسخ</w:t>
            </w:r>
            <w:r>
              <w:rPr>
                <w:rStyle w:val="IndexLink"/>
                <w:rtl w:val="true"/>
              </w:rPr>
              <w:tab/>
            </w:r>
            <w:r>
              <w:rPr>
                <w:rStyle w:val="IndexLink"/>
              </w:rPr>
              <w:t>27</w:t>
            </w:r>
          </w:hyperlink>
        </w:p>
        <w:p>
          <w:pPr>
            <w:pStyle w:val="Contents3"/>
            <w:tabs>
              <w:tab w:val="clear" w:pos="8459"/>
              <w:tab w:val="right" w:pos="9026" w:leader="dot"/>
            </w:tabs>
            <w:rPr/>
          </w:pPr>
          <w:hyperlink w:anchor="__RefHeading___Toc3696361_3650668749">
            <w:r>
              <w:rPr>
                <w:webHidden/>
                <w:rStyle w:val="IndexLink"/>
                <w:rtl w:val="true"/>
              </w:rPr>
              <w:t>برپايى مراسم</w:t>
            </w:r>
            <w:r>
              <w:rPr>
                <w:rStyle w:val="IndexLink"/>
                <w:rtl w:val="true"/>
              </w:rPr>
              <w:tab/>
            </w:r>
            <w:r>
              <w:rPr>
                <w:rStyle w:val="IndexLink"/>
              </w:rPr>
              <w:t>29</w:t>
            </w:r>
          </w:hyperlink>
        </w:p>
        <w:p>
          <w:pPr>
            <w:pStyle w:val="Contents3"/>
            <w:tabs>
              <w:tab w:val="clear" w:pos="8459"/>
              <w:tab w:val="right" w:pos="9026" w:leader="dot"/>
            </w:tabs>
            <w:rPr/>
          </w:pPr>
          <w:hyperlink w:anchor="__RefHeading___Toc3696363_3650668749">
            <w:r>
              <w:rPr>
                <w:webHidden/>
                <w:rStyle w:val="IndexLink"/>
                <w:rtl w:val="true"/>
              </w:rPr>
              <w:t xml:space="preserve">وجوب محبت به اهل بيت پيامبر </w:t>
            </w:r>
            <w:r>
              <w:rPr>
                <w:rStyle w:val="IndexLink"/>
                <w:rtl w:val="true"/>
              </w:rPr>
              <w:t>(</w:t>
            </w:r>
            <w:r>
              <w:rPr>
                <w:rStyle w:val="IndexLink"/>
                <w:rtl w:val="true"/>
              </w:rPr>
              <w:t>ص</w:t>
            </w:r>
            <w:r>
              <w:rPr>
                <w:rStyle w:val="IndexLink"/>
                <w:rtl w:val="true"/>
              </w:rPr>
              <w:t>)</w:t>
              <w:tab/>
            </w:r>
            <w:r>
              <w:rPr>
                <w:rStyle w:val="IndexLink"/>
              </w:rPr>
              <w:t>29</w:t>
            </w:r>
          </w:hyperlink>
        </w:p>
        <w:p>
          <w:pPr>
            <w:pStyle w:val="Contents3"/>
            <w:tabs>
              <w:tab w:val="clear" w:pos="8459"/>
              <w:tab w:val="right" w:pos="9026" w:leader="dot"/>
            </w:tabs>
            <w:rPr/>
          </w:pPr>
          <w:hyperlink w:anchor="__RefHeading___Toc3696365_3650668749">
            <w:r>
              <w:rPr>
                <w:webHidden/>
                <w:rStyle w:val="IndexLink"/>
                <w:rtl w:val="true"/>
              </w:rPr>
              <w:t xml:space="preserve">عزادارى جهان هستى بر امام حسين </w:t>
            </w:r>
            <w:r>
              <w:rPr>
                <w:rStyle w:val="IndexLink"/>
                <w:rtl w:val="true"/>
              </w:rPr>
              <w:t>(</w:t>
            </w:r>
            <w:r>
              <w:rPr>
                <w:rStyle w:val="IndexLink"/>
                <w:rtl w:val="true"/>
              </w:rPr>
              <w:t>ع</w:t>
            </w:r>
            <w:r>
              <w:rPr>
                <w:rStyle w:val="IndexLink"/>
                <w:rtl w:val="true"/>
              </w:rPr>
              <w:t>)</w:t>
              <w:tab/>
            </w:r>
            <w:r>
              <w:rPr>
                <w:rStyle w:val="IndexLink"/>
              </w:rPr>
              <w:t>32</w:t>
            </w:r>
          </w:hyperlink>
        </w:p>
        <w:p>
          <w:pPr>
            <w:pStyle w:val="Contents3"/>
            <w:tabs>
              <w:tab w:val="clear" w:pos="8459"/>
              <w:tab w:val="right" w:pos="9026" w:leader="dot"/>
            </w:tabs>
            <w:rPr/>
          </w:pPr>
          <w:hyperlink w:anchor="__RefHeading___Toc3696367_3650668749">
            <w:r>
              <w:rPr>
                <w:webHidden/>
                <w:rStyle w:val="IndexLink"/>
                <w:rtl w:val="true"/>
              </w:rPr>
              <w:t xml:space="preserve">عزادارى پيامبر </w:t>
            </w:r>
            <w:r>
              <w:rPr>
                <w:rStyle w:val="IndexLink"/>
                <w:rtl w:val="true"/>
              </w:rPr>
              <w:t>(</w:t>
            </w:r>
            <w:r>
              <w:rPr>
                <w:rStyle w:val="IndexLink"/>
                <w:rtl w:val="true"/>
              </w:rPr>
              <w:t>ص</w:t>
            </w:r>
            <w:r>
              <w:rPr>
                <w:rStyle w:val="IndexLink"/>
                <w:rtl w:val="true"/>
              </w:rPr>
              <w:t xml:space="preserve">) </w:t>
            </w:r>
            <w:r>
              <w:rPr>
                <w:rStyle w:val="IndexLink"/>
                <w:rtl w:val="true"/>
              </w:rPr>
              <w:t xml:space="preserve">بر امام حسين </w:t>
            </w:r>
            <w:r>
              <w:rPr>
                <w:rStyle w:val="IndexLink"/>
                <w:rtl w:val="true"/>
              </w:rPr>
              <w:t>(</w:t>
            </w:r>
            <w:r>
              <w:rPr>
                <w:rStyle w:val="IndexLink"/>
                <w:rtl w:val="true"/>
              </w:rPr>
              <w:t>ع</w:t>
            </w:r>
            <w:r>
              <w:rPr>
                <w:rStyle w:val="IndexLink"/>
                <w:rtl w:val="true"/>
              </w:rPr>
              <w:t>)</w:t>
              <w:tab/>
            </w:r>
            <w:r>
              <w:rPr>
                <w:rStyle w:val="IndexLink"/>
              </w:rPr>
              <w:t>33</w:t>
            </w:r>
          </w:hyperlink>
        </w:p>
        <w:p>
          <w:pPr>
            <w:pStyle w:val="Contents2"/>
            <w:tabs>
              <w:tab w:val="clear" w:pos="8743"/>
              <w:tab w:val="right" w:pos="9026" w:leader="dot"/>
            </w:tabs>
            <w:rPr/>
          </w:pPr>
          <w:hyperlink w:anchor="__RefHeading___Toc3696369_3650668749">
            <w:r>
              <w:rPr>
                <w:webHidden/>
                <w:rStyle w:val="IndexLink"/>
              </w:rPr>
              <w:t>٢</w:t>
            </w:r>
            <w:r>
              <w:rPr>
                <w:rStyle w:val="IndexLink"/>
                <w:rtl w:val="true"/>
              </w:rPr>
              <w:t xml:space="preserve"> نذر براى غير خداوند</w:t>
            </w:r>
            <w:r>
              <w:rPr>
                <w:rStyle w:val="IndexLink"/>
                <w:rtl w:val="true"/>
              </w:rPr>
              <w:tab/>
            </w:r>
            <w:r>
              <w:rPr>
                <w:rStyle w:val="IndexLink"/>
              </w:rPr>
              <w:t>34</w:t>
            </w:r>
          </w:hyperlink>
        </w:p>
        <w:p>
          <w:pPr>
            <w:pStyle w:val="Contents3"/>
            <w:tabs>
              <w:tab w:val="clear" w:pos="8459"/>
              <w:tab w:val="right" w:pos="9026" w:leader="dot"/>
            </w:tabs>
            <w:rPr/>
          </w:pPr>
          <w:hyperlink w:anchor="__RefHeading___Toc3696371_3650668749">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3696373_3650668749">
            <w:r>
              <w:rPr>
                <w:webHidden/>
                <w:rStyle w:val="IndexLink"/>
                <w:rtl w:val="true"/>
              </w:rPr>
              <w:t>پاسخ</w:t>
            </w:r>
            <w:r>
              <w:rPr>
                <w:rStyle w:val="IndexLink"/>
                <w:rtl w:val="true"/>
              </w:rPr>
              <w:tab/>
            </w:r>
            <w:r>
              <w:rPr>
                <w:rStyle w:val="IndexLink"/>
              </w:rPr>
              <w:t>35</w:t>
            </w:r>
          </w:hyperlink>
        </w:p>
        <w:p>
          <w:pPr>
            <w:pStyle w:val="Contents3"/>
            <w:tabs>
              <w:tab w:val="clear" w:pos="8459"/>
              <w:tab w:val="right" w:pos="9026" w:leader="dot"/>
            </w:tabs>
            <w:rPr/>
          </w:pPr>
          <w:hyperlink w:anchor="__RefHeading___Toc3696375_3650668749">
            <w:r>
              <w:rPr>
                <w:webHidden/>
                <w:rStyle w:val="IndexLink"/>
                <w:rtl w:val="true"/>
              </w:rPr>
              <w:t>الف</w:t>
            </w:r>
            <w:r>
              <w:rPr>
                <w:rStyle w:val="IndexLink"/>
                <w:rtl w:val="true"/>
              </w:rPr>
              <w:t xml:space="preserve">) </w:t>
            </w:r>
            <w:r>
              <w:rPr>
                <w:rStyle w:val="IndexLink"/>
                <w:rtl w:val="true"/>
              </w:rPr>
              <w:t>نذر و احكام آن</w:t>
            </w:r>
            <w:r>
              <w:rPr>
                <w:rStyle w:val="IndexLink"/>
                <w:rtl w:val="true"/>
              </w:rPr>
              <w:tab/>
            </w:r>
            <w:r>
              <w:rPr>
                <w:rStyle w:val="IndexLink"/>
              </w:rPr>
              <w:t>35</w:t>
            </w:r>
          </w:hyperlink>
        </w:p>
        <w:p>
          <w:pPr>
            <w:pStyle w:val="Contents4"/>
            <w:tabs>
              <w:tab w:val="clear" w:pos="8176"/>
              <w:tab w:val="right" w:pos="9026" w:leader="dot"/>
            </w:tabs>
            <w:rPr/>
          </w:pPr>
          <w:hyperlink w:anchor="__RefHeading___Toc3696377_3650668749">
            <w:r>
              <w:rPr>
                <w:webHidden/>
                <w:rStyle w:val="IndexLink"/>
                <w:rtl w:val="true"/>
              </w:rPr>
              <w:t xml:space="preserve">يك </w:t>
            </w:r>
            <w:r>
              <w:rPr>
                <w:rStyle w:val="IndexLink"/>
                <w:rtl w:val="true"/>
              </w:rPr>
              <w:t xml:space="preserve">- </w:t>
            </w:r>
            <w:r>
              <w:rPr>
                <w:rStyle w:val="IndexLink"/>
                <w:rtl w:val="true"/>
              </w:rPr>
              <w:t>نذر بدون ذكر نام خدا</w:t>
            </w:r>
            <w:r>
              <w:rPr>
                <w:rStyle w:val="IndexLink"/>
                <w:rtl w:val="true"/>
              </w:rPr>
              <w:tab/>
            </w:r>
            <w:r>
              <w:rPr>
                <w:rStyle w:val="IndexLink"/>
              </w:rPr>
              <w:t>35</w:t>
            </w:r>
          </w:hyperlink>
        </w:p>
        <w:p>
          <w:pPr>
            <w:pStyle w:val="Contents4"/>
            <w:tabs>
              <w:tab w:val="clear" w:pos="8176"/>
              <w:tab w:val="right" w:pos="9026" w:leader="dot"/>
            </w:tabs>
            <w:rPr/>
          </w:pPr>
          <w:hyperlink w:anchor="__RefHeading___Toc3696379_3650668749">
            <w:r>
              <w:rPr>
                <w:webHidden/>
                <w:rStyle w:val="IndexLink"/>
                <w:rtl w:val="true"/>
              </w:rPr>
              <w:t xml:space="preserve">دو </w:t>
            </w:r>
            <w:r>
              <w:rPr>
                <w:rStyle w:val="IndexLink"/>
                <w:rtl w:val="true"/>
              </w:rPr>
              <w:t xml:space="preserve">- </w:t>
            </w:r>
            <w:r>
              <w:rPr>
                <w:rStyle w:val="IndexLink"/>
                <w:rtl w:val="true"/>
              </w:rPr>
              <w:t>مورد نذر</w:t>
            </w:r>
            <w:r>
              <w:rPr>
                <w:rStyle w:val="IndexLink"/>
                <w:rtl w:val="true"/>
              </w:rPr>
              <w:tab/>
            </w:r>
            <w:r>
              <w:rPr>
                <w:rStyle w:val="IndexLink"/>
              </w:rPr>
              <w:t>36</w:t>
            </w:r>
          </w:hyperlink>
        </w:p>
        <w:p>
          <w:pPr>
            <w:pStyle w:val="Contents4"/>
            <w:tabs>
              <w:tab w:val="clear" w:pos="8176"/>
              <w:tab w:val="right" w:pos="9026" w:leader="dot"/>
            </w:tabs>
            <w:rPr/>
          </w:pPr>
          <w:hyperlink w:anchor="__RefHeading___Toc3696381_3650668749">
            <w:r>
              <w:rPr>
                <w:webHidden/>
                <w:rStyle w:val="IndexLink"/>
                <w:rtl w:val="true"/>
              </w:rPr>
              <w:t xml:space="preserve">سه </w:t>
            </w:r>
            <w:r>
              <w:rPr>
                <w:rStyle w:val="IndexLink"/>
                <w:rtl w:val="true"/>
              </w:rPr>
              <w:t xml:space="preserve">- </w:t>
            </w:r>
            <w:r>
              <w:rPr>
                <w:rStyle w:val="IndexLink"/>
                <w:rtl w:val="true"/>
              </w:rPr>
              <w:t>نذر براى غير خداوند</w:t>
            </w:r>
            <w:r>
              <w:rPr>
                <w:rStyle w:val="IndexLink"/>
                <w:rtl w:val="true"/>
              </w:rPr>
              <w:tab/>
            </w:r>
            <w:r>
              <w:rPr>
                <w:rStyle w:val="IndexLink"/>
              </w:rPr>
              <w:t>37</w:t>
            </w:r>
          </w:hyperlink>
        </w:p>
        <w:p>
          <w:pPr>
            <w:pStyle w:val="Contents4"/>
            <w:tabs>
              <w:tab w:val="clear" w:pos="8176"/>
              <w:tab w:val="right" w:pos="9026" w:leader="dot"/>
            </w:tabs>
            <w:rPr/>
          </w:pPr>
          <w:hyperlink w:anchor="__RefHeading___Toc3696383_3650668749">
            <w:r>
              <w:rPr>
                <w:webHidden/>
                <w:rStyle w:val="IndexLink"/>
                <w:rtl w:val="true"/>
              </w:rPr>
              <w:t xml:space="preserve">چهار </w:t>
            </w:r>
            <w:r>
              <w:rPr>
                <w:rStyle w:val="IndexLink"/>
                <w:rtl w:val="true"/>
              </w:rPr>
              <w:t xml:space="preserve">- </w:t>
            </w:r>
            <w:r>
              <w:rPr>
                <w:rStyle w:val="IndexLink"/>
                <w:rtl w:val="true"/>
              </w:rPr>
              <w:t>چگونگى نذر شيعيان</w:t>
            </w:r>
            <w:r>
              <w:rPr>
                <w:rStyle w:val="IndexLink"/>
                <w:rtl w:val="true"/>
              </w:rPr>
              <w:tab/>
            </w:r>
            <w:r>
              <w:rPr>
                <w:rStyle w:val="IndexLink"/>
              </w:rPr>
              <w:t>38</w:t>
            </w:r>
          </w:hyperlink>
        </w:p>
        <w:p>
          <w:pPr>
            <w:pStyle w:val="Contents3"/>
            <w:tabs>
              <w:tab w:val="clear" w:pos="8459"/>
              <w:tab w:val="right" w:pos="9026" w:leader="dot"/>
            </w:tabs>
            <w:rPr/>
          </w:pPr>
          <w:hyperlink w:anchor="__RefHeading___Toc3696385_3650668749">
            <w:r>
              <w:rPr>
                <w:webHidden/>
                <w:rStyle w:val="IndexLink"/>
                <w:rtl w:val="true"/>
              </w:rPr>
              <w:t>ب</w:t>
            </w:r>
            <w:r>
              <w:rPr>
                <w:rStyle w:val="IndexLink"/>
                <w:rtl w:val="true"/>
              </w:rPr>
              <w:t xml:space="preserve">) </w:t>
            </w:r>
            <w:r>
              <w:rPr>
                <w:rStyle w:val="IndexLink"/>
                <w:rtl w:val="true"/>
              </w:rPr>
              <w:t>شبيه‌سازى در مراسم تعزيه</w:t>
            </w:r>
            <w:r>
              <w:rPr>
                <w:rStyle w:val="IndexLink"/>
                <w:rtl w:val="true"/>
              </w:rPr>
              <w:tab/>
            </w:r>
            <w:r>
              <w:rPr>
                <w:rStyle w:val="IndexLink"/>
              </w:rPr>
              <w:t>39</w:t>
            </w:r>
          </w:hyperlink>
        </w:p>
        <w:p>
          <w:pPr>
            <w:pStyle w:val="Contents3"/>
            <w:tabs>
              <w:tab w:val="clear" w:pos="8459"/>
              <w:tab w:val="right" w:pos="9026" w:leader="dot"/>
            </w:tabs>
            <w:rPr/>
          </w:pPr>
          <w:hyperlink w:anchor="__RefHeading___Toc3696387_3650668749">
            <w:r>
              <w:rPr>
                <w:webHidden/>
                <w:rStyle w:val="IndexLink"/>
                <w:rtl w:val="true"/>
              </w:rPr>
              <w:t>پاسخ</w:t>
            </w:r>
            <w:r>
              <w:rPr>
                <w:rStyle w:val="IndexLink"/>
                <w:rtl w:val="true"/>
              </w:rPr>
              <w:tab/>
            </w:r>
            <w:r>
              <w:rPr>
                <w:rStyle w:val="IndexLink"/>
              </w:rPr>
              <w:t>39</w:t>
            </w:r>
          </w:hyperlink>
        </w:p>
        <w:p>
          <w:pPr>
            <w:pStyle w:val="Contents3"/>
            <w:tabs>
              <w:tab w:val="clear" w:pos="8459"/>
              <w:tab w:val="right" w:pos="9026" w:leader="dot"/>
            </w:tabs>
            <w:rPr/>
          </w:pPr>
          <w:hyperlink w:anchor="__RefHeading___Toc3696389_3650668749">
            <w:r>
              <w:rPr>
                <w:webHidden/>
                <w:rStyle w:val="IndexLink"/>
                <w:rtl w:val="true"/>
              </w:rPr>
              <w:t>برداشت جاهلانه و تعابير زننده از حقايق معنوى</w:t>
            </w:r>
            <w:r>
              <w:rPr>
                <w:rStyle w:val="IndexLink"/>
                <w:rtl w:val="true"/>
              </w:rPr>
              <w:tab/>
            </w:r>
            <w:r>
              <w:rPr>
                <w:rStyle w:val="IndexLink"/>
              </w:rPr>
              <w:t>40</w:t>
            </w:r>
          </w:hyperlink>
        </w:p>
        <w:p>
          <w:pPr>
            <w:pStyle w:val="Contents3"/>
            <w:tabs>
              <w:tab w:val="clear" w:pos="8459"/>
              <w:tab w:val="right" w:pos="9026" w:leader="dot"/>
            </w:tabs>
            <w:rPr/>
          </w:pPr>
          <w:hyperlink w:anchor="__RefHeading___Toc3696391_3650668749">
            <w:r>
              <w:rPr>
                <w:webHidden/>
                <w:rStyle w:val="IndexLink"/>
                <w:rtl w:val="true"/>
              </w:rPr>
              <w:t>تأثير شگرف مراسم تعزيه در ترويج مكتب و تهييج مردم</w:t>
            </w:r>
            <w:r>
              <w:rPr>
                <w:rStyle w:val="IndexLink"/>
                <w:rtl w:val="true"/>
              </w:rPr>
              <w:tab/>
            </w:r>
            <w:r>
              <w:rPr>
                <w:rStyle w:val="IndexLink"/>
              </w:rPr>
              <w:t>41</w:t>
            </w:r>
          </w:hyperlink>
        </w:p>
        <w:p>
          <w:pPr>
            <w:pStyle w:val="Contents3"/>
            <w:tabs>
              <w:tab w:val="clear" w:pos="8459"/>
              <w:tab w:val="right" w:pos="9026" w:leader="dot"/>
            </w:tabs>
            <w:rPr/>
          </w:pPr>
          <w:hyperlink w:anchor="__RefHeading___Toc3696393_3650668749">
            <w:r>
              <w:rPr>
                <w:webHidden/>
                <w:rStyle w:val="IndexLink"/>
                <w:rtl w:val="true"/>
              </w:rPr>
              <w:t>ج</w:t>
            </w:r>
            <w:r>
              <w:rPr>
                <w:rStyle w:val="IndexLink"/>
                <w:rtl w:val="true"/>
              </w:rPr>
              <w:t xml:space="preserve">) </w:t>
            </w:r>
            <w:r>
              <w:rPr>
                <w:rStyle w:val="IndexLink"/>
                <w:rtl w:val="true"/>
              </w:rPr>
              <w:t>برآورده شدن نذر، تأييدى الهى بر آن</w:t>
            </w:r>
            <w:r>
              <w:rPr>
                <w:rStyle w:val="IndexLink"/>
                <w:rtl w:val="true"/>
              </w:rPr>
              <w:tab/>
            </w:r>
            <w:r>
              <w:rPr>
                <w:rStyle w:val="IndexLink"/>
              </w:rPr>
              <w:t>42</w:t>
            </w:r>
          </w:hyperlink>
        </w:p>
        <w:p>
          <w:pPr>
            <w:pStyle w:val="Contents3"/>
            <w:tabs>
              <w:tab w:val="clear" w:pos="8459"/>
              <w:tab w:val="right" w:pos="9026" w:leader="dot"/>
            </w:tabs>
            <w:rPr/>
          </w:pPr>
          <w:hyperlink w:anchor="__RefHeading___Toc3696395_3650668749">
            <w:r>
              <w:rPr>
                <w:webHidden/>
                <w:rStyle w:val="IndexLink"/>
                <w:rtl w:val="true"/>
              </w:rPr>
              <w:t>پاسخ</w:t>
            </w:r>
            <w:r>
              <w:rPr>
                <w:rStyle w:val="IndexLink"/>
                <w:rtl w:val="true"/>
              </w:rPr>
              <w:tab/>
            </w:r>
            <w:r>
              <w:rPr>
                <w:rStyle w:val="IndexLink"/>
              </w:rPr>
              <w:t>42</w:t>
            </w:r>
          </w:hyperlink>
        </w:p>
        <w:p>
          <w:pPr>
            <w:pStyle w:val="Contents3"/>
            <w:tabs>
              <w:tab w:val="clear" w:pos="8459"/>
              <w:tab w:val="right" w:pos="9026" w:leader="dot"/>
            </w:tabs>
            <w:rPr/>
          </w:pPr>
          <w:hyperlink w:anchor="__RefHeading___Toc3696397_3650668749">
            <w:r>
              <w:rPr>
                <w:webHidden/>
                <w:rStyle w:val="IndexLink"/>
                <w:rtl w:val="true"/>
              </w:rPr>
              <w:t>د</w:t>
            </w:r>
            <w:r>
              <w:rPr>
                <w:rStyle w:val="IndexLink"/>
                <w:rtl w:val="true"/>
              </w:rPr>
              <w:t xml:space="preserve">) </w:t>
            </w:r>
            <w:r>
              <w:rPr>
                <w:rStyle w:val="IndexLink"/>
                <w:rtl w:val="true"/>
              </w:rPr>
              <w:t>رابطه كمك خواستن از غير خداوند و شرك</w:t>
            </w:r>
            <w:r>
              <w:rPr>
                <w:rStyle w:val="IndexLink"/>
                <w:rtl w:val="true"/>
              </w:rPr>
              <w:tab/>
            </w:r>
            <w:r>
              <w:rPr>
                <w:rStyle w:val="IndexLink"/>
              </w:rPr>
              <w:t>43</w:t>
            </w:r>
          </w:hyperlink>
        </w:p>
        <w:p>
          <w:pPr>
            <w:pStyle w:val="Contents3"/>
            <w:tabs>
              <w:tab w:val="clear" w:pos="8459"/>
              <w:tab w:val="right" w:pos="9026" w:leader="dot"/>
            </w:tabs>
            <w:rPr/>
          </w:pPr>
          <w:hyperlink w:anchor="__RefHeading___Toc3696399_3650668749">
            <w:r>
              <w:rPr>
                <w:webHidden/>
                <w:rStyle w:val="IndexLink"/>
                <w:rtl w:val="true"/>
              </w:rPr>
              <w:t>پاسخ</w:t>
            </w:r>
            <w:r>
              <w:rPr>
                <w:rStyle w:val="IndexLink"/>
                <w:rtl w:val="true"/>
              </w:rPr>
              <w:tab/>
            </w:r>
            <w:r>
              <w:rPr>
                <w:rStyle w:val="IndexLink"/>
              </w:rPr>
              <w:t>44</w:t>
            </w:r>
          </w:hyperlink>
        </w:p>
        <w:p>
          <w:pPr>
            <w:pStyle w:val="Contents2"/>
            <w:tabs>
              <w:tab w:val="clear" w:pos="8743"/>
              <w:tab w:val="right" w:pos="9026" w:leader="dot"/>
            </w:tabs>
            <w:rPr/>
          </w:pPr>
          <w:hyperlink w:anchor="__RefHeading___Toc3696401_3650668749">
            <w:r>
              <w:rPr>
                <w:webHidden/>
                <w:rStyle w:val="IndexLink"/>
              </w:rPr>
              <w:t>٣</w:t>
            </w:r>
            <w:r>
              <w:rPr>
                <w:rStyle w:val="IndexLink"/>
                <w:rtl w:val="true"/>
              </w:rPr>
              <w:t xml:space="preserve"> سود و زيان، فقط به دست خداوند</w:t>
            </w:r>
            <w:r>
              <w:rPr>
                <w:rStyle w:val="IndexLink"/>
                <w:rtl w:val="true"/>
              </w:rPr>
              <w:tab/>
            </w:r>
            <w:r>
              <w:rPr>
                <w:rStyle w:val="IndexLink"/>
              </w:rPr>
              <w:t>46</w:t>
            </w:r>
          </w:hyperlink>
        </w:p>
        <w:p>
          <w:pPr>
            <w:pStyle w:val="Contents3"/>
            <w:tabs>
              <w:tab w:val="clear" w:pos="8459"/>
              <w:tab w:val="right" w:pos="9026" w:leader="dot"/>
            </w:tabs>
            <w:rPr/>
          </w:pPr>
          <w:hyperlink w:anchor="__RefHeading___Toc3696403_3650668749">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3696405_3650668749">
            <w:r>
              <w:rPr>
                <w:webHidden/>
                <w:rStyle w:val="IndexLink"/>
                <w:rtl w:val="true"/>
              </w:rPr>
              <w:t>پاسخ</w:t>
            </w:r>
            <w:r>
              <w:rPr>
                <w:rStyle w:val="IndexLink"/>
                <w:rtl w:val="true"/>
              </w:rPr>
              <w:tab/>
            </w:r>
            <w:r>
              <w:rPr>
                <w:rStyle w:val="IndexLink"/>
              </w:rPr>
              <w:t>46</w:t>
            </w:r>
          </w:hyperlink>
        </w:p>
        <w:p>
          <w:pPr>
            <w:pStyle w:val="Contents3"/>
            <w:tabs>
              <w:tab w:val="clear" w:pos="8459"/>
              <w:tab w:val="right" w:pos="9026" w:leader="dot"/>
            </w:tabs>
            <w:rPr/>
          </w:pPr>
          <w:hyperlink w:anchor="__RefHeading___Toc3696407_3650668749">
            <w:r>
              <w:rPr>
                <w:webHidden/>
                <w:rStyle w:val="IndexLink"/>
                <w:rtl w:val="true"/>
              </w:rPr>
              <w:t>قرآن و نسبت سود و زيان به غير خداوند</w:t>
            </w:r>
            <w:r>
              <w:rPr>
                <w:rStyle w:val="IndexLink"/>
                <w:rtl w:val="true"/>
              </w:rPr>
              <w:tab/>
            </w:r>
            <w:r>
              <w:rPr>
                <w:rStyle w:val="IndexLink"/>
              </w:rPr>
              <w:t>48</w:t>
            </w:r>
          </w:hyperlink>
        </w:p>
        <w:p>
          <w:pPr>
            <w:pStyle w:val="Contents2"/>
            <w:tabs>
              <w:tab w:val="clear" w:pos="8743"/>
              <w:tab w:val="right" w:pos="9026" w:leader="dot"/>
            </w:tabs>
            <w:rPr/>
          </w:pPr>
          <w:hyperlink w:anchor="__RefHeading___Toc3696409_3650668749">
            <w:r>
              <w:rPr>
                <w:webHidden/>
                <w:rStyle w:val="IndexLink"/>
              </w:rPr>
              <w:t>۴</w:t>
            </w:r>
            <w:r>
              <w:rPr>
                <w:rStyle w:val="IndexLink"/>
                <w:rtl w:val="true"/>
              </w:rPr>
              <w:t xml:space="preserve"> سود رسانى عتبات و مقبره‌ها</w:t>
            </w:r>
            <w:r>
              <w:rPr>
                <w:rStyle w:val="IndexLink"/>
                <w:rtl w:val="true"/>
              </w:rPr>
              <w:tab/>
            </w:r>
            <w:r>
              <w:rPr>
                <w:rStyle w:val="IndexLink"/>
              </w:rPr>
              <w:t>51</w:t>
            </w:r>
          </w:hyperlink>
        </w:p>
        <w:p>
          <w:pPr>
            <w:pStyle w:val="Contents3"/>
            <w:tabs>
              <w:tab w:val="clear" w:pos="8459"/>
              <w:tab w:val="right" w:pos="9026" w:leader="dot"/>
            </w:tabs>
            <w:rPr/>
          </w:pPr>
          <w:hyperlink w:anchor="__RefHeading___Toc3696411_3650668749">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3696413_3650668749">
            <w:r>
              <w:rPr>
                <w:webHidden/>
                <w:rStyle w:val="IndexLink"/>
                <w:rtl w:val="true"/>
              </w:rPr>
              <w:t>پاسخ</w:t>
            </w:r>
            <w:r>
              <w:rPr>
                <w:rStyle w:val="IndexLink"/>
                <w:rtl w:val="true"/>
              </w:rPr>
              <w:tab/>
            </w:r>
            <w:r>
              <w:rPr>
                <w:rStyle w:val="IndexLink"/>
              </w:rPr>
              <w:t>51</w:t>
            </w:r>
          </w:hyperlink>
        </w:p>
        <w:p>
          <w:pPr>
            <w:pStyle w:val="Contents2"/>
            <w:tabs>
              <w:tab w:val="clear" w:pos="8743"/>
              <w:tab w:val="right" w:pos="9026" w:leader="dot"/>
            </w:tabs>
            <w:rPr/>
          </w:pPr>
          <w:hyperlink w:anchor="__RefHeading___Toc3696415_3650668749">
            <w:r>
              <w:rPr>
                <w:webHidden/>
                <w:rStyle w:val="IndexLink"/>
              </w:rPr>
              <w:t>۵</w:t>
            </w:r>
            <w:r>
              <w:rPr>
                <w:rStyle w:val="IndexLink"/>
                <w:rtl w:val="true"/>
              </w:rPr>
              <w:t xml:space="preserve"> خرافه عوام شيعه و خواص اهل سنت</w:t>
            </w:r>
            <w:r>
              <w:rPr>
                <w:rStyle w:val="IndexLink"/>
                <w:rtl w:val="true"/>
              </w:rPr>
              <w:tab/>
            </w:r>
            <w:r>
              <w:rPr>
                <w:rStyle w:val="IndexLink"/>
              </w:rPr>
              <w:t>54</w:t>
            </w:r>
          </w:hyperlink>
        </w:p>
        <w:p>
          <w:pPr>
            <w:pStyle w:val="Contents3"/>
            <w:tabs>
              <w:tab w:val="clear" w:pos="8459"/>
              <w:tab w:val="right" w:pos="9026" w:leader="dot"/>
            </w:tabs>
            <w:rPr/>
          </w:pPr>
          <w:hyperlink w:anchor="__RefHeading___Toc3696417_3650668749">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3696419_3650668749">
            <w:r>
              <w:rPr>
                <w:webHidden/>
                <w:rStyle w:val="IndexLink"/>
                <w:rtl w:val="true"/>
              </w:rPr>
              <w:t>پاسخ</w:t>
            </w:r>
            <w:r>
              <w:rPr>
                <w:rStyle w:val="IndexLink"/>
                <w:rtl w:val="true"/>
              </w:rPr>
              <w:tab/>
            </w:r>
            <w:r>
              <w:rPr>
                <w:rStyle w:val="IndexLink"/>
              </w:rPr>
              <w:t>54</w:t>
            </w:r>
          </w:hyperlink>
        </w:p>
        <w:p>
          <w:pPr>
            <w:pStyle w:val="Contents2"/>
            <w:tabs>
              <w:tab w:val="clear" w:pos="8743"/>
              <w:tab w:val="right" w:pos="9026" w:leader="dot"/>
            </w:tabs>
            <w:rPr/>
          </w:pPr>
          <w:hyperlink w:anchor="__RefHeading___Toc3696421_3650668749">
            <w:r>
              <w:rPr>
                <w:webHidden/>
                <w:rStyle w:val="IndexLink"/>
              </w:rPr>
              <w:t>۶</w:t>
            </w:r>
            <w:r>
              <w:rPr>
                <w:rStyle w:val="IndexLink"/>
                <w:rtl w:val="true"/>
              </w:rPr>
              <w:t xml:space="preserve"> ناراحتى نويسنده از سه موضوع</w:t>
            </w:r>
            <w:r>
              <w:rPr>
                <w:rStyle w:val="IndexLink"/>
                <w:rtl w:val="true"/>
              </w:rPr>
              <w:tab/>
            </w:r>
            <w:r>
              <w:rPr>
                <w:rStyle w:val="IndexLink"/>
              </w:rPr>
              <w:t>57</w:t>
            </w:r>
          </w:hyperlink>
        </w:p>
        <w:p>
          <w:pPr>
            <w:pStyle w:val="Contents3"/>
            <w:tabs>
              <w:tab w:val="clear" w:pos="8459"/>
              <w:tab w:val="right" w:pos="9026" w:leader="dot"/>
            </w:tabs>
            <w:rPr/>
          </w:pPr>
          <w:hyperlink w:anchor="__RefHeading___Toc3696423_3650668749">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3696425_3650668749">
            <w:r>
              <w:rPr>
                <w:webHidden/>
                <w:rStyle w:val="IndexLink"/>
                <w:rtl w:val="true"/>
              </w:rPr>
              <w:t>پاسخ</w:t>
            </w:r>
            <w:r>
              <w:rPr>
                <w:rStyle w:val="IndexLink"/>
                <w:rtl w:val="true"/>
              </w:rPr>
              <w:tab/>
            </w:r>
            <w:r>
              <w:rPr>
                <w:rStyle w:val="IndexLink"/>
              </w:rPr>
              <w:t>57</w:t>
            </w:r>
          </w:hyperlink>
        </w:p>
        <w:p>
          <w:pPr>
            <w:pStyle w:val="Contents3"/>
            <w:tabs>
              <w:tab w:val="clear" w:pos="8459"/>
              <w:tab w:val="right" w:pos="9026" w:leader="dot"/>
            </w:tabs>
            <w:rPr/>
          </w:pPr>
          <w:hyperlink w:anchor="__RefHeading___Toc3696427_3650668749">
            <w:r>
              <w:rPr>
                <w:webHidden/>
                <w:rStyle w:val="IndexLink"/>
                <w:rtl w:val="true"/>
              </w:rPr>
              <w:t xml:space="preserve">ناسزاگويى به اصحاب رسول الله </w:t>
            </w:r>
            <w:r>
              <w:rPr>
                <w:rStyle w:val="IndexLink"/>
                <w:rtl w:val="true"/>
              </w:rPr>
              <w:t>(</w:t>
            </w:r>
            <w:r>
              <w:rPr>
                <w:rStyle w:val="IndexLink"/>
                <w:rtl w:val="true"/>
              </w:rPr>
              <w:t>ص</w:t>
            </w:r>
            <w:r>
              <w:rPr>
                <w:rStyle w:val="IndexLink"/>
                <w:rtl w:val="true"/>
              </w:rPr>
              <w:t>)</w:t>
              <w:tab/>
            </w:r>
            <w:r>
              <w:rPr>
                <w:rStyle w:val="IndexLink"/>
              </w:rPr>
              <w:t>58</w:t>
            </w:r>
          </w:hyperlink>
        </w:p>
        <w:p>
          <w:pPr>
            <w:pStyle w:val="Contents3"/>
            <w:tabs>
              <w:tab w:val="clear" w:pos="8459"/>
              <w:tab w:val="right" w:pos="9026" w:leader="dot"/>
            </w:tabs>
            <w:rPr/>
          </w:pPr>
          <w:hyperlink w:anchor="__RefHeading___Toc3696429_3650668749">
            <w:r>
              <w:rPr>
                <w:webHidden/>
                <w:rStyle w:val="IndexLink"/>
                <w:rtl w:val="true"/>
              </w:rPr>
              <w:t>اسلام و مذمت مردگان</w:t>
            </w:r>
            <w:r>
              <w:rPr>
                <w:rStyle w:val="IndexLink"/>
                <w:rtl w:val="true"/>
              </w:rPr>
              <w:tab/>
            </w:r>
            <w:r>
              <w:rPr>
                <w:rStyle w:val="IndexLink"/>
              </w:rPr>
              <w:t>61</w:t>
            </w:r>
          </w:hyperlink>
        </w:p>
        <w:p>
          <w:pPr>
            <w:pStyle w:val="Contents3"/>
            <w:tabs>
              <w:tab w:val="clear" w:pos="8459"/>
              <w:tab w:val="right" w:pos="9026" w:leader="dot"/>
            </w:tabs>
            <w:rPr/>
          </w:pPr>
          <w:hyperlink w:anchor="__RefHeading___Toc3696431_3650668749">
            <w:r>
              <w:rPr>
                <w:webHidden/>
                <w:rStyle w:val="IndexLink"/>
                <w:rtl w:val="true"/>
              </w:rPr>
              <w:t>وجود زياده‌روى در همه مذاهب</w:t>
            </w:r>
            <w:r>
              <w:rPr>
                <w:rStyle w:val="IndexLink"/>
                <w:rtl w:val="true"/>
              </w:rPr>
              <w:tab/>
            </w:r>
            <w:r>
              <w:rPr>
                <w:rStyle w:val="IndexLink"/>
              </w:rPr>
              <w:t>63</w:t>
            </w:r>
          </w:hyperlink>
        </w:p>
        <w:p>
          <w:pPr>
            <w:pStyle w:val="Contents2"/>
            <w:tabs>
              <w:tab w:val="clear" w:pos="8743"/>
              <w:tab w:val="right" w:pos="9026" w:leader="dot"/>
            </w:tabs>
            <w:rPr/>
          </w:pPr>
          <w:hyperlink w:anchor="__RefHeading___Toc3696433_3650668749">
            <w:r>
              <w:rPr>
                <w:webHidden/>
                <w:rStyle w:val="IndexLink"/>
              </w:rPr>
              <w:t>٧</w:t>
            </w:r>
            <w:r>
              <w:rPr>
                <w:rStyle w:val="IndexLink"/>
                <w:rtl w:val="true"/>
              </w:rPr>
              <w:t xml:space="preserve"> چرا اجتهاد براى قتل بى‌گناهان، عذر و براى لعن ستمكاران جرم است؟</w:t>
            </w:r>
            <w:r>
              <w:rPr>
                <w:rStyle w:val="IndexLink"/>
                <w:rtl w:val="true"/>
              </w:rPr>
              <w:tab/>
            </w:r>
            <w:r>
              <w:rPr>
                <w:rStyle w:val="IndexLink"/>
              </w:rPr>
              <w:t>68</w:t>
            </w:r>
          </w:hyperlink>
        </w:p>
        <w:p>
          <w:pPr>
            <w:pStyle w:val="Contents3"/>
            <w:tabs>
              <w:tab w:val="clear" w:pos="8459"/>
              <w:tab w:val="right" w:pos="9026" w:leader="dot"/>
            </w:tabs>
            <w:rPr/>
          </w:pPr>
          <w:hyperlink w:anchor="__RefHeading___Toc3696435_3650668749">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3696437_3650668749">
            <w:r>
              <w:rPr>
                <w:webHidden/>
                <w:rStyle w:val="IndexLink"/>
                <w:rtl w:val="true"/>
              </w:rPr>
              <w:t>پاسخ</w:t>
            </w:r>
            <w:r>
              <w:rPr>
                <w:rStyle w:val="IndexLink"/>
                <w:rtl w:val="true"/>
              </w:rPr>
              <w:tab/>
            </w:r>
            <w:r>
              <w:rPr>
                <w:rStyle w:val="IndexLink"/>
              </w:rPr>
              <w:t>68</w:t>
            </w:r>
          </w:hyperlink>
        </w:p>
        <w:p>
          <w:pPr>
            <w:pStyle w:val="Contents2"/>
            <w:tabs>
              <w:tab w:val="clear" w:pos="8743"/>
              <w:tab w:val="right" w:pos="9026" w:leader="dot"/>
            </w:tabs>
            <w:rPr/>
          </w:pPr>
          <w:hyperlink w:anchor="__RefHeading___Toc3696439_3650668749">
            <w:r>
              <w:rPr>
                <w:webHidden/>
                <w:rStyle w:val="IndexLink"/>
              </w:rPr>
              <w:t>٨</w:t>
            </w:r>
            <w:r>
              <w:rPr>
                <w:rStyle w:val="IndexLink"/>
                <w:rtl w:val="true"/>
              </w:rPr>
              <w:t xml:space="preserve"> ارتداد صحابه بعد از پيامبر اكرم </w:t>
            </w:r>
            <w:r>
              <w:rPr>
                <w:rStyle w:val="IndexLink"/>
                <w:rtl w:val="true"/>
              </w:rPr>
              <w:t>(</w:t>
            </w:r>
            <w:r>
              <w:rPr>
                <w:rStyle w:val="IndexLink"/>
                <w:rtl w:val="true"/>
              </w:rPr>
              <w:t>ص</w:t>
            </w:r>
            <w:r>
              <w:rPr>
                <w:rStyle w:val="IndexLink"/>
                <w:rtl w:val="true"/>
              </w:rPr>
              <w:t>)</w:t>
              <w:tab/>
            </w:r>
            <w:r>
              <w:rPr>
                <w:rStyle w:val="IndexLink"/>
              </w:rPr>
              <w:t>71</w:t>
            </w:r>
          </w:hyperlink>
        </w:p>
        <w:p>
          <w:pPr>
            <w:pStyle w:val="Contents3"/>
            <w:tabs>
              <w:tab w:val="clear" w:pos="8459"/>
              <w:tab w:val="right" w:pos="9026" w:leader="dot"/>
            </w:tabs>
            <w:rPr/>
          </w:pPr>
          <w:hyperlink w:anchor="__RefHeading___Toc3696441_3650668749">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3696443_3650668749">
            <w:r>
              <w:rPr>
                <w:webHidden/>
                <w:rStyle w:val="IndexLink"/>
                <w:rtl w:val="true"/>
              </w:rPr>
              <w:t>پاسخ</w:t>
            </w:r>
            <w:r>
              <w:rPr>
                <w:rStyle w:val="IndexLink"/>
                <w:rtl w:val="true"/>
              </w:rPr>
              <w:tab/>
            </w:r>
            <w:r>
              <w:rPr>
                <w:rStyle w:val="IndexLink"/>
              </w:rPr>
              <w:t>71</w:t>
            </w:r>
          </w:hyperlink>
        </w:p>
        <w:p>
          <w:pPr>
            <w:pStyle w:val="Contents3"/>
            <w:tabs>
              <w:tab w:val="clear" w:pos="8459"/>
              <w:tab w:val="right" w:pos="9026" w:leader="dot"/>
            </w:tabs>
            <w:rPr/>
          </w:pPr>
          <w:hyperlink w:anchor="__RefHeading___Toc3696445_3650668749">
            <w:r>
              <w:rPr>
                <w:webHidden/>
                <w:rStyle w:val="IndexLink"/>
                <w:rtl w:val="true"/>
              </w:rPr>
              <w:t xml:space="preserve">اصحاب و سرپيچى از فرمان پيامبر </w:t>
            </w:r>
            <w:r>
              <w:rPr>
                <w:rStyle w:val="IndexLink"/>
                <w:rtl w:val="true"/>
              </w:rPr>
              <w:t>(</w:t>
            </w:r>
            <w:r>
              <w:rPr>
                <w:rStyle w:val="IndexLink"/>
                <w:rtl w:val="true"/>
              </w:rPr>
              <w:t>ص</w:t>
            </w:r>
            <w:r>
              <w:rPr>
                <w:rStyle w:val="IndexLink"/>
                <w:rtl w:val="true"/>
              </w:rPr>
              <w:t>)</w:t>
              <w:tab/>
            </w:r>
            <w:r>
              <w:rPr>
                <w:rStyle w:val="IndexLink"/>
              </w:rPr>
              <w:t>74</w:t>
            </w:r>
          </w:hyperlink>
        </w:p>
        <w:p>
          <w:pPr>
            <w:pStyle w:val="Contents3"/>
            <w:tabs>
              <w:tab w:val="clear" w:pos="8459"/>
              <w:tab w:val="right" w:pos="9026" w:leader="dot"/>
            </w:tabs>
            <w:rPr/>
          </w:pPr>
          <w:hyperlink w:anchor="__RefHeading___Toc3696447_3650668749">
            <w:r>
              <w:rPr>
                <w:webHidden/>
                <w:rStyle w:val="IndexLink"/>
                <w:rtl w:val="true"/>
              </w:rPr>
              <w:t>انحراف اصحاب انبياى گذشته</w:t>
            </w:r>
            <w:r>
              <w:rPr>
                <w:rStyle w:val="IndexLink"/>
                <w:rtl w:val="true"/>
              </w:rPr>
              <w:tab/>
            </w:r>
            <w:r>
              <w:rPr>
                <w:rStyle w:val="IndexLink"/>
              </w:rPr>
              <w:t>75</w:t>
            </w:r>
          </w:hyperlink>
        </w:p>
        <w:p>
          <w:pPr>
            <w:pStyle w:val="Contents2"/>
            <w:tabs>
              <w:tab w:val="clear" w:pos="8743"/>
              <w:tab w:val="right" w:pos="9026" w:leader="dot"/>
            </w:tabs>
            <w:rPr/>
          </w:pPr>
          <w:hyperlink w:anchor="__RefHeading___Toc3696449_3650668749">
            <w:r>
              <w:rPr>
                <w:webHidden/>
                <w:rStyle w:val="IndexLink"/>
              </w:rPr>
              <w:t>٩</w:t>
            </w:r>
            <w:r>
              <w:rPr>
                <w:rStyle w:val="IndexLink"/>
                <w:rtl w:val="true"/>
              </w:rPr>
              <w:t xml:space="preserve"> عدالت و فضيلت صحابه</w:t>
            </w:r>
            <w:r>
              <w:rPr>
                <w:rStyle w:val="IndexLink"/>
                <w:rtl w:val="true"/>
              </w:rPr>
              <w:tab/>
            </w:r>
            <w:r>
              <w:rPr>
                <w:rStyle w:val="IndexLink"/>
              </w:rPr>
              <w:t>78</w:t>
            </w:r>
          </w:hyperlink>
        </w:p>
        <w:p>
          <w:pPr>
            <w:pStyle w:val="Contents3"/>
            <w:tabs>
              <w:tab w:val="clear" w:pos="8459"/>
              <w:tab w:val="right" w:pos="9026" w:leader="dot"/>
            </w:tabs>
            <w:rPr/>
          </w:pPr>
          <w:hyperlink w:anchor="__RefHeading___Toc3696451_3650668749">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3696453_3650668749">
            <w:r>
              <w:rPr>
                <w:webHidden/>
                <w:rStyle w:val="IndexLink"/>
                <w:rtl w:val="true"/>
              </w:rPr>
              <w:t>آيه پيشگامان و عدالت صحابه</w:t>
            </w:r>
            <w:r>
              <w:rPr>
                <w:rStyle w:val="IndexLink"/>
                <w:rtl w:val="true"/>
              </w:rPr>
              <w:tab/>
            </w:r>
            <w:r>
              <w:rPr>
                <w:rStyle w:val="IndexLink"/>
              </w:rPr>
              <w:t>79</w:t>
            </w:r>
          </w:hyperlink>
        </w:p>
        <w:p>
          <w:pPr>
            <w:pStyle w:val="Contents3"/>
            <w:tabs>
              <w:tab w:val="clear" w:pos="8459"/>
              <w:tab w:val="right" w:pos="9026" w:leader="dot"/>
            </w:tabs>
            <w:rPr/>
          </w:pPr>
          <w:hyperlink w:anchor="__RefHeading___Toc3696455_3650668749">
            <w:r>
              <w:rPr>
                <w:webHidden/>
                <w:rStyle w:val="IndexLink"/>
                <w:rtl w:val="true"/>
              </w:rPr>
              <w:t>پاسخ</w:t>
            </w:r>
            <w:r>
              <w:rPr>
                <w:rStyle w:val="IndexLink"/>
                <w:rtl w:val="true"/>
              </w:rPr>
              <w:tab/>
            </w:r>
            <w:r>
              <w:rPr>
                <w:rStyle w:val="IndexLink"/>
              </w:rPr>
              <w:t>80</w:t>
            </w:r>
          </w:hyperlink>
        </w:p>
        <w:p>
          <w:pPr>
            <w:pStyle w:val="Contents3"/>
            <w:tabs>
              <w:tab w:val="clear" w:pos="8459"/>
              <w:tab w:val="right" w:pos="9026" w:leader="dot"/>
            </w:tabs>
            <w:rPr/>
          </w:pPr>
          <w:hyperlink w:anchor="__RefHeading___Toc3696457_3650668749">
            <w:r>
              <w:rPr>
                <w:webHidden/>
                <w:rStyle w:val="IndexLink"/>
                <w:rtl w:val="true"/>
              </w:rPr>
              <w:t>قرآن و پيشگامان مذموم</w:t>
            </w:r>
            <w:r>
              <w:rPr>
                <w:rStyle w:val="IndexLink"/>
                <w:rtl w:val="true"/>
              </w:rPr>
              <w:tab/>
            </w:r>
            <w:r>
              <w:rPr>
                <w:rStyle w:val="IndexLink"/>
              </w:rPr>
              <w:t>80</w:t>
            </w:r>
          </w:hyperlink>
        </w:p>
        <w:p>
          <w:pPr>
            <w:pStyle w:val="Contents3"/>
            <w:tabs>
              <w:tab w:val="clear" w:pos="8459"/>
              <w:tab w:val="right" w:pos="9026" w:leader="dot"/>
            </w:tabs>
            <w:rPr/>
          </w:pPr>
          <w:hyperlink w:anchor="__RefHeading___Toc3696459_3650668749">
            <w:r>
              <w:rPr>
                <w:webHidden/>
                <w:rStyle w:val="IndexLink"/>
                <w:rtl w:val="true"/>
              </w:rPr>
              <w:t xml:space="preserve">صحابه در نگاه پيامبر </w:t>
            </w:r>
            <w:r>
              <w:rPr>
                <w:rStyle w:val="IndexLink"/>
                <w:rtl w:val="true"/>
              </w:rPr>
              <w:t>(</w:t>
            </w:r>
            <w:r>
              <w:rPr>
                <w:rStyle w:val="IndexLink"/>
                <w:rtl w:val="true"/>
              </w:rPr>
              <w:t>ص</w:t>
            </w:r>
            <w:r>
              <w:rPr>
                <w:rStyle w:val="IndexLink"/>
                <w:rtl w:val="true"/>
              </w:rPr>
              <w:t xml:space="preserve">) </w:t>
            </w:r>
            <w:r>
              <w:rPr>
                <w:rStyle w:val="IndexLink"/>
                <w:rtl w:val="true"/>
              </w:rPr>
              <w:t>و خود صحابه</w:t>
            </w:r>
            <w:r>
              <w:rPr>
                <w:rStyle w:val="IndexLink"/>
                <w:rtl w:val="true"/>
              </w:rPr>
              <w:tab/>
            </w:r>
            <w:r>
              <w:rPr>
                <w:rStyle w:val="IndexLink"/>
              </w:rPr>
              <w:t>85</w:t>
            </w:r>
          </w:hyperlink>
        </w:p>
        <w:p>
          <w:pPr>
            <w:pStyle w:val="Contents3"/>
            <w:tabs>
              <w:tab w:val="clear" w:pos="8459"/>
              <w:tab w:val="right" w:pos="9026" w:leader="dot"/>
            </w:tabs>
            <w:rPr/>
          </w:pPr>
          <w:hyperlink w:anchor="__RefHeading___Toc3696461_3650668749">
            <w:r>
              <w:rPr>
                <w:webHidden/>
                <w:rStyle w:val="IndexLink"/>
                <w:rtl w:val="true"/>
              </w:rPr>
              <w:t>شرايط رضايت خداوند از پيشگامان</w:t>
            </w:r>
            <w:r>
              <w:rPr>
                <w:rStyle w:val="IndexLink"/>
                <w:rtl w:val="true"/>
              </w:rPr>
              <w:tab/>
            </w:r>
            <w:r>
              <w:rPr>
                <w:rStyle w:val="IndexLink"/>
              </w:rPr>
              <w:t>87</w:t>
            </w:r>
          </w:hyperlink>
        </w:p>
        <w:p>
          <w:pPr>
            <w:pStyle w:val="Contents3"/>
            <w:tabs>
              <w:tab w:val="clear" w:pos="8459"/>
              <w:tab w:val="right" w:pos="9026" w:leader="dot"/>
            </w:tabs>
            <w:rPr/>
          </w:pPr>
          <w:hyperlink w:anchor="__RefHeading___Toc3696463_3650668749">
            <w:r>
              <w:rPr>
                <w:webHidden/>
                <w:rStyle w:val="IndexLink"/>
                <w:rtl w:val="true"/>
              </w:rPr>
              <w:t>توضيحى در مورد برخى از پيشگامان اهل سنت</w:t>
            </w:r>
            <w:r>
              <w:rPr>
                <w:rStyle w:val="IndexLink"/>
                <w:rtl w:val="true"/>
              </w:rPr>
              <w:tab/>
            </w:r>
            <w:r>
              <w:rPr>
                <w:rStyle w:val="IndexLink"/>
              </w:rPr>
              <w:t>90</w:t>
            </w:r>
          </w:hyperlink>
        </w:p>
        <w:p>
          <w:pPr>
            <w:pStyle w:val="Contents3"/>
            <w:tabs>
              <w:tab w:val="clear" w:pos="8459"/>
              <w:tab w:val="right" w:pos="9026" w:leader="dot"/>
            </w:tabs>
            <w:rPr/>
          </w:pPr>
          <w:hyperlink w:anchor="__RefHeading___Toc3696465_3650668749">
            <w:r>
              <w:rPr>
                <w:webHidden/>
                <w:rStyle w:val="IndexLink"/>
                <w:rtl w:val="true"/>
              </w:rPr>
              <w:t>پاسخ</w:t>
            </w:r>
            <w:r>
              <w:rPr>
                <w:rStyle w:val="IndexLink"/>
                <w:rtl w:val="true"/>
              </w:rPr>
              <w:tab/>
            </w:r>
            <w:r>
              <w:rPr>
                <w:rStyle w:val="IndexLink"/>
              </w:rPr>
              <w:t>90</w:t>
            </w:r>
          </w:hyperlink>
        </w:p>
        <w:p>
          <w:pPr>
            <w:pStyle w:val="Contents3"/>
            <w:tabs>
              <w:tab w:val="clear" w:pos="8459"/>
              <w:tab w:val="right" w:pos="9026" w:leader="dot"/>
            </w:tabs>
            <w:rPr/>
          </w:pPr>
          <w:hyperlink w:anchor="__RefHeading___Toc3696467_3650668749">
            <w:r>
              <w:rPr>
                <w:webHidden/>
                <w:rStyle w:val="IndexLink"/>
                <w:rtl w:val="true"/>
              </w:rPr>
              <w:t xml:space="preserve">نقش صحابه در مظلوميت حضرت على </w:t>
            </w:r>
            <w:r>
              <w:rPr>
                <w:rStyle w:val="IndexLink"/>
                <w:rtl w:val="true"/>
              </w:rPr>
              <w:t>(</w:t>
            </w:r>
            <w:r>
              <w:rPr>
                <w:rStyle w:val="IndexLink"/>
                <w:rtl w:val="true"/>
              </w:rPr>
              <w:t>ع</w:t>
            </w:r>
            <w:r>
              <w:rPr>
                <w:rStyle w:val="IndexLink"/>
                <w:rtl w:val="true"/>
              </w:rPr>
              <w:t>)</w:t>
              <w:tab/>
            </w:r>
            <w:r>
              <w:rPr>
                <w:rStyle w:val="IndexLink"/>
              </w:rPr>
              <w:t>93</w:t>
            </w:r>
          </w:hyperlink>
        </w:p>
        <w:p>
          <w:pPr>
            <w:pStyle w:val="Contents3"/>
            <w:tabs>
              <w:tab w:val="clear" w:pos="8459"/>
              <w:tab w:val="right" w:pos="9026" w:leader="dot"/>
            </w:tabs>
            <w:rPr/>
          </w:pPr>
          <w:hyperlink w:anchor="__RefHeading___Toc3696469_3650668749">
            <w:r>
              <w:rPr>
                <w:webHidden/>
                <w:rStyle w:val="IndexLink"/>
                <w:rtl w:val="true"/>
              </w:rPr>
              <w:t>پاسخ</w:t>
            </w:r>
            <w:r>
              <w:rPr>
                <w:rStyle w:val="IndexLink"/>
                <w:rtl w:val="true"/>
              </w:rPr>
              <w:tab/>
            </w:r>
            <w:r>
              <w:rPr>
                <w:rStyle w:val="IndexLink"/>
              </w:rPr>
              <w:t>93</w:t>
            </w:r>
          </w:hyperlink>
        </w:p>
        <w:p>
          <w:pPr>
            <w:pStyle w:val="Contents3"/>
            <w:tabs>
              <w:tab w:val="clear" w:pos="8459"/>
              <w:tab w:val="right" w:pos="9026" w:leader="dot"/>
            </w:tabs>
            <w:rPr/>
          </w:pPr>
          <w:hyperlink w:anchor="__RefHeading___Toc3696471_3650668749">
            <w:r>
              <w:rPr>
                <w:webHidden/>
                <w:rStyle w:val="IndexLink"/>
                <w:rtl w:val="true"/>
              </w:rPr>
              <w:t xml:space="preserve">رضايت پيامبر </w:t>
            </w:r>
            <w:r>
              <w:rPr>
                <w:rStyle w:val="IndexLink"/>
                <w:rtl w:val="true"/>
              </w:rPr>
              <w:t>(</w:t>
            </w:r>
            <w:r>
              <w:rPr>
                <w:rStyle w:val="IndexLink"/>
                <w:rtl w:val="true"/>
              </w:rPr>
              <w:t>ص</w:t>
            </w:r>
            <w:r>
              <w:rPr>
                <w:rStyle w:val="IndexLink"/>
                <w:rtl w:val="true"/>
              </w:rPr>
              <w:t xml:space="preserve">) </w:t>
            </w:r>
            <w:r>
              <w:rPr>
                <w:rStyle w:val="IndexLink"/>
                <w:rtl w:val="true"/>
              </w:rPr>
              <w:t>از اصحاب</w:t>
            </w:r>
            <w:r>
              <w:rPr>
                <w:rStyle w:val="IndexLink"/>
                <w:rtl w:val="true"/>
              </w:rPr>
              <w:tab/>
            </w:r>
            <w:r>
              <w:rPr>
                <w:rStyle w:val="IndexLink"/>
              </w:rPr>
              <w:t>94</w:t>
            </w:r>
          </w:hyperlink>
        </w:p>
        <w:p>
          <w:pPr>
            <w:pStyle w:val="Contents3"/>
            <w:tabs>
              <w:tab w:val="clear" w:pos="8459"/>
              <w:tab w:val="right" w:pos="9026" w:leader="dot"/>
            </w:tabs>
            <w:rPr/>
          </w:pPr>
          <w:hyperlink w:anchor="__RefHeading___Toc3696473_3650668749">
            <w:r>
              <w:rPr>
                <w:webHidden/>
                <w:rStyle w:val="IndexLink"/>
                <w:rtl w:val="true"/>
              </w:rPr>
              <w:t>پاسخ</w:t>
            </w:r>
            <w:r>
              <w:rPr>
                <w:rStyle w:val="IndexLink"/>
                <w:rtl w:val="true"/>
              </w:rPr>
              <w:tab/>
            </w:r>
            <w:r>
              <w:rPr>
                <w:rStyle w:val="IndexLink"/>
              </w:rPr>
              <w:t>94</w:t>
            </w:r>
          </w:hyperlink>
        </w:p>
        <w:p>
          <w:pPr>
            <w:pStyle w:val="Contents3"/>
            <w:tabs>
              <w:tab w:val="clear" w:pos="8459"/>
              <w:tab w:val="right" w:pos="9026" w:leader="dot"/>
            </w:tabs>
            <w:rPr/>
          </w:pPr>
          <w:hyperlink w:anchor="__RefHeading___Toc3696475_3650668749">
            <w:r>
              <w:rPr>
                <w:webHidden/>
                <w:rStyle w:val="IndexLink"/>
                <w:rtl w:val="true"/>
              </w:rPr>
              <w:t>خدا و ستايش از منحرفان</w:t>
            </w:r>
            <w:r>
              <w:rPr>
                <w:rStyle w:val="IndexLink"/>
                <w:rtl w:val="true"/>
              </w:rPr>
              <w:tab/>
            </w:r>
            <w:r>
              <w:rPr>
                <w:rStyle w:val="IndexLink"/>
              </w:rPr>
              <w:t>95</w:t>
            </w:r>
          </w:hyperlink>
        </w:p>
        <w:p>
          <w:pPr>
            <w:pStyle w:val="Contents3"/>
            <w:tabs>
              <w:tab w:val="clear" w:pos="8459"/>
              <w:tab w:val="right" w:pos="9026" w:leader="dot"/>
            </w:tabs>
            <w:rPr/>
          </w:pPr>
          <w:hyperlink w:anchor="__RefHeading___Toc3696477_3650668749">
            <w:r>
              <w:rPr>
                <w:webHidden/>
                <w:rStyle w:val="IndexLink"/>
                <w:rtl w:val="true"/>
              </w:rPr>
              <w:t>پاسخ</w:t>
            </w:r>
            <w:r>
              <w:rPr>
                <w:rStyle w:val="IndexLink"/>
                <w:rtl w:val="true"/>
              </w:rPr>
              <w:tab/>
            </w:r>
            <w:r>
              <w:rPr>
                <w:rStyle w:val="IndexLink"/>
              </w:rPr>
              <w:t>96</w:t>
            </w:r>
          </w:hyperlink>
        </w:p>
        <w:p>
          <w:pPr>
            <w:pStyle w:val="Contents3"/>
            <w:tabs>
              <w:tab w:val="clear" w:pos="8459"/>
              <w:tab w:val="right" w:pos="9026" w:leader="dot"/>
            </w:tabs>
            <w:rPr/>
          </w:pPr>
          <w:hyperlink w:anchor="__RefHeading___Toc3696479_3650668749">
            <w:r>
              <w:rPr>
                <w:webHidden/>
                <w:rStyle w:val="IndexLink"/>
                <w:rtl w:val="true"/>
              </w:rPr>
              <w:t>برخى از بدعت‌هاى خلفا</w:t>
            </w:r>
            <w:r>
              <w:rPr>
                <w:rStyle w:val="IndexLink"/>
                <w:rtl w:val="true"/>
              </w:rPr>
              <w:tab/>
            </w:r>
            <w:r>
              <w:rPr>
                <w:rStyle w:val="IndexLink"/>
              </w:rPr>
              <w:t>97</w:t>
            </w:r>
          </w:hyperlink>
        </w:p>
        <w:p>
          <w:pPr>
            <w:pStyle w:val="Contents3"/>
            <w:tabs>
              <w:tab w:val="clear" w:pos="8459"/>
              <w:tab w:val="right" w:pos="9026" w:leader="dot"/>
            </w:tabs>
            <w:rPr/>
          </w:pPr>
          <w:hyperlink w:anchor="__RefHeading___Toc3696481_3650668749">
            <w:r>
              <w:rPr>
                <w:webHidden/>
                <w:rStyle w:val="IndexLink"/>
                <w:rtl w:val="true"/>
              </w:rPr>
              <w:t>علت بيان نشدن صفات و ويژگى‌هاى منحرفان</w:t>
            </w:r>
            <w:r>
              <w:rPr>
                <w:rStyle w:val="IndexLink"/>
                <w:rtl w:val="true"/>
              </w:rPr>
              <w:tab/>
            </w:r>
            <w:r>
              <w:rPr>
                <w:rStyle w:val="IndexLink"/>
              </w:rPr>
              <w:t>97</w:t>
            </w:r>
          </w:hyperlink>
        </w:p>
        <w:p>
          <w:pPr>
            <w:pStyle w:val="Contents3"/>
            <w:tabs>
              <w:tab w:val="clear" w:pos="8459"/>
              <w:tab w:val="right" w:pos="9026" w:leader="dot"/>
            </w:tabs>
            <w:rPr/>
          </w:pPr>
          <w:hyperlink w:anchor="__RefHeading___Toc3696483_3650668749">
            <w:r>
              <w:rPr>
                <w:webHidden/>
                <w:rStyle w:val="IndexLink"/>
                <w:rtl w:val="true"/>
              </w:rPr>
              <w:t>پاسخ</w:t>
            </w:r>
            <w:r>
              <w:rPr>
                <w:rStyle w:val="IndexLink"/>
                <w:rtl w:val="true"/>
              </w:rPr>
              <w:tab/>
            </w:r>
            <w:r>
              <w:rPr>
                <w:rStyle w:val="IndexLink"/>
              </w:rPr>
              <w:t>97</w:t>
            </w:r>
          </w:hyperlink>
        </w:p>
        <w:p>
          <w:pPr>
            <w:pStyle w:val="Contents3"/>
            <w:tabs>
              <w:tab w:val="clear" w:pos="8459"/>
              <w:tab w:val="right" w:pos="9026" w:leader="dot"/>
            </w:tabs>
            <w:rPr/>
          </w:pPr>
          <w:hyperlink w:anchor="__RefHeading___Toc3696485_3650668749">
            <w:r>
              <w:rPr>
                <w:webHidden/>
                <w:rStyle w:val="IndexLink"/>
                <w:rtl w:val="true"/>
              </w:rPr>
              <w:t>آيه بيعت رضوان و عدالت صحابه</w:t>
            </w:r>
            <w:r>
              <w:rPr>
                <w:rStyle w:val="IndexLink"/>
                <w:rtl w:val="true"/>
              </w:rPr>
              <w:tab/>
            </w:r>
            <w:r>
              <w:rPr>
                <w:rStyle w:val="IndexLink"/>
              </w:rPr>
              <w:t>99</w:t>
            </w:r>
          </w:hyperlink>
        </w:p>
        <w:p>
          <w:pPr>
            <w:pStyle w:val="Contents3"/>
            <w:tabs>
              <w:tab w:val="clear" w:pos="8459"/>
              <w:tab w:val="right" w:pos="9026" w:leader="dot"/>
            </w:tabs>
            <w:rPr/>
          </w:pPr>
          <w:hyperlink w:anchor="__RefHeading___Toc3696487_3650668749">
            <w:r>
              <w:rPr>
                <w:webHidden/>
                <w:rStyle w:val="IndexLink"/>
                <w:rtl w:val="true"/>
              </w:rPr>
              <w:t>پاسخ</w:t>
            </w:r>
            <w:r>
              <w:rPr>
                <w:rStyle w:val="IndexLink"/>
                <w:rtl w:val="true"/>
              </w:rPr>
              <w:tab/>
            </w:r>
            <w:r>
              <w:rPr>
                <w:rStyle w:val="IndexLink"/>
              </w:rPr>
              <w:t>99</w:t>
            </w:r>
          </w:hyperlink>
        </w:p>
        <w:p>
          <w:pPr>
            <w:pStyle w:val="Contents3"/>
            <w:tabs>
              <w:tab w:val="clear" w:pos="8459"/>
              <w:tab w:val="right" w:pos="9026" w:leader="dot"/>
            </w:tabs>
            <w:rPr/>
          </w:pPr>
          <w:hyperlink w:anchor="__RefHeading___Toc3696489_3650668749">
            <w:r>
              <w:rPr>
                <w:webHidden/>
                <w:rStyle w:val="IndexLink"/>
                <w:rtl w:val="true"/>
              </w:rPr>
              <w:t>نظر صحيح درباره صحابه</w:t>
            </w:r>
            <w:r>
              <w:rPr>
                <w:rStyle w:val="IndexLink"/>
                <w:rtl w:val="true"/>
              </w:rPr>
              <w:tab/>
            </w:r>
            <w:r>
              <w:rPr>
                <w:rStyle w:val="IndexLink"/>
              </w:rPr>
              <w:t>100</w:t>
            </w:r>
          </w:hyperlink>
        </w:p>
        <w:p>
          <w:pPr>
            <w:pStyle w:val="Contents2"/>
            <w:tabs>
              <w:tab w:val="clear" w:pos="8743"/>
              <w:tab w:val="right" w:pos="9026" w:leader="dot"/>
            </w:tabs>
            <w:rPr/>
          </w:pPr>
          <w:hyperlink w:anchor="__RefHeading___Toc3696491_3650668749">
            <w:r>
              <w:rPr>
                <w:webHidden/>
                <w:rStyle w:val="IndexLink"/>
              </w:rPr>
              <w:t>١٠</w:t>
            </w:r>
            <w:r>
              <w:rPr>
                <w:rStyle w:val="IndexLink"/>
                <w:rtl w:val="true"/>
              </w:rPr>
              <w:t xml:space="preserve"> ازدواج موقت</w:t>
            </w:r>
            <w:r>
              <w:rPr>
                <w:rStyle w:val="IndexLink"/>
                <w:rtl w:val="true"/>
              </w:rPr>
              <w:tab/>
            </w:r>
            <w:r>
              <w:rPr>
                <w:rStyle w:val="IndexLink"/>
              </w:rPr>
              <w:t>101</w:t>
            </w:r>
          </w:hyperlink>
        </w:p>
        <w:p>
          <w:pPr>
            <w:pStyle w:val="Contents3"/>
            <w:tabs>
              <w:tab w:val="clear" w:pos="8459"/>
              <w:tab w:val="right" w:pos="9026" w:leader="dot"/>
            </w:tabs>
            <w:rPr/>
          </w:pPr>
          <w:hyperlink w:anchor="__RefHeading___Toc3696493_3650668749">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3696495_3650668749">
            <w:r>
              <w:rPr>
                <w:webHidden/>
                <w:rStyle w:val="IndexLink"/>
                <w:rtl w:val="true"/>
              </w:rPr>
              <w:t>پاسخ</w:t>
            </w:r>
            <w:r>
              <w:rPr>
                <w:rStyle w:val="IndexLink"/>
                <w:rtl w:val="true"/>
              </w:rPr>
              <w:tab/>
            </w:r>
            <w:r>
              <w:rPr>
                <w:rStyle w:val="IndexLink"/>
              </w:rPr>
              <w:t>101</w:t>
            </w:r>
          </w:hyperlink>
        </w:p>
        <w:p>
          <w:pPr>
            <w:pStyle w:val="Contents3"/>
            <w:tabs>
              <w:tab w:val="clear" w:pos="8459"/>
              <w:tab w:val="right" w:pos="9026" w:leader="dot"/>
            </w:tabs>
            <w:rPr/>
          </w:pPr>
          <w:hyperlink w:anchor="__RefHeading___Toc3696497_3650668749">
            <w:r>
              <w:rPr>
                <w:webHidden/>
                <w:rStyle w:val="IndexLink"/>
                <w:rtl w:val="true"/>
              </w:rPr>
              <w:t>فسخ نشدن جواز ازدواج موقت</w:t>
            </w:r>
            <w:r>
              <w:rPr>
                <w:rStyle w:val="IndexLink"/>
                <w:rtl w:val="true"/>
              </w:rPr>
              <w:tab/>
            </w:r>
            <w:r>
              <w:rPr>
                <w:rStyle w:val="IndexLink"/>
              </w:rPr>
              <w:t>103</w:t>
            </w:r>
          </w:hyperlink>
        </w:p>
        <w:p>
          <w:pPr>
            <w:pStyle w:val="Contents3"/>
            <w:tabs>
              <w:tab w:val="clear" w:pos="8459"/>
              <w:tab w:val="right" w:pos="9026" w:leader="dot"/>
            </w:tabs>
            <w:rPr/>
          </w:pPr>
          <w:hyperlink w:anchor="__RefHeading___Toc3696499_3650668749">
            <w:r>
              <w:rPr>
                <w:webHidden/>
                <w:rStyle w:val="IndexLink"/>
                <w:rtl w:val="true"/>
              </w:rPr>
              <w:t>جواز ازدواج موقت از نظر گروهى از صحابه و تابعان</w:t>
            </w:r>
            <w:r>
              <w:rPr>
                <w:rStyle w:val="IndexLink"/>
                <w:rtl w:val="true"/>
              </w:rPr>
              <w:tab/>
            </w:r>
            <w:r>
              <w:rPr>
                <w:rStyle w:val="IndexLink"/>
              </w:rPr>
              <w:t>106</w:t>
            </w:r>
          </w:hyperlink>
        </w:p>
        <w:p>
          <w:pPr>
            <w:pStyle w:val="Contents3"/>
            <w:tabs>
              <w:tab w:val="clear" w:pos="8459"/>
              <w:tab w:val="right" w:pos="9026" w:leader="dot"/>
            </w:tabs>
            <w:rPr/>
          </w:pPr>
          <w:hyperlink w:anchor="__RefHeading___Toc3696501_3650668749">
            <w:r>
              <w:rPr>
                <w:webHidden/>
                <w:rStyle w:val="IndexLink"/>
                <w:rtl w:val="true"/>
              </w:rPr>
              <w:t xml:space="preserve">حرمت ازدواج موقت در روايات اهل بيت </w:t>
            </w:r>
            <w:r>
              <w:rPr>
                <w:rStyle w:val="IndexLink"/>
                <w:rtl w:val="true"/>
              </w:rPr>
              <w:t>(</w:t>
            </w:r>
            <w:r>
              <w:rPr>
                <w:rStyle w:val="IndexLink"/>
                <w:rtl w:val="true"/>
              </w:rPr>
              <w:t>عليهم‌السلام</w:t>
            </w:r>
            <w:r>
              <w:rPr>
                <w:rStyle w:val="IndexLink"/>
                <w:rtl w:val="true"/>
              </w:rPr>
              <w:t>)</w:t>
              <w:tab/>
            </w:r>
            <w:r>
              <w:rPr>
                <w:rStyle w:val="IndexLink"/>
              </w:rPr>
              <w:t>108</w:t>
            </w:r>
          </w:hyperlink>
        </w:p>
        <w:p>
          <w:pPr>
            <w:pStyle w:val="Contents3"/>
            <w:tabs>
              <w:tab w:val="clear" w:pos="8459"/>
              <w:tab w:val="right" w:pos="9026" w:leader="dot"/>
            </w:tabs>
            <w:rPr/>
          </w:pPr>
          <w:hyperlink w:anchor="__RefHeading___Toc3696503_3650668749">
            <w:r>
              <w:rPr>
                <w:webHidden/>
                <w:rStyle w:val="IndexLink"/>
                <w:rtl w:val="true"/>
              </w:rPr>
              <w:t>پاسخ</w:t>
            </w:r>
            <w:r>
              <w:rPr>
                <w:rStyle w:val="IndexLink"/>
                <w:rtl w:val="true"/>
              </w:rPr>
              <w:tab/>
            </w:r>
            <w:r>
              <w:rPr>
                <w:rStyle w:val="IndexLink"/>
              </w:rPr>
              <w:t>109</w:t>
            </w:r>
          </w:hyperlink>
        </w:p>
        <w:p>
          <w:pPr>
            <w:pStyle w:val="Contents3"/>
            <w:tabs>
              <w:tab w:val="clear" w:pos="8459"/>
              <w:tab w:val="right" w:pos="9026" w:leader="dot"/>
            </w:tabs>
            <w:rPr/>
          </w:pPr>
          <w:hyperlink w:anchor="__RefHeading___Toc3696505_3650668749">
            <w:r>
              <w:rPr>
                <w:webHidden/>
                <w:rStyle w:val="IndexLink"/>
                <w:rtl w:val="true"/>
              </w:rPr>
              <w:t>توضيح روايات مورد ادعا</w:t>
            </w:r>
            <w:r>
              <w:rPr>
                <w:rStyle w:val="IndexLink"/>
                <w:rtl w:val="true"/>
              </w:rPr>
              <w:tab/>
            </w:r>
            <w:r>
              <w:rPr>
                <w:rStyle w:val="IndexLink"/>
              </w:rPr>
              <w:t>110</w:t>
            </w:r>
          </w:hyperlink>
        </w:p>
        <w:p>
          <w:pPr>
            <w:pStyle w:val="Contents2"/>
            <w:tabs>
              <w:tab w:val="clear" w:pos="8743"/>
              <w:tab w:val="right" w:pos="9026" w:leader="dot"/>
            </w:tabs>
            <w:rPr/>
          </w:pPr>
          <w:hyperlink w:anchor="__RefHeading___Toc3696507_3650668749">
            <w:r>
              <w:rPr>
                <w:webHidden/>
                <w:rStyle w:val="IndexLink"/>
              </w:rPr>
              <w:t>١١</w:t>
            </w:r>
            <w:r>
              <w:rPr>
                <w:rStyle w:val="IndexLink"/>
                <w:rtl w:val="true"/>
              </w:rPr>
              <w:t xml:space="preserve"> سينه‌زنى و بى‌تابى در مصائب سيدالشهدا</w:t>
            </w:r>
            <w:r>
              <w:rPr>
                <w:rStyle w:val="IndexLink"/>
                <w:rtl w:val="true"/>
              </w:rPr>
              <w:tab/>
            </w:r>
            <w:r>
              <w:rPr>
                <w:rStyle w:val="IndexLink"/>
              </w:rPr>
              <w:t>115</w:t>
            </w:r>
          </w:hyperlink>
        </w:p>
        <w:p>
          <w:pPr>
            <w:pStyle w:val="Contents3"/>
            <w:tabs>
              <w:tab w:val="clear" w:pos="8459"/>
              <w:tab w:val="right" w:pos="9026" w:leader="dot"/>
            </w:tabs>
            <w:rPr/>
          </w:pPr>
          <w:hyperlink w:anchor="__RefHeading___Toc3696509_3650668749">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3696511_3650668749">
            <w:r>
              <w:rPr>
                <w:webHidden/>
                <w:rStyle w:val="IndexLink"/>
                <w:rtl w:val="true"/>
              </w:rPr>
              <w:t>پاسخ</w:t>
            </w:r>
            <w:r>
              <w:rPr>
                <w:rStyle w:val="IndexLink"/>
                <w:rtl w:val="true"/>
              </w:rPr>
              <w:tab/>
            </w:r>
            <w:r>
              <w:rPr>
                <w:rStyle w:val="IndexLink"/>
              </w:rPr>
              <w:t>115</w:t>
            </w:r>
          </w:hyperlink>
        </w:p>
        <w:p>
          <w:pPr>
            <w:pStyle w:val="Contents2"/>
            <w:tabs>
              <w:tab w:val="clear" w:pos="8743"/>
              <w:tab w:val="right" w:pos="9026" w:leader="dot"/>
            </w:tabs>
            <w:rPr/>
          </w:pPr>
          <w:hyperlink w:anchor="__RefHeading___Toc3696513_3650668749">
            <w:r>
              <w:rPr>
                <w:webHidden/>
                <w:rStyle w:val="IndexLink"/>
              </w:rPr>
              <w:t>١٢</w:t>
            </w:r>
            <w:r>
              <w:rPr>
                <w:rStyle w:val="IndexLink"/>
                <w:rtl w:val="true"/>
              </w:rPr>
              <w:t xml:space="preserve"> نوحه‌سرايى</w:t>
            </w:r>
            <w:r>
              <w:rPr>
                <w:rStyle w:val="IndexLink"/>
                <w:rtl w:val="true"/>
              </w:rPr>
              <w:tab/>
            </w:r>
            <w:r>
              <w:rPr>
                <w:rStyle w:val="IndexLink"/>
              </w:rPr>
              <w:t>117</w:t>
            </w:r>
          </w:hyperlink>
        </w:p>
        <w:p>
          <w:pPr>
            <w:pStyle w:val="Contents3"/>
            <w:tabs>
              <w:tab w:val="clear" w:pos="8459"/>
              <w:tab w:val="right" w:pos="9026" w:leader="dot"/>
            </w:tabs>
            <w:rPr/>
          </w:pPr>
          <w:hyperlink w:anchor="__RefHeading___Toc3696515_3650668749">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3696517_3650668749">
            <w:r>
              <w:rPr>
                <w:webHidden/>
                <w:rStyle w:val="IndexLink"/>
                <w:rtl w:val="true"/>
              </w:rPr>
              <w:t>پاسخ</w:t>
            </w:r>
            <w:r>
              <w:rPr>
                <w:rStyle w:val="IndexLink"/>
                <w:rtl w:val="true"/>
              </w:rPr>
              <w:tab/>
            </w:r>
            <w:r>
              <w:rPr>
                <w:rStyle w:val="IndexLink"/>
              </w:rPr>
              <w:t>118</w:t>
            </w:r>
          </w:hyperlink>
        </w:p>
        <w:p>
          <w:pPr>
            <w:pStyle w:val="Contents3"/>
            <w:tabs>
              <w:tab w:val="clear" w:pos="8459"/>
              <w:tab w:val="right" w:pos="9026" w:leader="dot"/>
            </w:tabs>
            <w:rPr/>
          </w:pPr>
          <w:hyperlink w:anchor="__RefHeading___Toc3696519_3650668749">
            <w:r>
              <w:rPr>
                <w:webHidden/>
                <w:rStyle w:val="IndexLink"/>
                <w:rtl w:val="true"/>
              </w:rPr>
              <w:t xml:space="preserve">جواز نوحه‌سرايى بر اهل بيت </w:t>
            </w:r>
            <w:r>
              <w:rPr>
                <w:rStyle w:val="IndexLink"/>
                <w:rtl w:val="true"/>
              </w:rPr>
              <w:t>(</w:t>
            </w:r>
            <w:r>
              <w:rPr>
                <w:rStyle w:val="IndexLink"/>
                <w:rtl w:val="true"/>
              </w:rPr>
              <w:t>عليهم‌السلام</w:t>
            </w:r>
            <w:r>
              <w:rPr>
                <w:rStyle w:val="IndexLink"/>
                <w:rtl w:val="true"/>
              </w:rPr>
              <w:t>)</w:t>
              <w:tab/>
            </w:r>
            <w:r>
              <w:rPr>
                <w:rStyle w:val="IndexLink"/>
              </w:rPr>
              <w:t>118</w:t>
            </w:r>
          </w:hyperlink>
        </w:p>
        <w:p>
          <w:pPr>
            <w:pStyle w:val="Contents3"/>
            <w:tabs>
              <w:tab w:val="clear" w:pos="8459"/>
              <w:tab w:val="right" w:pos="9026" w:leader="dot"/>
            </w:tabs>
            <w:rPr/>
          </w:pPr>
          <w:hyperlink w:anchor="__RefHeading___Toc3696521_3650668749">
            <w:r>
              <w:rPr>
                <w:webHidden/>
                <w:rStyle w:val="IndexLink"/>
                <w:rtl w:val="true"/>
              </w:rPr>
              <w:t xml:space="preserve">شيعه و پيروى محض از پيامبر </w:t>
            </w:r>
            <w:r>
              <w:rPr>
                <w:rStyle w:val="IndexLink"/>
                <w:rtl w:val="true"/>
              </w:rPr>
              <w:t>(</w:t>
            </w:r>
            <w:r>
              <w:rPr>
                <w:rStyle w:val="IndexLink"/>
                <w:rtl w:val="true"/>
              </w:rPr>
              <w:t>ص</w:t>
            </w:r>
            <w:r>
              <w:rPr>
                <w:rStyle w:val="IndexLink"/>
                <w:rtl w:val="true"/>
              </w:rPr>
              <w:t xml:space="preserve">) </w:t>
            </w:r>
            <w:r>
              <w:rPr>
                <w:rStyle w:val="IndexLink"/>
                <w:rtl w:val="true"/>
              </w:rPr>
              <w:t>و خاندان او</w:t>
            </w:r>
            <w:r>
              <w:rPr>
                <w:rStyle w:val="IndexLink"/>
                <w:rtl w:val="true"/>
              </w:rPr>
              <w:tab/>
            </w:r>
            <w:r>
              <w:rPr>
                <w:rStyle w:val="IndexLink"/>
              </w:rPr>
              <w:t>122</w:t>
            </w:r>
          </w:hyperlink>
        </w:p>
        <w:p>
          <w:pPr>
            <w:pStyle w:val="Contents3"/>
            <w:tabs>
              <w:tab w:val="clear" w:pos="8459"/>
              <w:tab w:val="right" w:pos="9026" w:leader="dot"/>
            </w:tabs>
            <w:rPr/>
          </w:pPr>
          <w:hyperlink w:anchor="__RefHeading___Toc3696523_3650668749">
            <w:r>
              <w:rPr>
                <w:webHidden/>
                <w:rStyle w:val="IndexLink"/>
                <w:rtl w:val="true"/>
              </w:rPr>
              <w:t>حكم نوحه‌سرايى در ساير موارد</w:t>
            </w:r>
            <w:r>
              <w:rPr>
                <w:rStyle w:val="IndexLink"/>
                <w:rtl w:val="true"/>
              </w:rPr>
              <w:tab/>
            </w:r>
            <w:r>
              <w:rPr>
                <w:rStyle w:val="IndexLink"/>
              </w:rPr>
              <w:t>124</w:t>
            </w:r>
          </w:hyperlink>
        </w:p>
        <w:p>
          <w:pPr>
            <w:pStyle w:val="Contents3"/>
            <w:tabs>
              <w:tab w:val="clear" w:pos="8459"/>
              <w:tab w:val="right" w:pos="9026" w:leader="dot"/>
            </w:tabs>
            <w:rPr/>
          </w:pPr>
          <w:hyperlink w:anchor="__RefHeading___Toc3696525_3650668749">
            <w:r>
              <w:rPr>
                <w:webHidden/>
                <w:rStyle w:val="IndexLink"/>
                <w:rtl w:val="true"/>
              </w:rPr>
              <w:t>رعايت اعتدال در ناله و شيون در مصائب</w:t>
            </w:r>
            <w:r>
              <w:rPr>
                <w:rStyle w:val="IndexLink"/>
                <w:rtl w:val="true"/>
              </w:rPr>
              <w:tab/>
            </w:r>
            <w:r>
              <w:rPr>
                <w:rStyle w:val="IndexLink"/>
              </w:rPr>
              <w:t>125</w:t>
            </w:r>
          </w:hyperlink>
        </w:p>
        <w:p>
          <w:pPr>
            <w:pStyle w:val="Contents3"/>
            <w:tabs>
              <w:tab w:val="clear" w:pos="8459"/>
              <w:tab w:val="right" w:pos="9026" w:leader="dot"/>
            </w:tabs>
            <w:rPr/>
          </w:pPr>
          <w:hyperlink w:anchor="__RefHeading___Toc3696527_3650668749">
            <w:r>
              <w:rPr>
                <w:webHidden/>
                <w:rStyle w:val="IndexLink"/>
                <w:rtl w:val="true"/>
              </w:rPr>
              <w:t>ناله و شيون در مصائب سيدالشهدا</w:t>
            </w:r>
            <w:r>
              <w:rPr>
                <w:rStyle w:val="IndexLink"/>
                <w:rtl w:val="true"/>
              </w:rPr>
              <w:tab/>
            </w:r>
            <w:r>
              <w:rPr>
                <w:rStyle w:val="IndexLink"/>
              </w:rPr>
              <w:t>126</w:t>
            </w:r>
          </w:hyperlink>
        </w:p>
        <w:p>
          <w:pPr>
            <w:pStyle w:val="Contents3"/>
            <w:tabs>
              <w:tab w:val="clear" w:pos="8459"/>
              <w:tab w:val="right" w:pos="9026" w:leader="dot"/>
            </w:tabs>
            <w:rPr/>
          </w:pPr>
          <w:hyperlink w:anchor="__RefHeading___Toc3696529_3650668749">
            <w:r>
              <w:rPr>
                <w:webHidden/>
                <w:rStyle w:val="IndexLink"/>
                <w:rtl w:val="true"/>
              </w:rPr>
              <w:t xml:space="preserve">مقايسه مصيبت سيدالشهدا </w:t>
            </w:r>
            <w:r>
              <w:rPr>
                <w:rStyle w:val="IndexLink"/>
                <w:rtl w:val="true"/>
              </w:rPr>
              <w:t>(</w:t>
            </w:r>
            <w:r>
              <w:rPr>
                <w:rStyle w:val="IndexLink"/>
                <w:rtl w:val="true"/>
              </w:rPr>
              <w:t>ع</w:t>
            </w:r>
            <w:r>
              <w:rPr>
                <w:rStyle w:val="IndexLink"/>
                <w:rtl w:val="true"/>
              </w:rPr>
              <w:t xml:space="preserve">) </w:t>
            </w:r>
            <w:r>
              <w:rPr>
                <w:rStyle w:val="IndexLink"/>
                <w:rtl w:val="true"/>
              </w:rPr>
              <w:t>با ديگر مصائب</w:t>
            </w:r>
            <w:r>
              <w:rPr>
                <w:rStyle w:val="IndexLink"/>
                <w:rtl w:val="true"/>
              </w:rPr>
              <w:tab/>
            </w:r>
            <w:r>
              <w:rPr>
                <w:rStyle w:val="IndexLink"/>
              </w:rPr>
              <w:t>130</w:t>
            </w:r>
          </w:hyperlink>
        </w:p>
        <w:p>
          <w:pPr>
            <w:pStyle w:val="Contents3"/>
            <w:tabs>
              <w:tab w:val="clear" w:pos="8459"/>
              <w:tab w:val="right" w:pos="9026" w:leader="dot"/>
            </w:tabs>
            <w:rPr/>
          </w:pPr>
          <w:hyperlink w:anchor="__RefHeading___Toc3696531_3650668749">
            <w:r>
              <w:rPr>
                <w:webHidden/>
                <w:rStyle w:val="IndexLink"/>
                <w:rtl w:val="true"/>
              </w:rPr>
              <w:t xml:space="preserve">حضرت زينب و شرايط ويژه بعد از شهادت سيدالشهدا </w:t>
            </w:r>
            <w:r>
              <w:rPr>
                <w:rStyle w:val="IndexLink"/>
                <w:rtl w:val="true"/>
              </w:rPr>
              <w:t>(</w:t>
            </w:r>
            <w:r>
              <w:rPr>
                <w:rStyle w:val="IndexLink"/>
                <w:rtl w:val="true"/>
              </w:rPr>
              <w:t>ع</w:t>
            </w:r>
            <w:r>
              <w:rPr>
                <w:rStyle w:val="IndexLink"/>
                <w:rtl w:val="true"/>
              </w:rPr>
              <w:t>)</w:t>
              <w:tab/>
            </w:r>
            <w:r>
              <w:rPr>
                <w:rStyle w:val="IndexLink"/>
              </w:rPr>
              <w:t>130</w:t>
            </w:r>
          </w:hyperlink>
        </w:p>
        <w:p>
          <w:pPr>
            <w:pStyle w:val="Contents2"/>
            <w:tabs>
              <w:tab w:val="clear" w:pos="8743"/>
              <w:tab w:val="right" w:pos="9026" w:leader="dot"/>
            </w:tabs>
            <w:rPr/>
          </w:pPr>
          <w:hyperlink w:anchor="__RefHeading___Toc3696533_3650668749">
            <w:r>
              <w:rPr>
                <w:webHidden/>
                <w:rStyle w:val="IndexLink"/>
              </w:rPr>
              <w:t>١٣</w:t>
            </w:r>
            <w:r>
              <w:rPr>
                <w:rStyle w:val="IndexLink"/>
                <w:rtl w:val="true"/>
              </w:rPr>
              <w:t xml:space="preserve"> لباس مشكى در عزادارى سيدالشهدا</w:t>
            </w:r>
            <w:r>
              <w:rPr>
                <w:rStyle w:val="IndexLink"/>
                <w:rtl w:val="true"/>
              </w:rPr>
              <w:tab/>
            </w:r>
            <w:r>
              <w:rPr>
                <w:rStyle w:val="IndexLink"/>
              </w:rPr>
              <w:t>132</w:t>
            </w:r>
          </w:hyperlink>
        </w:p>
        <w:p>
          <w:pPr>
            <w:pStyle w:val="Contents3"/>
            <w:tabs>
              <w:tab w:val="clear" w:pos="8459"/>
              <w:tab w:val="right" w:pos="9026" w:leader="dot"/>
            </w:tabs>
            <w:rPr/>
          </w:pPr>
          <w:hyperlink w:anchor="__RefHeading___Toc3696535_3650668749">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3696537_3650668749">
            <w:r>
              <w:rPr>
                <w:webHidden/>
                <w:rStyle w:val="IndexLink"/>
                <w:rtl w:val="true"/>
              </w:rPr>
              <w:t>پاسخ</w:t>
            </w:r>
            <w:r>
              <w:rPr>
                <w:rStyle w:val="IndexLink"/>
                <w:rtl w:val="true"/>
              </w:rPr>
              <w:tab/>
            </w:r>
            <w:r>
              <w:rPr>
                <w:rStyle w:val="IndexLink"/>
              </w:rPr>
              <w:t>132</w:t>
            </w:r>
          </w:hyperlink>
        </w:p>
        <w:p>
          <w:pPr>
            <w:pStyle w:val="Contents2"/>
            <w:tabs>
              <w:tab w:val="clear" w:pos="8743"/>
              <w:tab w:val="right" w:pos="9026" w:leader="dot"/>
            </w:tabs>
            <w:rPr/>
          </w:pPr>
          <w:hyperlink w:anchor="__RefHeading___Toc3696539_3650668749">
            <w:r>
              <w:rPr>
                <w:webHidden/>
                <w:rStyle w:val="IndexLink"/>
              </w:rPr>
              <w:t>١۴</w:t>
            </w:r>
            <w:r>
              <w:rPr>
                <w:rStyle w:val="IndexLink"/>
                <w:rtl w:val="true"/>
              </w:rPr>
              <w:t xml:space="preserve"> نه جادوگرى، نه مظلوم‌نمايى و نه بزرگ‌نمايى</w:t>
            </w:r>
            <w:r>
              <w:rPr>
                <w:rStyle w:val="IndexLink"/>
                <w:rtl w:val="true"/>
              </w:rPr>
              <w:tab/>
            </w:r>
            <w:r>
              <w:rPr>
                <w:rStyle w:val="IndexLink"/>
              </w:rPr>
              <w:t>135</w:t>
            </w:r>
          </w:hyperlink>
        </w:p>
        <w:p>
          <w:pPr>
            <w:pStyle w:val="Contents3"/>
            <w:tabs>
              <w:tab w:val="clear" w:pos="8459"/>
              <w:tab w:val="right" w:pos="9026" w:leader="dot"/>
            </w:tabs>
            <w:rPr/>
          </w:pPr>
          <w:hyperlink w:anchor="__RefHeading___Toc3696541_3650668749">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3696543_3650668749">
            <w:r>
              <w:rPr>
                <w:webHidden/>
                <w:rStyle w:val="IndexLink"/>
                <w:rtl w:val="true"/>
              </w:rPr>
              <w:t>پاسخ</w:t>
            </w:r>
            <w:r>
              <w:rPr>
                <w:rStyle w:val="IndexLink"/>
                <w:rtl w:val="true"/>
              </w:rPr>
              <w:tab/>
            </w:r>
            <w:r>
              <w:rPr>
                <w:rStyle w:val="IndexLink"/>
              </w:rPr>
              <w:t>135</w:t>
            </w:r>
          </w:hyperlink>
        </w:p>
        <w:p>
          <w:pPr>
            <w:pStyle w:val="Contents2"/>
            <w:tabs>
              <w:tab w:val="clear" w:pos="8743"/>
              <w:tab w:val="right" w:pos="9026" w:leader="dot"/>
            </w:tabs>
            <w:rPr/>
          </w:pPr>
          <w:hyperlink w:anchor="__RefHeading___Toc3696545_3650668749">
            <w:r>
              <w:rPr>
                <w:webHidden/>
                <w:rStyle w:val="IndexLink"/>
              </w:rPr>
              <w:t>١۵</w:t>
            </w:r>
            <w:r>
              <w:rPr>
                <w:rStyle w:val="IndexLink"/>
                <w:rtl w:val="true"/>
              </w:rPr>
              <w:t xml:space="preserve"> تعصب وحشيانه</w:t>
            </w:r>
            <w:r>
              <w:rPr>
                <w:rStyle w:val="IndexLink"/>
                <w:rtl w:val="true"/>
              </w:rPr>
              <w:tab/>
            </w:r>
            <w:r>
              <w:rPr>
                <w:rStyle w:val="IndexLink"/>
              </w:rPr>
              <w:t>136</w:t>
            </w:r>
          </w:hyperlink>
        </w:p>
        <w:p>
          <w:pPr>
            <w:pStyle w:val="Contents3"/>
            <w:tabs>
              <w:tab w:val="clear" w:pos="8459"/>
              <w:tab w:val="right" w:pos="9026" w:leader="dot"/>
            </w:tabs>
            <w:rPr/>
          </w:pPr>
          <w:hyperlink w:anchor="__RefHeading___Toc3696547_3650668749">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3696549_3650668749">
            <w:r>
              <w:rPr>
                <w:webHidden/>
                <w:rStyle w:val="IndexLink"/>
                <w:rtl w:val="true"/>
              </w:rPr>
              <w:t>پاسخ</w:t>
            </w:r>
            <w:r>
              <w:rPr>
                <w:rStyle w:val="IndexLink"/>
                <w:rtl w:val="true"/>
              </w:rPr>
              <w:tab/>
            </w:r>
            <w:r>
              <w:rPr>
                <w:rStyle w:val="IndexLink"/>
              </w:rPr>
              <w:t>136</w:t>
            </w:r>
          </w:hyperlink>
        </w:p>
        <w:p>
          <w:pPr>
            <w:pStyle w:val="Contents3"/>
            <w:tabs>
              <w:tab w:val="clear" w:pos="8459"/>
              <w:tab w:val="right" w:pos="9026" w:leader="dot"/>
            </w:tabs>
            <w:rPr/>
          </w:pPr>
          <w:hyperlink w:anchor="__RefHeading___Toc3696551_3650668749">
            <w:r>
              <w:rPr>
                <w:webHidden/>
                <w:rStyle w:val="IndexLink"/>
                <w:rtl w:val="true"/>
              </w:rPr>
              <w:t xml:space="preserve">علت همنامى برخى از فرزندان ائمه </w:t>
            </w:r>
            <w:r>
              <w:rPr>
                <w:rStyle w:val="IndexLink"/>
                <w:rtl w:val="true"/>
              </w:rPr>
              <w:t>(</w:t>
            </w:r>
            <w:r>
              <w:rPr>
                <w:rStyle w:val="IndexLink"/>
                <w:rtl w:val="true"/>
              </w:rPr>
              <w:t>عليهم‌السلام</w:t>
            </w:r>
            <w:r>
              <w:rPr>
                <w:rStyle w:val="IndexLink"/>
                <w:rtl w:val="true"/>
              </w:rPr>
              <w:t xml:space="preserve">) </w:t>
            </w:r>
            <w:r>
              <w:rPr>
                <w:rStyle w:val="IndexLink"/>
                <w:rtl w:val="true"/>
              </w:rPr>
              <w:t>با مخالفان</w:t>
            </w:r>
            <w:r>
              <w:rPr>
                <w:rStyle w:val="IndexLink"/>
                <w:rtl w:val="true"/>
              </w:rPr>
              <w:tab/>
            </w:r>
            <w:r>
              <w:rPr>
                <w:rStyle w:val="IndexLink"/>
              </w:rPr>
              <w:t>139</w:t>
            </w:r>
          </w:hyperlink>
        </w:p>
        <w:p>
          <w:pPr>
            <w:pStyle w:val="Contents3"/>
            <w:tabs>
              <w:tab w:val="clear" w:pos="8459"/>
              <w:tab w:val="right" w:pos="9026" w:leader="dot"/>
            </w:tabs>
            <w:rPr/>
          </w:pPr>
          <w:hyperlink w:anchor="__RefHeading___Toc3696553_3650668749">
            <w:r>
              <w:rPr>
                <w:webHidden/>
                <w:rStyle w:val="IndexLink"/>
                <w:rtl w:val="true"/>
              </w:rPr>
              <w:t>پاسخ</w:t>
            </w:r>
            <w:r>
              <w:rPr>
                <w:rStyle w:val="IndexLink"/>
                <w:rtl w:val="true"/>
              </w:rPr>
              <w:tab/>
            </w:r>
            <w:r>
              <w:rPr>
                <w:rStyle w:val="IndexLink"/>
              </w:rPr>
              <w:t>139</w:t>
            </w:r>
          </w:hyperlink>
        </w:p>
        <w:p>
          <w:pPr>
            <w:pStyle w:val="Contents2"/>
            <w:tabs>
              <w:tab w:val="clear" w:pos="8743"/>
              <w:tab w:val="right" w:pos="9026" w:leader="dot"/>
            </w:tabs>
            <w:rPr/>
          </w:pPr>
          <w:hyperlink w:anchor="__RefHeading___Toc3696555_3650668749">
            <w:r>
              <w:rPr>
                <w:webHidden/>
                <w:rStyle w:val="IndexLink"/>
              </w:rPr>
              <w:t>١۶</w:t>
            </w:r>
            <w:r>
              <w:rPr>
                <w:rStyle w:val="IndexLink"/>
                <w:rtl w:val="true"/>
              </w:rPr>
              <w:t xml:space="preserve"> شيعه و امامت حضرت زين‌العابدين </w:t>
            </w:r>
            <w:r>
              <w:rPr>
                <w:rStyle w:val="IndexLink"/>
                <w:rtl w:val="true"/>
              </w:rPr>
              <w:t>(</w:t>
            </w:r>
            <w:r>
              <w:rPr>
                <w:rStyle w:val="IndexLink"/>
                <w:rtl w:val="true"/>
              </w:rPr>
              <w:t>ع</w:t>
            </w:r>
            <w:r>
              <w:rPr>
                <w:rStyle w:val="IndexLink"/>
                <w:rtl w:val="true"/>
              </w:rPr>
              <w:t>)</w:t>
              <w:tab/>
            </w:r>
            <w:r>
              <w:rPr>
                <w:rStyle w:val="IndexLink"/>
              </w:rPr>
              <w:t>142</w:t>
            </w:r>
          </w:hyperlink>
        </w:p>
        <w:p>
          <w:pPr>
            <w:pStyle w:val="Contents3"/>
            <w:tabs>
              <w:tab w:val="clear" w:pos="8459"/>
              <w:tab w:val="right" w:pos="9026" w:leader="dot"/>
            </w:tabs>
            <w:rPr/>
          </w:pPr>
          <w:hyperlink w:anchor="__RefHeading___Toc3696557_3650668749">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3696559_3650668749">
            <w:r>
              <w:rPr>
                <w:webHidden/>
                <w:rStyle w:val="IndexLink"/>
                <w:rtl w:val="true"/>
              </w:rPr>
              <w:t>پاسخ</w:t>
            </w:r>
            <w:r>
              <w:rPr>
                <w:rStyle w:val="IndexLink"/>
                <w:rtl w:val="true"/>
              </w:rPr>
              <w:tab/>
            </w:r>
            <w:r>
              <w:rPr>
                <w:rStyle w:val="IndexLink"/>
              </w:rPr>
              <w:t>142</w:t>
            </w:r>
          </w:hyperlink>
        </w:p>
        <w:p>
          <w:pPr>
            <w:pStyle w:val="Contents3"/>
            <w:tabs>
              <w:tab w:val="clear" w:pos="8459"/>
              <w:tab w:val="right" w:pos="9026" w:leader="dot"/>
            </w:tabs>
            <w:rPr/>
          </w:pPr>
          <w:hyperlink w:anchor="__RefHeading___Toc3696561_3650668749">
            <w:r>
              <w:rPr>
                <w:webHidden/>
                <w:rStyle w:val="IndexLink"/>
                <w:rtl w:val="true"/>
              </w:rPr>
              <w:t>شرايط وحشتناك دوران بنى‌اميّه براى شيعيان</w:t>
            </w:r>
            <w:r>
              <w:rPr>
                <w:rStyle w:val="IndexLink"/>
                <w:rtl w:val="true"/>
              </w:rPr>
              <w:tab/>
            </w:r>
            <w:r>
              <w:rPr>
                <w:rStyle w:val="IndexLink"/>
              </w:rPr>
              <w:t>142</w:t>
            </w:r>
          </w:hyperlink>
        </w:p>
        <w:p>
          <w:pPr>
            <w:pStyle w:val="Contents3"/>
            <w:tabs>
              <w:tab w:val="clear" w:pos="8459"/>
              <w:tab w:val="right" w:pos="9026" w:leader="dot"/>
            </w:tabs>
            <w:rPr/>
          </w:pPr>
          <w:hyperlink w:anchor="__RefHeading___Toc3696563_3650668749">
            <w:r>
              <w:rPr>
                <w:webHidden/>
                <w:rStyle w:val="IndexLink"/>
                <w:rtl w:val="true"/>
              </w:rPr>
              <w:t xml:space="preserve">تأييد قيام جناب زيد از جانب ائمه </w:t>
            </w:r>
            <w:r>
              <w:rPr>
                <w:rStyle w:val="IndexLink"/>
                <w:rtl w:val="true"/>
              </w:rPr>
              <w:t>(</w:t>
            </w:r>
            <w:r>
              <w:rPr>
                <w:rStyle w:val="IndexLink"/>
                <w:rtl w:val="true"/>
              </w:rPr>
              <w:t>عليهم‌السلام</w:t>
            </w:r>
            <w:r>
              <w:rPr>
                <w:rStyle w:val="IndexLink"/>
                <w:rtl w:val="true"/>
              </w:rPr>
              <w:t>)</w:t>
              <w:tab/>
            </w:r>
            <w:r>
              <w:rPr>
                <w:rStyle w:val="IndexLink"/>
              </w:rPr>
              <w:t>145</w:t>
            </w:r>
          </w:hyperlink>
        </w:p>
        <w:p>
          <w:pPr>
            <w:pStyle w:val="Contents3"/>
            <w:tabs>
              <w:tab w:val="clear" w:pos="8459"/>
              <w:tab w:val="right" w:pos="9026" w:leader="dot"/>
            </w:tabs>
            <w:rPr/>
          </w:pPr>
          <w:hyperlink w:anchor="__RefHeading___Toc3696565_3650668749">
            <w:r>
              <w:rPr>
                <w:webHidden/>
                <w:rStyle w:val="IndexLink"/>
                <w:rtl w:val="true"/>
              </w:rPr>
              <w:t xml:space="preserve">امامت حضرت سجاد </w:t>
            </w:r>
            <w:r>
              <w:rPr>
                <w:rStyle w:val="IndexLink"/>
                <w:rtl w:val="true"/>
              </w:rPr>
              <w:t>(</w:t>
            </w:r>
            <w:r>
              <w:rPr>
                <w:rStyle w:val="IndexLink"/>
                <w:rtl w:val="true"/>
              </w:rPr>
              <w:t>ع</w:t>
            </w:r>
            <w:r>
              <w:rPr>
                <w:rStyle w:val="IndexLink"/>
                <w:rtl w:val="true"/>
              </w:rPr>
              <w:t>)</w:t>
              <w:tab/>
            </w:r>
            <w:r>
              <w:rPr>
                <w:rStyle w:val="IndexLink"/>
              </w:rPr>
              <w:t>146</w:t>
            </w:r>
          </w:hyperlink>
        </w:p>
        <w:p>
          <w:pPr>
            <w:pStyle w:val="Contents3"/>
            <w:tabs>
              <w:tab w:val="clear" w:pos="8459"/>
              <w:tab w:val="right" w:pos="9026" w:leader="dot"/>
            </w:tabs>
            <w:rPr/>
          </w:pPr>
          <w:hyperlink w:anchor="__RefHeading___Toc3696567_3650668749">
            <w:r>
              <w:rPr>
                <w:webHidden/>
                <w:rStyle w:val="IndexLink"/>
                <w:rtl w:val="true"/>
              </w:rPr>
              <w:t xml:space="preserve">تذكر امام سجاد </w:t>
            </w:r>
            <w:r>
              <w:rPr>
                <w:rStyle w:val="IndexLink"/>
                <w:rtl w:val="true"/>
              </w:rPr>
              <w:t>(</w:t>
            </w:r>
            <w:r>
              <w:rPr>
                <w:rStyle w:val="IndexLink"/>
                <w:rtl w:val="true"/>
              </w:rPr>
              <w:t>ع</w:t>
            </w:r>
            <w:r>
              <w:rPr>
                <w:rStyle w:val="IndexLink"/>
                <w:rtl w:val="true"/>
              </w:rPr>
              <w:t xml:space="preserve">) </w:t>
            </w:r>
            <w:r>
              <w:rPr>
                <w:rStyle w:val="IndexLink"/>
                <w:rtl w:val="true"/>
              </w:rPr>
              <w:t>به محمد بن زُهرى عالم دربار بنى‌اميّه</w:t>
            </w:r>
            <w:r>
              <w:rPr>
                <w:rStyle w:val="IndexLink"/>
                <w:rtl w:val="true"/>
              </w:rPr>
              <w:tab/>
            </w:r>
            <w:r>
              <w:rPr>
                <w:rStyle w:val="IndexLink"/>
              </w:rPr>
              <w:t>147</w:t>
            </w:r>
          </w:hyperlink>
        </w:p>
        <w:p>
          <w:pPr>
            <w:pStyle w:val="Contents3"/>
            <w:tabs>
              <w:tab w:val="clear" w:pos="8459"/>
              <w:tab w:val="right" w:pos="9026" w:leader="dot"/>
            </w:tabs>
            <w:rPr/>
          </w:pPr>
          <w:hyperlink w:anchor="__RefHeading___Toc3696569_3650668749">
            <w:r>
              <w:rPr>
                <w:webHidden/>
                <w:rStyle w:val="IndexLink"/>
                <w:rtl w:val="true"/>
              </w:rPr>
              <w:t xml:space="preserve">گوشه‌اى از ادلّه شيعه بر امامت حضرت زين‌العابدين </w:t>
            </w:r>
            <w:r>
              <w:rPr>
                <w:rStyle w:val="IndexLink"/>
                <w:rtl w:val="true"/>
              </w:rPr>
              <w:t>(</w:t>
            </w:r>
            <w:r>
              <w:rPr>
                <w:rStyle w:val="IndexLink"/>
                <w:rtl w:val="true"/>
              </w:rPr>
              <w:t>ع</w:t>
            </w:r>
            <w:r>
              <w:rPr>
                <w:rStyle w:val="IndexLink"/>
                <w:rtl w:val="true"/>
              </w:rPr>
              <w:t>)</w:t>
              <w:tab/>
            </w:r>
            <w:r>
              <w:rPr>
                <w:rStyle w:val="IndexLink"/>
              </w:rPr>
              <w:t>149</w:t>
            </w:r>
          </w:hyperlink>
        </w:p>
        <w:p>
          <w:pPr>
            <w:pStyle w:val="Contents3"/>
            <w:tabs>
              <w:tab w:val="clear" w:pos="8459"/>
              <w:tab w:val="right" w:pos="9026" w:leader="dot"/>
            </w:tabs>
            <w:rPr/>
          </w:pPr>
          <w:hyperlink w:anchor="__RefHeading___Toc3696571_3650668749">
            <w:r>
              <w:rPr>
                <w:webHidden/>
                <w:rStyle w:val="IndexLink"/>
                <w:rtl w:val="true"/>
              </w:rPr>
              <w:t xml:space="preserve">اعتراف شخصيت‌هاى معروف به برترى حضرت على بن الحسين </w:t>
            </w:r>
            <w:r>
              <w:rPr>
                <w:rStyle w:val="IndexLink"/>
                <w:rtl w:val="true"/>
              </w:rPr>
              <w:t>(</w:t>
            </w:r>
            <w:r>
              <w:rPr>
                <w:rStyle w:val="IndexLink"/>
                <w:rtl w:val="true"/>
              </w:rPr>
              <w:t>عليهماالسلام</w:t>
            </w:r>
            <w:r>
              <w:rPr>
                <w:rStyle w:val="IndexLink"/>
                <w:rtl w:val="true"/>
              </w:rPr>
              <w:t>)</w:t>
              <w:tab/>
            </w:r>
            <w:r>
              <w:rPr>
                <w:rStyle w:val="IndexLink"/>
              </w:rPr>
              <w:t>153</w:t>
            </w:r>
          </w:hyperlink>
        </w:p>
        <w:p>
          <w:pPr>
            <w:pStyle w:val="Contents3"/>
            <w:tabs>
              <w:tab w:val="clear" w:pos="8459"/>
              <w:tab w:val="right" w:pos="9026" w:leader="dot"/>
            </w:tabs>
            <w:rPr/>
          </w:pPr>
          <w:hyperlink w:anchor="__RefHeading___Toc3696573_3650668749">
            <w:r>
              <w:rPr>
                <w:webHidden/>
                <w:rStyle w:val="IndexLink"/>
                <w:rtl w:val="true"/>
              </w:rPr>
              <w:t xml:space="preserve">توجه امام زين‌العابدين </w:t>
            </w:r>
            <w:r>
              <w:rPr>
                <w:rStyle w:val="IndexLink"/>
                <w:rtl w:val="true"/>
              </w:rPr>
              <w:t>(</w:t>
            </w:r>
            <w:r>
              <w:rPr>
                <w:rStyle w:val="IndexLink"/>
                <w:rtl w:val="true"/>
              </w:rPr>
              <w:t>ع</w:t>
            </w:r>
            <w:r>
              <w:rPr>
                <w:rStyle w:val="IndexLink"/>
                <w:rtl w:val="true"/>
              </w:rPr>
              <w:t xml:space="preserve">) </w:t>
            </w:r>
            <w:r>
              <w:rPr>
                <w:rStyle w:val="IndexLink"/>
                <w:rtl w:val="true"/>
              </w:rPr>
              <w:t>به دستور خداوند و شرايط خاص</w:t>
            </w:r>
            <w:r>
              <w:rPr>
                <w:rStyle w:val="IndexLink"/>
                <w:rtl w:val="true"/>
              </w:rPr>
              <w:tab/>
            </w:r>
            <w:r>
              <w:rPr>
                <w:rStyle w:val="IndexLink"/>
              </w:rPr>
              <w:t>155</w:t>
            </w:r>
          </w:hyperlink>
        </w:p>
        <w:p>
          <w:pPr>
            <w:pStyle w:val="Contents2"/>
            <w:tabs>
              <w:tab w:val="clear" w:pos="8743"/>
              <w:tab w:val="right" w:pos="9026" w:leader="dot"/>
            </w:tabs>
            <w:rPr/>
          </w:pPr>
          <w:hyperlink w:anchor="__RefHeading___Toc3696575_3650668749">
            <w:r>
              <w:rPr>
                <w:webHidden/>
                <w:rStyle w:val="IndexLink"/>
              </w:rPr>
              <w:t>١٧</w:t>
            </w:r>
            <w:r>
              <w:rPr>
                <w:rStyle w:val="IndexLink"/>
                <w:rtl w:val="true"/>
              </w:rPr>
              <w:t xml:space="preserve"> زيد بن على و مسئله امامت پدر خويش</w:t>
            </w:r>
            <w:r>
              <w:rPr>
                <w:rStyle w:val="IndexLink"/>
                <w:rtl w:val="true"/>
              </w:rPr>
              <w:tab/>
            </w:r>
            <w:r>
              <w:rPr>
                <w:rStyle w:val="IndexLink"/>
              </w:rPr>
              <w:t>157</w:t>
            </w:r>
          </w:hyperlink>
        </w:p>
        <w:p>
          <w:pPr>
            <w:pStyle w:val="Contents3"/>
            <w:tabs>
              <w:tab w:val="clear" w:pos="8459"/>
              <w:tab w:val="right" w:pos="9026" w:leader="dot"/>
            </w:tabs>
            <w:rPr/>
          </w:pPr>
          <w:hyperlink w:anchor="__RefHeading___Toc3696577_3650668749">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3696579_3650668749">
            <w:r>
              <w:rPr>
                <w:webHidden/>
                <w:rStyle w:val="IndexLink"/>
                <w:rtl w:val="true"/>
              </w:rPr>
              <w:t>پاسخ</w:t>
            </w:r>
            <w:r>
              <w:rPr>
                <w:rStyle w:val="IndexLink"/>
                <w:rtl w:val="true"/>
              </w:rPr>
              <w:tab/>
            </w:r>
            <w:r>
              <w:rPr>
                <w:rStyle w:val="IndexLink"/>
              </w:rPr>
              <w:t>157</w:t>
            </w:r>
          </w:hyperlink>
        </w:p>
        <w:p>
          <w:pPr>
            <w:pStyle w:val="Contents2"/>
            <w:tabs>
              <w:tab w:val="clear" w:pos="8743"/>
              <w:tab w:val="right" w:pos="9026" w:leader="dot"/>
            </w:tabs>
            <w:rPr/>
          </w:pPr>
          <w:hyperlink w:anchor="__RefHeading___Toc3696581_3650668749">
            <w:r>
              <w:rPr>
                <w:webHidden/>
                <w:rStyle w:val="IndexLink"/>
              </w:rPr>
              <w:t>١٨</w:t>
            </w:r>
            <w:r>
              <w:rPr>
                <w:rStyle w:val="IndexLink"/>
                <w:rtl w:val="true"/>
              </w:rPr>
              <w:t xml:space="preserve"> وظيفه مسلمانان در باره شناخت جانشين امام</w:t>
            </w:r>
            <w:r>
              <w:rPr>
                <w:rStyle w:val="IndexLink"/>
                <w:rtl w:val="true"/>
              </w:rPr>
              <w:tab/>
            </w:r>
            <w:r>
              <w:rPr>
                <w:rStyle w:val="IndexLink"/>
              </w:rPr>
              <w:t>161</w:t>
            </w:r>
          </w:hyperlink>
        </w:p>
        <w:p>
          <w:pPr>
            <w:pStyle w:val="Contents3"/>
            <w:tabs>
              <w:tab w:val="clear" w:pos="8459"/>
              <w:tab w:val="right" w:pos="9026" w:leader="dot"/>
            </w:tabs>
            <w:rPr/>
          </w:pPr>
          <w:hyperlink w:anchor="__RefHeading___Toc3696583_3650668749">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3696585_3650668749">
            <w:r>
              <w:rPr>
                <w:webHidden/>
                <w:rStyle w:val="IndexLink"/>
                <w:rtl w:val="true"/>
              </w:rPr>
              <w:t>پاسخ</w:t>
            </w:r>
            <w:r>
              <w:rPr>
                <w:rStyle w:val="IndexLink"/>
                <w:rtl w:val="true"/>
              </w:rPr>
              <w:tab/>
            </w:r>
            <w:r>
              <w:rPr>
                <w:rStyle w:val="IndexLink"/>
              </w:rPr>
              <w:t>161</w:t>
            </w:r>
          </w:hyperlink>
        </w:p>
        <w:p>
          <w:pPr>
            <w:pStyle w:val="Contents2"/>
            <w:tabs>
              <w:tab w:val="clear" w:pos="8743"/>
              <w:tab w:val="right" w:pos="9026" w:leader="dot"/>
            </w:tabs>
            <w:rPr/>
          </w:pPr>
          <w:hyperlink w:anchor="__RefHeading___Toc3696587_3650668749">
            <w:r>
              <w:rPr>
                <w:webHidden/>
                <w:rStyle w:val="IndexLink"/>
              </w:rPr>
              <w:t>١٩</w:t>
            </w:r>
            <w:r>
              <w:rPr>
                <w:rStyle w:val="IndexLink"/>
                <w:rtl w:val="true"/>
              </w:rPr>
              <w:t xml:space="preserve"> اطلاع كامل ائمه اطهار از جانشين خويش</w:t>
            </w:r>
            <w:r>
              <w:rPr>
                <w:rStyle w:val="IndexLink"/>
                <w:rtl w:val="true"/>
              </w:rPr>
              <w:tab/>
            </w:r>
            <w:r>
              <w:rPr>
                <w:rStyle w:val="IndexLink"/>
              </w:rPr>
              <w:t>164</w:t>
            </w:r>
          </w:hyperlink>
        </w:p>
        <w:p>
          <w:pPr>
            <w:pStyle w:val="Contents3"/>
            <w:tabs>
              <w:tab w:val="clear" w:pos="8459"/>
              <w:tab w:val="right" w:pos="9026" w:leader="dot"/>
            </w:tabs>
            <w:rPr/>
          </w:pPr>
          <w:hyperlink w:anchor="__RefHeading___Toc3696589_3650668749">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3696591_3650668749">
            <w:r>
              <w:rPr>
                <w:webHidden/>
                <w:rStyle w:val="IndexLink"/>
                <w:rtl w:val="true"/>
              </w:rPr>
              <w:t>پاسخ</w:t>
            </w:r>
            <w:r>
              <w:rPr>
                <w:rStyle w:val="IndexLink"/>
                <w:rtl w:val="true"/>
              </w:rPr>
              <w:tab/>
            </w:r>
            <w:r>
              <w:rPr>
                <w:rStyle w:val="IndexLink"/>
              </w:rPr>
              <w:t>164</w:t>
            </w:r>
          </w:hyperlink>
        </w:p>
        <w:p>
          <w:pPr>
            <w:pStyle w:val="Contents3"/>
            <w:tabs>
              <w:tab w:val="clear" w:pos="8459"/>
              <w:tab w:val="right" w:pos="9026" w:leader="dot"/>
            </w:tabs>
            <w:rPr/>
          </w:pPr>
          <w:hyperlink w:anchor="__RefHeading___Toc3696593_3650668749">
            <w:r>
              <w:rPr>
                <w:webHidden/>
                <w:rStyle w:val="IndexLink"/>
                <w:rtl w:val="true"/>
              </w:rPr>
              <w:t>پاسخ به روايات مخالف</w:t>
            </w:r>
            <w:r>
              <w:rPr>
                <w:rStyle w:val="IndexLink"/>
                <w:rtl w:val="true"/>
              </w:rPr>
              <w:tab/>
            </w:r>
            <w:r>
              <w:rPr>
                <w:rStyle w:val="IndexLink"/>
              </w:rPr>
              <w:t>167</w:t>
            </w:r>
          </w:hyperlink>
        </w:p>
        <w:p>
          <w:pPr>
            <w:pStyle w:val="Contents2"/>
            <w:tabs>
              <w:tab w:val="clear" w:pos="8743"/>
              <w:tab w:val="right" w:pos="9026" w:leader="dot"/>
            </w:tabs>
            <w:rPr/>
          </w:pPr>
          <w:hyperlink w:anchor="__RefHeading___Toc3696595_3650668749">
            <w:r>
              <w:rPr>
                <w:webHidden/>
                <w:rStyle w:val="IndexLink"/>
              </w:rPr>
              <w:t>٢٠</w:t>
            </w:r>
            <w:r>
              <w:rPr>
                <w:rStyle w:val="IndexLink"/>
                <w:rtl w:val="true"/>
              </w:rPr>
              <w:t xml:space="preserve"> سرگردانى شيعيان</w:t>
            </w:r>
            <w:r>
              <w:rPr>
                <w:rStyle w:val="IndexLink"/>
                <w:rtl w:val="true"/>
              </w:rPr>
              <w:tab/>
            </w:r>
            <w:r>
              <w:rPr>
                <w:rStyle w:val="IndexLink"/>
              </w:rPr>
              <w:t>170</w:t>
            </w:r>
          </w:hyperlink>
        </w:p>
        <w:p>
          <w:pPr>
            <w:pStyle w:val="Contents3"/>
            <w:tabs>
              <w:tab w:val="clear" w:pos="8459"/>
              <w:tab w:val="right" w:pos="9026" w:leader="dot"/>
            </w:tabs>
            <w:rPr/>
          </w:pPr>
          <w:hyperlink w:anchor="__RefHeading___Toc3696597_3650668749">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3696599_3650668749">
            <w:r>
              <w:rPr>
                <w:webHidden/>
                <w:rStyle w:val="IndexLink"/>
                <w:rtl w:val="true"/>
              </w:rPr>
              <w:t>پاسخ</w:t>
            </w:r>
            <w:r>
              <w:rPr>
                <w:rStyle w:val="IndexLink"/>
                <w:rtl w:val="true"/>
              </w:rPr>
              <w:tab/>
            </w:r>
            <w:r>
              <w:rPr>
                <w:rStyle w:val="IndexLink"/>
              </w:rPr>
              <w:t>170</w:t>
            </w:r>
          </w:hyperlink>
        </w:p>
        <w:p>
          <w:pPr>
            <w:pStyle w:val="Contents3"/>
            <w:tabs>
              <w:tab w:val="clear" w:pos="8459"/>
              <w:tab w:val="right" w:pos="9026" w:leader="dot"/>
            </w:tabs>
            <w:rPr/>
          </w:pPr>
          <w:hyperlink w:anchor="__RefHeading___Toc3696601_3650668749">
            <w:r>
              <w:rPr>
                <w:webHidden/>
                <w:rStyle w:val="IndexLink"/>
                <w:rtl w:val="true"/>
              </w:rPr>
              <w:t>پيمان رازدارى</w:t>
            </w:r>
            <w:r>
              <w:rPr>
                <w:rStyle w:val="IndexLink"/>
                <w:rtl w:val="true"/>
              </w:rPr>
              <w:tab/>
            </w:r>
            <w:r>
              <w:rPr>
                <w:rStyle w:val="IndexLink"/>
              </w:rPr>
              <w:t>171</w:t>
            </w:r>
          </w:hyperlink>
        </w:p>
        <w:p>
          <w:pPr>
            <w:pStyle w:val="Contents3"/>
            <w:tabs>
              <w:tab w:val="clear" w:pos="8459"/>
              <w:tab w:val="right" w:pos="9026" w:leader="dot"/>
            </w:tabs>
            <w:rPr/>
          </w:pPr>
          <w:hyperlink w:anchor="__RefHeading___Toc3696603_3650668749">
            <w:r>
              <w:rPr>
                <w:webHidden/>
                <w:rStyle w:val="IndexLink"/>
                <w:rtl w:val="true"/>
              </w:rPr>
              <w:t>نه سلام و نه اشاره</w:t>
            </w:r>
            <w:r>
              <w:rPr>
                <w:rStyle w:val="IndexLink"/>
                <w:rtl w:val="true"/>
              </w:rPr>
              <w:tab/>
            </w:r>
            <w:r>
              <w:rPr>
                <w:rStyle w:val="IndexLink"/>
              </w:rPr>
              <w:t>172</w:t>
            </w:r>
          </w:hyperlink>
        </w:p>
        <w:p>
          <w:pPr>
            <w:pStyle w:val="Contents2"/>
            <w:tabs>
              <w:tab w:val="clear" w:pos="8743"/>
              <w:tab w:val="right" w:pos="9026" w:leader="dot"/>
            </w:tabs>
            <w:rPr/>
          </w:pPr>
          <w:hyperlink w:anchor="__RefHeading___Toc3696605_3650668749">
            <w:r>
              <w:rPr>
                <w:webHidden/>
                <w:rStyle w:val="IndexLink"/>
              </w:rPr>
              <w:t>٢١</w:t>
            </w:r>
            <w:r>
              <w:rPr>
                <w:rStyle w:val="IndexLink"/>
                <w:rtl w:val="true"/>
              </w:rPr>
              <w:t xml:space="preserve"> زراره و امامت موسى بن جعفر </w:t>
            </w:r>
            <w:r>
              <w:rPr>
                <w:rStyle w:val="IndexLink"/>
                <w:rtl w:val="true"/>
              </w:rPr>
              <w:t>(</w:t>
            </w:r>
            <w:r>
              <w:rPr>
                <w:rStyle w:val="IndexLink"/>
                <w:rtl w:val="true"/>
              </w:rPr>
              <w:t>ع</w:t>
            </w:r>
            <w:r>
              <w:rPr>
                <w:rStyle w:val="IndexLink"/>
                <w:rtl w:val="true"/>
              </w:rPr>
              <w:t>)</w:t>
              <w:tab/>
            </w:r>
            <w:r>
              <w:rPr>
                <w:rStyle w:val="IndexLink"/>
              </w:rPr>
              <w:t>174</w:t>
            </w:r>
          </w:hyperlink>
        </w:p>
        <w:p>
          <w:pPr>
            <w:pStyle w:val="Contents3"/>
            <w:tabs>
              <w:tab w:val="clear" w:pos="8459"/>
              <w:tab w:val="right" w:pos="9026" w:leader="dot"/>
            </w:tabs>
            <w:rPr/>
          </w:pPr>
          <w:hyperlink w:anchor="__RefHeading___Toc3696607_3650668749">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3696609_3650668749">
            <w:r>
              <w:rPr>
                <w:webHidden/>
                <w:rStyle w:val="IndexLink"/>
                <w:rtl w:val="true"/>
              </w:rPr>
              <w:t>پاسخ</w:t>
            </w:r>
            <w:r>
              <w:rPr>
                <w:rStyle w:val="IndexLink"/>
                <w:rtl w:val="true"/>
              </w:rPr>
              <w:tab/>
            </w:r>
            <w:r>
              <w:rPr>
                <w:rStyle w:val="IndexLink"/>
              </w:rPr>
              <w:t>174</w:t>
            </w:r>
          </w:hyperlink>
        </w:p>
        <w:p>
          <w:pPr>
            <w:pStyle w:val="Contents3"/>
            <w:tabs>
              <w:tab w:val="clear" w:pos="8459"/>
              <w:tab w:val="right" w:pos="9026" w:leader="dot"/>
            </w:tabs>
            <w:rPr/>
          </w:pPr>
          <w:hyperlink w:anchor="__RefHeading___Toc3696611_3650668749">
            <w:r>
              <w:rPr>
                <w:webHidden/>
                <w:rStyle w:val="IndexLink"/>
                <w:rtl w:val="true"/>
              </w:rPr>
              <w:t>تأثير جمع‌آورى روايات بر باورهاى شيعه در دوران‌متأخر</w:t>
            </w:r>
            <w:r>
              <w:rPr>
                <w:rStyle w:val="IndexLink"/>
                <w:rtl w:val="true"/>
              </w:rPr>
              <w:tab/>
            </w:r>
            <w:r>
              <w:rPr>
                <w:rStyle w:val="IndexLink"/>
              </w:rPr>
              <w:t>177</w:t>
            </w:r>
          </w:hyperlink>
        </w:p>
        <w:p>
          <w:pPr>
            <w:pStyle w:val="Contents2"/>
            <w:tabs>
              <w:tab w:val="clear" w:pos="8743"/>
              <w:tab w:val="right" w:pos="9026" w:leader="dot"/>
            </w:tabs>
            <w:rPr/>
          </w:pPr>
          <w:hyperlink w:anchor="__RefHeading___Toc3696613_3650668749">
            <w:r>
              <w:rPr>
                <w:webHidden/>
                <w:rStyle w:val="IndexLink"/>
              </w:rPr>
              <w:t>٢٢</w:t>
            </w:r>
            <w:r>
              <w:rPr>
                <w:rStyle w:val="IndexLink"/>
                <w:rtl w:val="true"/>
              </w:rPr>
              <w:t xml:space="preserve"> سنت الهى در امتحان امت</w:t>
            </w:r>
            <w:r>
              <w:rPr>
                <w:rStyle w:val="IndexLink"/>
                <w:rtl w:val="true"/>
              </w:rPr>
              <w:tab/>
            </w:r>
            <w:r>
              <w:rPr>
                <w:rStyle w:val="IndexLink"/>
              </w:rPr>
              <w:t>179</w:t>
            </w:r>
          </w:hyperlink>
        </w:p>
        <w:p>
          <w:pPr>
            <w:pStyle w:val="Contents3"/>
            <w:tabs>
              <w:tab w:val="clear" w:pos="8459"/>
              <w:tab w:val="right" w:pos="9026" w:leader="dot"/>
            </w:tabs>
            <w:rPr/>
          </w:pPr>
          <w:hyperlink w:anchor="__RefHeading___Toc3696615_3650668749">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3696617_3650668749">
            <w:r>
              <w:rPr>
                <w:webHidden/>
                <w:rStyle w:val="IndexLink"/>
                <w:rtl w:val="true"/>
              </w:rPr>
              <w:t>پاسخ</w:t>
            </w:r>
            <w:r>
              <w:rPr>
                <w:rStyle w:val="IndexLink"/>
                <w:rtl w:val="true"/>
              </w:rPr>
              <w:tab/>
            </w:r>
            <w:r>
              <w:rPr>
                <w:rStyle w:val="IndexLink"/>
              </w:rPr>
              <w:t>179</w:t>
            </w:r>
          </w:hyperlink>
        </w:p>
        <w:p>
          <w:pPr>
            <w:pStyle w:val="Contents2"/>
            <w:tabs>
              <w:tab w:val="clear" w:pos="8743"/>
              <w:tab w:val="right" w:pos="9026" w:leader="dot"/>
            </w:tabs>
            <w:rPr/>
          </w:pPr>
          <w:hyperlink w:anchor="__RefHeading___Toc3696619_3650668749">
            <w:r>
              <w:rPr>
                <w:webHidden/>
                <w:rStyle w:val="IndexLink"/>
              </w:rPr>
              <w:t>٢٣</w:t>
            </w:r>
            <w:r>
              <w:rPr>
                <w:rStyle w:val="IndexLink"/>
                <w:rtl w:val="true"/>
              </w:rPr>
              <w:t xml:space="preserve"> شبهات واقفيه در باره امامت حضرت رضا </w:t>
            </w:r>
            <w:r>
              <w:rPr>
                <w:rStyle w:val="IndexLink"/>
                <w:rtl w:val="true"/>
              </w:rPr>
              <w:t>(</w:t>
            </w:r>
            <w:r>
              <w:rPr>
                <w:rStyle w:val="IndexLink"/>
                <w:rtl w:val="true"/>
              </w:rPr>
              <w:t>ع</w:t>
            </w:r>
            <w:r>
              <w:rPr>
                <w:rStyle w:val="IndexLink"/>
                <w:rtl w:val="true"/>
              </w:rPr>
              <w:t>)</w:t>
              <w:tab/>
            </w:r>
            <w:r>
              <w:rPr>
                <w:rStyle w:val="IndexLink"/>
              </w:rPr>
              <w:t>182</w:t>
            </w:r>
          </w:hyperlink>
        </w:p>
        <w:p>
          <w:pPr>
            <w:pStyle w:val="Contents3"/>
            <w:tabs>
              <w:tab w:val="clear" w:pos="8459"/>
              <w:tab w:val="right" w:pos="9026" w:leader="dot"/>
            </w:tabs>
            <w:rPr/>
          </w:pPr>
          <w:hyperlink w:anchor="__RefHeading___Toc3696621_3650668749">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3696623_3650668749">
            <w:r>
              <w:rPr>
                <w:webHidden/>
                <w:rStyle w:val="IndexLink"/>
                <w:rtl w:val="true"/>
              </w:rPr>
              <w:t>پاسخ</w:t>
            </w:r>
            <w:r>
              <w:rPr>
                <w:rStyle w:val="IndexLink"/>
                <w:rtl w:val="true"/>
              </w:rPr>
              <w:tab/>
            </w:r>
            <w:r>
              <w:rPr>
                <w:rStyle w:val="IndexLink"/>
              </w:rPr>
              <w:t>182</w:t>
            </w:r>
          </w:hyperlink>
        </w:p>
        <w:p>
          <w:pPr>
            <w:pStyle w:val="Contents3"/>
            <w:tabs>
              <w:tab w:val="clear" w:pos="8459"/>
              <w:tab w:val="right" w:pos="9026" w:leader="dot"/>
            </w:tabs>
            <w:rPr/>
          </w:pPr>
          <w:hyperlink w:anchor="__RefHeading___Toc3696625_3650668749">
            <w:r>
              <w:rPr>
                <w:webHidden/>
                <w:rStyle w:val="IndexLink"/>
                <w:rtl w:val="true"/>
              </w:rPr>
              <w:t xml:space="preserve">روايات مهدويت حضرت كاظم </w:t>
            </w:r>
            <w:r>
              <w:rPr>
                <w:rStyle w:val="IndexLink"/>
                <w:rtl w:val="true"/>
              </w:rPr>
              <w:t>(</w:t>
            </w:r>
            <w:r>
              <w:rPr>
                <w:rStyle w:val="IndexLink"/>
                <w:rtl w:val="true"/>
              </w:rPr>
              <w:t>ع</w:t>
            </w:r>
            <w:r>
              <w:rPr>
                <w:rStyle w:val="IndexLink"/>
                <w:rtl w:val="true"/>
              </w:rPr>
              <w:t xml:space="preserve">) </w:t>
            </w:r>
            <w:r>
              <w:rPr>
                <w:rStyle w:val="IndexLink"/>
                <w:rtl w:val="true"/>
              </w:rPr>
              <w:t>و پاسخ آن</w:t>
            </w:r>
            <w:r>
              <w:rPr>
                <w:rStyle w:val="IndexLink"/>
                <w:rtl w:val="true"/>
              </w:rPr>
              <w:tab/>
            </w:r>
            <w:r>
              <w:rPr>
                <w:rStyle w:val="IndexLink"/>
              </w:rPr>
              <w:t>182</w:t>
            </w:r>
          </w:hyperlink>
        </w:p>
        <w:p>
          <w:pPr>
            <w:pStyle w:val="Contents3"/>
            <w:tabs>
              <w:tab w:val="clear" w:pos="8459"/>
              <w:tab w:val="right" w:pos="9026" w:leader="dot"/>
            </w:tabs>
            <w:rPr/>
          </w:pPr>
          <w:hyperlink w:anchor="__RefHeading___Toc3696627_3650668749">
            <w:r>
              <w:rPr>
                <w:webHidden/>
                <w:rStyle w:val="IndexLink"/>
                <w:rtl w:val="true"/>
              </w:rPr>
              <w:t>غسل دادن امام</w:t>
            </w:r>
            <w:r>
              <w:rPr>
                <w:rStyle w:val="IndexLink"/>
                <w:rtl w:val="true"/>
              </w:rPr>
              <w:tab/>
            </w:r>
            <w:r>
              <w:rPr>
                <w:rStyle w:val="IndexLink"/>
              </w:rPr>
              <w:t>183</w:t>
            </w:r>
          </w:hyperlink>
        </w:p>
        <w:p>
          <w:pPr>
            <w:pStyle w:val="Contents3"/>
            <w:tabs>
              <w:tab w:val="clear" w:pos="8459"/>
              <w:tab w:val="right" w:pos="9026" w:leader="dot"/>
            </w:tabs>
            <w:rPr/>
          </w:pPr>
          <w:hyperlink w:anchor="__RefHeading___Toc3696629_3650668749">
            <w:r>
              <w:rPr>
                <w:webHidden/>
                <w:rStyle w:val="IndexLink"/>
                <w:rtl w:val="true"/>
              </w:rPr>
              <w:t>چگونگى آگاهى امام از رحلت امام قبلى با وجود دورى از او</w:t>
            </w:r>
            <w:r>
              <w:rPr>
                <w:rStyle w:val="IndexLink"/>
                <w:rtl w:val="true"/>
              </w:rPr>
              <w:tab/>
            </w:r>
            <w:r>
              <w:rPr>
                <w:rStyle w:val="IndexLink"/>
              </w:rPr>
              <w:t>184</w:t>
            </w:r>
          </w:hyperlink>
        </w:p>
        <w:p>
          <w:pPr>
            <w:pStyle w:val="Contents3"/>
            <w:tabs>
              <w:tab w:val="clear" w:pos="8459"/>
              <w:tab w:val="right" w:pos="9026" w:leader="dot"/>
            </w:tabs>
            <w:rPr/>
          </w:pPr>
          <w:hyperlink w:anchor="__RefHeading___Toc3696631_3650668749">
            <w:r>
              <w:rPr>
                <w:webHidden/>
                <w:rStyle w:val="IndexLink"/>
                <w:rtl w:val="true"/>
              </w:rPr>
              <w:t>پاسخ</w:t>
            </w:r>
            <w:r>
              <w:rPr>
                <w:rStyle w:val="IndexLink"/>
                <w:rtl w:val="true"/>
              </w:rPr>
              <w:tab/>
            </w:r>
            <w:r>
              <w:rPr>
                <w:rStyle w:val="IndexLink"/>
              </w:rPr>
              <w:t>185</w:t>
            </w:r>
          </w:hyperlink>
        </w:p>
        <w:p>
          <w:pPr>
            <w:pStyle w:val="Contents2"/>
            <w:tabs>
              <w:tab w:val="clear" w:pos="8743"/>
              <w:tab w:val="right" w:pos="9026" w:leader="dot"/>
            </w:tabs>
            <w:rPr/>
          </w:pPr>
          <w:hyperlink w:anchor="__RefHeading___Toc3696633_3650668749">
            <w:r>
              <w:rPr>
                <w:webHidden/>
                <w:rStyle w:val="IndexLink"/>
              </w:rPr>
              <w:t>٢۴</w:t>
            </w:r>
            <w:r>
              <w:rPr>
                <w:rStyle w:val="IndexLink"/>
                <w:rtl w:val="true"/>
              </w:rPr>
              <w:t xml:space="preserve"> شبهه مبهم بودن امامت امام رضا </w:t>
            </w:r>
            <w:r>
              <w:rPr>
                <w:rStyle w:val="IndexLink"/>
                <w:rtl w:val="true"/>
              </w:rPr>
              <w:t>(</w:t>
            </w:r>
            <w:r>
              <w:rPr>
                <w:rStyle w:val="IndexLink"/>
                <w:rtl w:val="true"/>
              </w:rPr>
              <w:t>ع</w:t>
            </w:r>
            <w:r>
              <w:rPr>
                <w:rStyle w:val="IndexLink"/>
                <w:rtl w:val="true"/>
              </w:rPr>
              <w:t xml:space="preserve">) </w:t>
            </w:r>
            <w:r>
              <w:rPr>
                <w:rStyle w:val="IndexLink"/>
                <w:rtl w:val="true"/>
              </w:rPr>
              <w:t>نزد خانواده پدر</w:t>
            </w:r>
            <w:r>
              <w:rPr>
                <w:rStyle w:val="IndexLink"/>
                <w:rtl w:val="true"/>
              </w:rPr>
              <w:tab/>
            </w:r>
            <w:r>
              <w:rPr>
                <w:rStyle w:val="IndexLink"/>
              </w:rPr>
              <w:t>187</w:t>
            </w:r>
          </w:hyperlink>
        </w:p>
        <w:p>
          <w:pPr>
            <w:pStyle w:val="Contents3"/>
            <w:tabs>
              <w:tab w:val="clear" w:pos="8459"/>
              <w:tab w:val="right" w:pos="9026" w:leader="dot"/>
            </w:tabs>
            <w:rPr/>
          </w:pPr>
          <w:hyperlink w:anchor="__RefHeading___Toc3696635_3650668749">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3696637_3650668749">
            <w:r>
              <w:rPr>
                <w:webHidden/>
                <w:rStyle w:val="IndexLink"/>
                <w:rtl w:val="true"/>
              </w:rPr>
              <w:t>پاسخ</w:t>
            </w:r>
            <w:r>
              <w:rPr>
                <w:rStyle w:val="IndexLink"/>
                <w:rtl w:val="true"/>
              </w:rPr>
              <w:tab/>
            </w:r>
            <w:r>
              <w:rPr>
                <w:rStyle w:val="IndexLink"/>
              </w:rPr>
              <w:t>187</w:t>
            </w:r>
          </w:hyperlink>
        </w:p>
        <w:p>
          <w:pPr>
            <w:pStyle w:val="Contents2"/>
            <w:tabs>
              <w:tab w:val="clear" w:pos="8743"/>
              <w:tab w:val="right" w:pos="9026" w:leader="dot"/>
            </w:tabs>
            <w:rPr/>
          </w:pPr>
          <w:hyperlink w:anchor="__RefHeading___Toc3696639_3650668749">
            <w:r>
              <w:rPr>
                <w:webHidden/>
                <w:rStyle w:val="IndexLink"/>
              </w:rPr>
              <w:t>٢۵</w:t>
            </w:r>
            <w:r>
              <w:rPr>
                <w:rStyle w:val="IndexLink"/>
                <w:rtl w:val="true"/>
              </w:rPr>
              <w:t xml:space="preserve"> بحران و تفرقه در مورد امامت حضرت جواد </w:t>
            </w:r>
            <w:r>
              <w:rPr>
                <w:rStyle w:val="IndexLink"/>
                <w:rtl w:val="true"/>
              </w:rPr>
              <w:t>(</w:t>
            </w:r>
            <w:r>
              <w:rPr>
                <w:rStyle w:val="IndexLink"/>
                <w:rtl w:val="true"/>
              </w:rPr>
              <w:t>ع</w:t>
            </w:r>
            <w:r>
              <w:rPr>
                <w:rStyle w:val="IndexLink"/>
                <w:rtl w:val="true"/>
              </w:rPr>
              <w:t>)</w:t>
              <w:tab/>
            </w:r>
            <w:r>
              <w:rPr>
                <w:rStyle w:val="IndexLink"/>
              </w:rPr>
              <w:t>189</w:t>
            </w:r>
          </w:hyperlink>
        </w:p>
        <w:p>
          <w:pPr>
            <w:pStyle w:val="Contents3"/>
            <w:tabs>
              <w:tab w:val="clear" w:pos="8459"/>
              <w:tab w:val="right" w:pos="9026" w:leader="dot"/>
            </w:tabs>
            <w:rPr/>
          </w:pPr>
          <w:hyperlink w:anchor="__RefHeading___Toc3696641_3650668749">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3696643_3650668749">
            <w:r>
              <w:rPr>
                <w:webHidden/>
                <w:rStyle w:val="IndexLink"/>
                <w:rtl w:val="true"/>
              </w:rPr>
              <w:t>پاسخ</w:t>
            </w:r>
            <w:r>
              <w:rPr>
                <w:rStyle w:val="IndexLink"/>
                <w:rtl w:val="true"/>
              </w:rPr>
              <w:tab/>
            </w:r>
            <w:r>
              <w:rPr>
                <w:rStyle w:val="IndexLink"/>
              </w:rPr>
              <w:t>190</w:t>
            </w:r>
          </w:hyperlink>
        </w:p>
        <w:p>
          <w:pPr>
            <w:pStyle w:val="Contents3"/>
            <w:tabs>
              <w:tab w:val="clear" w:pos="8459"/>
              <w:tab w:val="right" w:pos="9026" w:leader="dot"/>
            </w:tabs>
            <w:rPr/>
          </w:pPr>
          <w:hyperlink w:anchor="__RefHeading___Toc3696645_3650668749">
            <w:r>
              <w:rPr>
                <w:webHidden/>
                <w:rStyle w:val="IndexLink"/>
                <w:rtl w:val="true"/>
              </w:rPr>
              <w:t>امام خردسال، شگفت‌انگيز و مظهر قدرت الهى</w:t>
            </w:r>
            <w:r>
              <w:rPr>
                <w:rStyle w:val="IndexLink"/>
                <w:rtl w:val="true"/>
              </w:rPr>
              <w:tab/>
            </w:r>
            <w:r>
              <w:rPr>
                <w:rStyle w:val="IndexLink"/>
              </w:rPr>
              <w:t>190</w:t>
            </w:r>
          </w:hyperlink>
        </w:p>
        <w:p>
          <w:pPr>
            <w:pStyle w:val="Contents3"/>
            <w:tabs>
              <w:tab w:val="clear" w:pos="8459"/>
              <w:tab w:val="right" w:pos="9026" w:leader="dot"/>
            </w:tabs>
            <w:rPr/>
          </w:pPr>
          <w:hyperlink w:anchor="__RefHeading___Toc3696647_3650668749">
            <w:r>
              <w:rPr>
                <w:webHidden/>
                <w:rStyle w:val="IndexLink"/>
                <w:rtl w:val="true"/>
              </w:rPr>
              <w:t xml:space="preserve">نظر شيعه درباره امامت </w:t>
            </w:r>
            <w:r>
              <w:rPr>
                <w:rStyle w:val="IndexLink"/>
                <w:rtl w:val="true"/>
              </w:rPr>
              <w:t>«</w:t>
            </w:r>
            <w:r>
              <w:rPr>
                <w:rStyle w:val="IndexLink"/>
                <w:rtl w:val="true"/>
              </w:rPr>
              <w:t>محمد بن قاسم</w:t>
            </w:r>
            <w:r>
              <w:rPr>
                <w:rStyle w:val="IndexLink"/>
                <w:rtl w:val="true"/>
              </w:rPr>
              <w:t>»</w:t>
              <w:tab/>
            </w:r>
            <w:r>
              <w:rPr>
                <w:rStyle w:val="IndexLink"/>
              </w:rPr>
              <w:t>194</w:t>
            </w:r>
          </w:hyperlink>
        </w:p>
        <w:p>
          <w:pPr>
            <w:pStyle w:val="Contents2"/>
            <w:tabs>
              <w:tab w:val="clear" w:pos="8743"/>
              <w:tab w:val="right" w:pos="9026" w:leader="dot"/>
            </w:tabs>
            <w:rPr/>
          </w:pPr>
          <w:hyperlink w:anchor="__RefHeading___Toc3696649_3650668749">
            <w:r>
              <w:rPr>
                <w:webHidden/>
                <w:rStyle w:val="IndexLink"/>
              </w:rPr>
              <w:t>٢۶</w:t>
            </w:r>
            <w:r>
              <w:rPr>
                <w:rStyle w:val="IndexLink"/>
                <w:rtl w:val="true"/>
              </w:rPr>
              <w:t xml:space="preserve"> بيعت با احمد بن موسى </w:t>
            </w:r>
            <w:r>
              <w:rPr>
                <w:rStyle w:val="IndexLink"/>
                <w:rtl w:val="true"/>
              </w:rPr>
              <w:t>(</w:t>
            </w:r>
            <w:r>
              <w:rPr>
                <w:rStyle w:val="IndexLink"/>
                <w:rtl w:val="true"/>
              </w:rPr>
              <w:t>عليهماالسلام</w:t>
            </w:r>
            <w:r>
              <w:rPr>
                <w:rStyle w:val="IndexLink"/>
                <w:rtl w:val="true"/>
              </w:rPr>
              <w:t>)</w:t>
              <w:tab/>
            </w:r>
            <w:r>
              <w:rPr>
                <w:rStyle w:val="IndexLink"/>
              </w:rPr>
              <w:t>195</w:t>
            </w:r>
          </w:hyperlink>
        </w:p>
        <w:p>
          <w:pPr>
            <w:pStyle w:val="Contents3"/>
            <w:tabs>
              <w:tab w:val="clear" w:pos="8459"/>
              <w:tab w:val="right" w:pos="9026" w:leader="dot"/>
            </w:tabs>
            <w:rPr/>
          </w:pPr>
          <w:hyperlink w:anchor="__RefHeading___Toc3696651_3650668749">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3696653_3650668749">
            <w:r>
              <w:rPr>
                <w:webHidden/>
                <w:rStyle w:val="IndexLink"/>
                <w:rtl w:val="true"/>
              </w:rPr>
              <w:t>پاسخ</w:t>
            </w:r>
            <w:r>
              <w:rPr>
                <w:rStyle w:val="IndexLink"/>
                <w:rtl w:val="true"/>
              </w:rPr>
              <w:tab/>
            </w:r>
            <w:r>
              <w:rPr>
                <w:rStyle w:val="IndexLink"/>
              </w:rPr>
              <w:t>195</w:t>
            </w:r>
          </w:hyperlink>
        </w:p>
        <w:p>
          <w:pPr>
            <w:pStyle w:val="Contents2"/>
            <w:tabs>
              <w:tab w:val="clear" w:pos="8743"/>
              <w:tab w:val="right" w:pos="9026" w:leader="dot"/>
            </w:tabs>
            <w:rPr/>
          </w:pPr>
          <w:hyperlink w:anchor="__RefHeading___Toc3696655_3650668749">
            <w:r>
              <w:rPr>
                <w:webHidden/>
                <w:rStyle w:val="IndexLink"/>
              </w:rPr>
              <w:t>٢٧</w:t>
            </w:r>
            <w:r>
              <w:rPr>
                <w:rStyle w:val="IndexLink"/>
                <w:rtl w:val="true"/>
              </w:rPr>
              <w:t xml:space="preserve"> شيعه و امامت حضرت هادى </w:t>
            </w:r>
            <w:r>
              <w:rPr>
                <w:rStyle w:val="IndexLink"/>
                <w:rtl w:val="true"/>
              </w:rPr>
              <w:t>(</w:t>
            </w:r>
            <w:r>
              <w:rPr>
                <w:rStyle w:val="IndexLink"/>
                <w:rtl w:val="true"/>
              </w:rPr>
              <w:t>ع</w:t>
            </w:r>
            <w:r>
              <w:rPr>
                <w:rStyle w:val="IndexLink"/>
                <w:rtl w:val="true"/>
              </w:rPr>
              <w:t>)</w:t>
              <w:tab/>
            </w:r>
            <w:r>
              <w:rPr>
                <w:rStyle w:val="IndexLink"/>
              </w:rPr>
              <w:t>198</w:t>
            </w:r>
          </w:hyperlink>
        </w:p>
        <w:p>
          <w:pPr>
            <w:pStyle w:val="Contents3"/>
            <w:tabs>
              <w:tab w:val="clear" w:pos="8459"/>
              <w:tab w:val="right" w:pos="9026" w:leader="dot"/>
            </w:tabs>
            <w:rPr/>
          </w:pPr>
          <w:hyperlink w:anchor="__RefHeading___Toc3696657_3650668749">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3696659_3650668749">
            <w:r>
              <w:rPr>
                <w:webHidden/>
                <w:rStyle w:val="IndexLink"/>
                <w:rtl w:val="true"/>
              </w:rPr>
              <w:t>پاسخ</w:t>
            </w:r>
            <w:r>
              <w:rPr>
                <w:rStyle w:val="IndexLink"/>
                <w:rtl w:val="true"/>
              </w:rPr>
              <w:tab/>
            </w:r>
            <w:r>
              <w:rPr>
                <w:rStyle w:val="IndexLink"/>
              </w:rPr>
              <w:t>199</w:t>
            </w:r>
          </w:hyperlink>
        </w:p>
        <w:p>
          <w:pPr>
            <w:pStyle w:val="Contents3"/>
            <w:tabs>
              <w:tab w:val="clear" w:pos="8459"/>
              <w:tab w:val="right" w:pos="9026" w:leader="dot"/>
            </w:tabs>
            <w:rPr/>
          </w:pPr>
          <w:hyperlink w:anchor="__RefHeading___Toc3696661_3650668749">
            <w:r>
              <w:rPr>
                <w:webHidden/>
                <w:rStyle w:val="IndexLink"/>
                <w:rtl w:val="true"/>
              </w:rPr>
              <w:t>آگاهى بزرگان شيعه از امام جديد</w:t>
            </w:r>
            <w:r>
              <w:rPr>
                <w:rStyle w:val="IndexLink"/>
                <w:rtl w:val="true"/>
              </w:rPr>
              <w:tab/>
            </w:r>
            <w:r>
              <w:rPr>
                <w:rStyle w:val="IndexLink"/>
              </w:rPr>
              <w:t>199</w:t>
            </w:r>
          </w:hyperlink>
        </w:p>
        <w:p>
          <w:pPr>
            <w:pStyle w:val="Contents3"/>
            <w:tabs>
              <w:tab w:val="clear" w:pos="8459"/>
              <w:tab w:val="right" w:pos="9026" w:leader="dot"/>
            </w:tabs>
            <w:rPr/>
          </w:pPr>
          <w:hyperlink w:anchor="__RefHeading___Toc3696663_3650668749">
            <w:r>
              <w:rPr>
                <w:webHidden/>
                <w:rStyle w:val="IndexLink"/>
                <w:rtl w:val="true"/>
              </w:rPr>
              <w:t>پاسخ</w:t>
            </w:r>
            <w:r>
              <w:rPr>
                <w:rStyle w:val="IndexLink"/>
                <w:rtl w:val="true"/>
              </w:rPr>
              <w:tab/>
            </w:r>
            <w:r>
              <w:rPr>
                <w:rStyle w:val="IndexLink"/>
              </w:rPr>
              <w:t>199</w:t>
            </w:r>
          </w:hyperlink>
        </w:p>
        <w:p>
          <w:pPr>
            <w:pStyle w:val="Contents3"/>
            <w:tabs>
              <w:tab w:val="clear" w:pos="8459"/>
              <w:tab w:val="right" w:pos="9026" w:leader="dot"/>
            </w:tabs>
            <w:rPr/>
          </w:pPr>
          <w:hyperlink w:anchor="__RefHeading___Toc3696665_3650668749">
            <w:r>
              <w:rPr>
                <w:webHidden/>
                <w:rStyle w:val="IndexLink"/>
                <w:rtl w:val="true"/>
              </w:rPr>
              <w:t xml:space="preserve">وصيت امام جواد </w:t>
            </w:r>
            <w:r>
              <w:rPr>
                <w:rStyle w:val="IndexLink"/>
                <w:rtl w:val="true"/>
              </w:rPr>
              <w:t>(</w:t>
            </w:r>
            <w:r>
              <w:rPr>
                <w:rStyle w:val="IndexLink"/>
                <w:rtl w:val="true"/>
              </w:rPr>
              <w:t>ع</w:t>
            </w:r>
            <w:r>
              <w:rPr>
                <w:rStyle w:val="IndexLink"/>
                <w:rtl w:val="true"/>
              </w:rPr>
              <w:t xml:space="preserve">) </w:t>
            </w:r>
            <w:r>
              <w:rPr>
                <w:rStyle w:val="IndexLink"/>
                <w:rtl w:val="true"/>
              </w:rPr>
              <w:t>و تدبير هوشمندانه ايشان</w:t>
            </w:r>
            <w:r>
              <w:rPr>
                <w:rStyle w:val="IndexLink"/>
                <w:rtl w:val="true"/>
              </w:rPr>
              <w:tab/>
            </w:r>
            <w:r>
              <w:rPr>
                <w:rStyle w:val="IndexLink"/>
              </w:rPr>
              <w:t>201</w:t>
            </w:r>
          </w:hyperlink>
        </w:p>
        <w:p>
          <w:pPr>
            <w:pStyle w:val="Contents2"/>
            <w:tabs>
              <w:tab w:val="clear" w:pos="8743"/>
              <w:tab w:val="right" w:pos="9026" w:leader="dot"/>
            </w:tabs>
            <w:rPr/>
          </w:pPr>
          <w:hyperlink w:anchor="__RefHeading___Toc3696667_3650668749">
            <w:r>
              <w:rPr>
                <w:webHidden/>
                <w:rStyle w:val="IndexLink"/>
              </w:rPr>
              <w:t>٢٨</w:t>
            </w:r>
            <w:r>
              <w:rPr>
                <w:rStyle w:val="IndexLink"/>
                <w:rtl w:val="true"/>
              </w:rPr>
              <w:t xml:space="preserve"> امامت حضرت عسكرى </w:t>
            </w:r>
            <w:r>
              <w:rPr>
                <w:rStyle w:val="IndexLink"/>
                <w:rtl w:val="true"/>
              </w:rPr>
              <w:t>(</w:t>
            </w:r>
            <w:r>
              <w:rPr>
                <w:rStyle w:val="IndexLink"/>
                <w:rtl w:val="true"/>
              </w:rPr>
              <w:t>ع</w:t>
            </w:r>
            <w:r>
              <w:rPr>
                <w:rStyle w:val="IndexLink"/>
                <w:rtl w:val="true"/>
              </w:rPr>
              <w:t xml:space="preserve">) </w:t>
            </w:r>
            <w:r>
              <w:rPr>
                <w:rStyle w:val="IndexLink"/>
                <w:rtl w:val="true"/>
              </w:rPr>
              <w:t>و مسئله بَدا</w:t>
            </w:r>
            <w:r>
              <w:rPr>
                <w:rStyle w:val="IndexLink"/>
                <w:rtl w:val="true"/>
              </w:rPr>
              <w:tab/>
            </w:r>
            <w:r>
              <w:rPr>
                <w:rStyle w:val="IndexLink"/>
              </w:rPr>
              <w:t>203</w:t>
            </w:r>
          </w:hyperlink>
        </w:p>
        <w:p>
          <w:pPr>
            <w:pStyle w:val="Contents3"/>
            <w:tabs>
              <w:tab w:val="clear" w:pos="8459"/>
              <w:tab w:val="right" w:pos="9026" w:leader="dot"/>
            </w:tabs>
            <w:rPr/>
          </w:pPr>
          <w:hyperlink w:anchor="__RefHeading___Toc3696669_3650668749">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3696671_3650668749">
            <w:r>
              <w:rPr>
                <w:webHidden/>
                <w:rStyle w:val="IndexLink"/>
                <w:rtl w:val="true"/>
              </w:rPr>
              <w:t>پاسخ</w:t>
            </w:r>
            <w:r>
              <w:rPr>
                <w:rStyle w:val="IndexLink"/>
                <w:rtl w:val="true"/>
              </w:rPr>
              <w:tab/>
            </w:r>
            <w:r>
              <w:rPr>
                <w:rStyle w:val="IndexLink"/>
              </w:rPr>
              <w:t>204</w:t>
            </w:r>
          </w:hyperlink>
        </w:p>
        <w:p>
          <w:pPr>
            <w:pStyle w:val="Contents3"/>
            <w:tabs>
              <w:tab w:val="clear" w:pos="8459"/>
              <w:tab w:val="right" w:pos="9026" w:leader="dot"/>
            </w:tabs>
            <w:rPr/>
          </w:pPr>
          <w:hyperlink w:anchor="__RefHeading___Toc3696673_3650668749">
            <w:r>
              <w:rPr>
                <w:webHidden/>
                <w:rStyle w:val="IndexLink"/>
                <w:rtl w:val="true"/>
              </w:rPr>
              <w:t>توضيح جريان بَدا و معناى صحيح آن</w:t>
            </w:r>
            <w:r>
              <w:rPr>
                <w:rStyle w:val="IndexLink"/>
                <w:rtl w:val="true"/>
              </w:rPr>
              <w:tab/>
            </w:r>
            <w:r>
              <w:rPr>
                <w:rStyle w:val="IndexLink"/>
              </w:rPr>
              <w:t>205</w:t>
            </w:r>
          </w:hyperlink>
        </w:p>
        <w:p>
          <w:pPr>
            <w:pStyle w:val="Contents3"/>
            <w:tabs>
              <w:tab w:val="clear" w:pos="8459"/>
              <w:tab w:val="right" w:pos="9026" w:leader="dot"/>
            </w:tabs>
            <w:rPr/>
          </w:pPr>
          <w:hyperlink w:anchor="__RefHeading___Toc3696675_3650668749">
            <w:r>
              <w:rPr>
                <w:webHidden/>
                <w:rStyle w:val="IndexLink"/>
                <w:rtl w:val="true"/>
              </w:rPr>
              <w:t xml:space="preserve">امام حسن عسكرى </w:t>
            </w:r>
            <w:r>
              <w:rPr>
                <w:rStyle w:val="IndexLink"/>
                <w:rtl w:val="true"/>
              </w:rPr>
              <w:t>(</w:t>
            </w:r>
            <w:r>
              <w:rPr>
                <w:rStyle w:val="IndexLink"/>
                <w:rtl w:val="true"/>
              </w:rPr>
              <w:t>ع</w:t>
            </w:r>
            <w:r>
              <w:rPr>
                <w:rStyle w:val="IndexLink"/>
                <w:rtl w:val="true"/>
              </w:rPr>
              <w:t xml:space="preserve">) </w:t>
            </w:r>
            <w:r>
              <w:rPr>
                <w:rStyle w:val="IndexLink"/>
                <w:rtl w:val="true"/>
              </w:rPr>
              <w:t xml:space="preserve">فرزند بزرگ امام هادى </w:t>
            </w:r>
            <w:r>
              <w:rPr>
                <w:rStyle w:val="IndexLink"/>
                <w:rtl w:val="true"/>
              </w:rPr>
              <w:t>(</w:t>
            </w:r>
            <w:r>
              <w:rPr>
                <w:rStyle w:val="IndexLink"/>
                <w:rtl w:val="true"/>
              </w:rPr>
              <w:t>ع</w:t>
            </w:r>
            <w:r>
              <w:rPr>
                <w:rStyle w:val="IndexLink"/>
                <w:rtl w:val="true"/>
              </w:rPr>
              <w:t>)</w:t>
              <w:tab/>
            </w:r>
            <w:r>
              <w:rPr>
                <w:rStyle w:val="IndexLink"/>
              </w:rPr>
              <w:t>207</w:t>
            </w:r>
          </w:hyperlink>
        </w:p>
        <w:p>
          <w:pPr>
            <w:pStyle w:val="Contents2"/>
            <w:tabs>
              <w:tab w:val="clear" w:pos="8743"/>
              <w:tab w:val="right" w:pos="9026" w:leader="dot"/>
            </w:tabs>
            <w:rPr/>
          </w:pPr>
          <w:hyperlink w:anchor="__RefHeading___Toc3696677_3650668749">
            <w:r>
              <w:rPr>
                <w:webHidden/>
                <w:rStyle w:val="IndexLink"/>
              </w:rPr>
              <w:t>٢٩</w:t>
            </w:r>
            <w:r>
              <w:rPr>
                <w:rStyle w:val="IndexLink"/>
                <w:rtl w:val="true"/>
              </w:rPr>
              <w:t xml:space="preserve"> جانشين حضرت عسكرى </w:t>
            </w:r>
            <w:r>
              <w:rPr>
                <w:rStyle w:val="IndexLink"/>
                <w:rtl w:val="true"/>
              </w:rPr>
              <w:t>(</w:t>
            </w:r>
            <w:r>
              <w:rPr>
                <w:rStyle w:val="IndexLink"/>
                <w:rtl w:val="true"/>
              </w:rPr>
              <w:t>ع</w:t>
            </w:r>
            <w:r>
              <w:rPr>
                <w:rStyle w:val="IndexLink"/>
                <w:rtl w:val="true"/>
              </w:rPr>
              <w:t>)</w:t>
              <w:tab/>
            </w:r>
            <w:r>
              <w:rPr>
                <w:rStyle w:val="IndexLink"/>
              </w:rPr>
              <w:t>210</w:t>
            </w:r>
          </w:hyperlink>
        </w:p>
        <w:p>
          <w:pPr>
            <w:pStyle w:val="Contents3"/>
            <w:tabs>
              <w:tab w:val="clear" w:pos="8459"/>
              <w:tab w:val="right" w:pos="9026" w:leader="dot"/>
            </w:tabs>
            <w:rPr/>
          </w:pPr>
          <w:hyperlink w:anchor="__RefHeading___Toc3696679_3650668749">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3696681_3650668749">
            <w:r>
              <w:rPr>
                <w:webHidden/>
                <w:rStyle w:val="IndexLink"/>
                <w:rtl w:val="true"/>
              </w:rPr>
              <w:t>پاسخ</w:t>
            </w:r>
            <w:r>
              <w:rPr>
                <w:rStyle w:val="IndexLink"/>
                <w:rtl w:val="true"/>
              </w:rPr>
              <w:tab/>
            </w:r>
            <w:r>
              <w:rPr>
                <w:rStyle w:val="IndexLink"/>
              </w:rPr>
              <w:t>210</w:t>
            </w:r>
          </w:hyperlink>
        </w:p>
        <w:p>
          <w:pPr>
            <w:pStyle w:val="Contents2"/>
            <w:tabs>
              <w:tab w:val="clear" w:pos="8743"/>
              <w:tab w:val="right" w:pos="9026" w:leader="dot"/>
            </w:tabs>
            <w:rPr/>
          </w:pPr>
          <w:hyperlink w:anchor="__RefHeading___Toc3696683_3650668749">
            <w:r>
              <w:rPr>
                <w:webHidden/>
                <w:rStyle w:val="IndexLink"/>
              </w:rPr>
              <w:t>٣٠</w:t>
            </w:r>
            <w:r>
              <w:rPr>
                <w:rStyle w:val="IndexLink"/>
                <w:rtl w:val="true"/>
              </w:rPr>
              <w:t xml:space="preserve"> فرقه‌هاى ناچيز در مقابل اكثريت اماميه</w:t>
            </w:r>
            <w:r>
              <w:rPr>
                <w:rStyle w:val="IndexLink"/>
                <w:rtl w:val="true"/>
              </w:rPr>
              <w:tab/>
            </w:r>
            <w:r>
              <w:rPr>
                <w:rStyle w:val="IndexLink"/>
              </w:rPr>
              <w:t>212</w:t>
            </w:r>
          </w:hyperlink>
        </w:p>
        <w:p>
          <w:pPr>
            <w:pStyle w:val="Contents3"/>
            <w:tabs>
              <w:tab w:val="clear" w:pos="8459"/>
              <w:tab w:val="right" w:pos="9026" w:leader="dot"/>
            </w:tabs>
            <w:rPr/>
          </w:pPr>
          <w:hyperlink w:anchor="__RefHeading___Toc3696685_3650668749">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3696687_3650668749">
            <w:r>
              <w:rPr>
                <w:webHidden/>
                <w:rStyle w:val="IndexLink"/>
                <w:rtl w:val="true"/>
              </w:rPr>
              <w:t>پاسخ</w:t>
            </w:r>
            <w:r>
              <w:rPr>
                <w:rStyle w:val="IndexLink"/>
                <w:rtl w:val="true"/>
              </w:rPr>
              <w:tab/>
            </w:r>
            <w:r>
              <w:rPr>
                <w:rStyle w:val="IndexLink"/>
              </w:rPr>
              <w:t>212</w:t>
            </w:r>
          </w:hyperlink>
        </w:p>
        <w:p>
          <w:pPr>
            <w:pStyle w:val="Contents2"/>
            <w:tabs>
              <w:tab w:val="clear" w:pos="8743"/>
              <w:tab w:val="right" w:pos="9026" w:leader="dot"/>
            </w:tabs>
            <w:rPr/>
          </w:pPr>
          <w:hyperlink w:anchor="__RefHeading___Toc3696689_3650668749">
            <w:r>
              <w:rPr>
                <w:webHidden/>
                <w:rStyle w:val="IndexLink"/>
              </w:rPr>
              <w:t>٣١</w:t>
            </w:r>
            <w:r>
              <w:rPr>
                <w:rStyle w:val="IndexLink"/>
                <w:rtl w:val="true"/>
              </w:rPr>
              <w:t xml:space="preserve"> امام زمان، حقيقت انكارناپذير جامعه بشرى</w:t>
            </w:r>
            <w:r>
              <w:rPr>
                <w:rStyle w:val="IndexLink"/>
                <w:rtl w:val="true"/>
              </w:rPr>
              <w:tab/>
            </w:r>
            <w:r>
              <w:rPr>
                <w:rStyle w:val="IndexLink"/>
              </w:rPr>
              <w:t>215</w:t>
            </w:r>
          </w:hyperlink>
        </w:p>
        <w:p>
          <w:pPr>
            <w:pStyle w:val="Contents3"/>
            <w:tabs>
              <w:tab w:val="clear" w:pos="8459"/>
              <w:tab w:val="right" w:pos="9026" w:leader="dot"/>
            </w:tabs>
            <w:rPr/>
          </w:pPr>
          <w:hyperlink w:anchor="__RefHeading___Toc3696691_3650668749">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3696693_3650668749">
            <w:r>
              <w:rPr>
                <w:webHidden/>
                <w:rStyle w:val="IndexLink"/>
                <w:rtl w:val="true"/>
              </w:rPr>
              <w:t>پاسخ</w:t>
            </w:r>
            <w:r>
              <w:rPr>
                <w:rStyle w:val="IndexLink"/>
                <w:rtl w:val="true"/>
              </w:rPr>
              <w:tab/>
            </w:r>
            <w:r>
              <w:rPr>
                <w:rStyle w:val="IndexLink"/>
              </w:rPr>
              <w:t>215</w:t>
            </w:r>
          </w:hyperlink>
        </w:p>
        <w:p>
          <w:pPr>
            <w:pStyle w:val="Contents3"/>
            <w:tabs>
              <w:tab w:val="clear" w:pos="8459"/>
              <w:tab w:val="right" w:pos="9026" w:leader="dot"/>
            </w:tabs>
            <w:rPr/>
          </w:pPr>
          <w:hyperlink w:anchor="__RefHeading___Toc3696695_3650668749">
            <w:r>
              <w:rPr>
                <w:webHidden/>
                <w:rStyle w:val="IndexLink"/>
                <w:rtl w:val="true"/>
              </w:rPr>
              <w:t>اعتراف برخى از علماى اهل سنت</w:t>
            </w:r>
            <w:r>
              <w:rPr>
                <w:rStyle w:val="IndexLink"/>
                <w:rtl w:val="true"/>
              </w:rPr>
              <w:tab/>
            </w:r>
            <w:r>
              <w:rPr>
                <w:rStyle w:val="IndexLink"/>
              </w:rPr>
              <w:t>216</w:t>
            </w:r>
          </w:hyperlink>
        </w:p>
        <w:p>
          <w:pPr>
            <w:pStyle w:val="Contents2"/>
            <w:tabs>
              <w:tab w:val="clear" w:pos="8743"/>
              <w:tab w:val="right" w:pos="9026" w:leader="dot"/>
            </w:tabs>
            <w:rPr/>
          </w:pPr>
          <w:hyperlink w:anchor="__RefHeading___Toc3696697_3650668749">
            <w:r>
              <w:rPr>
                <w:webHidden/>
                <w:rStyle w:val="IndexLink"/>
              </w:rPr>
              <w:t>٣٢</w:t>
            </w:r>
            <w:r>
              <w:rPr>
                <w:rStyle w:val="IndexLink"/>
                <w:rtl w:val="true"/>
              </w:rPr>
              <w:t xml:space="preserve"> لقب امام زمان و بهانه‌اى بى‌ثمر</w:t>
            </w:r>
            <w:r>
              <w:rPr>
                <w:rStyle w:val="IndexLink"/>
                <w:rtl w:val="true"/>
              </w:rPr>
              <w:tab/>
            </w:r>
            <w:r>
              <w:rPr>
                <w:rStyle w:val="IndexLink"/>
              </w:rPr>
              <w:t>219</w:t>
            </w:r>
          </w:hyperlink>
        </w:p>
        <w:p>
          <w:pPr>
            <w:pStyle w:val="Contents3"/>
            <w:tabs>
              <w:tab w:val="clear" w:pos="8459"/>
              <w:tab w:val="right" w:pos="9026" w:leader="dot"/>
            </w:tabs>
            <w:rPr/>
          </w:pPr>
          <w:hyperlink w:anchor="__RefHeading___Toc3696699_3650668749">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3696701_3650668749">
            <w:r>
              <w:rPr>
                <w:webHidden/>
                <w:rStyle w:val="IndexLink"/>
                <w:rtl w:val="true"/>
              </w:rPr>
              <w:t>پاسخ</w:t>
            </w:r>
            <w:r>
              <w:rPr>
                <w:rStyle w:val="IndexLink"/>
                <w:rtl w:val="true"/>
              </w:rPr>
              <w:tab/>
            </w:r>
            <w:r>
              <w:rPr>
                <w:rStyle w:val="IndexLink"/>
              </w:rPr>
              <w:t>219</w:t>
            </w:r>
          </w:hyperlink>
        </w:p>
        <w:p>
          <w:pPr>
            <w:pStyle w:val="Contents2"/>
            <w:tabs>
              <w:tab w:val="clear" w:pos="8743"/>
              <w:tab w:val="right" w:pos="9026" w:leader="dot"/>
            </w:tabs>
            <w:rPr/>
          </w:pPr>
          <w:hyperlink w:anchor="__RefHeading___Toc3696703_3650668749">
            <w:r>
              <w:rPr>
                <w:webHidden/>
                <w:rStyle w:val="IndexLink"/>
              </w:rPr>
              <w:t>٣٣</w:t>
            </w:r>
            <w:r>
              <w:rPr>
                <w:rStyle w:val="IndexLink"/>
                <w:rtl w:val="true"/>
              </w:rPr>
              <w:t xml:space="preserve"> امام زمان منتقم خون مظلومان</w:t>
            </w:r>
            <w:r>
              <w:rPr>
                <w:rStyle w:val="IndexLink"/>
                <w:rtl w:val="true"/>
              </w:rPr>
              <w:tab/>
            </w:r>
            <w:r>
              <w:rPr>
                <w:rStyle w:val="IndexLink"/>
              </w:rPr>
              <w:t>221</w:t>
            </w:r>
          </w:hyperlink>
        </w:p>
        <w:p>
          <w:pPr>
            <w:pStyle w:val="Contents3"/>
            <w:tabs>
              <w:tab w:val="clear" w:pos="8459"/>
              <w:tab w:val="right" w:pos="9026" w:leader="dot"/>
            </w:tabs>
            <w:rPr/>
          </w:pPr>
          <w:hyperlink w:anchor="__RefHeading___Toc3696705_3650668749">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3696707_3650668749">
            <w:r>
              <w:rPr>
                <w:webHidden/>
                <w:rStyle w:val="IndexLink"/>
                <w:rtl w:val="true"/>
              </w:rPr>
              <w:t>پاسخ</w:t>
            </w:r>
            <w:r>
              <w:rPr>
                <w:rStyle w:val="IndexLink"/>
                <w:rtl w:val="true"/>
              </w:rPr>
              <w:tab/>
            </w:r>
            <w:r>
              <w:rPr>
                <w:rStyle w:val="IndexLink"/>
              </w:rPr>
              <w:t>221</w:t>
            </w:r>
          </w:hyperlink>
        </w:p>
        <w:p>
          <w:pPr>
            <w:pStyle w:val="Contents2"/>
            <w:tabs>
              <w:tab w:val="clear" w:pos="8743"/>
              <w:tab w:val="right" w:pos="9026" w:leader="dot"/>
            </w:tabs>
            <w:rPr/>
          </w:pPr>
          <w:hyperlink w:anchor="__RefHeading___Toc3696709_3650668749">
            <w:r>
              <w:rPr>
                <w:webHidden/>
                <w:rStyle w:val="IndexLink"/>
              </w:rPr>
              <w:t>٣۴</w:t>
            </w:r>
            <w:r>
              <w:rPr>
                <w:rStyle w:val="IndexLink"/>
                <w:rtl w:val="true"/>
              </w:rPr>
              <w:t xml:space="preserve"> حديث يزدگرد، دستاويزى ضعيف</w:t>
            </w:r>
            <w:r>
              <w:rPr>
                <w:rStyle w:val="IndexLink"/>
                <w:rtl w:val="true"/>
              </w:rPr>
              <w:tab/>
            </w:r>
            <w:r>
              <w:rPr>
                <w:rStyle w:val="IndexLink"/>
              </w:rPr>
              <w:t>223</w:t>
            </w:r>
          </w:hyperlink>
        </w:p>
        <w:p>
          <w:pPr>
            <w:pStyle w:val="Contents3"/>
            <w:tabs>
              <w:tab w:val="clear" w:pos="8459"/>
              <w:tab w:val="right" w:pos="9026" w:leader="dot"/>
            </w:tabs>
            <w:rPr/>
          </w:pPr>
          <w:hyperlink w:anchor="__RefHeading___Toc3696711_3650668749">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3696713_3650668749">
            <w:r>
              <w:rPr>
                <w:webHidden/>
                <w:rStyle w:val="IndexLink"/>
                <w:rtl w:val="true"/>
              </w:rPr>
              <w:t>پاسخ</w:t>
            </w:r>
            <w:r>
              <w:rPr>
                <w:rStyle w:val="IndexLink"/>
                <w:rtl w:val="true"/>
              </w:rPr>
              <w:tab/>
            </w:r>
            <w:r>
              <w:rPr>
                <w:rStyle w:val="IndexLink"/>
              </w:rPr>
              <w:t>223</w:t>
            </w:r>
          </w:hyperlink>
        </w:p>
        <w:p>
          <w:pPr>
            <w:pStyle w:val="Contents2"/>
            <w:tabs>
              <w:tab w:val="clear" w:pos="8743"/>
              <w:tab w:val="right" w:pos="9026" w:leader="dot"/>
            </w:tabs>
            <w:rPr/>
          </w:pPr>
          <w:hyperlink w:anchor="__RefHeading___Toc3696715_3650668749">
            <w:r>
              <w:rPr>
                <w:webHidden/>
                <w:rStyle w:val="IndexLink"/>
              </w:rPr>
              <w:t>٣۵</w:t>
            </w:r>
            <w:r>
              <w:rPr>
                <w:rStyle w:val="IndexLink"/>
                <w:rtl w:val="true"/>
              </w:rPr>
              <w:t xml:space="preserve"> امام زمان و اعراب زمان ظهور</w:t>
            </w:r>
            <w:r>
              <w:rPr>
                <w:rStyle w:val="IndexLink"/>
                <w:rtl w:val="true"/>
              </w:rPr>
              <w:tab/>
            </w:r>
            <w:r>
              <w:rPr>
                <w:rStyle w:val="IndexLink"/>
              </w:rPr>
              <w:t>226</w:t>
            </w:r>
          </w:hyperlink>
        </w:p>
        <w:p>
          <w:pPr>
            <w:pStyle w:val="Contents3"/>
            <w:tabs>
              <w:tab w:val="clear" w:pos="8459"/>
              <w:tab w:val="right" w:pos="9026" w:leader="dot"/>
            </w:tabs>
            <w:rPr/>
          </w:pPr>
          <w:hyperlink w:anchor="__RefHeading___Toc3696717_3650668749">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3696719_3650668749">
            <w:r>
              <w:rPr>
                <w:webHidden/>
                <w:rStyle w:val="IndexLink"/>
                <w:rtl w:val="true"/>
              </w:rPr>
              <w:t>پاسخ</w:t>
            </w:r>
            <w:r>
              <w:rPr>
                <w:rStyle w:val="IndexLink"/>
                <w:rtl w:val="true"/>
              </w:rPr>
              <w:tab/>
            </w:r>
            <w:r>
              <w:rPr>
                <w:rStyle w:val="IndexLink"/>
              </w:rPr>
              <w:t>226</w:t>
            </w:r>
          </w:hyperlink>
        </w:p>
        <w:p>
          <w:pPr>
            <w:pStyle w:val="Contents2"/>
            <w:tabs>
              <w:tab w:val="clear" w:pos="8743"/>
              <w:tab w:val="right" w:pos="9026" w:leader="dot"/>
            </w:tabs>
            <w:rPr/>
          </w:pPr>
          <w:hyperlink w:anchor="__RefHeading___Toc3696721_3650668749">
            <w:r>
              <w:rPr>
                <w:webHidden/>
                <w:rStyle w:val="IndexLink"/>
              </w:rPr>
              <w:t>٣۶</w:t>
            </w:r>
            <w:r>
              <w:rPr>
                <w:rStyle w:val="IndexLink"/>
                <w:rtl w:val="true"/>
              </w:rPr>
              <w:t xml:space="preserve"> داستان مادر حضرت حجت و دستاويزى ديگر</w:t>
            </w:r>
            <w:r>
              <w:rPr>
                <w:rStyle w:val="IndexLink"/>
                <w:rtl w:val="true"/>
              </w:rPr>
              <w:tab/>
            </w:r>
            <w:r>
              <w:rPr>
                <w:rStyle w:val="IndexLink"/>
              </w:rPr>
              <w:t>231</w:t>
            </w:r>
          </w:hyperlink>
        </w:p>
        <w:p>
          <w:pPr>
            <w:pStyle w:val="Contents3"/>
            <w:tabs>
              <w:tab w:val="clear" w:pos="8459"/>
              <w:tab w:val="right" w:pos="9026" w:leader="dot"/>
            </w:tabs>
            <w:rPr/>
          </w:pPr>
          <w:hyperlink w:anchor="__RefHeading___Toc3696723_3650668749">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3696725_3650668749">
            <w:r>
              <w:rPr>
                <w:webHidden/>
                <w:rStyle w:val="IndexLink"/>
                <w:rtl w:val="true"/>
              </w:rPr>
              <w:t>پاسخ</w:t>
            </w:r>
            <w:r>
              <w:rPr>
                <w:rStyle w:val="IndexLink"/>
                <w:rtl w:val="true"/>
              </w:rPr>
              <w:tab/>
            </w:r>
            <w:r>
              <w:rPr>
                <w:rStyle w:val="IndexLink"/>
              </w:rPr>
              <w:t>231</w:t>
            </w:r>
          </w:hyperlink>
        </w:p>
        <w:p>
          <w:pPr>
            <w:pStyle w:val="Contents2"/>
            <w:tabs>
              <w:tab w:val="clear" w:pos="8743"/>
              <w:tab w:val="right" w:pos="9026" w:leader="dot"/>
            </w:tabs>
            <w:rPr/>
          </w:pPr>
          <w:hyperlink w:anchor="__RefHeading___Toc3696727_3650668749">
            <w:r>
              <w:rPr>
                <w:webHidden/>
                <w:rStyle w:val="IndexLink"/>
              </w:rPr>
              <w:t>٣٧</w:t>
            </w:r>
            <w:r>
              <w:rPr>
                <w:rStyle w:val="IndexLink"/>
                <w:rtl w:val="true"/>
              </w:rPr>
              <w:t xml:space="preserve"> روايتى بسيار ضعيف و دستاويزى ديگر</w:t>
            </w:r>
            <w:r>
              <w:rPr>
                <w:rStyle w:val="IndexLink"/>
                <w:rtl w:val="true"/>
              </w:rPr>
              <w:tab/>
            </w:r>
            <w:r>
              <w:rPr>
                <w:rStyle w:val="IndexLink"/>
              </w:rPr>
              <w:t>235</w:t>
            </w:r>
          </w:hyperlink>
        </w:p>
        <w:p>
          <w:pPr>
            <w:pStyle w:val="Contents3"/>
            <w:tabs>
              <w:tab w:val="clear" w:pos="8459"/>
              <w:tab w:val="right" w:pos="9026" w:leader="dot"/>
            </w:tabs>
            <w:rPr/>
          </w:pPr>
          <w:hyperlink w:anchor="__RefHeading___Toc3696729_3650668749">
            <w:r>
              <w:rPr>
                <w:webHidden/>
                <w:rStyle w:val="IndexLink"/>
                <w:rtl w:val="true"/>
              </w:rPr>
              <w:t>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3696731_3650668749">
            <w:r>
              <w:rPr>
                <w:webHidden/>
                <w:rStyle w:val="IndexLink"/>
                <w:rtl w:val="true"/>
              </w:rPr>
              <w:t>پاسخ</w:t>
            </w:r>
            <w:r>
              <w:rPr>
                <w:rStyle w:val="IndexLink"/>
                <w:rtl w:val="true"/>
              </w:rPr>
              <w:tab/>
            </w:r>
            <w:r>
              <w:rPr>
                <w:rStyle w:val="IndexLink"/>
              </w:rPr>
              <w:t>235</w:t>
            </w:r>
          </w:hyperlink>
        </w:p>
        <w:p>
          <w:pPr>
            <w:pStyle w:val="Contents2"/>
            <w:tabs>
              <w:tab w:val="clear" w:pos="8743"/>
              <w:tab w:val="right" w:pos="9026" w:leader="dot"/>
            </w:tabs>
            <w:rPr/>
          </w:pPr>
          <w:hyperlink w:anchor="__RefHeading___Toc3696733_3650668749">
            <w:r>
              <w:rPr>
                <w:webHidden/>
                <w:rStyle w:val="IndexLink"/>
              </w:rPr>
              <w:t>٣٨</w:t>
            </w:r>
            <w:r>
              <w:rPr>
                <w:rStyle w:val="IndexLink"/>
                <w:rtl w:val="true"/>
              </w:rPr>
              <w:t xml:space="preserve"> عجايب ولادت حضرت حجت و انكار بى‌دليل</w:t>
            </w:r>
            <w:r>
              <w:rPr>
                <w:rStyle w:val="IndexLink"/>
                <w:rtl w:val="true"/>
              </w:rPr>
              <w:tab/>
            </w:r>
            <w:r>
              <w:rPr>
                <w:rStyle w:val="IndexLink"/>
              </w:rPr>
              <w:t>238</w:t>
            </w:r>
          </w:hyperlink>
        </w:p>
        <w:p>
          <w:pPr>
            <w:pStyle w:val="Contents3"/>
            <w:tabs>
              <w:tab w:val="clear" w:pos="8459"/>
              <w:tab w:val="right" w:pos="9026" w:leader="dot"/>
            </w:tabs>
            <w:rPr/>
          </w:pPr>
          <w:hyperlink w:anchor="__RefHeading___Toc3696735_3650668749">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3696737_3650668749">
            <w:r>
              <w:rPr>
                <w:webHidden/>
                <w:rStyle w:val="IndexLink"/>
                <w:rtl w:val="true"/>
              </w:rPr>
              <w:t>پاسخ</w:t>
            </w:r>
            <w:r>
              <w:rPr>
                <w:rStyle w:val="IndexLink"/>
                <w:rtl w:val="true"/>
              </w:rPr>
              <w:tab/>
            </w:r>
            <w:r>
              <w:rPr>
                <w:rStyle w:val="IndexLink"/>
              </w:rPr>
              <w:t>238</w:t>
            </w:r>
          </w:hyperlink>
        </w:p>
        <w:p>
          <w:pPr>
            <w:pStyle w:val="Contents2"/>
            <w:tabs>
              <w:tab w:val="clear" w:pos="8743"/>
              <w:tab w:val="right" w:pos="9026" w:leader="dot"/>
            </w:tabs>
            <w:rPr/>
          </w:pPr>
          <w:hyperlink w:anchor="__RefHeading___Toc3696739_3650668749">
            <w:r>
              <w:rPr>
                <w:webHidden/>
                <w:rStyle w:val="IndexLink"/>
              </w:rPr>
              <w:t>٣٩</w:t>
            </w:r>
            <w:r>
              <w:rPr>
                <w:rStyle w:val="IndexLink"/>
                <w:rtl w:val="true"/>
              </w:rPr>
              <w:t xml:space="preserve"> امام زمان مجرى و مبلّغ اسلام محمدى</w:t>
            </w:r>
            <w:r>
              <w:rPr>
                <w:rStyle w:val="IndexLink"/>
                <w:rtl w:val="true"/>
              </w:rPr>
              <w:tab/>
            </w:r>
            <w:r>
              <w:rPr>
                <w:rStyle w:val="IndexLink"/>
              </w:rPr>
              <w:t>240</w:t>
            </w:r>
          </w:hyperlink>
        </w:p>
        <w:p>
          <w:pPr>
            <w:pStyle w:val="Contents3"/>
            <w:tabs>
              <w:tab w:val="clear" w:pos="8459"/>
              <w:tab w:val="right" w:pos="9026" w:leader="dot"/>
            </w:tabs>
            <w:rPr/>
          </w:pPr>
          <w:hyperlink w:anchor="__RefHeading___Toc3696741_3650668749">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3696743_3650668749">
            <w:r>
              <w:rPr>
                <w:webHidden/>
                <w:rStyle w:val="IndexLink"/>
                <w:rtl w:val="true"/>
              </w:rPr>
              <w:t>پاسخ</w:t>
            </w:r>
            <w:r>
              <w:rPr>
                <w:rStyle w:val="IndexLink"/>
                <w:rtl w:val="true"/>
              </w:rPr>
              <w:tab/>
            </w:r>
            <w:r>
              <w:rPr>
                <w:rStyle w:val="IndexLink"/>
              </w:rPr>
              <w:t>241</w:t>
            </w:r>
          </w:hyperlink>
        </w:p>
        <w:p>
          <w:pPr>
            <w:pStyle w:val="Contents3"/>
            <w:tabs>
              <w:tab w:val="clear" w:pos="8459"/>
              <w:tab w:val="right" w:pos="9026" w:leader="dot"/>
            </w:tabs>
            <w:rPr/>
          </w:pPr>
          <w:hyperlink w:anchor="__RefHeading___Toc3696745_3650668749">
            <w:r>
              <w:rPr>
                <w:webHidden/>
                <w:rStyle w:val="IndexLink"/>
                <w:rtl w:val="true"/>
              </w:rPr>
              <w:t xml:space="preserve">شرايط ويژه دوران حضرت مهدى </w:t>
            </w:r>
            <w:r>
              <w:rPr>
                <w:rStyle w:val="IndexLink"/>
                <w:rtl w:val="true"/>
              </w:rPr>
              <w:t>(</w:t>
            </w:r>
            <w:r>
              <w:rPr>
                <w:rStyle w:val="IndexLink"/>
                <w:rtl w:val="true"/>
              </w:rPr>
              <w:t>ع</w:t>
            </w:r>
            <w:r>
              <w:rPr>
                <w:rStyle w:val="IndexLink"/>
                <w:rtl w:val="true"/>
              </w:rPr>
              <w:t>)</w:t>
              <w:tab/>
            </w:r>
            <w:r>
              <w:rPr>
                <w:rStyle w:val="IndexLink"/>
              </w:rPr>
              <w:t>242</w:t>
            </w:r>
          </w:hyperlink>
        </w:p>
        <w:p>
          <w:pPr>
            <w:pStyle w:val="Contents3"/>
            <w:tabs>
              <w:tab w:val="clear" w:pos="8459"/>
              <w:tab w:val="right" w:pos="9026" w:leader="dot"/>
            </w:tabs>
            <w:rPr/>
          </w:pPr>
          <w:hyperlink w:anchor="__RefHeading___Toc3696747_3650668749">
            <w:r>
              <w:rPr>
                <w:webHidden/>
                <w:rStyle w:val="IndexLink"/>
                <w:rtl w:val="true"/>
              </w:rPr>
              <w:t>مصلح جهانى و اصلاحات گسترده</w:t>
            </w:r>
            <w:r>
              <w:rPr>
                <w:rStyle w:val="IndexLink"/>
                <w:rtl w:val="true"/>
              </w:rPr>
              <w:tab/>
            </w:r>
            <w:r>
              <w:rPr>
                <w:rStyle w:val="IndexLink"/>
              </w:rPr>
              <w:t>243</w:t>
            </w:r>
          </w:hyperlink>
        </w:p>
        <w:p>
          <w:pPr>
            <w:pStyle w:val="Contents3"/>
            <w:tabs>
              <w:tab w:val="clear" w:pos="8459"/>
              <w:tab w:val="right" w:pos="9026" w:leader="dot"/>
            </w:tabs>
            <w:rPr/>
          </w:pPr>
          <w:hyperlink w:anchor="__RefHeading___Toc3696749_3650668749">
            <w:r>
              <w:rPr>
                <w:webHidden/>
                <w:rStyle w:val="IndexLink"/>
                <w:rtl w:val="true"/>
              </w:rPr>
              <w:t xml:space="preserve">حضرت مهدى </w:t>
            </w:r>
            <w:r>
              <w:rPr>
                <w:rStyle w:val="IndexLink"/>
                <w:rtl w:val="true"/>
              </w:rPr>
              <w:t>(</w:t>
            </w:r>
            <w:r>
              <w:rPr>
                <w:rStyle w:val="IndexLink"/>
                <w:rtl w:val="true"/>
              </w:rPr>
              <w:t>عج</w:t>
            </w:r>
            <w:r>
              <w:rPr>
                <w:rStyle w:val="IndexLink"/>
                <w:rtl w:val="true"/>
              </w:rPr>
              <w:t xml:space="preserve">) </w:t>
            </w:r>
            <w:r>
              <w:rPr>
                <w:rStyle w:val="IndexLink"/>
                <w:rtl w:val="true"/>
              </w:rPr>
              <w:t>و اجراى اسلام حقيقى</w:t>
            </w:r>
            <w:r>
              <w:rPr>
                <w:rStyle w:val="IndexLink"/>
                <w:rtl w:val="true"/>
              </w:rPr>
              <w:tab/>
            </w:r>
            <w:r>
              <w:rPr>
                <w:rStyle w:val="IndexLink"/>
              </w:rPr>
              <w:t>245</w:t>
            </w:r>
          </w:hyperlink>
        </w:p>
        <w:p>
          <w:pPr>
            <w:pStyle w:val="Contents2"/>
            <w:tabs>
              <w:tab w:val="clear" w:pos="8743"/>
              <w:tab w:val="right" w:pos="9026" w:leader="dot"/>
            </w:tabs>
            <w:rPr/>
          </w:pPr>
          <w:hyperlink w:anchor="__RefHeading___Toc3696751_3650668749">
            <w:r>
              <w:rPr>
                <w:webHidden/>
                <w:rStyle w:val="IndexLink"/>
              </w:rPr>
              <w:t>۴٠</w:t>
            </w:r>
            <w:r>
              <w:rPr>
                <w:rStyle w:val="IndexLink"/>
                <w:rtl w:val="true"/>
              </w:rPr>
              <w:t xml:space="preserve"> علت قيام نكردن حضرت مهدى با وجود ياوران بسيار</w:t>
            </w:r>
            <w:r>
              <w:rPr>
                <w:rStyle w:val="IndexLink"/>
                <w:rtl w:val="true"/>
              </w:rPr>
              <w:tab/>
            </w:r>
            <w:r>
              <w:rPr>
                <w:rStyle w:val="IndexLink"/>
              </w:rPr>
              <w:t>249</w:t>
            </w:r>
          </w:hyperlink>
        </w:p>
        <w:p>
          <w:pPr>
            <w:pStyle w:val="Contents3"/>
            <w:tabs>
              <w:tab w:val="clear" w:pos="8459"/>
              <w:tab w:val="right" w:pos="9026" w:leader="dot"/>
            </w:tabs>
            <w:rPr/>
          </w:pPr>
          <w:hyperlink w:anchor="__RefHeading___Toc3696753_3650668749">
            <w:r>
              <w:rPr>
                <w:webHidden/>
                <w:rStyle w:val="IndexLink"/>
                <w:rtl w:val="true"/>
              </w:rPr>
              <w:t>اشاره</w:t>
            </w:r>
            <w:r>
              <w:rPr>
                <w:rStyle w:val="IndexLink"/>
                <w:rtl w:val="true"/>
              </w:rPr>
              <w:tab/>
            </w:r>
            <w:r>
              <w:rPr>
                <w:rStyle w:val="IndexLink"/>
              </w:rPr>
              <w:t>249</w:t>
            </w:r>
          </w:hyperlink>
        </w:p>
        <w:p>
          <w:pPr>
            <w:pStyle w:val="Contents3"/>
            <w:tabs>
              <w:tab w:val="clear" w:pos="8459"/>
              <w:tab w:val="right" w:pos="9026" w:leader="dot"/>
            </w:tabs>
            <w:rPr/>
          </w:pPr>
          <w:hyperlink w:anchor="__RefHeading___Toc3696755_3650668749">
            <w:r>
              <w:rPr>
                <w:webHidden/>
                <w:rStyle w:val="IndexLink"/>
                <w:rtl w:val="true"/>
              </w:rPr>
              <w:t>پاسخ</w:t>
            </w:r>
            <w:r>
              <w:rPr>
                <w:rStyle w:val="IndexLink"/>
                <w:rtl w:val="true"/>
              </w:rPr>
              <w:tab/>
            </w:r>
            <w:r>
              <w:rPr>
                <w:rStyle w:val="IndexLink"/>
              </w:rPr>
              <w:t>250</w:t>
            </w:r>
          </w:hyperlink>
        </w:p>
        <w:p>
          <w:pPr>
            <w:pStyle w:val="Contents2"/>
            <w:tabs>
              <w:tab w:val="clear" w:pos="8743"/>
              <w:tab w:val="right" w:pos="9026" w:leader="dot"/>
            </w:tabs>
            <w:rPr/>
          </w:pPr>
          <w:hyperlink w:anchor="__RefHeading___Toc3696757_3650668749">
            <w:r>
              <w:rPr>
                <w:webHidden/>
                <w:rStyle w:val="IndexLink"/>
              </w:rPr>
              <w:t>۴١</w:t>
            </w:r>
            <w:r>
              <w:rPr>
                <w:rStyle w:val="IndexLink"/>
                <w:rtl w:val="true"/>
              </w:rPr>
              <w:t xml:space="preserve"> علت ظاهر نشدن حضرت مهدى بر صفحه تلويزيون</w:t>
            </w:r>
            <w:r>
              <w:rPr>
                <w:rStyle w:val="IndexLink"/>
                <w:rtl w:val="true"/>
              </w:rPr>
              <w:tab/>
            </w:r>
            <w:r>
              <w:rPr>
                <w:rStyle w:val="IndexLink"/>
              </w:rPr>
              <w:t>254</w:t>
            </w:r>
          </w:hyperlink>
        </w:p>
        <w:p>
          <w:pPr>
            <w:pStyle w:val="Contents3"/>
            <w:tabs>
              <w:tab w:val="clear" w:pos="8459"/>
              <w:tab w:val="right" w:pos="9026" w:leader="dot"/>
            </w:tabs>
            <w:rPr/>
          </w:pPr>
          <w:hyperlink w:anchor="__RefHeading___Toc3696759_3650668749">
            <w:r>
              <w:rPr>
                <w:webHidden/>
                <w:rStyle w:val="IndexLink"/>
                <w:rtl w:val="true"/>
              </w:rPr>
              <w:t>اشاره</w:t>
            </w:r>
            <w:r>
              <w:rPr>
                <w:rStyle w:val="IndexLink"/>
                <w:rtl w:val="true"/>
              </w:rPr>
              <w:tab/>
            </w:r>
            <w:r>
              <w:rPr>
                <w:rStyle w:val="IndexLink"/>
              </w:rPr>
              <w:t>254</w:t>
            </w:r>
          </w:hyperlink>
        </w:p>
        <w:p>
          <w:pPr>
            <w:pStyle w:val="Contents3"/>
            <w:tabs>
              <w:tab w:val="clear" w:pos="8459"/>
              <w:tab w:val="right" w:pos="9026" w:leader="dot"/>
            </w:tabs>
            <w:rPr/>
          </w:pPr>
          <w:hyperlink w:anchor="__RefHeading___Toc3696761_3650668749">
            <w:r>
              <w:rPr>
                <w:webHidden/>
                <w:rStyle w:val="IndexLink"/>
                <w:rtl w:val="true"/>
              </w:rPr>
              <w:t>پاسخ</w:t>
            </w:r>
            <w:r>
              <w:rPr>
                <w:rStyle w:val="IndexLink"/>
                <w:rtl w:val="true"/>
              </w:rPr>
              <w:tab/>
            </w:r>
            <w:r>
              <w:rPr>
                <w:rStyle w:val="IndexLink"/>
              </w:rPr>
              <w:t>254</w:t>
            </w:r>
          </w:hyperlink>
        </w:p>
        <w:p>
          <w:pPr>
            <w:pStyle w:val="Contents3"/>
            <w:tabs>
              <w:tab w:val="clear" w:pos="8459"/>
              <w:tab w:val="right" w:pos="9026" w:leader="dot"/>
            </w:tabs>
            <w:rPr/>
          </w:pPr>
          <w:hyperlink w:anchor="__RefHeading___Toc3696763_3650668749">
            <w:r>
              <w:rPr>
                <w:webHidden/>
                <w:rStyle w:val="IndexLink"/>
                <w:rtl w:val="true"/>
              </w:rPr>
              <w:t>برطرف نشدن شبهه با تصوير تلويزيونى</w:t>
            </w:r>
            <w:r>
              <w:rPr>
                <w:rStyle w:val="IndexLink"/>
                <w:rtl w:val="true"/>
              </w:rPr>
              <w:tab/>
            </w:r>
            <w:r>
              <w:rPr>
                <w:rStyle w:val="IndexLink"/>
              </w:rPr>
              <w:t>255</w:t>
            </w:r>
          </w:hyperlink>
        </w:p>
        <w:p>
          <w:pPr>
            <w:pStyle w:val="Contents3"/>
            <w:tabs>
              <w:tab w:val="clear" w:pos="8459"/>
              <w:tab w:val="right" w:pos="9026" w:leader="dot"/>
            </w:tabs>
            <w:rPr/>
          </w:pPr>
          <w:hyperlink w:anchor="__RefHeading___Toc3696765_3650668749">
            <w:r>
              <w:rPr>
                <w:webHidden/>
                <w:rStyle w:val="IndexLink"/>
                <w:rtl w:val="true"/>
              </w:rPr>
              <w:t>فضيلت ثابت قدم‌ها در دوران غيبت</w:t>
            </w:r>
            <w:r>
              <w:rPr>
                <w:rStyle w:val="IndexLink"/>
                <w:rtl w:val="true"/>
              </w:rPr>
              <w:tab/>
            </w:r>
            <w:r>
              <w:rPr>
                <w:rStyle w:val="IndexLink"/>
              </w:rPr>
              <w:t>256</w:t>
            </w:r>
          </w:hyperlink>
        </w:p>
        <w:p>
          <w:pPr>
            <w:pStyle w:val="Contents2"/>
            <w:tabs>
              <w:tab w:val="clear" w:pos="8743"/>
              <w:tab w:val="right" w:pos="9026" w:leader="dot"/>
            </w:tabs>
            <w:rPr/>
          </w:pPr>
          <w:hyperlink w:anchor="__RefHeading___Toc3696767_3650668749">
            <w:r>
              <w:rPr>
                <w:webHidden/>
                <w:rStyle w:val="IndexLink"/>
              </w:rPr>
              <w:t>۴٢</w:t>
            </w:r>
            <w:r>
              <w:rPr>
                <w:rStyle w:val="IndexLink"/>
                <w:rtl w:val="true"/>
              </w:rPr>
              <w:t xml:space="preserve"> پيرايش غلوّ موجود در مذهب شيعه</w:t>
            </w:r>
            <w:r>
              <w:rPr>
                <w:rStyle w:val="IndexLink"/>
                <w:rtl w:val="true"/>
              </w:rPr>
              <w:tab/>
            </w:r>
            <w:r>
              <w:rPr>
                <w:rStyle w:val="IndexLink"/>
              </w:rPr>
              <w:t>258</w:t>
            </w:r>
          </w:hyperlink>
        </w:p>
        <w:p>
          <w:pPr>
            <w:pStyle w:val="Contents3"/>
            <w:tabs>
              <w:tab w:val="clear" w:pos="8459"/>
              <w:tab w:val="right" w:pos="9026" w:leader="dot"/>
            </w:tabs>
            <w:rPr/>
          </w:pPr>
          <w:hyperlink w:anchor="__RefHeading___Toc3696769_3650668749">
            <w:r>
              <w:rPr>
                <w:webHidden/>
                <w:rStyle w:val="IndexLink"/>
                <w:rtl w:val="true"/>
              </w:rPr>
              <w:t>اشاره</w:t>
            </w:r>
            <w:r>
              <w:rPr>
                <w:rStyle w:val="IndexLink"/>
                <w:rtl w:val="true"/>
              </w:rPr>
              <w:tab/>
            </w:r>
            <w:r>
              <w:rPr>
                <w:rStyle w:val="IndexLink"/>
              </w:rPr>
              <w:t>258</w:t>
            </w:r>
          </w:hyperlink>
        </w:p>
        <w:p>
          <w:pPr>
            <w:pStyle w:val="Contents3"/>
            <w:tabs>
              <w:tab w:val="clear" w:pos="8459"/>
              <w:tab w:val="right" w:pos="9026" w:leader="dot"/>
            </w:tabs>
            <w:rPr/>
          </w:pPr>
          <w:hyperlink w:anchor="__RefHeading___Toc3696771_3650668749">
            <w:r>
              <w:rPr>
                <w:webHidden/>
                <w:rStyle w:val="IndexLink"/>
                <w:rtl w:val="true"/>
              </w:rPr>
              <w:t>پاسخ</w:t>
            </w:r>
            <w:r>
              <w:rPr>
                <w:rStyle w:val="IndexLink"/>
                <w:rtl w:val="true"/>
              </w:rPr>
              <w:tab/>
            </w:r>
            <w:r>
              <w:rPr>
                <w:rStyle w:val="IndexLink"/>
              </w:rPr>
              <w:t>258</w:t>
            </w:r>
          </w:hyperlink>
        </w:p>
        <w:p>
          <w:pPr>
            <w:pStyle w:val="Contents2"/>
            <w:tabs>
              <w:tab w:val="clear" w:pos="8743"/>
              <w:tab w:val="right" w:pos="9026" w:leader="dot"/>
            </w:tabs>
            <w:rPr/>
          </w:pPr>
          <w:hyperlink w:anchor="__RefHeading___Toc3696773_3650668749">
            <w:r>
              <w:rPr>
                <w:webHidden/>
                <w:rStyle w:val="IndexLink"/>
              </w:rPr>
              <w:t>۴٣</w:t>
            </w:r>
            <w:r>
              <w:rPr>
                <w:rStyle w:val="IndexLink"/>
                <w:rtl w:val="true"/>
              </w:rPr>
              <w:t xml:space="preserve"> تهاجم به خانه اميرالمؤمنين </w:t>
            </w:r>
            <w:r>
              <w:rPr>
                <w:rStyle w:val="IndexLink"/>
                <w:rtl w:val="true"/>
              </w:rPr>
              <w:t>(</w:t>
            </w:r>
            <w:r>
              <w:rPr>
                <w:rStyle w:val="IndexLink"/>
                <w:rtl w:val="true"/>
              </w:rPr>
              <w:t>ع</w:t>
            </w:r>
            <w:r>
              <w:rPr>
                <w:rStyle w:val="IndexLink"/>
                <w:rtl w:val="true"/>
              </w:rPr>
              <w:t xml:space="preserve">) </w:t>
            </w:r>
            <w:r>
              <w:rPr>
                <w:rStyle w:val="IndexLink"/>
                <w:rtl w:val="true"/>
              </w:rPr>
              <w:t>و سكوت آن حضرت</w:t>
            </w:r>
            <w:r>
              <w:rPr>
                <w:rStyle w:val="IndexLink"/>
                <w:rtl w:val="true"/>
              </w:rPr>
              <w:tab/>
            </w:r>
            <w:r>
              <w:rPr>
                <w:rStyle w:val="IndexLink"/>
              </w:rPr>
              <w:t>259</w:t>
            </w:r>
          </w:hyperlink>
        </w:p>
        <w:p>
          <w:pPr>
            <w:pStyle w:val="Contents3"/>
            <w:tabs>
              <w:tab w:val="clear" w:pos="8459"/>
              <w:tab w:val="right" w:pos="9026" w:leader="dot"/>
            </w:tabs>
            <w:rPr/>
          </w:pPr>
          <w:hyperlink w:anchor="__RefHeading___Toc3696775_3650668749">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3696777_3650668749">
            <w:r>
              <w:rPr>
                <w:webHidden/>
                <w:rStyle w:val="IndexLink"/>
                <w:rtl w:val="true"/>
              </w:rPr>
              <w:t>پاسخ</w:t>
            </w:r>
            <w:r>
              <w:rPr>
                <w:rStyle w:val="IndexLink"/>
                <w:rtl w:val="true"/>
              </w:rPr>
              <w:tab/>
            </w:r>
            <w:r>
              <w:rPr>
                <w:rStyle w:val="IndexLink"/>
              </w:rPr>
              <w:t>259</w:t>
            </w:r>
          </w:hyperlink>
        </w:p>
        <w:p>
          <w:pPr>
            <w:pStyle w:val="Contents3"/>
            <w:tabs>
              <w:tab w:val="clear" w:pos="8459"/>
              <w:tab w:val="right" w:pos="9026" w:leader="dot"/>
            </w:tabs>
            <w:rPr/>
          </w:pPr>
          <w:hyperlink w:anchor="__RefHeading___Toc3696779_3650668749">
            <w:r>
              <w:rPr>
                <w:webHidden/>
                <w:rStyle w:val="IndexLink"/>
                <w:rtl w:val="true"/>
              </w:rPr>
              <w:t xml:space="preserve">مظلوميت حضرت زهرا </w:t>
            </w:r>
            <w:r>
              <w:rPr>
                <w:rStyle w:val="IndexLink"/>
                <w:rtl w:val="true"/>
              </w:rPr>
              <w:t>(</w:t>
            </w:r>
            <w:r>
              <w:rPr>
                <w:rStyle w:val="IndexLink"/>
                <w:rtl w:val="true"/>
              </w:rPr>
              <w:t>عليهاالسلام</w:t>
            </w:r>
            <w:r>
              <w:rPr>
                <w:rStyle w:val="IndexLink"/>
                <w:rtl w:val="true"/>
              </w:rPr>
              <w:t xml:space="preserve">) </w:t>
            </w:r>
            <w:r>
              <w:rPr>
                <w:rStyle w:val="IndexLink"/>
                <w:rtl w:val="true"/>
              </w:rPr>
              <w:t>در كلمات بزرگان</w:t>
            </w:r>
            <w:r>
              <w:rPr>
                <w:rStyle w:val="IndexLink"/>
                <w:rtl w:val="true"/>
              </w:rPr>
              <w:tab/>
            </w:r>
            <w:r>
              <w:rPr>
                <w:rStyle w:val="IndexLink"/>
              </w:rPr>
              <w:t>259</w:t>
            </w:r>
          </w:hyperlink>
        </w:p>
        <w:p>
          <w:pPr>
            <w:pStyle w:val="Contents3"/>
            <w:tabs>
              <w:tab w:val="clear" w:pos="8459"/>
              <w:tab w:val="right" w:pos="9026" w:leader="dot"/>
            </w:tabs>
            <w:rPr/>
          </w:pPr>
          <w:hyperlink w:anchor="__RefHeading___Toc3696781_3650668749">
            <w:r>
              <w:rPr>
                <w:webHidden/>
                <w:rStyle w:val="IndexLink"/>
                <w:rtl w:val="true"/>
              </w:rPr>
              <w:t xml:space="preserve">علت سكوت اميرالمؤمنين </w:t>
            </w:r>
            <w:r>
              <w:rPr>
                <w:rStyle w:val="IndexLink"/>
                <w:rtl w:val="true"/>
              </w:rPr>
              <w:t>(</w:t>
            </w:r>
            <w:r>
              <w:rPr>
                <w:rStyle w:val="IndexLink"/>
                <w:rtl w:val="true"/>
              </w:rPr>
              <w:t>ع</w:t>
            </w:r>
            <w:r>
              <w:rPr>
                <w:rStyle w:val="IndexLink"/>
                <w:rtl w:val="true"/>
              </w:rPr>
              <w:t>)</w:t>
              <w:tab/>
            </w:r>
            <w:r>
              <w:rPr>
                <w:rStyle w:val="IndexLink"/>
              </w:rPr>
              <w:t>262</w:t>
            </w:r>
          </w:hyperlink>
        </w:p>
        <w:p>
          <w:pPr>
            <w:pStyle w:val="Contents3"/>
            <w:tabs>
              <w:tab w:val="clear" w:pos="8459"/>
              <w:tab w:val="right" w:pos="9026" w:leader="dot"/>
            </w:tabs>
            <w:rPr/>
          </w:pPr>
          <w:hyperlink w:anchor="__RefHeading___Toc3696783_3650668749">
            <w:r>
              <w:rPr>
                <w:webHidden/>
                <w:rStyle w:val="IndexLink"/>
                <w:rtl w:val="true"/>
              </w:rPr>
              <w:t xml:space="preserve">مأمور به صبر حتى در دفاع از حضرت فاطمه </w:t>
            </w:r>
            <w:r>
              <w:rPr>
                <w:rStyle w:val="IndexLink"/>
                <w:rtl w:val="true"/>
              </w:rPr>
              <w:t>(</w:t>
            </w:r>
            <w:r>
              <w:rPr>
                <w:rStyle w:val="IndexLink"/>
                <w:rtl w:val="true"/>
              </w:rPr>
              <w:t>عليهاالسلام</w:t>
            </w:r>
            <w:r>
              <w:rPr>
                <w:rStyle w:val="IndexLink"/>
                <w:rtl w:val="true"/>
              </w:rPr>
              <w:t>)</w:t>
              <w:tab/>
            </w:r>
            <w:r>
              <w:rPr>
                <w:rStyle w:val="IndexLink"/>
              </w:rPr>
              <w:t>266</w:t>
            </w:r>
          </w:hyperlink>
        </w:p>
        <w:p>
          <w:pPr>
            <w:pStyle w:val="Contents2"/>
            <w:tabs>
              <w:tab w:val="clear" w:pos="8743"/>
              <w:tab w:val="right" w:pos="9026" w:leader="dot"/>
            </w:tabs>
            <w:rPr/>
          </w:pPr>
          <w:hyperlink w:anchor="__RefHeading___Toc3696785_3650668749">
            <w:r>
              <w:rPr>
                <w:webHidden/>
                <w:rStyle w:val="IndexLink"/>
              </w:rPr>
              <w:t>۴۴</w:t>
            </w:r>
            <w:r>
              <w:rPr>
                <w:rStyle w:val="IndexLink"/>
                <w:rtl w:val="true"/>
              </w:rPr>
              <w:t xml:space="preserve"> جايگاه امامت در اسلام</w:t>
            </w:r>
            <w:r>
              <w:rPr>
                <w:rStyle w:val="IndexLink"/>
                <w:rtl w:val="true"/>
              </w:rPr>
              <w:tab/>
            </w:r>
            <w:r>
              <w:rPr>
                <w:rStyle w:val="IndexLink"/>
              </w:rPr>
              <w:t>269</w:t>
            </w:r>
          </w:hyperlink>
        </w:p>
        <w:p>
          <w:pPr>
            <w:pStyle w:val="Contents3"/>
            <w:tabs>
              <w:tab w:val="clear" w:pos="8459"/>
              <w:tab w:val="right" w:pos="9026" w:leader="dot"/>
            </w:tabs>
            <w:rPr/>
          </w:pPr>
          <w:hyperlink w:anchor="__RefHeading___Toc3696787_3650668749">
            <w:r>
              <w:rPr>
                <w:webHidden/>
                <w:rStyle w:val="IndexLink"/>
                <w:rtl w:val="true"/>
              </w:rPr>
              <w:t>اشاره</w:t>
            </w:r>
            <w:r>
              <w:rPr>
                <w:rStyle w:val="IndexLink"/>
                <w:rtl w:val="true"/>
              </w:rPr>
              <w:tab/>
            </w:r>
            <w:r>
              <w:rPr>
                <w:rStyle w:val="IndexLink"/>
              </w:rPr>
              <w:t>269</w:t>
            </w:r>
          </w:hyperlink>
        </w:p>
        <w:p>
          <w:pPr>
            <w:pStyle w:val="Contents3"/>
            <w:tabs>
              <w:tab w:val="clear" w:pos="8459"/>
              <w:tab w:val="right" w:pos="9026" w:leader="dot"/>
            </w:tabs>
            <w:rPr/>
          </w:pPr>
          <w:hyperlink w:anchor="__RefHeading___Toc3696789_3650668749">
            <w:r>
              <w:rPr>
                <w:webHidden/>
                <w:rStyle w:val="IndexLink"/>
                <w:rtl w:val="true"/>
              </w:rPr>
              <w:t>پاسخ</w:t>
            </w:r>
            <w:r>
              <w:rPr>
                <w:rStyle w:val="IndexLink"/>
                <w:rtl w:val="true"/>
              </w:rPr>
              <w:tab/>
            </w:r>
            <w:r>
              <w:rPr>
                <w:rStyle w:val="IndexLink"/>
              </w:rPr>
              <w:t>269</w:t>
            </w:r>
          </w:hyperlink>
        </w:p>
        <w:p>
          <w:pPr>
            <w:pStyle w:val="Contents3"/>
            <w:tabs>
              <w:tab w:val="clear" w:pos="8459"/>
              <w:tab w:val="right" w:pos="9026" w:leader="dot"/>
            </w:tabs>
            <w:rPr/>
          </w:pPr>
          <w:hyperlink w:anchor="__RefHeading___Toc3696791_3650668749">
            <w:r>
              <w:rPr>
                <w:webHidden/>
                <w:rStyle w:val="IndexLink"/>
                <w:rtl w:val="true"/>
              </w:rPr>
              <w:t>امامت ركن اسلام حقيقى</w:t>
            </w:r>
            <w:r>
              <w:rPr>
                <w:rStyle w:val="IndexLink"/>
                <w:rtl w:val="true"/>
              </w:rPr>
              <w:tab/>
            </w:r>
            <w:r>
              <w:rPr>
                <w:rStyle w:val="IndexLink"/>
              </w:rPr>
              <w:t>269</w:t>
            </w:r>
          </w:hyperlink>
        </w:p>
        <w:p>
          <w:pPr>
            <w:pStyle w:val="Contents3"/>
            <w:tabs>
              <w:tab w:val="clear" w:pos="8459"/>
              <w:tab w:val="right" w:pos="9026" w:leader="dot"/>
            </w:tabs>
            <w:rPr/>
          </w:pPr>
          <w:hyperlink w:anchor="__RefHeading___Toc3696793_3650668749">
            <w:r>
              <w:rPr>
                <w:webHidden/>
                <w:rStyle w:val="IndexLink"/>
                <w:rtl w:val="true"/>
              </w:rPr>
              <w:t>اعتقاد به امامت، شرط قبولى اعمال</w:t>
            </w:r>
            <w:r>
              <w:rPr>
                <w:rStyle w:val="IndexLink"/>
                <w:rtl w:val="true"/>
              </w:rPr>
              <w:tab/>
            </w:r>
            <w:r>
              <w:rPr>
                <w:rStyle w:val="IndexLink"/>
              </w:rPr>
              <w:t>271</w:t>
            </w:r>
          </w:hyperlink>
        </w:p>
        <w:p>
          <w:pPr>
            <w:pStyle w:val="Contents2"/>
            <w:tabs>
              <w:tab w:val="clear" w:pos="8743"/>
              <w:tab w:val="right" w:pos="9026" w:leader="dot"/>
            </w:tabs>
            <w:rPr/>
          </w:pPr>
          <w:hyperlink w:anchor="__RefHeading___Toc3696795_3650668749">
            <w:r>
              <w:rPr>
                <w:webHidden/>
                <w:rStyle w:val="IndexLink"/>
              </w:rPr>
              <w:t>۴۵</w:t>
            </w:r>
            <w:r>
              <w:rPr>
                <w:rStyle w:val="IndexLink"/>
                <w:rtl w:val="true"/>
              </w:rPr>
              <w:t xml:space="preserve"> پيامبر اكرم </w:t>
            </w:r>
            <w:r>
              <w:rPr>
                <w:rStyle w:val="IndexLink"/>
                <w:rtl w:val="true"/>
              </w:rPr>
              <w:t>(</w:t>
            </w:r>
            <w:r>
              <w:rPr>
                <w:rStyle w:val="IndexLink"/>
                <w:rtl w:val="true"/>
              </w:rPr>
              <w:t>ص</w:t>
            </w:r>
            <w:r>
              <w:rPr>
                <w:rStyle w:val="IndexLink"/>
                <w:rtl w:val="true"/>
              </w:rPr>
              <w:t xml:space="preserve">) </w:t>
            </w:r>
            <w:r>
              <w:rPr>
                <w:rStyle w:val="IndexLink"/>
                <w:rtl w:val="true"/>
              </w:rPr>
              <w:t>و علم غيب</w:t>
            </w:r>
            <w:r>
              <w:rPr>
                <w:rStyle w:val="IndexLink"/>
                <w:rtl w:val="true"/>
              </w:rPr>
              <w:tab/>
            </w:r>
            <w:r>
              <w:rPr>
                <w:rStyle w:val="IndexLink"/>
              </w:rPr>
              <w:t>274</w:t>
            </w:r>
          </w:hyperlink>
        </w:p>
        <w:p>
          <w:pPr>
            <w:pStyle w:val="Contents3"/>
            <w:tabs>
              <w:tab w:val="clear" w:pos="8459"/>
              <w:tab w:val="right" w:pos="9026" w:leader="dot"/>
            </w:tabs>
            <w:rPr/>
          </w:pPr>
          <w:hyperlink w:anchor="__RefHeading___Toc3696797_3650668749">
            <w:r>
              <w:rPr>
                <w:webHidden/>
                <w:rStyle w:val="IndexLink"/>
                <w:rtl w:val="true"/>
              </w:rPr>
              <w:t>اشاره</w:t>
            </w:r>
            <w:r>
              <w:rPr>
                <w:rStyle w:val="IndexLink"/>
                <w:rtl w:val="true"/>
              </w:rPr>
              <w:tab/>
            </w:r>
            <w:r>
              <w:rPr>
                <w:rStyle w:val="IndexLink"/>
              </w:rPr>
              <w:t>274</w:t>
            </w:r>
          </w:hyperlink>
        </w:p>
        <w:p>
          <w:pPr>
            <w:pStyle w:val="Contents3"/>
            <w:tabs>
              <w:tab w:val="clear" w:pos="8459"/>
              <w:tab w:val="right" w:pos="9026" w:leader="dot"/>
            </w:tabs>
            <w:rPr/>
          </w:pPr>
          <w:hyperlink w:anchor="__RefHeading___Toc3696799_3650668749">
            <w:r>
              <w:rPr>
                <w:webHidden/>
                <w:rStyle w:val="IndexLink"/>
                <w:rtl w:val="true"/>
              </w:rPr>
              <w:t>پاسخ</w:t>
            </w:r>
            <w:r>
              <w:rPr>
                <w:rStyle w:val="IndexLink"/>
                <w:rtl w:val="true"/>
              </w:rPr>
              <w:tab/>
            </w:r>
            <w:r>
              <w:rPr>
                <w:rStyle w:val="IndexLink"/>
              </w:rPr>
              <w:t>274</w:t>
            </w:r>
          </w:hyperlink>
        </w:p>
        <w:p>
          <w:pPr>
            <w:pStyle w:val="Contents2"/>
            <w:tabs>
              <w:tab w:val="clear" w:pos="8743"/>
              <w:tab w:val="right" w:pos="9026" w:leader="dot"/>
            </w:tabs>
            <w:rPr/>
          </w:pPr>
          <w:hyperlink w:anchor="__RefHeading___Toc3696801_3650668749">
            <w:r>
              <w:rPr>
                <w:webHidden/>
                <w:rStyle w:val="IndexLink"/>
              </w:rPr>
              <w:t>۴۶</w:t>
            </w:r>
            <w:r>
              <w:rPr>
                <w:rStyle w:val="IndexLink"/>
                <w:rtl w:val="true"/>
              </w:rPr>
              <w:t xml:space="preserve"> كدام دليل كدام فطرت؟ كدام اخلاق؟</w:t>
            </w:r>
            <w:r>
              <w:rPr>
                <w:rStyle w:val="IndexLink"/>
                <w:rtl w:val="true"/>
              </w:rPr>
              <w:tab/>
            </w:r>
            <w:r>
              <w:rPr>
                <w:rStyle w:val="IndexLink"/>
              </w:rPr>
              <w:t>278</w:t>
            </w:r>
          </w:hyperlink>
        </w:p>
        <w:p>
          <w:pPr>
            <w:pStyle w:val="Contents3"/>
            <w:tabs>
              <w:tab w:val="clear" w:pos="8459"/>
              <w:tab w:val="right" w:pos="9026" w:leader="dot"/>
            </w:tabs>
            <w:rPr/>
          </w:pPr>
          <w:hyperlink w:anchor="__RefHeading___Toc3696803_3650668749">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3696805_3650668749">
            <w:r>
              <w:rPr>
                <w:webHidden/>
                <w:rStyle w:val="IndexLink"/>
                <w:rtl w:val="true"/>
              </w:rPr>
              <w:t>پاسخ</w:t>
            </w:r>
            <w:r>
              <w:rPr>
                <w:rStyle w:val="IndexLink"/>
                <w:rtl w:val="true"/>
              </w:rPr>
              <w:tab/>
            </w:r>
            <w:r>
              <w:rPr>
                <w:rStyle w:val="IndexLink"/>
              </w:rPr>
              <w:t>278</w:t>
            </w:r>
          </w:hyperlink>
        </w:p>
        <w:p>
          <w:pPr>
            <w:pStyle w:val="Contents3"/>
            <w:tabs>
              <w:tab w:val="clear" w:pos="8459"/>
              <w:tab w:val="right" w:pos="9026" w:leader="dot"/>
            </w:tabs>
            <w:rPr/>
          </w:pPr>
          <w:hyperlink w:anchor="__RefHeading___Toc3696807_3650668749">
            <w:r>
              <w:rPr>
                <w:webHidden/>
                <w:rStyle w:val="IndexLink"/>
                <w:rtl w:val="true"/>
              </w:rPr>
              <w:t xml:space="preserve">اقرار به ولايت اهل‌بيت </w:t>
            </w:r>
            <w:r>
              <w:rPr>
                <w:rStyle w:val="IndexLink"/>
                <w:rtl w:val="true"/>
              </w:rPr>
              <w:t>(</w:t>
            </w:r>
            <w:r>
              <w:rPr>
                <w:rStyle w:val="IndexLink"/>
                <w:rtl w:val="true"/>
              </w:rPr>
              <w:t>عليهم‌السلام</w:t>
            </w:r>
            <w:r>
              <w:rPr>
                <w:rStyle w:val="IndexLink"/>
                <w:rtl w:val="true"/>
              </w:rPr>
              <w:t xml:space="preserve">) </w:t>
            </w:r>
            <w:r>
              <w:rPr>
                <w:rStyle w:val="IndexLink"/>
                <w:rtl w:val="true"/>
              </w:rPr>
              <w:t>، شرط پذيرش توبه</w:t>
            </w:r>
            <w:r>
              <w:rPr>
                <w:rStyle w:val="IndexLink"/>
                <w:rtl w:val="true"/>
              </w:rPr>
              <w:tab/>
            </w:r>
            <w:r>
              <w:rPr>
                <w:rStyle w:val="IndexLink"/>
              </w:rPr>
              <w:t>280</w:t>
            </w:r>
          </w:hyperlink>
        </w:p>
        <w:p>
          <w:pPr>
            <w:pStyle w:val="Contents2"/>
            <w:tabs>
              <w:tab w:val="clear" w:pos="8743"/>
              <w:tab w:val="right" w:pos="9026" w:leader="dot"/>
            </w:tabs>
            <w:rPr/>
          </w:pPr>
          <w:hyperlink w:anchor="__RefHeading___Toc3696809_3650668749">
            <w:r>
              <w:rPr>
                <w:webHidden/>
                <w:rStyle w:val="IndexLink"/>
              </w:rPr>
              <w:t>۴٧</w:t>
            </w:r>
            <w:r>
              <w:rPr>
                <w:rStyle w:val="IndexLink"/>
                <w:rtl w:val="true"/>
              </w:rPr>
              <w:t xml:space="preserve"> جريان </w:t>
            </w:r>
            <w:r>
              <w:rPr>
                <w:rStyle w:val="IndexLink"/>
                <w:rtl w:val="true"/>
              </w:rPr>
              <w:t>«</w:t>
            </w:r>
            <w:r>
              <w:rPr>
                <w:rStyle w:val="IndexLink"/>
                <w:rtl w:val="true"/>
              </w:rPr>
              <w:t>صلاح كاظمى</w:t>
            </w:r>
            <w:r>
              <w:rPr>
                <w:rStyle w:val="IndexLink"/>
                <w:rtl w:val="true"/>
              </w:rPr>
              <w:t>»</w:t>
              <w:tab/>
            </w:r>
            <w:r>
              <w:rPr>
                <w:rStyle w:val="IndexLink"/>
              </w:rPr>
              <w:t>282</w:t>
            </w:r>
          </w:hyperlink>
        </w:p>
        <w:p>
          <w:pPr>
            <w:pStyle w:val="Contents3"/>
            <w:tabs>
              <w:tab w:val="clear" w:pos="8459"/>
              <w:tab w:val="right" w:pos="9026" w:leader="dot"/>
            </w:tabs>
            <w:rPr/>
          </w:pPr>
          <w:hyperlink w:anchor="__RefHeading___Toc3696811_3650668749">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3696813_3650668749">
            <w:r>
              <w:rPr>
                <w:webHidden/>
                <w:rStyle w:val="IndexLink"/>
                <w:rtl w:val="true"/>
              </w:rPr>
              <w:t>پاسخ</w:t>
            </w:r>
            <w:r>
              <w:rPr>
                <w:rStyle w:val="IndexLink"/>
                <w:rtl w:val="true"/>
              </w:rPr>
              <w:tab/>
            </w:r>
            <w:r>
              <w:rPr>
                <w:rStyle w:val="IndexLink"/>
              </w:rPr>
              <w:t>283</w:t>
            </w:r>
          </w:hyperlink>
        </w:p>
        <w:p>
          <w:pPr>
            <w:pStyle w:val="Contents3"/>
            <w:tabs>
              <w:tab w:val="clear" w:pos="8459"/>
              <w:tab w:val="right" w:pos="9026" w:leader="dot"/>
            </w:tabs>
            <w:rPr/>
          </w:pPr>
          <w:hyperlink w:anchor="__RefHeading___Toc3696815_3650668749">
            <w:r>
              <w:rPr>
                <w:webHidden/>
                <w:rStyle w:val="IndexLink"/>
                <w:rtl w:val="true"/>
              </w:rPr>
              <w:t>الف</w:t>
            </w:r>
            <w:r>
              <w:rPr>
                <w:rStyle w:val="IndexLink"/>
                <w:rtl w:val="true"/>
              </w:rPr>
              <w:t xml:space="preserve">) </w:t>
            </w:r>
            <w:r>
              <w:rPr>
                <w:rStyle w:val="IndexLink"/>
                <w:rtl w:val="true"/>
              </w:rPr>
              <w:t>احساس آرامش از قرائت امام جماعت اهل سنت</w:t>
            </w:r>
            <w:r>
              <w:rPr>
                <w:rStyle w:val="IndexLink"/>
                <w:rtl w:val="true"/>
              </w:rPr>
              <w:tab/>
            </w:r>
            <w:r>
              <w:rPr>
                <w:rStyle w:val="IndexLink"/>
              </w:rPr>
              <w:t>283</w:t>
            </w:r>
          </w:hyperlink>
        </w:p>
        <w:p>
          <w:pPr>
            <w:pStyle w:val="Contents3"/>
            <w:tabs>
              <w:tab w:val="clear" w:pos="8459"/>
              <w:tab w:val="right" w:pos="9026" w:leader="dot"/>
            </w:tabs>
            <w:rPr/>
          </w:pPr>
          <w:hyperlink w:anchor="__RefHeading___Toc3696817_3650668749">
            <w:r>
              <w:rPr>
                <w:webHidden/>
                <w:rStyle w:val="IndexLink"/>
                <w:rtl w:val="true"/>
              </w:rPr>
              <w:t>ب</w:t>
            </w:r>
            <w:r>
              <w:rPr>
                <w:rStyle w:val="IndexLink"/>
                <w:rtl w:val="true"/>
              </w:rPr>
              <w:t xml:space="preserve">) </w:t>
            </w:r>
            <w:r>
              <w:rPr>
                <w:rStyle w:val="IndexLink"/>
                <w:rtl w:val="true"/>
              </w:rPr>
              <w:t>توجه بيشتر اهل سنت به قرآن</w:t>
            </w:r>
            <w:r>
              <w:rPr>
                <w:rStyle w:val="IndexLink"/>
                <w:rtl w:val="true"/>
              </w:rPr>
              <w:tab/>
            </w:r>
            <w:r>
              <w:rPr>
                <w:rStyle w:val="IndexLink"/>
              </w:rPr>
              <w:t>283</w:t>
            </w:r>
          </w:hyperlink>
        </w:p>
        <w:p>
          <w:pPr>
            <w:pStyle w:val="Contents3"/>
            <w:tabs>
              <w:tab w:val="clear" w:pos="8459"/>
              <w:tab w:val="right" w:pos="9026" w:leader="dot"/>
            </w:tabs>
            <w:rPr/>
          </w:pPr>
          <w:hyperlink w:anchor="__RefHeading___Toc3696819_3650668749">
            <w:r>
              <w:rPr>
                <w:webHidden/>
                <w:rStyle w:val="IndexLink"/>
                <w:rtl w:val="true"/>
              </w:rPr>
              <w:t>شتاب شيعه در توجه به قرآن بعد از انقلاب اسلامى</w:t>
            </w:r>
            <w:r>
              <w:rPr>
                <w:rStyle w:val="IndexLink"/>
                <w:rtl w:val="true"/>
              </w:rPr>
              <w:tab/>
            </w:r>
            <w:r>
              <w:rPr>
                <w:rStyle w:val="IndexLink"/>
              </w:rPr>
              <w:t>284</w:t>
            </w:r>
          </w:hyperlink>
        </w:p>
        <w:p>
          <w:pPr>
            <w:pStyle w:val="Contents3"/>
            <w:tabs>
              <w:tab w:val="clear" w:pos="8459"/>
              <w:tab w:val="right" w:pos="9026" w:leader="dot"/>
            </w:tabs>
            <w:rPr/>
          </w:pPr>
          <w:hyperlink w:anchor="__RefHeading___Toc3696821_3650668749">
            <w:r>
              <w:rPr>
                <w:webHidden/>
                <w:rStyle w:val="IndexLink"/>
                <w:rtl w:val="true"/>
              </w:rPr>
              <w:t>شيعه و تحريف قرآن</w:t>
            </w:r>
            <w:r>
              <w:rPr>
                <w:rStyle w:val="IndexLink"/>
                <w:rtl w:val="true"/>
              </w:rPr>
              <w:tab/>
            </w:r>
            <w:r>
              <w:rPr>
                <w:rStyle w:val="IndexLink"/>
              </w:rPr>
              <w:t>286</w:t>
            </w:r>
          </w:hyperlink>
        </w:p>
        <w:p>
          <w:pPr>
            <w:pStyle w:val="Contents3"/>
            <w:tabs>
              <w:tab w:val="clear" w:pos="8459"/>
              <w:tab w:val="right" w:pos="9026" w:leader="dot"/>
            </w:tabs>
            <w:rPr/>
          </w:pPr>
          <w:hyperlink w:anchor="__RefHeading___Toc3696823_3650668749">
            <w:r>
              <w:rPr>
                <w:webHidden/>
                <w:rStyle w:val="IndexLink"/>
                <w:rtl w:val="true"/>
              </w:rPr>
              <w:t>روايات اهل سنت در تحريف قرآن</w:t>
            </w:r>
            <w:r>
              <w:rPr>
                <w:rStyle w:val="IndexLink"/>
                <w:rtl w:val="true"/>
              </w:rPr>
              <w:tab/>
            </w:r>
            <w:r>
              <w:rPr>
                <w:rStyle w:val="IndexLink"/>
              </w:rPr>
              <w:t>287</w:t>
            </w:r>
          </w:hyperlink>
        </w:p>
        <w:p>
          <w:pPr>
            <w:pStyle w:val="Contents3"/>
            <w:tabs>
              <w:tab w:val="clear" w:pos="8459"/>
              <w:tab w:val="right" w:pos="9026" w:leader="dot"/>
            </w:tabs>
            <w:rPr/>
          </w:pPr>
          <w:hyperlink w:anchor="__RefHeading___Toc3696825_3650668749">
            <w:r>
              <w:rPr>
                <w:webHidden/>
                <w:rStyle w:val="IndexLink"/>
                <w:rtl w:val="true"/>
              </w:rPr>
              <w:t>تحريف نيافتن قرآن و مسئله ضروريات دين</w:t>
            </w:r>
            <w:r>
              <w:rPr>
                <w:rStyle w:val="IndexLink"/>
                <w:rtl w:val="true"/>
              </w:rPr>
              <w:tab/>
            </w:r>
            <w:r>
              <w:rPr>
                <w:rStyle w:val="IndexLink"/>
              </w:rPr>
              <w:t>292</w:t>
            </w:r>
          </w:hyperlink>
        </w:p>
        <w:p>
          <w:pPr>
            <w:pStyle w:val="Contents2"/>
            <w:tabs>
              <w:tab w:val="clear" w:pos="8743"/>
              <w:tab w:val="right" w:pos="9026" w:leader="dot"/>
            </w:tabs>
            <w:rPr/>
          </w:pPr>
          <w:hyperlink w:anchor="__RefHeading___Toc3696827_3650668749">
            <w:r>
              <w:rPr>
                <w:webHidden/>
                <w:rStyle w:val="IndexLink"/>
              </w:rPr>
              <w:t>۴٨</w:t>
            </w:r>
            <w:r>
              <w:rPr>
                <w:rStyle w:val="IndexLink"/>
                <w:rtl w:val="true"/>
              </w:rPr>
              <w:t xml:space="preserve"> سنى شدن سبزى‌فروش ساده‌لوح منامه</w:t>
            </w:r>
            <w:r>
              <w:rPr>
                <w:rStyle w:val="IndexLink"/>
                <w:rtl w:val="true"/>
              </w:rPr>
              <w:tab/>
            </w:r>
            <w:r>
              <w:rPr>
                <w:rStyle w:val="IndexLink"/>
              </w:rPr>
              <w:t>294</w:t>
            </w:r>
          </w:hyperlink>
        </w:p>
        <w:p>
          <w:pPr>
            <w:pStyle w:val="Contents3"/>
            <w:tabs>
              <w:tab w:val="clear" w:pos="8459"/>
              <w:tab w:val="right" w:pos="9026" w:leader="dot"/>
            </w:tabs>
            <w:rPr/>
          </w:pPr>
          <w:hyperlink w:anchor="__RefHeading___Toc3696829_3650668749">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3696831_3650668749">
            <w:r>
              <w:rPr>
                <w:webHidden/>
                <w:rStyle w:val="IndexLink"/>
                <w:rtl w:val="true"/>
              </w:rPr>
              <w:t>پاسخ</w:t>
            </w:r>
            <w:r>
              <w:rPr>
                <w:rStyle w:val="IndexLink"/>
                <w:rtl w:val="true"/>
              </w:rPr>
              <w:tab/>
            </w:r>
            <w:r>
              <w:rPr>
                <w:rStyle w:val="IndexLink"/>
              </w:rPr>
              <w:t>294</w:t>
            </w:r>
          </w:hyperlink>
        </w:p>
        <w:p>
          <w:pPr>
            <w:pStyle w:val="Contents3"/>
            <w:tabs>
              <w:tab w:val="clear" w:pos="8459"/>
              <w:tab w:val="right" w:pos="9026" w:leader="dot"/>
            </w:tabs>
            <w:rPr/>
          </w:pPr>
          <w:hyperlink w:anchor="__RefHeading___Toc3696833_3650668749">
            <w:r>
              <w:rPr>
                <w:webHidden/>
                <w:rStyle w:val="IndexLink"/>
                <w:rtl w:val="true"/>
              </w:rPr>
              <w:t>شيعه و عايشه ام‌المؤمنين</w:t>
            </w:r>
            <w:r>
              <w:rPr>
                <w:rStyle w:val="IndexLink"/>
                <w:rtl w:val="true"/>
              </w:rPr>
              <w:tab/>
            </w:r>
            <w:r>
              <w:rPr>
                <w:rStyle w:val="IndexLink"/>
              </w:rPr>
              <w:t>294</w:t>
            </w:r>
          </w:hyperlink>
        </w:p>
        <w:p>
          <w:pPr>
            <w:pStyle w:val="Contents3"/>
            <w:tabs>
              <w:tab w:val="clear" w:pos="8459"/>
              <w:tab w:val="right" w:pos="9026" w:leader="dot"/>
            </w:tabs>
            <w:rPr/>
          </w:pPr>
          <w:hyperlink w:anchor="__RefHeading___Toc3696835_3650668749">
            <w:r>
              <w:rPr>
                <w:webHidden/>
                <w:rStyle w:val="IndexLink"/>
                <w:rtl w:val="true"/>
              </w:rPr>
              <w:t>عايشه ام‌المؤمنين و اجتهاد در شورش</w:t>
            </w:r>
            <w:r>
              <w:rPr>
                <w:rStyle w:val="IndexLink"/>
                <w:rtl w:val="true"/>
              </w:rPr>
              <w:tab/>
            </w:r>
            <w:r>
              <w:rPr>
                <w:rStyle w:val="IndexLink"/>
              </w:rPr>
              <w:t>295</w:t>
            </w:r>
          </w:hyperlink>
        </w:p>
        <w:p>
          <w:pPr>
            <w:pStyle w:val="Contents3"/>
            <w:tabs>
              <w:tab w:val="clear" w:pos="8459"/>
              <w:tab w:val="right" w:pos="9026" w:leader="dot"/>
            </w:tabs>
            <w:rPr/>
          </w:pPr>
          <w:hyperlink w:anchor="__RefHeading___Toc3696837_3650668749">
            <w:r>
              <w:rPr>
                <w:webHidden/>
                <w:rStyle w:val="IndexLink"/>
                <w:rtl w:val="true"/>
              </w:rPr>
              <w:t>عايشه ام‌المؤمنين و ام‌سلمه ام‌المؤمنين</w:t>
            </w:r>
            <w:r>
              <w:rPr>
                <w:rStyle w:val="IndexLink"/>
                <w:rtl w:val="true"/>
              </w:rPr>
              <w:tab/>
            </w:r>
            <w:r>
              <w:rPr>
                <w:rStyle w:val="IndexLink"/>
              </w:rPr>
              <w:t>296</w:t>
            </w:r>
          </w:hyperlink>
        </w:p>
        <w:p>
          <w:pPr>
            <w:pStyle w:val="Contents3"/>
            <w:tabs>
              <w:tab w:val="clear" w:pos="8459"/>
              <w:tab w:val="right" w:pos="9026" w:leader="dot"/>
            </w:tabs>
            <w:rPr/>
          </w:pPr>
          <w:hyperlink w:anchor="__RefHeading___Toc3696839_3650668749">
            <w:r>
              <w:rPr>
                <w:webHidden/>
                <w:rStyle w:val="IndexLink"/>
                <w:rtl w:val="true"/>
              </w:rPr>
              <w:t>عايشه ام‌المؤمنين و ام‌حبيبه ام‌المؤمنين</w:t>
            </w:r>
            <w:r>
              <w:rPr>
                <w:rStyle w:val="IndexLink"/>
                <w:rtl w:val="true"/>
              </w:rPr>
              <w:tab/>
            </w:r>
            <w:r>
              <w:rPr>
                <w:rStyle w:val="IndexLink"/>
              </w:rPr>
              <w:t>297</w:t>
            </w:r>
          </w:hyperlink>
        </w:p>
        <w:p>
          <w:pPr>
            <w:pStyle w:val="Contents3"/>
            <w:tabs>
              <w:tab w:val="clear" w:pos="8459"/>
              <w:tab w:val="right" w:pos="9026" w:leader="dot"/>
            </w:tabs>
            <w:rPr/>
          </w:pPr>
          <w:hyperlink w:anchor="__RefHeading___Toc3696841_3650668749">
            <w:r>
              <w:rPr>
                <w:webHidden/>
                <w:rStyle w:val="IndexLink"/>
                <w:rtl w:val="true"/>
              </w:rPr>
              <w:t>عايشه ام‌المؤمنين و جارية بن قدامه</w:t>
            </w:r>
            <w:r>
              <w:rPr>
                <w:rStyle w:val="IndexLink"/>
                <w:rtl w:val="true"/>
              </w:rPr>
              <w:tab/>
            </w:r>
            <w:r>
              <w:rPr>
                <w:rStyle w:val="IndexLink"/>
              </w:rPr>
              <w:t>298</w:t>
            </w:r>
          </w:hyperlink>
        </w:p>
        <w:p>
          <w:pPr>
            <w:pStyle w:val="Contents3"/>
            <w:tabs>
              <w:tab w:val="clear" w:pos="8459"/>
              <w:tab w:val="right" w:pos="9026" w:leader="dot"/>
            </w:tabs>
            <w:rPr/>
          </w:pPr>
          <w:hyperlink w:anchor="__RefHeading___Toc3696843_3650668749">
            <w:r>
              <w:rPr>
                <w:webHidden/>
                <w:rStyle w:val="IndexLink"/>
                <w:rtl w:val="true"/>
              </w:rPr>
              <w:t xml:space="preserve">عايشه ام‌المؤمنين و على بن ابى‌طالب </w:t>
            </w:r>
            <w:r>
              <w:rPr>
                <w:rStyle w:val="IndexLink"/>
                <w:rtl w:val="true"/>
              </w:rPr>
              <w:t>(</w:t>
            </w:r>
            <w:r>
              <w:rPr>
                <w:rStyle w:val="IndexLink"/>
                <w:rtl w:val="true"/>
              </w:rPr>
              <w:t>ع</w:t>
            </w:r>
            <w:r>
              <w:rPr>
                <w:rStyle w:val="IndexLink"/>
                <w:rtl w:val="true"/>
              </w:rPr>
              <w:t xml:space="preserve">) </w:t>
            </w:r>
            <w:r>
              <w:rPr>
                <w:rStyle w:val="IndexLink"/>
                <w:rtl w:val="true"/>
              </w:rPr>
              <w:t>خليفه مسلمانان</w:t>
            </w:r>
            <w:r>
              <w:rPr>
                <w:rStyle w:val="IndexLink"/>
                <w:rtl w:val="true"/>
              </w:rPr>
              <w:tab/>
            </w:r>
            <w:r>
              <w:rPr>
                <w:rStyle w:val="IndexLink"/>
              </w:rPr>
              <w:t>298</w:t>
            </w:r>
          </w:hyperlink>
        </w:p>
        <w:p>
          <w:pPr>
            <w:pStyle w:val="Contents3"/>
            <w:tabs>
              <w:tab w:val="clear" w:pos="8459"/>
              <w:tab w:val="right" w:pos="9026" w:leader="dot"/>
            </w:tabs>
            <w:rPr/>
          </w:pPr>
          <w:hyperlink w:anchor="__RefHeading___Toc3696845_3650668749">
            <w:r>
              <w:rPr>
                <w:webHidden/>
                <w:rStyle w:val="IndexLink"/>
                <w:rtl w:val="true"/>
              </w:rPr>
              <w:t>عايشه ام‌المؤمنين و عثمان خليفه مسلمانان</w:t>
            </w:r>
            <w:r>
              <w:rPr>
                <w:rStyle w:val="IndexLink"/>
                <w:rtl w:val="true"/>
              </w:rPr>
              <w:tab/>
            </w:r>
            <w:r>
              <w:rPr>
                <w:rStyle w:val="IndexLink"/>
              </w:rPr>
              <w:t>298</w:t>
            </w:r>
          </w:hyperlink>
        </w:p>
        <w:p>
          <w:pPr>
            <w:pStyle w:val="Contents3"/>
            <w:tabs>
              <w:tab w:val="clear" w:pos="8459"/>
              <w:tab w:val="right" w:pos="9026" w:leader="dot"/>
            </w:tabs>
            <w:rPr/>
          </w:pPr>
          <w:hyperlink w:anchor="__RefHeading___Toc3696847_3650668749">
            <w:r>
              <w:rPr>
                <w:webHidden/>
                <w:rStyle w:val="IndexLink"/>
                <w:rtl w:val="true"/>
              </w:rPr>
              <w:t>كشتار وحشيانه مردم بصره به فرمان عايشه ام‌المؤمنين</w:t>
            </w:r>
            <w:r>
              <w:rPr>
                <w:rStyle w:val="IndexLink"/>
                <w:rtl w:val="true"/>
              </w:rPr>
              <w:tab/>
            </w:r>
            <w:r>
              <w:rPr>
                <w:rStyle w:val="IndexLink"/>
              </w:rPr>
              <w:t>299</w:t>
            </w:r>
          </w:hyperlink>
        </w:p>
        <w:p>
          <w:pPr>
            <w:pStyle w:val="Contents2"/>
            <w:tabs>
              <w:tab w:val="clear" w:pos="8743"/>
              <w:tab w:val="right" w:pos="9026" w:leader="dot"/>
            </w:tabs>
            <w:rPr/>
          </w:pPr>
          <w:hyperlink w:anchor="__RefHeading___Toc3696849_3650668749">
            <w:r>
              <w:rPr>
                <w:webHidden/>
                <w:rStyle w:val="IndexLink"/>
              </w:rPr>
              <w:t>۴٩</w:t>
            </w:r>
            <w:r>
              <w:rPr>
                <w:rStyle w:val="IndexLink"/>
                <w:rtl w:val="true"/>
              </w:rPr>
              <w:t xml:space="preserve"> همسران پيامبر و آيه تخيير</w:t>
            </w:r>
            <w:r>
              <w:rPr>
                <w:rStyle w:val="IndexLink"/>
                <w:rtl w:val="true"/>
              </w:rPr>
              <w:tab/>
            </w:r>
            <w:r>
              <w:rPr>
                <w:rStyle w:val="IndexLink"/>
              </w:rPr>
              <w:t>302</w:t>
            </w:r>
          </w:hyperlink>
        </w:p>
        <w:p>
          <w:pPr>
            <w:pStyle w:val="Contents3"/>
            <w:tabs>
              <w:tab w:val="clear" w:pos="8459"/>
              <w:tab w:val="right" w:pos="9026" w:leader="dot"/>
            </w:tabs>
            <w:rPr/>
          </w:pPr>
          <w:hyperlink w:anchor="__RefHeading___Toc3696851_3650668749">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3696853_3650668749">
            <w:r>
              <w:rPr>
                <w:webHidden/>
                <w:rStyle w:val="IndexLink"/>
                <w:rtl w:val="true"/>
              </w:rPr>
              <w:t>پاسخ</w:t>
            </w:r>
            <w:r>
              <w:rPr>
                <w:rStyle w:val="IndexLink"/>
                <w:rtl w:val="true"/>
              </w:rPr>
              <w:tab/>
            </w:r>
            <w:r>
              <w:rPr>
                <w:rStyle w:val="IndexLink"/>
              </w:rPr>
              <w:t>303</w:t>
            </w:r>
          </w:hyperlink>
        </w:p>
        <w:p>
          <w:pPr>
            <w:pStyle w:val="Contents3"/>
            <w:tabs>
              <w:tab w:val="clear" w:pos="8459"/>
              <w:tab w:val="right" w:pos="9026" w:leader="dot"/>
            </w:tabs>
            <w:rPr/>
          </w:pPr>
          <w:hyperlink w:anchor="__RefHeading___Toc3696855_3650668749">
            <w:r>
              <w:rPr>
                <w:webHidden/>
                <w:rStyle w:val="IndexLink"/>
                <w:rtl w:val="true"/>
              </w:rPr>
              <w:t>شمول آيه مذكور</w:t>
            </w:r>
            <w:r>
              <w:rPr>
                <w:rStyle w:val="IndexLink"/>
                <w:rtl w:val="true"/>
              </w:rPr>
              <w:tab/>
            </w:r>
            <w:r>
              <w:rPr>
                <w:rStyle w:val="IndexLink"/>
              </w:rPr>
              <w:t>303</w:t>
            </w:r>
          </w:hyperlink>
        </w:p>
        <w:p>
          <w:pPr>
            <w:pStyle w:val="Contents2"/>
            <w:tabs>
              <w:tab w:val="clear" w:pos="8743"/>
              <w:tab w:val="right" w:pos="9026" w:leader="dot"/>
            </w:tabs>
            <w:rPr/>
          </w:pPr>
          <w:hyperlink w:anchor="__RefHeading___Toc3696857_3650668749">
            <w:r>
              <w:rPr>
                <w:webHidden/>
                <w:rStyle w:val="IndexLink"/>
              </w:rPr>
              <w:t>۵٠</w:t>
            </w:r>
            <w:r>
              <w:rPr>
                <w:rStyle w:val="IndexLink"/>
                <w:rtl w:val="true"/>
              </w:rPr>
              <w:t xml:space="preserve"> ازدواج پيامبر </w:t>
            </w:r>
            <w:r>
              <w:rPr>
                <w:rStyle w:val="IndexLink"/>
                <w:rtl w:val="true"/>
              </w:rPr>
              <w:t>(</w:t>
            </w:r>
            <w:r>
              <w:rPr>
                <w:rStyle w:val="IndexLink"/>
                <w:rtl w:val="true"/>
              </w:rPr>
              <w:t>ص</w:t>
            </w:r>
            <w:r>
              <w:rPr>
                <w:rStyle w:val="IndexLink"/>
                <w:rtl w:val="true"/>
              </w:rPr>
              <w:t xml:space="preserve">) </w:t>
            </w:r>
            <w:r>
              <w:rPr>
                <w:rStyle w:val="IndexLink"/>
                <w:rtl w:val="true"/>
              </w:rPr>
              <w:t>با عايشه</w:t>
            </w:r>
            <w:r>
              <w:rPr>
                <w:rStyle w:val="IndexLink"/>
                <w:rtl w:val="true"/>
              </w:rPr>
              <w:tab/>
            </w:r>
            <w:r>
              <w:rPr>
                <w:rStyle w:val="IndexLink"/>
              </w:rPr>
              <w:t>306</w:t>
            </w:r>
          </w:hyperlink>
        </w:p>
        <w:p>
          <w:pPr>
            <w:pStyle w:val="Contents3"/>
            <w:tabs>
              <w:tab w:val="clear" w:pos="8459"/>
              <w:tab w:val="right" w:pos="9026" w:leader="dot"/>
            </w:tabs>
            <w:rPr/>
          </w:pPr>
          <w:hyperlink w:anchor="__RefHeading___Toc3696859_3650668749">
            <w:r>
              <w:rPr>
                <w:webHidden/>
                <w:rStyle w:val="IndexLink"/>
                <w:rtl w:val="true"/>
              </w:rPr>
              <w:t>اشاره</w:t>
            </w:r>
            <w:r>
              <w:rPr>
                <w:rStyle w:val="IndexLink"/>
                <w:rtl w:val="true"/>
              </w:rPr>
              <w:tab/>
            </w:r>
            <w:r>
              <w:rPr>
                <w:rStyle w:val="IndexLink"/>
              </w:rPr>
              <w:t>306</w:t>
            </w:r>
          </w:hyperlink>
        </w:p>
        <w:p>
          <w:pPr>
            <w:pStyle w:val="Contents3"/>
            <w:tabs>
              <w:tab w:val="clear" w:pos="8459"/>
              <w:tab w:val="right" w:pos="9026" w:leader="dot"/>
            </w:tabs>
            <w:rPr/>
          </w:pPr>
          <w:hyperlink w:anchor="__RefHeading___Toc3696861_3650668749">
            <w:r>
              <w:rPr>
                <w:webHidden/>
                <w:rStyle w:val="IndexLink"/>
                <w:rtl w:val="true"/>
              </w:rPr>
              <w:t>پاسخ</w:t>
            </w:r>
            <w:r>
              <w:rPr>
                <w:rStyle w:val="IndexLink"/>
                <w:rtl w:val="true"/>
              </w:rPr>
              <w:tab/>
            </w:r>
            <w:r>
              <w:rPr>
                <w:rStyle w:val="IndexLink"/>
              </w:rPr>
              <w:t>306</w:t>
            </w:r>
          </w:hyperlink>
        </w:p>
        <w:p>
          <w:pPr>
            <w:pStyle w:val="Contents3"/>
            <w:tabs>
              <w:tab w:val="clear" w:pos="8459"/>
              <w:tab w:val="right" w:pos="9026" w:leader="dot"/>
            </w:tabs>
            <w:rPr/>
          </w:pPr>
          <w:hyperlink w:anchor="__RefHeading___Toc3696863_3650668749">
            <w:r>
              <w:rPr>
                <w:webHidden/>
                <w:rStyle w:val="IndexLink"/>
                <w:rtl w:val="true"/>
              </w:rPr>
              <w:t>امتحان، سنتى الهى</w:t>
            </w:r>
            <w:r>
              <w:rPr>
                <w:rStyle w:val="IndexLink"/>
                <w:rtl w:val="true"/>
              </w:rPr>
              <w:tab/>
            </w:r>
            <w:r>
              <w:rPr>
                <w:rStyle w:val="IndexLink"/>
              </w:rPr>
              <w:t>307</w:t>
            </w:r>
          </w:hyperlink>
        </w:p>
        <w:p>
          <w:pPr>
            <w:pStyle w:val="Contents3"/>
            <w:tabs>
              <w:tab w:val="clear" w:pos="8459"/>
              <w:tab w:val="right" w:pos="9026" w:leader="dot"/>
            </w:tabs>
            <w:rPr/>
          </w:pPr>
          <w:hyperlink w:anchor="__RefHeading___Toc3696865_3650668749">
            <w:r>
              <w:rPr>
                <w:webHidden/>
                <w:rStyle w:val="IndexLink"/>
                <w:rtl w:val="true"/>
              </w:rPr>
              <w:t>انحراف سبزى‌فروش شيعه و هدايت عالم بزرگ اهل سنت</w:t>
            </w:r>
            <w:r>
              <w:rPr>
                <w:rStyle w:val="IndexLink"/>
                <w:rtl w:val="true"/>
              </w:rPr>
              <w:tab/>
            </w:r>
            <w:r>
              <w:rPr>
                <w:rStyle w:val="IndexLink"/>
              </w:rPr>
              <w:t>310</w:t>
            </w:r>
          </w:hyperlink>
        </w:p>
        <w:p>
          <w:pPr>
            <w:pStyle w:val="Contents2"/>
            <w:tabs>
              <w:tab w:val="clear" w:pos="8743"/>
              <w:tab w:val="right" w:pos="9026" w:leader="dot"/>
            </w:tabs>
            <w:rPr/>
          </w:pPr>
          <w:hyperlink w:anchor="__RefHeading___Toc3696867_3650668749">
            <w:r>
              <w:rPr>
                <w:webHidden/>
                <w:rStyle w:val="IndexLink"/>
                <w:rtl w:val="true"/>
              </w:rPr>
              <w:t>كتابنامه</w:t>
            </w:r>
            <w:r>
              <w:rPr>
                <w:rStyle w:val="IndexLink"/>
                <w:rtl w:val="true"/>
              </w:rPr>
              <w:tab/>
            </w:r>
            <w:r>
              <w:rPr>
                <w:rStyle w:val="IndexLink"/>
              </w:rPr>
              <w:t>313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1_8313"/>
      <w:bookmarkStart w:id="1" w:name="pg1971_8313"/>
      <w:bookmarkEnd w:id="1"/>
    </w:p>
    <w:p>
      <w:pPr>
        <w:pStyle w:val="Heading2"/>
        <w:numPr>
          <w:ilvl w:val="1"/>
          <w:numId w:val="1"/>
        </w:numPr>
        <w:rPr/>
      </w:pPr>
      <w:bookmarkStart w:id="2" w:name="pg1971_8313"/>
      <w:bookmarkStart w:id="3" w:name="__RefHeading___Toc3696349_3650668749"/>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ن‍ج‍ف‍ي‌ ي‍زدي‌، سيدم‍ح‍م‍د،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كتاب آن‌گاه كه صحابه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سيدمحمد نجفي‌يزدي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‫‭978-964-540-376-6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 همچنين به صورت زيرنويس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قصيبي،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ن۳۵ن۹ ۱۳۹۱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۲۷۴۶۷۸۹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96351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71_8327"/>
      <w:bookmarkStart w:id="8" w:name="pg1971_8327"/>
      <w:bookmarkEnd w:id="8"/>
    </w:p>
    <w:p>
      <w:pPr>
        <w:pStyle w:val="Heading2"/>
        <w:numPr>
          <w:ilvl w:val="1"/>
          <w:numId w:val="1"/>
        </w:numPr>
        <w:rPr/>
      </w:pPr>
      <w:bookmarkStart w:id="9" w:name="pg1971_8327"/>
      <w:bookmarkStart w:id="10" w:name="__RefHeading___Toc3696353_3650668749"/>
      <w:bookmarkStart w:id="11" w:name="_Toc3"/>
      <w:bookmarkEnd w:id="9"/>
      <w:bookmarkEnd w:id="10"/>
      <w:r>
        <w:rPr>
          <w:rtl w:val="true"/>
        </w:rPr>
        <w:t>مقدمه</w:t>
      </w:r>
      <w:bookmarkEnd w:id="11"/>
    </w:p>
    <w:p>
      <w:pPr>
        <w:pStyle w:val="BookText"/>
        <w:rPr/>
      </w:pPr>
      <w:r>
        <w:rPr>
          <w:rFonts w:ascii="Amiri" w:hAnsi="Amiri" w:eastAsia="Amiri" w:cs="Amiri"/>
          <w:color w:val="111111"/>
          <w:sz w:val="28"/>
          <w:sz w:val="28"/>
          <w:szCs w:val="28"/>
          <w:rtl w:val="true"/>
          <w:lang w:bidi="ar-SA"/>
        </w:rPr>
        <w:t>الحمد لله رب‌العالمين و صلّى الله على محمد و آله الطاهرين و لعنةالله على اعدائهم اجمعين</w:t>
      </w:r>
    </w:p>
    <w:p>
      <w:pPr>
        <w:pStyle w:val="BookText"/>
        <w:rPr/>
      </w:pPr>
      <w:r>
        <w:rPr>
          <w:rFonts w:ascii="IRNazanin" w:hAnsi="IRNazanin" w:eastAsia="IRNazanin"/>
          <w:color w:val="111111"/>
          <w:sz w:val="28"/>
          <w:sz w:val="28"/>
          <w:szCs w:val="28"/>
          <w:rtl w:val="true"/>
          <w:lang w:bidi="fa-IR"/>
        </w:rPr>
        <w:t>بعد از پيروزى شكوهمند انقلاب اسلامى ايران و تحول عظيم فكرى و فرهنگى در جهان، مكتب اسلام، مكتبى نجات‌بخش در دنياى مادى مطرح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انتظار مى‌رفت، دشمنان اسلام براى نابودى اين انقلاب و مهار نمودن نفوذ آن، به انواع توطئه‌ها پرداختند؛ زيرا انقلاب اسلامى ايران به همه مسلمانان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بخش عمده نيروهاى انسانى، اقتصادى و فرهنگى جهان را تشكيل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نويد پيروزى و سرفرازى اسلام را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بعضى از گروه‌هاى مسلمان كه سران آنها از ديرباز با دشمنان اسلام همكارى مى‌كردند، فريب نقشه و توطئه‌هاى سرانشان را خورده، لبه تيز فعاليت خود را به سمت انقلاب اسلامى ايران و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رفته‌اند و با عنوان‌هايى چون وهابيت و بهائيت، همه امكانات وسيع خود را در اين راه به كار گرفته‌اند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آنجا كه مكتب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 تعقل و استدلال است و در طول تاريخ در رويارويى با تهاجم‌هاى بسيار سخت، سربلند بيرون آمده </w:t>
      </w:r>
    </w:p>
    <w:p>
      <w:pPr>
        <w:pStyle w:val="BookText"/>
        <w:rPr/>
      </w:pPr>
      <w:r>
        <w:rPr>
          <w:rFonts w:ascii="IRNazanin" w:hAnsi="IRNazanin" w:eastAsia="IRNazanin"/>
          <w:color w:val="111111"/>
          <w:sz w:val="28"/>
          <w:sz w:val="28"/>
          <w:szCs w:val="28"/>
          <w:rtl w:val="true"/>
          <w:lang w:bidi="fa-IR"/>
        </w:rPr>
        <w:t xml:space="preserve">است، نه تنها با تهاجم‌هاى نظامى، اقتصادى و فرهنگى، از عقايد خويش عقب‌نشينى نمى‌كند، بلكه از مواجهه با شبهات اعتقادى و فرهنگى استقبال مى‌كند؛ زيرا اين امر سبب بيدارى جامعه علمى شيعيان، توجه نمودن به دشمنان، دقت بيشتر در چگونگى نشر مطالب، توجه نمودن به برخى ابهام‌ها يا نقاط ضعف احتمالى، تحريك براى تحليل مسائل و سرانجام استوارى بيشتر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اين تهاجم‌هاى فرهنگى به حكم طبيعت خود، مهاجم را با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مى‌كند و او در اين تعامل يا رقابت علمى، به حقايق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موهوم بودن بسيارى از شبهات پى خواهد برد و تحت تأثير حقانيت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تعامل و تهاجم علمى است كه دو طرف را به مواضع يكديگر نزديك مى‌كند؛ همچنان‌كه جنگ‌هاى صليبى باعث آشنايى جهان اسلام از غرب و نفوذ اسلام در جهان غرب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منظور و با پيشنهاد برخى از استادان بزرگوار، بنا شد به شبهات مطرح شده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صحابه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ابوخليفه على بن محمد قصيبى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پاسخى مناسب داده شود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اين كتاب متوجه شدم كه اين كتاب از نظر علمى پايين‌تر از آن است كه به آن پاسخ داده شود؛ زيرا انباشته از مطالبى ناهماهنگ، بى‌ارتباط، احساسى و موهون است؛ گويى نويسنده هدفى جز نوشتن ضد شيعه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داستان‌هاى غير مستند و اعتقادات نادرست مطرح شده، مربوط به برخى عوام و برخوردهاى جاهلانه و عاطفى باشد، به‌گونه‌اى كه خواننده كتاب با اندكى دقت، </w:t>
      </w:r>
    </w:p>
    <w:p>
      <w:pPr>
        <w:pStyle w:val="BookText"/>
        <w:rPr/>
      </w:pPr>
      <w:r>
        <w:rPr>
          <w:rFonts w:ascii="IRNazanin" w:hAnsi="IRNazanin" w:eastAsia="IRNazanin"/>
          <w:color w:val="111111"/>
          <w:sz w:val="28"/>
          <w:sz w:val="28"/>
          <w:szCs w:val="28"/>
          <w:rtl w:val="true"/>
          <w:lang w:bidi="fa-IR"/>
        </w:rPr>
        <w:t>متوجه غير علمى بودن مطالب كتاب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بعضى از شبهات به شكل علمى مطرح شده، ولى بيشتر مطالب آن، غير علمى و عوام‌فريبانه است؛ به‌گونه‌اى كه برخورد علمى با آن منطقى نيست؛ ولى از آنجا كه كتاب مذكور در سطح وسيعى ميان اقشار گوناگون مردم، از جمله دانشگاهيان توزيع شده است و احتمال تأثير منفى آن مى‌رود و همچنين فرصت مناسبى براى طرح برخى حقايق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كردن ضعف ديدگاه‌هاى دشمنان است، در حد نياز پاسخ 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به </w:t>
      </w:r>
      <w:r>
        <w:rPr>
          <w:rFonts w:ascii="IRNazanin" w:hAnsi="IRNazanin" w:eastAsia="IRNazanin"/>
          <w:color w:val="111111"/>
          <w:sz w:val="28"/>
          <w:sz w:val="28"/>
          <w:szCs w:val="28"/>
          <w:lang w:bidi="fa-IR"/>
        </w:rPr>
        <w:t>۵٠</w:t>
      </w:r>
      <w:r>
        <w:rPr>
          <w:rFonts w:ascii="IRNazanin" w:hAnsi="IRNazanin" w:eastAsia="IRNazanin"/>
          <w:color w:val="111111"/>
          <w:sz w:val="28"/>
          <w:sz w:val="28"/>
          <w:szCs w:val="28"/>
          <w:rtl w:val="true"/>
          <w:lang w:bidi="fa-IR"/>
        </w:rPr>
        <w:t xml:space="preserve"> شبهه، اتهام و ادعاى نويسنده كتاب مذكور پاسخ داده شده است؛ شبهاتى همانند عزادارى، عبادت و شرك، ارتداد برخى صحابه، عدالت صحابه، ازدواج موقت، امامت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علم ائمه به جانشين خويش به‌ويژه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اجراى احكام جديد در زمان آن حضرت، علم غيب، تهاجم به خانه اميرالمؤمنين و امور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بررسى مطالب در كتاب حاضر به اين صورت است كه ابتدا، شبهه يا ادعا، بيان مى‌شود و آن‌گاه تحليل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اميد آنكه اين نوشتار براى هدايت و آگاهى عموم مسلمانان، مفيد بوده و در پيشگاه الهى مقبول افتد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محمد نجفى يزدى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71_8331"/>
      <w:bookmarkStart w:id="13" w:name="pg1971_8331"/>
      <w:bookmarkEnd w:id="13"/>
    </w:p>
    <w:p>
      <w:pPr>
        <w:pStyle w:val="Heading2"/>
        <w:numPr>
          <w:ilvl w:val="1"/>
          <w:numId w:val="1"/>
        </w:numPr>
        <w:rPr/>
      </w:pPr>
      <w:bookmarkStart w:id="14" w:name="pg1971_8331"/>
      <w:bookmarkStart w:id="15" w:name="__RefHeading___Toc3696355_3650668749"/>
      <w:bookmarkStart w:id="16" w:name="_Toc4"/>
      <w:bookmarkEnd w:id="14"/>
      <w:bookmarkEnd w:id="15"/>
      <w:r>
        <w:rPr/>
        <w:t>١</w:t>
      </w:r>
      <w:r>
        <w:rPr>
          <w:rtl w:val="true"/>
        </w:rPr>
        <w:t xml:space="preserve"> عاشورا و فرصت طلبى برخى از افراد ناآگاه</w:t>
      </w:r>
      <w:bookmarkEnd w:id="16"/>
    </w:p>
    <w:p>
      <w:pPr>
        <w:pStyle w:val="Heading3"/>
        <w:numPr>
          <w:ilvl w:val="2"/>
          <w:numId w:val="1"/>
        </w:numPr>
        <w:rPr/>
      </w:pPr>
      <w:bookmarkStart w:id="17" w:name="__RefHeading___Toc3696357_3650668749"/>
      <w:bookmarkStart w:id="18" w:name="_Toc5"/>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كتابش، ضمن بيان خاطرات كودكى خويش و چگونگى علاقه و شركت در مراسم عزادارى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به اين بهانه از مدرسه غيبت مى‌كرده،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بايد بگويم كه بسيارى از جوانان از فرا رسيدن چنين موقعيت‌هايى به شدت خوشحال مى‌شدند؛ زيرا آنها مى‌ديدند كه اين مراسم و مناسبت‌ها، فرصتى طلايى براى دختربازى و چشم‌چرانى است</w:t>
      </w:r>
      <w:r>
        <w:rPr>
          <w:rFonts w:eastAsia="IRNazanin" w:cs="IRNazanin"/>
          <w:color w:val="111111"/>
          <w:sz w:val="28"/>
          <w:szCs w:val="28"/>
          <w:rtl w:val="true"/>
          <w:lang w:bidi="fa-IR"/>
        </w:rPr>
        <w:t>. . . .</w:t>
      </w:r>
    </w:p>
    <w:p>
      <w:pPr>
        <w:pStyle w:val="Heading3"/>
        <w:numPr>
          <w:ilvl w:val="2"/>
          <w:numId w:val="1"/>
        </w:numPr>
        <w:rPr/>
      </w:pPr>
      <w:bookmarkStart w:id="19" w:name="__RefHeading___Toc3696359_3650668749"/>
      <w:bookmarkStart w:id="20" w:name="_Toc6"/>
      <w:bookmarkEnd w:id="19"/>
      <w:r>
        <w:rPr>
          <w:rtl w:val="true"/>
        </w:rPr>
        <w:t>پاسخ</w:t>
      </w:r>
      <w:bookmarkEnd w:id="20"/>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پذيرفتنى نيست؛ زيرا با وجود دسترسى آسان و راحت در برقرارى ارتباط دوستانه نامشروع با نامحرم و چشم‌چرانى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مكان‌ها و زمان‌هاى مختلف، نيازى نيست كه جوانان منتظر چنين فرصت هايى باشند و از وجود اين مجلس‌هاى مقدس براى انجام دادن گناه، اظهار خوشحالى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 شركت‌كنندگان در مراسم‌هاى عزادارى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جوانان تشكيل مى‌دهند؛ جوانانى كه پيش از عاشورا با اخلاص تمام،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براى برگزارى هر چه بهتر و باشكوه‌تر اين مراسم آماده مى‌كنند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جوانانى كه با پوشيدن پيراهن مشكى و شركت در هيئت‌هاى سينه‌زنى و زنجيرزنى و مجالس سخنرانى و روضه‌خوانى، عشق خود را به پيامبر و اهل بيتش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جوانانى كه در حد توان، عزاداران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اطعام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جوانانى كه براى تبرك، از غذايى كه براى پذيرايى عزاداران تهيه شده است، استفاده مى‌كنند؛ بنابراين انصاف نيست كه درباره چنين جوانانى پاك، اين‌گونه قضاوت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مذكور، اشكال علمى نيست، بلكه از عوارض نامطلوب هر حركت اجتماعى و گسترده‌اى است كه در سراسر جهان اتفاق مى‌افتد؛ زيرا وقتى مراسمى به طور گسترده و ميليونى برگزار مى‌گردد، وقوع چنين حوادثى، طبيعى است و هرگز به اهميت و ضرورت آن خدشه وارد نمى‌كند، بلكه ضمن تأكيد بر برگزارى هر چه باشكوه‌تر مراسم، بايد با برنامه‌ريزى دقيق از وقوع اين عوارض پيشگيرى كرد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اتفاقات، ويژه ايام عزادارى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حتى در مكه و مدينه، در ايام برپايى نماز جمعه و اعياد و هر محفل پرجمعيت ديگرى نيز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سبب آنكه ايام حج و به راه افتادن كاروان‌هاى حج در گذشته، فرصت مناسبى براى راهزنان بود و با فرا رسيدن اين ايام، آنها خوشحال مى‌شدند، مى‌توان فريضه حج را مخدوش دانست؟ امروزه نيز فروشندگان فراوانى را در مكه و مدينه مى‌توان يافت كه ايام حج را فرصت مناسبى براى چپاول اموال زائران مى‌دانند و از رسيدن موسم حج خوشحال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اينها به معناى مخدوش بودن اين فريضه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bookmarkStart w:id="21" w:name="pg1971_8333"/>
    </w:p>
    <w:p>
      <w:pPr>
        <w:pStyle w:val="BookText"/>
        <w:rPr/>
      </w:pPr>
      <w:bookmarkEnd w:id="21"/>
      <w:r>
        <w:rPr>
          <w:rFonts w:ascii="IRNazanin" w:hAnsi="IRNazanin" w:eastAsia="IRNazanin"/>
          <w:color w:val="111111"/>
          <w:sz w:val="28"/>
          <w:sz w:val="28"/>
          <w:szCs w:val="28"/>
          <w:rtl w:val="true"/>
          <w:lang w:bidi="fa-IR"/>
        </w:rPr>
        <w:t>چگونه مى‌توان آن همه فوايد و نتايج ارزنده دينى و عزادارى را كه سرشار از دعوت به تقوا، تهذيب نفس و پيروى از عقل و دين است را به سبب اين‌گونه عوارض ناخواسته، ناديده گرفت؟</w:t>
      </w:r>
    </w:p>
    <w:p>
      <w:pPr>
        <w:pStyle w:val="Heading3"/>
        <w:numPr>
          <w:ilvl w:val="2"/>
          <w:numId w:val="1"/>
        </w:numPr>
        <w:rPr/>
      </w:pPr>
      <w:bookmarkStart w:id="22" w:name="__RefHeading___Toc3696361_3650668749"/>
      <w:bookmarkStart w:id="23" w:name="_Toc7"/>
      <w:bookmarkEnd w:id="22"/>
      <w:r>
        <w:rPr>
          <w:rtl w:val="true"/>
        </w:rPr>
        <w:t>برپايى مراسم</w:t>
      </w:r>
      <w:bookmarkEnd w:id="23"/>
    </w:p>
    <w:p>
      <w:pPr>
        <w:pStyle w:val="BookText"/>
        <w:rPr/>
      </w:pPr>
      <w:r>
        <w:rPr>
          <w:rFonts w:ascii="IRNazanin" w:hAnsi="IRNazanin" w:eastAsia="IRNazanin"/>
          <w:color w:val="111111"/>
          <w:sz w:val="28"/>
          <w:sz w:val="28"/>
          <w:szCs w:val="28"/>
          <w:rtl w:val="true"/>
          <w:lang w:bidi="fa-IR"/>
        </w:rPr>
        <w:t xml:space="preserve">از اعمالى كه مسلمانان در مناسبت‌هاى مختلف براى بزرگداشت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مى‌دهند، برپايى مراسم‌هاى جشن و سوگوارى آنهاست كه مسلمانان براى استفاده معنوى در چنين مجالسى شركت كرده و با بزرگداشت آن به بركات عظيمى دست مى‌يابند</w:t>
      </w:r>
      <w:r>
        <w:rPr>
          <w:rFonts w:eastAsia="IRNazanin" w:cs="IRNazanin"/>
          <w:color w:val="111111"/>
          <w:sz w:val="28"/>
          <w:szCs w:val="28"/>
          <w:rtl w:val="true"/>
          <w:lang w:bidi="fa-IR"/>
        </w:rPr>
        <w:t>.</w:t>
      </w:r>
    </w:p>
    <w:p>
      <w:pPr>
        <w:pStyle w:val="Heading3"/>
        <w:numPr>
          <w:ilvl w:val="2"/>
          <w:numId w:val="1"/>
        </w:numPr>
        <w:rPr/>
      </w:pPr>
      <w:bookmarkStart w:id="24" w:name="__RefHeading___Toc3696363_3650668749"/>
      <w:bookmarkStart w:id="25" w:name="_Toc8"/>
      <w:bookmarkEnd w:id="24"/>
      <w:r>
        <w:rPr>
          <w:rtl w:val="true"/>
        </w:rPr>
        <w:t xml:space="preserve">وجوب محبت به اهل بيت پيامبر </w:t>
      </w:r>
      <w:r>
        <w:rPr>
          <w:rtl w:val="true"/>
        </w:rPr>
        <w:t>(</w:t>
      </w:r>
      <w:r>
        <w:rPr>
          <w:rtl w:val="true"/>
        </w:rPr>
        <w:t>ص</w:t>
      </w:r>
      <w:r>
        <w:rPr>
          <w:rtl w:val="true"/>
        </w:rPr>
        <w:t>)</w:t>
      </w:r>
      <w:bookmarkEnd w:id="25"/>
    </w:p>
    <w:p>
      <w:pPr>
        <w:pStyle w:val="BookText"/>
        <w:rPr/>
      </w:pPr>
      <w:r>
        <w:rPr>
          <w:rFonts w:ascii="IRNazanin" w:hAnsi="IRNazanin" w:eastAsia="IRNazanin"/>
          <w:color w:val="111111"/>
          <w:sz w:val="28"/>
          <w:sz w:val="28"/>
          <w:szCs w:val="28"/>
          <w:rtl w:val="true"/>
          <w:lang w:bidi="fa-IR"/>
        </w:rPr>
        <w:t xml:space="preserve">اهل 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كسانى‌اند كه محبت به آنها واجب است؛ همان‌گونه كه خداوند متعال در قرآن خطاب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فِى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من هيچ‌گونه اجر و پاداشى از شما بر اين دعوت درخواست نمى‌كنم جز دوست داشتن نزديكانم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چون آيه قُلْ لا أَسْئَلُكُمْ عَلَيْهِ أَجْراً إِلَّا الْمَوَدَّةَ فِى الْقُرْبى نازل شد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نزديكان تو كيانند كه محبت آنها بر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 فاطمه و فرزندان‌شان</w:t>
      </w:r>
      <w:r>
        <w:rPr>
          <w:rFonts w:eastAsia="IRNazanin" w:cs="IRNazanin"/>
          <w:color w:val="111111"/>
          <w:sz w:val="28"/>
          <w:szCs w:val="28"/>
          <w:rtl w:val="true"/>
          <w:lang w:bidi="fa-IR"/>
        </w:rPr>
        <w:t xml:space="preserve">» .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 نيز از ابن عباس نقل شده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أحبّوُا اللهَ لِما يَغذُوكم مِن نِعَمِه، وَ أحِبّوني بِحُبِ‌ّ اللهِ وَ أحِبُّوا أهلَ بَيتي لِحُبّي</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خداوند را براى نعمت‌هايى كه شما را از آنها برخوردار نموده دوست بداريد و مرا براى محبت خدا دوست بداريد و اهل بيتم را براى محبت من دوست بداريد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مِنّي وَأنا مِن حُسَينٍ، أحَبَّ اللهُ مَن أحَبَّ حُسَيناً</w:t>
      </w:r>
      <w:r>
        <w:rPr>
          <w:rFonts w:eastAsia="Amiri" w:cs="Amiri" w:ascii="Amiri" w:hAnsi="Amiri"/>
          <w:color w:val="111111"/>
          <w:sz w:val="28"/>
          <w:szCs w:val="28"/>
          <w:rtl w:val="true"/>
          <w:lang w:bidi="ar-SA"/>
        </w:rPr>
        <w:t xml:space="preserve">. . .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حسين از من و من از حسينم، خداوند دوست دارد كسى را كه حسين را دوست داشته باشد</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اَلحَسَنُ وَ الحُسَينُ سَيِّدا شَبابِ أهلِ الْجَنَّةِ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 حسين دو آقاى جوانان اهل بهشتند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يكى از روزها،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شادمان ديديم و به او عرض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شما بشارت و خوشحالى را مى‌بينيم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مسرور و خوشحال نباشم درحالى‌كه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بشارت داد كه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حَسَناً و حُسَيناً سَيّدا شَبابِ أهلِ الجَنَّةِ و أبوُهُما أفضَلُ مِنْهُما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w:t>
      </w:r>
    </w:p>
    <w:p>
      <w:pPr>
        <w:pStyle w:val="BookText"/>
        <w:rPr/>
      </w:pPr>
      <w:r>
        <w:rPr>
          <w:rFonts w:ascii="IRNazanin" w:hAnsi="IRNazanin" w:eastAsia="IRNazanin"/>
          <w:color w:val="111111"/>
          <w:sz w:val="28"/>
          <w:sz w:val="28"/>
          <w:szCs w:val="28"/>
          <w:rtl w:val="true"/>
          <w:lang w:bidi="fa-IR"/>
        </w:rPr>
        <w:t xml:space="preserve">حسين دو آقا و سرور جوانان اهل بهشتند و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دو برتر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ابوهريره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الحَسَنَ وَ الحُسَينَ فَقَد أحَبَّني، وَ مَن أبغَضَهُما فَقَد أبغَضَني</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كسى كه حسن و حسين را دوست بدارد، مرا دوست داشته و كسى كه نسبت به آنها بغض و دشمنى داشته باشد، نسبت به من بغض و دشمنى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نمونه احاديث و روايات دركتب شيعه و اهل سنت فراوان به چشم مى‌خورد كه علاقه‌مندان مى‌توانند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آيات و روايات وارد شده در اين زمينه، بر مسلمانان واجب است كه پيامبر و اهل بيت او را دوست داشته باشند و نسبت به آنها محبت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راه‌هاى ابراز محبت به پيامبر و فرزندان واهل‌بيتش، برگزارى مجالس بزرگداشت و شركت در آن مجالس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چنين مجالسى كه براى انسان‌هايى الهى و معنوى بر پا مى‌گردد، روح معنويت را در وجود انسان ايجاد كرده و او را به سوى خدا و بندگى او رهنمون مى‌كند و به زندگى، هدف و اميد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اهداف بلند الهى آنان آشنا و راه رسيدن به سعادت دنيا و آخرت را پيدا مى‌كند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مجالس سوگوارى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عزت، شجاعت، مردانگى، تقوا، فداكارى، توحيد، بندگى، ظلم‌ستيزى، دشمن‌شناسى، پايدارى، </w:t>
      </w:r>
      <w:bookmarkStart w:id="26" w:name="pg1971_8336"/>
    </w:p>
    <w:p>
      <w:pPr>
        <w:pStyle w:val="BookText"/>
        <w:rPr/>
      </w:pPr>
      <w:bookmarkEnd w:id="26"/>
      <w:r>
        <w:rPr>
          <w:rFonts w:ascii="IRNazanin" w:hAnsi="IRNazanin" w:eastAsia="IRNazanin"/>
          <w:color w:val="111111"/>
          <w:sz w:val="28"/>
          <w:sz w:val="28"/>
          <w:szCs w:val="28"/>
          <w:rtl w:val="true"/>
          <w:lang w:bidi="fa-IR"/>
        </w:rPr>
        <w:t>ايستادگى و تن به ذلت ندادن را مى‌آموزد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كتاب با ناديده‌گرفتن نكات مثبت و سازنده مجالس سوگوارى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طرح مسائل انحرافى، بى‌انصافى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تنها شيعيان نيستند كه براى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سوگوارند، بلكه همه انسان‌ها و حتى جهان هستى در غم شهادت آن حضرت سوگوارند</w:t>
      </w:r>
      <w:r>
        <w:rPr>
          <w:rFonts w:eastAsia="IRNazanin" w:cs="IRNazanin"/>
          <w:color w:val="111111"/>
          <w:sz w:val="28"/>
          <w:szCs w:val="28"/>
          <w:rtl w:val="true"/>
          <w:lang w:bidi="fa-IR"/>
        </w:rPr>
        <w:t>.</w:t>
      </w:r>
    </w:p>
    <w:p>
      <w:pPr>
        <w:pStyle w:val="Heading3"/>
        <w:numPr>
          <w:ilvl w:val="2"/>
          <w:numId w:val="1"/>
        </w:numPr>
        <w:rPr/>
      </w:pPr>
      <w:bookmarkStart w:id="27" w:name="__RefHeading___Toc3696365_3650668749"/>
      <w:bookmarkStart w:id="28" w:name="_Toc9"/>
      <w:bookmarkEnd w:id="27"/>
      <w:r>
        <w:rPr>
          <w:rtl w:val="true"/>
        </w:rPr>
        <w:t xml:space="preserve">عزادارى جهان هستى بر امام حسين </w:t>
      </w:r>
      <w:r>
        <w:rPr>
          <w:rtl w:val="true"/>
        </w:rPr>
        <w:t>(</w:t>
      </w:r>
      <w:r>
        <w:rPr>
          <w:rtl w:val="true"/>
        </w:rPr>
        <w:t>ع</w:t>
      </w:r>
      <w:r>
        <w:rPr>
          <w:rtl w:val="true"/>
        </w:rPr>
        <w:t>)</w:t>
      </w:r>
      <w:bookmarkEnd w:id="28"/>
    </w:p>
    <w:p>
      <w:pPr>
        <w:pStyle w:val="BookText"/>
        <w:rPr/>
      </w:pPr>
      <w:r>
        <w:rPr>
          <w:rFonts w:ascii="IRNazanin" w:hAnsi="IRNazanin" w:eastAsia="IRNazanin"/>
          <w:color w:val="111111"/>
          <w:sz w:val="28"/>
          <w:sz w:val="28"/>
          <w:szCs w:val="28"/>
          <w:rtl w:val="true"/>
          <w:lang w:bidi="fa-IR"/>
        </w:rPr>
        <w:t xml:space="preserve">نمونه‌اى از روايات اهل سنت درباره سوگوارى جهان هستى براى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اينجا بيان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حسين‌بن‌على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كشته شد تا هفت روز نور خورشيد بر ديوار به رنگ زرد بود و بعضى از ستارگان با بعضى ديگر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كه آن حضرت به شهادت رسيد، خورشيد گرفت و آفاق آسمان تا شش ماه سرخ‌گونه بود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كشته شد، خورشيد آن‌چنان گرفت كه ستارگان، نيمه روز ظاهر گرديدند تا اينكه ما گمان كرديم قيامت برپاشده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شده است كه آسمان چهارده روز 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گريست</w:t>
      </w:r>
      <w:r>
        <w:rPr>
          <w:rFonts w:eastAsia="IRNazanin" w:cs="IRNazanin"/>
          <w:color w:val="111111"/>
          <w:sz w:val="28"/>
          <w:szCs w:val="28"/>
          <w:rtl w:val="true"/>
          <w:lang w:bidi="fa-IR"/>
        </w:rPr>
        <w:t xml:space="preserve">. </w:t>
      </w:r>
      <w:bookmarkStart w:id="29" w:name="pg1971_8337"/>
    </w:p>
    <w:p>
      <w:pPr>
        <w:pStyle w:val="BookText"/>
        <w:rPr/>
      </w:pPr>
      <w:bookmarkEnd w:id="29"/>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گريه آسمان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خورشيد در ميان سرخى، طلوع و غروب مى‌كرد</w:t>
      </w:r>
      <w:r>
        <w:rPr>
          <w:rFonts w:eastAsia="IRNazanin" w:cs="IRNazanin"/>
          <w:color w:val="111111"/>
          <w:sz w:val="28"/>
          <w:szCs w:val="28"/>
          <w:rtl w:val="true"/>
          <w:lang w:bidi="fa-IR"/>
        </w:rPr>
        <w:t xml:space="preserve">» . </w:t>
      </w:r>
      <w:r>
        <w:rPr>
          <w:rStyle w:val="FootnoteAnchor"/>
          <w:rtl w:val="true"/>
        </w:rPr>
        <w:footnoteReference w:id="10"/>
      </w:r>
    </w:p>
    <w:p>
      <w:pPr>
        <w:pStyle w:val="Heading3"/>
        <w:numPr>
          <w:ilvl w:val="2"/>
          <w:numId w:val="1"/>
        </w:numPr>
        <w:rPr/>
      </w:pPr>
      <w:bookmarkStart w:id="30" w:name="__RefHeading___Toc3696367_3650668749"/>
      <w:bookmarkStart w:id="31" w:name="_Toc10"/>
      <w:bookmarkEnd w:id="30"/>
      <w:r>
        <w:rPr>
          <w:rtl w:val="true"/>
        </w:rPr>
        <w:t xml:space="preserve">عزادارى پيامبر </w:t>
      </w:r>
      <w:r>
        <w:rPr>
          <w:rtl w:val="true"/>
        </w:rPr>
        <w:t>(</w:t>
      </w:r>
      <w:r>
        <w:rPr>
          <w:rtl w:val="true"/>
        </w:rPr>
        <w:t>ص</w:t>
      </w:r>
      <w:r>
        <w:rPr>
          <w:rtl w:val="true"/>
        </w:rPr>
        <w:t xml:space="preserve">) </w:t>
      </w:r>
      <w:r>
        <w:rPr>
          <w:rtl w:val="true"/>
        </w:rPr>
        <w:t xml:space="preserve">بر امام حسين </w:t>
      </w:r>
      <w:r>
        <w:rPr>
          <w:rtl w:val="true"/>
        </w:rPr>
        <w:t>(</w:t>
      </w:r>
      <w:r>
        <w:rPr>
          <w:rtl w:val="true"/>
        </w:rPr>
        <w:t>ع</w:t>
      </w:r>
      <w:r>
        <w:rPr>
          <w:rtl w:val="true"/>
        </w:rPr>
        <w:t>)</w:t>
      </w:r>
      <w:bookmarkEnd w:id="31"/>
    </w:p>
    <w:p>
      <w:pPr>
        <w:pStyle w:val="BookText"/>
        <w:rPr/>
      </w:pPr>
      <w:r>
        <w:rPr>
          <w:rFonts w:ascii="IRNazanin" w:hAnsi="IRNazanin" w:eastAsia="IRNazanin"/>
          <w:color w:val="111111"/>
          <w:sz w:val="28"/>
          <w:sz w:val="28"/>
          <w:szCs w:val="28"/>
          <w:rtl w:val="true"/>
          <w:lang w:bidi="fa-IR"/>
        </w:rPr>
        <w:t xml:space="preserve">در كتب اهل سنت، روايات فراوانى درباره عزادارى و گريه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به بيان يك نمونه از آنها بسنده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جبرئيل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نازل شد، درحالى‌كه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وارد شد و از شانه و پشت آن حضرت بالا مى‌رفت و بازى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به زودى امت تو فتنه مى‌كنند و اين فرزندت را بعد از تو مى‌كشند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جبرئيل دست برد و خاكى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فرزندت در اين سرزمين كشته مى‌شود، نام آن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رفتن جبرئيل از نزد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درحالى‌كه خاك در دست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 و گريه مى‌كرد، بر گروهى از يارانش وارد شد كه ابوبكر، عمر،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حذيفه، عمار و ابوذر در بين آنها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 جَبَرئيلُ أنَّ ابني الحُسينَ يُقتلُ بَعدي بِأرض الطَّفِّ و جائَني بِهذهِ التُّربَةِ فَأخبَرَني أنَّ فيها مَضجَعَه</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به من خبر داده است كه فرزندم حسين پس از من در زمين طف كشته مى‌شود و اين خاك را برايم آورد و به من خبر داد كه محل شهادت و مرقد او در آن سرزمين است</w:t>
      </w:r>
      <w:r>
        <w:rPr>
          <w:rFonts w:eastAsia="IRNazanin" w:cs="IRNazanin"/>
          <w:color w:val="111111"/>
          <w:sz w:val="28"/>
          <w:szCs w:val="28"/>
          <w:rtl w:val="true"/>
          <w:lang w:bidi="fa-IR"/>
        </w:rPr>
        <w:t xml:space="preserve">» . </w:t>
      </w:r>
      <w:bookmarkStart w:id="32" w:name="pg1971_8338"/>
    </w:p>
    <w:p>
      <w:pPr>
        <w:pStyle w:val="Heading2"/>
        <w:numPr>
          <w:ilvl w:val="1"/>
          <w:numId w:val="1"/>
        </w:numPr>
        <w:rPr/>
      </w:pPr>
      <w:bookmarkStart w:id="33" w:name="__RefHeading___Toc3696369_3650668749"/>
      <w:bookmarkStart w:id="34" w:name="_Toc11"/>
      <w:bookmarkEnd w:id="32"/>
      <w:bookmarkEnd w:id="33"/>
      <w:r>
        <w:rPr/>
        <w:t>٢</w:t>
      </w:r>
      <w:r>
        <w:rPr>
          <w:rtl w:val="true"/>
        </w:rPr>
        <w:t xml:space="preserve"> نذر براى غير خداوند</w:t>
      </w:r>
      <w:bookmarkEnd w:id="34"/>
    </w:p>
    <w:p>
      <w:pPr>
        <w:pStyle w:val="Heading3"/>
        <w:numPr>
          <w:ilvl w:val="2"/>
          <w:numId w:val="1"/>
        </w:numPr>
        <w:rPr/>
      </w:pPr>
      <w:bookmarkStart w:id="35" w:name="__RefHeading___Toc3696371_3650668749"/>
      <w:bookmarkStart w:id="36" w:name="_Toc12"/>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به بيان نذر عمه‌اش مى‌پردازد و مى‌گويد كه تمامى فرزندان عمه‌اش در همان دوران باردارى از دنيا مى‌رفتند به‌گونه‌اى كه ديگران از بچه‌دار شدنش نااميد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ايشان براى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كردند كه اگر او بچه‌دار شود و از هر آسيبى محفوظ ماند، هر سال در روز عاشورا، كودك را در كفنى بپيچند و او را از خون عزادارانى كه با زنجير و چماق به سر و سينه خود مى‌زنند آغشته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بر اسبى كه شبيه اسب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سوار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ايشان صاحب فرزند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عقيل نهادند؛ و خانوادۀ عقيل به نذر خود نيز عمل كردند، تا اينكه عقيل بعد از سال‌ها متوجه شد كه فقط بايد براى خدا نذر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نيز يك انسان است و هيچ انسانى سزاوار پرستش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كردن و يارى خواستن از هيچ انسانى جايز نيست؛ بنابراين پدرش را قانع كرد كه چنين نذرى حرام و نامشروع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نويسنده در پاورقى همان صفحه اظهار مى‌دارد كه برآورده شدن اتفاقى نذر، دليل بر مشروع بودن نذر براى غير خداوند نيست؛ زيرا گاهى فرد مسيحى به كليسا مى‌رود و از حضرت مريم، شفا و روزى </w:t>
      </w:r>
      <w:bookmarkStart w:id="37" w:name="pg1971_8339"/>
    </w:p>
    <w:p>
      <w:pPr>
        <w:pStyle w:val="BookText"/>
        <w:rPr/>
      </w:pPr>
      <w:bookmarkEnd w:id="37"/>
      <w:r>
        <w:rPr>
          <w:rFonts w:ascii="IRNazanin" w:hAnsi="IRNazanin" w:eastAsia="IRNazanin"/>
          <w:color w:val="111111"/>
          <w:sz w:val="28"/>
          <w:sz w:val="28"/>
          <w:szCs w:val="28"/>
          <w:rtl w:val="true"/>
          <w:lang w:bidi="fa-IR"/>
        </w:rPr>
        <w:t>مى‌طلبد و خداوند نيز براى آنكه او دچار فتنه شود، خواسته‌اش را برآورده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مى‌گويد كه مسلمان، باور و يقين دارد كه دعا و يارى خواستن، عبادت است و عبادت بايد فقط براى خدا انجام شود همان‌گونه كه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الْمَساجِدَ لِلَّهِ فَلا تَدْعُوا مَعَ اللَّهِ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نذر هم عبادتى است كه بايد فقط براى خدا انجام شود و در روايت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نذر كردن براى غير خدا نهى كرده است</w:t>
      </w:r>
      <w:r>
        <w:rPr>
          <w:rFonts w:eastAsia="IRNazanin" w:cs="IRNazanin"/>
          <w:color w:val="111111"/>
          <w:sz w:val="28"/>
          <w:szCs w:val="28"/>
          <w:rtl w:val="true"/>
          <w:lang w:bidi="fa-IR"/>
        </w:rPr>
        <w:t>.</w:t>
      </w:r>
    </w:p>
    <w:p>
      <w:pPr>
        <w:pStyle w:val="Heading3"/>
        <w:numPr>
          <w:ilvl w:val="2"/>
          <w:numId w:val="1"/>
        </w:numPr>
        <w:rPr/>
      </w:pPr>
      <w:bookmarkStart w:id="38" w:name="__RefHeading___Toc3696373_3650668749"/>
      <w:bookmarkStart w:id="39" w:name="_Toc13"/>
      <w:bookmarkEnd w:id="38"/>
      <w:r>
        <w:rPr>
          <w:rtl w:val="true"/>
        </w:rPr>
        <w:t>پاسخ</w:t>
      </w:r>
      <w:bookmarkEnd w:id="39"/>
    </w:p>
    <w:p>
      <w:pPr>
        <w:pStyle w:val="BookText"/>
        <w:rPr/>
      </w:pPr>
      <w:r>
        <w:rPr>
          <w:rFonts w:ascii="IRNazanin" w:hAnsi="IRNazanin" w:eastAsia="IRNazanin"/>
          <w:color w:val="111111"/>
          <w:sz w:val="28"/>
          <w:sz w:val="28"/>
          <w:szCs w:val="28"/>
          <w:rtl w:val="true"/>
          <w:lang w:bidi="fa-IR"/>
        </w:rPr>
        <w:t>نويسنده در فراز مذكور، مطالب مختلفى را به گونه‌اى نامرتب و غيرمنطقى ذكر كرده است كه تحليل آن نياز به دسته‌بندى دارد</w:t>
      </w:r>
      <w:r>
        <w:rPr>
          <w:rFonts w:eastAsia="IRNazanin" w:cs="IRNazanin"/>
          <w:color w:val="111111"/>
          <w:sz w:val="28"/>
          <w:szCs w:val="28"/>
          <w:rtl w:val="true"/>
          <w:lang w:bidi="fa-IR"/>
        </w:rPr>
        <w:t>:</w:t>
      </w:r>
    </w:p>
    <w:p>
      <w:pPr>
        <w:pStyle w:val="Heading3"/>
        <w:numPr>
          <w:ilvl w:val="2"/>
          <w:numId w:val="1"/>
        </w:numPr>
        <w:rPr/>
      </w:pPr>
      <w:bookmarkStart w:id="40" w:name="__RefHeading___Toc3696375_3650668749"/>
      <w:bookmarkStart w:id="41" w:name="_Toc14"/>
      <w:bookmarkEnd w:id="40"/>
      <w:r>
        <w:rPr>
          <w:rtl w:val="true"/>
        </w:rPr>
        <w:t>الف</w:t>
      </w:r>
      <w:r>
        <w:rPr>
          <w:rtl w:val="true"/>
        </w:rPr>
        <w:t xml:space="preserve">) </w:t>
      </w:r>
      <w:r>
        <w:rPr>
          <w:rtl w:val="true"/>
        </w:rPr>
        <w:t>نذر و احكام آن</w:t>
      </w:r>
      <w:bookmarkEnd w:id="41"/>
    </w:p>
    <w:p>
      <w:pPr>
        <w:pStyle w:val="Heading4"/>
        <w:numPr>
          <w:ilvl w:val="3"/>
          <w:numId w:val="1"/>
        </w:numPr>
        <w:rPr/>
      </w:pPr>
      <w:bookmarkStart w:id="42" w:name="__RefHeading___Toc3696377_3650668749"/>
      <w:bookmarkStart w:id="43" w:name="_Toc15"/>
      <w:bookmarkEnd w:id="42"/>
      <w:r>
        <w:rPr>
          <w:rtl w:val="true"/>
        </w:rPr>
        <w:t xml:space="preserve">يك </w:t>
      </w:r>
      <w:r>
        <w:rPr>
          <w:rtl w:val="true"/>
        </w:rPr>
        <w:t xml:space="preserve">- </w:t>
      </w:r>
      <w:r>
        <w:rPr>
          <w:rtl w:val="true"/>
        </w:rPr>
        <w:t>نذر بدون ذكر نام خدا</w:t>
      </w:r>
      <w:bookmarkEnd w:id="43"/>
    </w:p>
    <w:p>
      <w:pPr>
        <w:pStyle w:val="BookText"/>
        <w:rPr/>
      </w:pPr>
      <w:r>
        <w:rPr>
          <w:rFonts w:ascii="IRNazanin" w:hAnsi="IRNazanin" w:eastAsia="IRNazanin"/>
          <w:color w:val="111111"/>
          <w:sz w:val="28"/>
          <w:sz w:val="28"/>
          <w:szCs w:val="28"/>
          <w:rtl w:val="true"/>
          <w:lang w:bidi="fa-IR"/>
        </w:rPr>
        <w:t xml:space="preserve">بين فقها اجماعى است كه در نذر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شود وگرنه صحيح نخواهد بود؛ يعنى نذركننده بايد خود را مديون خداوند بداند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خود را مديون خدا نداند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نكند و قصد قربت ننمايد يا نام ديگرى را ذكر كند، نذر او صحيح نيست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حال، دليلى وجود ندارد كه نذر، عبادتى همانند قرائت قرآن باشد كه گوينده به قصد قربت، آن را انجام دهد؛ بنابراين اگر براى </w:t>
      </w:r>
      <w:bookmarkStart w:id="44" w:name="pg1971_8340"/>
    </w:p>
    <w:p>
      <w:pPr>
        <w:pStyle w:val="BookText"/>
        <w:rPr/>
      </w:pPr>
      <w:bookmarkEnd w:id="44"/>
      <w:r>
        <w:rPr>
          <w:rFonts w:ascii="IRNazanin" w:hAnsi="IRNazanin" w:eastAsia="IRNazanin"/>
          <w:color w:val="111111"/>
          <w:sz w:val="28"/>
          <w:sz w:val="28"/>
          <w:szCs w:val="28"/>
          <w:rtl w:val="true"/>
          <w:lang w:bidi="fa-IR"/>
        </w:rPr>
        <w:t>سلامتى و بهداشت يا تقويت اراده خود، نذر كند كه فلان عمل را انجام ندهد، مثلاً سيگار نكشد، نذر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از اين جهت، مثل خريد و فروش است كه مى‌تواند انگيزه‌هاى مختلف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واقع نذركردن، عمل استحبابى نيست كه نياز به قصد قربت داشته باشد</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3696379_3650668749"/>
      <w:bookmarkStart w:id="46" w:name="_Toc16"/>
      <w:bookmarkEnd w:id="45"/>
      <w:r>
        <w:rPr>
          <w:rtl w:val="true"/>
        </w:rPr>
        <w:t xml:space="preserve">دو </w:t>
      </w:r>
      <w:r>
        <w:rPr>
          <w:rtl w:val="true"/>
        </w:rPr>
        <w:t xml:space="preserve">- </w:t>
      </w:r>
      <w:r>
        <w:rPr>
          <w:rtl w:val="true"/>
        </w:rPr>
        <w:t>مورد نذر</w:t>
      </w:r>
      <w:bookmarkEnd w:id="46"/>
    </w:p>
    <w:p>
      <w:pPr>
        <w:pStyle w:val="BookText"/>
        <w:rPr/>
      </w:pPr>
      <w:r>
        <w:rPr>
          <w:rFonts w:ascii="IRNazanin" w:hAnsi="IRNazanin" w:eastAsia="IRNazanin"/>
          <w:color w:val="111111"/>
          <w:sz w:val="28"/>
          <w:sz w:val="28"/>
          <w:szCs w:val="28"/>
          <w:rtl w:val="true"/>
          <w:lang w:bidi="fa-IR"/>
        </w:rPr>
        <w:t>آيا عملى كه مورد نذر قرار مى‌گيرد، بايد با قصد قربت انجام شود، مثلاً اگر شخصى چنين نذر كند كه براى خدا بر عهده من است خانه‌اى براى زيد تهيه كنم؛ آيا هنگام تهيه خانه، بايد قصد قربت داشته باشد؟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شخص بايد نيت كند براى وجوب عمل به نذر، خانه را تهيه مى‌كنم كه اين نيز ميان فقها محل ترديد است؛ زيرا همگى قبول ندارند كه مورد نذر بايد يك عمل عبادى باشد، بلكه مى‌تواند از امور دنيوى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بسيارى معتقدند كه در نذر به ترك سيگار، همينكه سيگار را ترك كند، هرچند به نيت غير الهى، مثل رعايت مسائل بهداشتى يا حياى از ديگران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نذرش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مورد نذر و عمل به آن در واقع عمل عبادى نيست كه انجام‌دادنش با نيت غير الهى، حرام يا شرك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اينكه قصد قربت هم لازم باشد، عمل چنين شخصى فقط باطل است، نه حرام و شرك‌آلود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ميان بطلان عمل و حرمت آن‌فرق بگذاريم؛ مثل اينكه كسى به نيت رعايت مسائل بهداشتى روزه بگيرد كه در اين صورت روزه او باطل است، نه حرام</w:t>
      </w:r>
      <w:r>
        <w:rPr>
          <w:rFonts w:eastAsia="IRNazanin" w:cs="IRNazanin"/>
          <w:color w:val="111111"/>
          <w:sz w:val="28"/>
          <w:szCs w:val="28"/>
          <w:rtl w:val="true"/>
          <w:lang w:bidi="fa-IR"/>
        </w:rPr>
        <w:t xml:space="preserve">. </w:t>
      </w:r>
      <w:bookmarkStart w:id="47" w:name="pg1971_8341"/>
    </w:p>
    <w:p>
      <w:pPr>
        <w:pStyle w:val="Heading4"/>
        <w:numPr>
          <w:ilvl w:val="3"/>
          <w:numId w:val="1"/>
        </w:numPr>
        <w:rPr/>
      </w:pPr>
      <w:bookmarkStart w:id="48" w:name="__RefHeading___Toc3696381_3650668749"/>
      <w:bookmarkStart w:id="49" w:name="_Toc17"/>
      <w:bookmarkEnd w:id="47"/>
      <w:bookmarkEnd w:id="48"/>
      <w:r>
        <w:rPr>
          <w:rtl w:val="true"/>
        </w:rPr>
        <w:t xml:space="preserve">سه </w:t>
      </w:r>
      <w:r>
        <w:rPr>
          <w:rtl w:val="true"/>
        </w:rPr>
        <w:t xml:space="preserve">- </w:t>
      </w:r>
      <w:r>
        <w:rPr>
          <w:rtl w:val="true"/>
        </w:rPr>
        <w:t>نذر براى غير خداوند</w:t>
      </w:r>
      <w:bookmarkEnd w:id="49"/>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ابن‌تيميه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براى پيامبر يا ديگرى، چيزى را نذر يا قربانى كند، مثل مشركان است كه براى بت‌ها قربانى يا نذر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غير خدا را مى‌پرستد و با اين كار، كافر مى‌گردد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اگر مقصود آن است كه نذر كردن براى خداوند در قالب خدمت به ديگرى شرك است، سخنى باطل و دور از حقيقت است؛ زيرا شرك آن است كه براى خدا شريكى گرفته شود؛ چنانچه شخصى بگويد براى خدا به‌عهده من است كه براى فلان فقير خانه‌اى تهيه كنم، آيا خدمت به خلق، كه امرى پسنديده نزد خدا است، شرك است؟</w:t>
      </w:r>
    </w:p>
    <w:p>
      <w:pPr>
        <w:pStyle w:val="BookText"/>
        <w:rPr/>
      </w:pPr>
      <w:r>
        <w:rPr>
          <w:rFonts w:ascii="IRNazanin" w:hAnsi="IRNazanin" w:eastAsia="IRNazanin"/>
          <w:color w:val="111111"/>
          <w:sz w:val="28"/>
          <w:sz w:val="28"/>
          <w:szCs w:val="28"/>
          <w:rtl w:val="true"/>
          <w:lang w:bidi="fa-IR"/>
        </w:rPr>
        <w:t xml:space="preserve">و اگر مقصود آن است كه در نذر تبديل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ديگرى و گفتن اينكه فلان چيز را نذر فلان امام كردم، شرك است،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قصد پرستش نام امامى را به زبان آورد، قطعاً حرام و شرك است ولى اگر مى‌خواهد مورد نذر را معين كند، يعنى بفهماند كه مثلاً بايد گوسفند در عزادارى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شود، نه جاى ديگر، مورد نذر منظور است نه نيت نذر و اين عمل نه شرك است و نه حرام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گفته شود نذر براى اولياى الهى، مشابه نذر مشركان براى بت‌هاست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 است از آن اجتناب شود، ما مى‌گوييم كه اين تشابه ظاهرى، هرگز منشأ كراهت نيست؛ زيرا اعمال بسيارى از مسلمانان صدر اسلام مشابه اعمال مردم زمان جاهليت و بت‌پرستى بوده است؛ اما </w:t>
      </w:r>
      <w:bookmarkStart w:id="50" w:name="pg1971_8342"/>
    </w:p>
    <w:p>
      <w:pPr>
        <w:pStyle w:val="BookText"/>
        <w:rPr/>
      </w:pPr>
      <w:bookmarkEnd w:id="50"/>
      <w:r>
        <w:rPr>
          <w:rFonts w:ascii="IRNazanin" w:hAnsi="IRNazanin" w:eastAsia="IRNazanin"/>
          <w:color w:val="111111"/>
          <w:sz w:val="28"/>
          <w:sz w:val="28"/>
          <w:szCs w:val="28"/>
          <w:rtl w:val="true"/>
          <w:lang w:bidi="fa-IR"/>
        </w:rPr>
        <w:t>چون نيت آنها الهى بود، نه تنها مانعى نداشت، بلكه مستحب يا واجب شمرده شد؛ مثل طواف خانه خدا، قربانى در مِنا و بوسيدن حجرالاسود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درحالى‌كه مشركان، آن اعمال را براى بت‌ها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مهم نيت و انگيزه انجام عمل است</w:t>
      </w:r>
      <w:r>
        <w:rPr>
          <w:rFonts w:eastAsia="IRNazanin" w:cs="IRNazanin"/>
          <w:color w:val="111111"/>
          <w:sz w:val="28"/>
          <w:szCs w:val="28"/>
          <w:rtl w:val="true"/>
          <w:lang w:bidi="fa-IR"/>
        </w:rPr>
        <w:t>.</w:t>
      </w:r>
    </w:p>
    <w:p>
      <w:pPr>
        <w:pStyle w:val="Heading4"/>
        <w:numPr>
          <w:ilvl w:val="3"/>
          <w:numId w:val="1"/>
        </w:numPr>
        <w:rPr/>
      </w:pPr>
      <w:bookmarkStart w:id="51" w:name="__RefHeading___Toc3696383_3650668749"/>
      <w:bookmarkStart w:id="52" w:name="_Toc18"/>
      <w:bookmarkEnd w:id="51"/>
      <w:r>
        <w:rPr>
          <w:rtl w:val="true"/>
        </w:rPr>
        <w:t xml:space="preserve">چهار </w:t>
      </w:r>
      <w:r>
        <w:rPr>
          <w:rtl w:val="true"/>
        </w:rPr>
        <w:t xml:space="preserve">- </w:t>
      </w:r>
      <w:r>
        <w:rPr>
          <w:rtl w:val="true"/>
        </w:rPr>
        <w:t>چگونگى نذر شيعيان</w:t>
      </w:r>
      <w:bookmarkEnd w:id="52"/>
    </w:p>
    <w:p>
      <w:pPr>
        <w:pStyle w:val="BookText"/>
        <w:rPr/>
      </w:pPr>
      <w:r>
        <w:rPr>
          <w:rFonts w:ascii="IRNazanin" w:hAnsi="IRNazanin" w:eastAsia="IRNazanin"/>
          <w:color w:val="111111"/>
          <w:sz w:val="28"/>
          <w:sz w:val="28"/>
          <w:szCs w:val="28"/>
          <w:rtl w:val="true"/>
          <w:lang w:bidi="fa-IR"/>
        </w:rPr>
        <w:t xml:space="preserve">نذر شيعيان براى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تقرب به خداوند، و ذكر كردن نامشان براى مشخص شدن مورد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نذركردن براى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هديه كردن ثواب اين عمل، براى آن‌جناب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به طور صريح بگويد كه من براى خدا به عهده مى‌گيرم كه صد هزار تومان به فقرا بدهم و ثواب آن براى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آيا اين كار، شرك است؟</w:t>
      </w:r>
    </w:p>
    <w:p>
      <w:pPr>
        <w:pStyle w:val="BookText"/>
        <w:rPr/>
      </w:pPr>
      <w:r>
        <w:rPr>
          <w:rFonts w:ascii="IRNazanin" w:hAnsi="IRNazanin" w:eastAsia="IRNazanin"/>
          <w:color w:val="111111"/>
          <w:sz w:val="28"/>
          <w:sz w:val="28"/>
          <w:szCs w:val="28"/>
          <w:rtl w:val="true"/>
          <w:lang w:bidi="fa-IR"/>
        </w:rPr>
        <w:t xml:space="preserve">ذكر محافل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نذر هم براى آن است كه بدانند در كجا مصرف شود؛ مثلاً براى عزادارى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مى‌كند تا در اين‌گونه محافل خرج شود، نه آنكه براى پرستش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خواندن نماز جعفر طيّار، تسبيحات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پرستش اينان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هر كسى كه با شيعيان و عقايدشان آشنا باشد، درك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به حكم وظيفه اسلامى كه پرهيز از بدگمانى است، حمل به صحت كند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پايانى در مورد نذر آن است كه به فرموده فقها مورد نذر بايد داراى رجحانى هرچند دنيوى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كردن كارى كه رجحان و امتيازى ندارد،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برخى نذرهاى جاهلانه كه در </w:t>
      </w:r>
      <w:bookmarkStart w:id="53" w:name="pg1971_8343"/>
    </w:p>
    <w:p>
      <w:pPr>
        <w:pStyle w:val="BookText"/>
        <w:rPr/>
      </w:pPr>
      <w:bookmarkEnd w:id="53"/>
      <w:r>
        <w:rPr>
          <w:rFonts w:ascii="IRNazanin" w:hAnsi="IRNazanin" w:eastAsia="IRNazanin"/>
          <w:color w:val="111111"/>
          <w:sz w:val="28"/>
          <w:sz w:val="28"/>
          <w:szCs w:val="28"/>
          <w:rtl w:val="true"/>
          <w:lang w:bidi="fa-IR"/>
        </w:rPr>
        <w:t>زيارتگاه‌ها يا عزادارى‌ها انجام مى‌شود، مثل بستن نخ يا قفل و امورى شبيه اين،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نذر كه بچه‌اى را در كفن خونين بپوشانند و روى اسب بنشانند، نياز به تأمل دارد؛ زيرا اگر اين عمل، سبب ترويج و تحريك عزاداران و توجه دادن به مظلوميت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ايجاد حُزن و رقّت قلب شود، صحيح است؛ وگرنه دليل شرعى ندارد</w:t>
      </w:r>
      <w:r>
        <w:rPr>
          <w:rFonts w:eastAsia="IRNazanin" w:cs="IRNazanin"/>
          <w:color w:val="111111"/>
          <w:sz w:val="28"/>
          <w:szCs w:val="28"/>
          <w:rtl w:val="true"/>
          <w:lang w:bidi="fa-IR"/>
        </w:rPr>
        <w:t>.</w:t>
      </w:r>
    </w:p>
    <w:p>
      <w:pPr>
        <w:pStyle w:val="Heading3"/>
        <w:numPr>
          <w:ilvl w:val="2"/>
          <w:numId w:val="1"/>
        </w:numPr>
        <w:rPr/>
      </w:pPr>
      <w:bookmarkStart w:id="54" w:name="__RefHeading___Toc3696385_3650668749"/>
      <w:bookmarkStart w:id="55" w:name="_Toc19"/>
      <w:bookmarkEnd w:id="54"/>
      <w:r>
        <w:rPr>
          <w:rtl w:val="true"/>
        </w:rPr>
        <w:t>ب</w:t>
      </w:r>
      <w:r>
        <w:rPr>
          <w:rtl w:val="true"/>
        </w:rPr>
        <w:t xml:space="preserve">) </w:t>
      </w:r>
      <w:r>
        <w:rPr>
          <w:rtl w:val="true"/>
        </w:rPr>
        <w:t>شبيه‌سازى در مراسم تعزيه</w:t>
      </w:r>
      <w:bookmarkEnd w:id="55"/>
    </w:p>
    <w:p>
      <w:pPr>
        <w:pStyle w:val="BookText"/>
        <w:rPr/>
      </w:pPr>
      <w:r>
        <w:rPr>
          <w:rFonts w:ascii="IRNazanin" w:hAnsi="IRNazanin" w:eastAsia="IRNazanin"/>
          <w:color w:val="111111"/>
          <w:sz w:val="28"/>
          <w:sz w:val="28"/>
          <w:szCs w:val="28"/>
          <w:rtl w:val="true"/>
          <w:lang w:bidi="fa-IR"/>
        </w:rPr>
        <w:t>از ديگر اقدامات نويسنده تمسخر عزاداران است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كودكى را در كفن پيچيده، از خون عزادارانى كه با زنجير و چماق به سر و سينه خود مى‌زنند آغشته كرده و او را بر اسبى كه شبيه اسب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مى‌نشانند</w:t>
      </w:r>
      <w:r>
        <w:rPr>
          <w:rFonts w:eastAsia="IRNazanin" w:cs="IRNazanin"/>
          <w:color w:val="111111"/>
          <w:sz w:val="28"/>
          <w:szCs w:val="28"/>
          <w:rtl w:val="true"/>
          <w:lang w:bidi="fa-IR"/>
        </w:rPr>
        <w:t>.</w:t>
      </w:r>
    </w:p>
    <w:p>
      <w:pPr>
        <w:pStyle w:val="Heading3"/>
        <w:numPr>
          <w:ilvl w:val="2"/>
          <w:numId w:val="1"/>
        </w:numPr>
        <w:rPr/>
      </w:pPr>
      <w:bookmarkStart w:id="56" w:name="__RefHeading___Toc3696387_3650668749"/>
      <w:bookmarkStart w:id="57" w:name="_Toc20"/>
      <w:bookmarkEnd w:id="56"/>
      <w:r>
        <w:rPr>
          <w:rtl w:val="true"/>
        </w:rPr>
        <w:t>پاسخ</w:t>
      </w:r>
      <w:bookmarkEnd w:id="57"/>
    </w:p>
    <w:p>
      <w:pPr>
        <w:pStyle w:val="BookText"/>
        <w:rPr/>
      </w:pPr>
      <w:r>
        <w:rPr>
          <w:rFonts w:ascii="Amiri" w:hAnsi="Amiri" w:eastAsia="Amiri" w:cs="Amiri"/>
          <w:color w:val="111111"/>
          <w:sz w:val="28"/>
          <w:sz w:val="28"/>
          <w:szCs w:val="28"/>
          <w:rtl w:val="true"/>
          <w:lang w:bidi="ar-SA"/>
        </w:rPr>
        <w:t>امروزه يكى از روش‌هاى مؤثر براى تبليغ، تحريك يا تشويق مردم، استفاده از هنر، به معناى عام آن در قالب نمايش‌و رفتار نمادين است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كشورهاى بسيارى هستند كه آداب و رسوم گذشته خويش را همه‌ساله بازسازى كرده و طى مراسمى اجرا مى‌كنند تا موجب تقويت هويّتِ ملّى و همبستگى مردم خود گردند؛ مثلاً براى نشان دادن ظلم دولت مستكبرِ آمريكا و مظلوميت زندانيان گوانتانامو، افرادى با لباس همرنگ زندانيان، درحالى‌كه دست و پاى خود را با زنجير بسته‌اند به حركت درمى‌آيند يا تابوتى را به نشانه مرگ بر دوش مى‌گيرند يا دست و پا و پيراهن خويش را خونين رنگ مى‌كنند تا بتوانند توجه مردم را به اين جنايات، جلب و انزجارشان را از جنايتكاران اعلام و مجسّم نمايند</w:t>
      </w:r>
      <w:r>
        <w:rPr>
          <w:rFonts w:eastAsia="IRNazanin" w:cs="IRNazanin"/>
          <w:color w:val="111111"/>
          <w:sz w:val="28"/>
          <w:szCs w:val="28"/>
          <w:rtl w:val="true"/>
          <w:lang w:bidi="fa-IR"/>
        </w:rPr>
        <w:t xml:space="preserve">. </w:t>
      </w:r>
      <w:bookmarkStart w:id="58" w:name="pg1971_8344"/>
    </w:p>
    <w:p>
      <w:pPr>
        <w:pStyle w:val="BookText"/>
        <w:rPr/>
      </w:pPr>
      <w:bookmarkEnd w:id="58"/>
      <w:r>
        <w:rPr>
          <w:rFonts w:ascii="IRNazanin" w:hAnsi="IRNazanin" w:eastAsia="IRNazanin"/>
          <w:color w:val="111111"/>
          <w:sz w:val="28"/>
          <w:sz w:val="28"/>
          <w:szCs w:val="28"/>
          <w:rtl w:val="true"/>
          <w:lang w:bidi="fa-IR"/>
        </w:rPr>
        <w:t>مسلماً انجام دادن اين‌گونه اعمال، از نظر عقل و منطق، كارى پسنديده و مؤثر است؛ گرچه ممكن است در نگاهى ساده، نامعقول و ناهنجار باشد</w:t>
      </w:r>
      <w:r>
        <w:rPr>
          <w:rFonts w:eastAsia="IRNazanin" w:cs="IRNazanin"/>
          <w:color w:val="111111"/>
          <w:sz w:val="28"/>
          <w:szCs w:val="28"/>
          <w:rtl w:val="true"/>
          <w:lang w:bidi="fa-IR"/>
        </w:rPr>
        <w:t>.</w:t>
      </w:r>
    </w:p>
    <w:p>
      <w:pPr>
        <w:pStyle w:val="Heading3"/>
        <w:numPr>
          <w:ilvl w:val="2"/>
          <w:numId w:val="1"/>
        </w:numPr>
        <w:rPr/>
      </w:pPr>
      <w:bookmarkStart w:id="59" w:name="__RefHeading___Toc3696389_3650668749"/>
      <w:bookmarkStart w:id="60" w:name="_Toc21"/>
      <w:bookmarkEnd w:id="59"/>
      <w:r>
        <w:rPr>
          <w:rtl w:val="true"/>
        </w:rPr>
        <w:t>برداشت جاهلانه و تعابير زننده از حقايق معنوى</w:t>
      </w:r>
      <w:bookmarkEnd w:id="60"/>
    </w:p>
    <w:p>
      <w:pPr>
        <w:pStyle w:val="BookText"/>
        <w:rPr/>
      </w:pPr>
      <w:r>
        <w:rPr>
          <w:rFonts w:ascii="IRNazanin" w:hAnsi="IRNazanin" w:eastAsia="IRNazanin"/>
          <w:color w:val="111111"/>
          <w:sz w:val="28"/>
          <w:sz w:val="28"/>
          <w:szCs w:val="28"/>
          <w:rtl w:val="true"/>
          <w:lang w:bidi="fa-IR"/>
        </w:rPr>
        <w:t>ما در شرع اسلام نيز همانند چنين نمادهايى را مى‌بينيم؛ مثلاً اعمالى مانند طواف، قربانى، سعى صفا و مروه، رمى جمره، احرام، تراشيدن سر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درحج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كه با نگاه سطحى به اين‌گونه اعمال نگريسته شود، بايد همه اينها را نامعقول و جاهلانه دانست؛ همان‌گونه كه برخى از گستاخان بى‌دين همان عصر، طواف‌كننده خانه خدا را الاغى مى‌دانستند كه دور آسياب مى‌گردد يا سنگ زدن به ستون را ابلهانه مى‌پنداشتند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نيز كسانى هستند كه شهادت‌طلبى را جنون مرگ مى‌نامند و آن را زشت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مخالفت با هوى و هوس را حماقت و انفاق را جهل در اقتصاد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را خشونت و رزمندگان را تروريست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آن است كه اعمال انجام شده بتوانند با رعايت شرع، اهداف بلندى را تحقق بخشند، هرچند در ظاهر و در نظر برخى افراد كوته‌بين، نامعقول جلوه‌كنند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جريان آموزنده‌اى در اين مورد بى‌مناسبت نيست؛ يكى از استادان بزرگوار قم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سفرى به آلمان داشتم و مدتى در آنجا اقامت كردم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يكى از راننده‌هاى آنجا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شركتى به همراه </w:t>
      </w:r>
      <w:bookmarkStart w:id="61" w:name="pg1971_8345"/>
    </w:p>
    <w:p>
      <w:pPr>
        <w:pStyle w:val="BookText"/>
        <w:rPr/>
      </w:pPr>
      <w:bookmarkEnd w:id="61"/>
      <w:r>
        <w:rPr>
          <w:rFonts w:ascii="IRNazanin" w:hAnsi="IRNazanin" w:eastAsia="IRNazanin"/>
          <w:color w:val="111111"/>
          <w:sz w:val="28"/>
          <w:sz w:val="28"/>
          <w:szCs w:val="28"/>
          <w:rtl w:val="true"/>
          <w:lang w:bidi="fa-IR"/>
        </w:rPr>
        <w:t>فرد ديگرى، راننده يك اتوبوس بوديم در يكى از سفرها كه نوبت رانندگى همكارم بود هنگام توقف در گوشه‌اى مشغول نماز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سوار شدن و هنگام تعويض راننده، همين كه خواستم حركت كنم، خانمى آمد و اعتراض كرد كه من نبايد رانندگى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اعتدال روحى برخودار نيستى؛ زيرا ديدم در گوشه‌اى حركات نامعقولى انجام مى‌دادى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خواستم او را قانع كنم كه اين حركات، وظيفه عبادى مسلمانان است نه يك حركت بيهوده، قانع نشد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شكايت خواهم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هر حال، معيار در عاقلانه بودن عمل، پندار و برداشت افراد خام و سطحى‌نگر نيست، بلكه اهداف و آثار عمل است كه به آن ارزش مى‌دهد</w:t>
      </w:r>
      <w:r>
        <w:rPr>
          <w:rFonts w:eastAsia="IRNazanin" w:cs="IRNazanin"/>
          <w:color w:val="111111"/>
          <w:sz w:val="28"/>
          <w:szCs w:val="28"/>
          <w:rtl w:val="true"/>
          <w:lang w:bidi="fa-IR"/>
        </w:rPr>
        <w:t>.</w:t>
      </w:r>
    </w:p>
    <w:p>
      <w:pPr>
        <w:pStyle w:val="Heading3"/>
        <w:numPr>
          <w:ilvl w:val="2"/>
          <w:numId w:val="1"/>
        </w:numPr>
        <w:rPr/>
      </w:pPr>
      <w:bookmarkStart w:id="62" w:name="__RefHeading___Toc3696391_3650668749"/>
      <w:bookmarkStart w:id="63" w:name="_Toc22"/>
      <w:bookmarkEnd w:id="62"/>
      <w:r>
        <w:rPr>
          <w:rtl w:val="true"/>
        </w:rPr>
        <w:t>تأثير شگرف مراسم تعزيه در ترويج مكتب و تهييج مردم</w:t>
      </w:r>
      <w:bookmarkEnd w:id="63"/>
    </w:p>
    <w:p>
      <w:pPr>
        <w:pStyle w:val="BookText"/>
        <w:rPr/>
      </w:pPr>
      <w:r>
        <w:rPr>
          <w:rFonts w:ascii="IRNazanin" w:hAnsi="IRNazanin" w:eastAsia="IRNazanin"/>
          <w:color w:val="111111"/>
          <w:sz w:val="28"/>
          <w:sz w:val="28"/>
          <w:szCs w:val="28"/>
          <w:rtl w:val="true"/>
          <w:lang w:bidi="fa-IR"/>
        </w:rPr>
        <w:t xml:space="preserve">عزادارى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شيون، سينه‌زنى و اندوه از بهترين ابزار براى زنده نگهدارى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خواهد بود؛ زيرا همواره ديدن اين صحنه‌ها، تأثير عجيبى در اجتماع مى‌گذارد و سبب توجه به حقيقت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مظلوميت آنها و تنفر از ظالمان مى‌گردد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اشكالى دارد كه ملتى براى حفظ، تقويت و ترويج مكتب خويش، صحنه‌هايى از پرشورترين رويدادهاى حماسى دنيا را به نمايش بگذارد و ميليون‌ها نفر در سراسر جهان در آن شركت كنند و عده‌زيادى از آنها نيز با تماشاى آن صحنه‌ها تحت تأثير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پوشاندن لباس سفيد به </w:t>
      </w:r>
      <w:bookmarkStart w:id="64" w:name="pg1971_8346"/>
    </w:p>
    <w:p>
      <w:pPr>
        <w:pStyle w:val="BookText"/>
        <w:rPr/>
      </w:pPr>
      <w:bookmarkEnd w:id="64"/>
      <w:r>
        <w:rPr>
          <w:rFonts w:ascii="IRNazanin" w:hAnsi="IRNazanin" w:eastAsia="IRNazanin"/>
          <w:color w:val="111111"/>
          <w:sz w:val="28"/>
          <w:sz w:val="28"/>
          <w:szCs w:val="28"/>
          <w:rtl w:val="true"/>
          <w:lang w:bidi="fa-IR"/>
        </w:rPr>
        <w:t xml:space="preserve">كودك و خونين رنگ كردن آن به نشانه احترام به خون شهدا و نفرت از ستمگران كه نشان از عمق اهداف زيباى آنان است، كارى غير منطقى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ما هرگز كارهاى غير منطقى بعضى را كه در اين مراسم‌ها مرتكب مى‌شوند، توجيه نخواهيم كرد؛ ولى به سبب اين موارد اندك كه لازمه طبيعى گستردگى شركت عمومى مردم و عشق و شور والاى آنهاست، هرگز نمى‌توان اصل منطقى آن را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استهزاى امثال نويسنده كه براى زشت جلوه دادن مسئله، سينه‌زنى و زنجيرزنى را به چماق‌زنى تعبير كرده است، نبايد هراسى داشت؛ زيرا كم نبوده‌اند كوته‌فكرانى كه حركات حكيمانه الهى را همچون مناسك حج، مسخره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 كه مقصود از تشبيه اين محافل به حركت‌هاى نمادين، تنها بيان بُعد بيرونى اين امور است، نه آنكه اهداف عزاداران را در آن خلاصه كنيم؛ زيرا پديدآورندگان آن صحنه‌هاى پرشور، خود داراى شور و هيجان و ارادت و عشق هستند و خود بيشترين سود معنوى را از آن كارها مى‌برند و تنها براى جلب توجه ديگران، نمايشى را اجرا نمى‌كنند</w:t>
      </w:r>
      <w:r>
        <w:rPr>
          <w:rFonts w:eastAsia="IRNazanin" w:cs="IRNazanin"/>
          <w:color w:val="111111"/>
          <w:sz w:val="28"/>
          <w:szCs w:val="28"/>
          <w:rtl w:val="true"/>
          <w:lang w:bidi="fa-IR"/>
        </w:rPr>
        <w:t>.</w:t>
      </w:r>
    </w:p>
    <w:p>
      <w:pPr>
        <w:pStyle w:val="Heading3"/>
        <w:numPr>
          <w:ilvl w:val="2"/>
          <w:numId w:val="1"/>
        </w:numPr>
        <w:rPr/>
      </w:pPr>
      <w:bookmarkStart w:id="65" w:name="__RefHeading___Toc3696393_3650668749"/>
      <w:bookmarkStart w:id="66" w:name="_Toc23"/>
      <w:bookmarkEnd w:id="65"/>
      <w:r>
        <w:rPr>
          <w:rtl w:val="true"/>
        </w:rPr>
        <w:t>ج</w:t>
      </w:r>
      <w:r>
        <w:rPr>
          <w:rtl w:val="true"/>
        </w:rPr>
        <w:t xml:space="preserve">) </w:t>
      </w:r>
      <w:r>
        <w:rPr>
          <w:rtl w:val="true"/>
        </w:rPr>
        <w:t>برآورده شدن نذر، تأييدى الهى بر آن</w:t>
      </w:r>
      <w:bookmarkEnd w:id="66"/>
    </w:p>
    <w:p>
      <w:pPr>
        <w:pStyle w:val="BookText"/>
        <w:rPr/>
      </w:pPr>
      <w:r>
        <w:rPr>
          <w:rFonts w:ascii="IRNazanin" w:hAnsi="IRNazanin" w:eastAsia="IRNazanin"/>
          <w:color w:val="111111"/>
          <w:sz w:val="28"/>
          <w:sz w:val="28"/>
          <w:szCs w:val="28"/>
          <w:rtl w:val="true"/>
          <w:lang w:bidi="fa-IR"/>
        </w:rPr>
        <w:t>نويسنده مى‌گويد كه برآورده شدن نذر، دليل بر جايز بودن آن نيست</w:t>
      </w:r>
      <w:r>
        <w:rPr>
          <w:rFonts w:eastAsia="IRNazanin" w:cs="IRNazanin"/>
          <w:color w:val="111111"/>
          <w:sz w:val="28"/>
          <w:szCs w:val="28"/>
          <w:rtl w:val="true"/>
          <w:lang w:bidi="fa-IR"/>
        </w:rPr>
        <w:t>.</w:t>
      </w:r>
    </w:p>
    <w:p>
      <w:pPr>
        <w:pStyle w:val="Heading3"/>
        <w:numPr>
          <w:ilvl w:val="2"/>
          <w:numId w:val="1"/>
        </w:numPr>
        <w:rPr/>
      </w:pPr>
      <w:bookmarkStart w:id="67" w:name="__RefHeading___Toc3696395_3650668749"/>
      <w:bookmarkStart w:id="68" w:name="_Toc24"/>
      <w:bookmarkEnd w:id="67"/>
      <w:r>
        <w:rPr>
          <w:rtl w:val="true"/>
        </w:rPr>
        <w:t>پاسخ</w:t>
      </w:r>
      <w:bookmarkEnd w:id="6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نويسنده بعد از مشاهده برآورده شدن حاجت عمه‌اش، براى آنكه </w:t>
      </w:r>
      <w:bookmarkStart w:id="69" w:name="pg1971_8347"/>
    </w:p>
    <w:p>
      <w:pPr>
        <w:pStyle w:val="BookText"/>
        <w:rPr/>
      </w:pPr>
      <w:bookmarkEnd w:id="69"/>
      <w:r>
        <w:rPr>
          <w:rFonts w:ascii="IRNazanin" w:hAnsi="IRNazanin" w:eastAsia="IRNazanin"/>
          <w:color w:val="111111"/>
          <w:sz w:val="28"/>
          <w:sz w:val="28"/>
          <w:szCs w:val="28"/>
          <w:rtl w:val="true"/>
          <w:lang w:bidi="fa-IR"/>
        </w:rPr>
        <w:t>اين‌گونه نذرها را باطل جلوه دهد به فكر چاره افتاده و مدعى شده است كه گاهى اين‌گونه مسائل براى مسيحى‌ها، هندوها و بت‌پرستان نيز رخ مى‌دهد و خداوند نه براى درستى كارشان، بلكه براى فرو بردن آنها در فتنه، دعاى‌شان را مستجاب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هرچند براى اثبات صحت نذر، نمى‌توان به برآورده‌شدن آن استدلال كرد، ولى مى‌تواند تأييد خوبى براى توجه الهى به آن باشد؛ يعنى اين‌گونه حوادث، مى‌تواند مؤيد خوبى براى كسانى باشد كه راه حق را شناخته‌اند و در مسير حق گام برمى‌دارند؛ همچنان‌كه خواب‌ها چنين‌اند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حكمت اينكه خداوند متعال گاهى دعاى غيرمسلمانان را مى‌پذيرد، لزوماً مسئله استدراج و فتنه نيست، بلكه چه بسا ميان آنان، افرادى ناتوان از شناخت اسلام هستند كه لطف الهى اقتضا مى‌كند آنها را به طرف خويش بخواند و چه بسا در اثر همين عنايات، كم‌كم به حقايق اسلام نزديك شوند يا دست‌كم با تقويت حس خداجويى در آنها، دين و معنويت در جامعه‌شان ترويج گردد و از رشد مادى‌گرى در عقيده و عملشان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خداوند حكمت‌هاى فراوان و پيچيده‌اى است كه منحصر در استدراج نيست</w:t>
      </w:r>
      <w:r>
        <w:rPr>
          <w:rFonts w:eastAsia="IRNazanin" w:cs="IRNazanin"/>
          <w:color w:val="111111"/>
          <w:sz w:val="28"/>
          <w:szCs w:val="28"/>
          <w:rtl w:val="true"/>
          <w:lang w:bidi="fa-IR"/>
        </w:rPr>
        <w:t>.</w:t>
      </w:r>
    </w:p>
    <w:p>
      <w:pPr>
        <w:pStyle w:val="Heading3"/>
        <w:numPr>
          <w:ilvl w:val="2"/>
          <w:numId w:val="1"/>
        </w:numPr>
        <w:rPr/>
      </w:pPr>
      <w:bookmarkStart w:id="70" w:name="__RefHeading___Toc3696397_3650668749"/>
      <w:bookmarkStart w:id="71" w:name="_Toc25"/>
      <w:bookmarkEnd w:id="70"/>
      <w:r>
        <w:rPr>
          <w:rtl w:val="true"/>
        </w:rPr>
        <w:t>د</w:t>
      </w:r>
      <w:r>
        <w:rPr>
          <w:rtl w:val="true"/>
        </w:rPr>
        <w:t xml:space="preserve">) </w:t>
      </w:r>
      <w:r>
        <w:rPr>
          <w:rtl w:val="true"/>
        </w:rPr>
        <w:t>رابطه كمك خواستن از غير خداوند و شرك</w:t>
      </w:r>
      <w:bookmarkEnd w:id="7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مى‌گويد كه دعا و يارى‌خواستن، عبادت است و عبادت بايد فقط براى خداوند باشد و آيه مباركه وَ أَنَّ الْمَساجِدَ لِلَّهِ فَلا تَدْعُوا مَعَ اللَّهِ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آورده است</w:t>
      </w:r>
      <w:r>
        <w:rPr>
          <w:rFonts w:eastAsia="IRNazanin" w:cs="IRNazanin"/>
          <w:color w:val="111111"/>
          <w:sz w:val="28"/>
          <w:szCs w:val="28"/>
          <w:rtl w:val="true"/>
          <w:lang w:bidi="fa-IR"/>
        </w:rPr>
        <w:t xml:space="preserve">. </w:t>
      </w:r>
      <w:bookmarkStart w:id="72" w:name="pg1971_8348"/>
    </w:p>
    <w:p>
      <w:pPr>
        <w:pStyle w:val="Heading3"/>
        <w:numPr>
          <w:ilvl w:val="2"/>
          <w:numId w:val="1"/>
        </w:numPr>
        <w:rPr/>
      </w:pPr>
      <w:bookmarkStart w:id="73" w:name="__RefHeading___Toc3696399_3650668749"/>
      <w:bookmarkStart w:id="74" w:name="_Toc26"/>
      <w:bookmarkEnd w:id="72"/>
      <w:bookmarkEnd w:id="73"/>
      <w:r>
        <w:rPr>
          <w:rtl w:val="true"/>
        </w:rPr>
        <w:t>پاسخ</w:t>
      </w:r>
      <w:bookmarkEnd w:id="74"/>
    </w:p>
    <w:p>
      <w:pPr>
        <w:pStyle w:val="BookText"/>
        <w:rPr/>
      </w:pPr>
      <w:r>
        <w:rPr>
          <w:rFonts w:ascii="IRNazanin" w:hAnsi="IRNazanin" w:eastAsia="IRNazanin"/>
          <w:color w:val="111111"/>
          <w:sz w:val="28"/>
          <w:sz w:val="28"/>
          <w:szCs w:val="28"/>
          <w:rtl w:val="true"/>
          <w:lang w:bidi="fa-IR"/>
        </w:rPr>
        <w:t>اما اينكه دعا و يارى‌خواستن غير خداوند، عبادت است، اگر منظور آن است كه هرگونه صدا زدن ديگران عبادت است، بطلان اين حرف،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آن است كه هرگونه درخواست از ديگرى با صداى بلند، عبادت است، اين هم با طبيعت بشر كه به يكديگر نيازمندند و چه بسا از ديگران با صداى بلند كمك مى‌خواهند و هرگز اين كار را عبادت نمى‌دانند،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كمك خواستن از مردگان است و اين عمل، عبادت است، چرا دليلى بر آن ذكر نشده است؟ آيا اگر عملى عبادت باشد، ميان زنده و مرده فرق است؟ صدا زدن افراد چه ارتباطى با عبادت آنها دارد؟ اينكه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قدرت پاسخگويى ندارند، اگر صحيح هم باشد كه نيست، دليل بر بيهوده بودن عمل است؛ نه آنكه عبادت كردن آنها حساب شده و شرك باشد و اگر مقصود، حرمت كمك خواستن از مردگان است، بايد دليل شرعى، مطرح كرد و اين ربطى به عبادت و شرك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معناى آيه مباركه به قرينه كلمه مَعَ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است كه محل سجده براى خداست؛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 را با خداوند نخوانيد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در معابد و مساجد يا هنگام سجده، جز خدا را پرستش نكنيد؛ آن‌گونه كه مشركان عرب و اهل كتاب، بُت‌ها و ديگران را همراه خداوند مى‌پرستيدند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معناى آيه، نفى عبادت غيرخداوند در مساجد است، نه نهى از صدا زدن غيرخداوند و اينكه كمك خواستن از هركس در مسجد شرك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اگر صدا زدن جز خداوند، شرك باشد، اختصاصى به مسجد و غيرمسجد ندارد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صدا زدن كسى براى كمك خواستن، بدون اعتقاد به الوهيت و پرستش او، عبادت است؟ مسلم است كه روش قرآن، احاديث، تاريخ و سيره مؤمنان خلاف چنين امرى است</w:t>
      </w:r>
      <w:r>
        <w:rPr>
          <w:rFonts w:eastAsia="IRNazanin" w:cs="IRNazanin"/>
          <w:color w:val="111111"/>
          <w:sz w:val="28"/>
          <w:szCs w:val="28"/>
          <w:rtl w:val="true"/>
          <w:lang w:bidi="fa-IR"/>
        </w:rPr>
        <w:t xml:space="preserve">. </w:t>
      </w:r>
      <w:bookmarkStart w:id="75" w:name="pg1971_8350"/>
    </w:p>
    <w:p>
      <w:pPr>
        <w:pStyle w:val="Heading2"/>
        <w:numPr>
          <w:ilvl w:val="1"/>
          <w:numId w:val="1"/>
        </w:numPr>
        <w:rPr/>
      </w:pPr>
      <w:bookmarkStart w:id="76" w:name="__RefHeading___Toc3696401_3650668749"/>
      <w:bookmarkStart w:id="77" w:name="_Toc27"/>
      <w:bookmarkEnd w:id="75"/>
      <w:bookmarkEnd w:id="76"/>
      <w:r>
        <w:rPr/>
        <w:t>٣</w:t>
      </w:r>
      <w:r>
        <w:rPr>
          <w:rtl w:val="true"/>
        </w:rPr>
        <w:t xml:space="preserve"> سود و زيان، فقط به دست خداوند</w:t>
      </w:r>
      <w:bookmarkEnd w:id="77"/>
    </w:p>
    <w:p>
      <w:pPr>
        <w:pStyle w:val="Heading3"/>
        <w:numPr>
          <w:ilvl w:val="2"/>
          <w:numId w:val="1"/>
        </w:numPr>
        <w:rPr/>
      </w:pPr>
      <w:bookmarkStart w:id="78" w:name="__RefHeading___Toc3696403_3650668749"/>
      <w:bookmarkStart w:id="79" w:name="_Toc28"/>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 xml:space="preserve">در پاورقى صفحه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به يقين مى‌داند كه سود و زيان و شفا تنها به دست خداست و هيچ كس به غير او نمى‌تواند به كسى سود و زيان برساند يا به او روزى و شفا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آيه قُلْ إِنِّي لا أَمْلِكُ لَكُمْ ضَرًّا وَ لا رَشَداً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متذكر مى‌شود</w:t>
      </w:r>
      <w:r>
        <w:rPr>
          <w:rFonts w:eastAsia="IRNazanin" w:cs="IRNazanin"/>
          <w:color w:val="111111"/>
          <w:sz w:val="28"/>
          <w:szCs w:val="28"/>
          <w:rtl w:val="true"/>
          <w:lang w:bidi="fa-IR"/>
        </w:rPr>
        <w:t>.</w:t>
      </w:r>
    </w:p>
    <w:p>
      <w:pPr>
        <w:pStyle w:val="Heading3"/>
        <w:numPr>
          <w:ilvl w:val="2"/>
          <w:numId w:val="1"/>
        </w:numPr>
        <w:rPr/>
      </w:pPr>
      <w:bookmarkStart w:id="80" w:name="__RefHeading___Toc3696405_3650668749"/>
      <w:bookmarkStart w:id="81" w:name="_Toc29"/>
      <w:bookmarkEnd w:id="80"/>
      <w:r>
        <w:rPr>
          <w:rtl w:val="true"/>
        </w:rPr>
        <w:t>پاسخ</w:t>
      </w:r>
      <w:bookmarkEnd w:id="81"/>
    </w:p>
    <w:p>
      <w:pPr>
        <w:pStyle w:val="BookText"/>
        <w:rPr/>
      </w:pPr>
      <w:r>
        <w:rPr>
          <w:rFonts w:ascii="IRNazanin" w:hAnsi="IRNazanin" w:eastAsia="IRNazanin"/>
          <w:color w:val="111111"/>
          <w:sz w:val="28"/>
          <w:sz w:val="28"/>
          <w:szCs w:val="28"/>
          <w:rtl w:val="true"/>
          <w:lang w:bidi="fa-IR"/>
        </w:rPr>
        <w:t>اگر مقصود از آنكه تمامى سود و زيان‌ها از خداست و هيچ‌كس نمى‌تواند سود و زيانى برساند، اين است كه هيچ موجودى يا انسانى در عالم مؤثر نيست و از خود اختيارى ندارد، همه كارها را خداوند مستقيم و بدون واسطه انجام مى‌دهد، تمامى شرور عالم اعم از قتل، شكنجه، زنا، دزدى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همه كار خداست و مردم تنها مثل عروسك خيمه‌شب‌بازى هستند، چنين اعتقادى، خلاف قرآن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مردم را مسئول اعمال خويش مى‌داند، به آنها امر و نهى مى‌كند، از عقاب مى‌ترساند و هرگونه ظلم را از جانب خداوند دور مى‌كند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مقصود آن است كه هر عملى در عالم، زير نظر خداوند و با نيرو و ابزارى است كه او در اختيار افراد قرار داده است و آنها از فكر و ذهن </w:t>
      </w:r>
    </w:p>
    <w:p>
      <w:pPr>
        <w:pStyle w:val="BookText"/>
        <w:rPr/>
      </w:pPr>
      <w:r>
        <w:rPr>
          <w:rFonts w:ascii="IRNazanin" w:hAnsi="IRNazanin" w:eastAsia="IRNazanin"/>
          <w:color w:val="111111"/>
          <w:sz w:val="28"/>
          <w:sz w:val="28"/>
          <w:szCs w:val="28"/>
          <w:rtl w:val="true"/>
          <w:lang w:bidi="fa-IR"/>
        </w:rPr>
        <w:t>و اختيار خدادادى در راه خير و شر استفاده مى‌كنند، سخن حقى است؛ ولى منافاتى با سود و زيان رساندن ديگران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اينكه مردم به يكديگر سود و زيان نمى‌رسانند يا نمى‌توانند برسانند، تكذيب عقل، قرآن، وجدان و واقعيت‌هاى خارجى است؛ پس اين‌همه ضرر كه دشمنان اسلام به جامعه اسلامى و مسلمانان مى‌زنند يا سرقت، قتل و جنايتى كه افراد انجام مى‌دهند، چيست؟ اگر آنها نمى‌توانند سود و زيان برسانند، چرا سود رساندن به مردم، مستحب و ضرر زدن به آنها حرام شده است؟</w:t>
      </w:r>
    </w:p>
    <w:p>
      <w:pPr>
        <w:pStyle w:val="BookText"/>
        <w:rPr/>
      </w:pPr>
      <w:r>
        <w:rPr>
          <w:rFonts w:ascii="IRNazanin" w:hAnsi="IRNazanin" w:eastAsia="IRNazanin"/>
          <w:color w:val="111111"/>
          <w:sz w:val="28"/>
          <w:sz w:val="28"/>
          <w:szCs w:val="28"/>
          <w:rtl w:val="true"/>
          <w:lang w:bidi="fa-IR"/>
        </w:rPr>
        <w:t>عقيده صحيح آن است كه همگان در حكومت الهى، به اذن و قدرتش مى‌توانند آزادانه از امكانات خدادادى‌اش بهره‌مند گردند؛ بنابراين مسئول اعمال خويش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انحرافى آن است كه انسان، خدا را ظالم و ستم‌ها را از جانب او بداند يا مخلوقات را مستقل و بى‌نياز از او بداند؛ اما اگر بزرگ‌ترين كارها را به شخصى نسبت دهد، ولى انجام دادن آن را وابسته به اذن و قدرت الهى بداند، هرگز از حريم توحيد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آنكه شخصى از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مرده را به اذن خداوند زنده مى‌كنى، اين پدر مرا هم زنده كن؛ ازاين‌رو قرآن مجيد، زنده كردن مرده و شفاى بيماران را با اينكه به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مى‌دهد، به اذن خداوند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أَنِّي أَخْلُقُ لَكُمْ مِنَ الطِّينِ كَهَيْئَةِ الطَّيْرِ فَأَنْفُخُ فِيهِ فَيَكُونُ طَيْراً بِإِذْنِ اللَّهِ وَ أُبْرِئُ الْأَكْمَهَ وَ الْأَبْرَصَ وَ أُحْيِ الْمَوْتى بِإِذْنِ اللَّهِ وَ أُنَبِّئُكُمْ بِما تَأْكُلُونَ وَ ما تَدَّخِرُونَ فِي بُيُوتِكُمْ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گِل، چيزى به شكل پرنده مى‌سازم، سپس در آن مى‌دمم و</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اذن خدا پرنده‌اى مى‌گردد و به اذن خدا، كور مادرزاد و مبتلا به </w:t>
      </w:r>
      <w:bookmarkStart w:id="82" w:name="pg1971_8352"/>
    </w:p>
    <w:p>
      <w:pPr>
        <w:pStyle w:val="BookText"/>
        <w:rPr/>
      </w:pPr>
      <w:bookmarkEnd w:id="82"/>
      <w:r>
        <w:rPr>
          <w:rFonts w:ascii="IRNazanin" w:hAnsi="IRNazanin" w:eastAsia="IRNazanin"/>
          <w:color w:val="111111"/>
          <w:sz w:val="28"/>
          <w:sz w:val="28"/>
          <w:szCs w:val="28"/>
          <w:rtl w:val="true"/>
          <w:lang w:bidi="fa-IR"/>
        </w:rPr>
        <w:t>بيمارى پيسى را بهبودى مى‌بخشم و مردگان را به اذن خدا زنده مى‌كنم و به شما خبر مى‌دهم از آنچه مى‌خوريد و آنچه را در خانه‌هاى خود ذخيره مى‌كنيد</w:t>
      </w:r>
      <w:r>
        <w:rPr>
          <w:rFonts w:eastAsia="IRNazanin" w:cs="IRNazanin"/>
          <w:color w:val="111111"/>
          <w:sz w:val="28"/>
          <w:szCs w:val="28"/>
          <w:rtl w:val="true"/>
          <w:lang w:bidi="fa-IR"/>
        </w:rPr>
        <w:t>.</w:t>
      </w:r>
    </w:p>
    <w:p>
      <w:pPr>
        <w:pStyle w:val="Heading3"/>
        <w:numPr>
          <w:ilvl w:val="2"/>
          <w:numId w:val="1"/>
        </w:numPr>
        <w:rPr/>
      </w:pPr>
      <w:bookmarkStart w:id="83" w:name="__RefHeading___Toc3696407_3650668749"/>
      <w:bookmarkStart w:id="84" w:name="_Toc30"/>
      <w:bookmarkEnd w:id="83"/>
      <w:r>
        <w:rPr>
          <w:rtl w:val="true"/>
        </w:rPr>
        <w:t>قرآن و نسبت سود و زيان به غير خداوند</w:t>
      </w:r>
      <w:bookmarkEnd w:id="84"/>
    </w:p>
    <w:p>
      <w:pPr>
        <w:pStyle w:val="BookText"/>
        <w:rPr/>
      </w:pPr>
      <w:r>
        <w:rPr>
          <w:rFonts w:ascii="IRNazanin" w:hAnsi="IRNazanin" w:eastAsia="IRNazanin"/>
          <w:color w:val="111111"/>
          <w:sz w:val="28"/>
          <w:sz w:val="28"/>
          <w:szCs w:val="28"/>
          <w:rtl w:val="true"/>
          <w:lang w:bidi="fa-IR"/>
        </w:rPr>
        <w:t xml:space="preserve">مواردى را در قرآن مى‌يابيم كه سود و زيان را به مردم نسبت داده است؛ مثلاً در مورد يادگيرى سحر از دو فرشته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 و 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يَتَعَلَّمُونَ ما 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رُّهُمْ وَ لا يَنْفَعُهُمْ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مطالبى را فرا مى‌گرفتند كه به آنان زيان مى‌رسانيد و نفعى نمى‌داد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مى‌فهماند كه سحر، زيان مى‌رساند؛ ازاين‌رو در اندكى قبل از اين فراز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فَيَتَعَلَّمُونَ مِنْهُما ما يُفَرِّقُونَ بِهِ بَيْنَ الْمَرْءِ وَ زَوْجِهِ</w:t>
      </w:r>
    </w:p>
    <w:p>
      <w:pPr>
        <w:pStyle w:val="BookText"/>
        <w:rPr/>
      </w:pPr>
      <w:r>
        <w:rPr>
          <w:rFonts w:ascii="Amiri" w:hAnsi="Amiri" w:eastAsia="Amiri" w:cs="Amiri"/>
          <w:color w:val="111111"/>
          <w:sz w:val="28"/>
          <w:sz w:val="28"/>
          <w:szCs w:val="28"/>
          <w:rtl w:val="true"/>
          <w:lang w:bidi="ar-SA"/>
        </w:rPr>
        <w:t>ولى آنها از آن دو فرشته، مطالبى را مى‌آموختند كه بتوانند به وسيله آن، ميان مرد و همسرش جدايى بيفكنند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را به سبب زيان رساندن به مردم ملامت مى‌كند؛ ولى براى اينكه مشخص گردد اين ستمكاران از محدوده‌قدرت و حكومت حق بيرون نيستند و اگر خداوند مانع‌شان نمى‌شود از عجز نيست، بلافاصله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بِضارِّينَ بِهِ مِنْ أَحَدٍ إِلَّا بِإِذْنِ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درحالى‌كه هيچ‌گاه نمى‌توانند بدون اجازه خداوند به كسى زيان برسانند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گرچه آنها آسيب مى‌رسانند، ولى از محدوده قدرت و حكومت حق خارج نيستند؛ بلكه براى اين كار از قدرت، اختيار و علم الهى</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مى‌كنند و خداوند نيز مى‌خواهد كه مدتى آنها را آزاد بگذارد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آياتى در قرآن هست كه از زيان رساندن نهى مى‌كند؛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تُمْسِكُوهُنَّ ضِراراً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خاطر زيان رساندن، نگاه نداريد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اتَّخَذُوا مَسْجِداً ضِراراً وَ كُفْراً وَ تَفْرِيقاً بَيْنَ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ديگر 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مسجدى ساختند براى زيان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تفرقه افكنى ميان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وَصِيَّةٍ يُوصى بِها أَوْ دَيْنٍ غَيْرَ مُضَارٍّ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انجام وصيتى كه به آن سفارش شده و اداى دين به شرط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وصيت و اقرار به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ورثه ضرر نزند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تُضَارَّ والِدَةٌ بِوَلَدِها وَ لا مَوْلُودٌ لَهُ بِوَلَدِهِ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بر مادر و فرزندش به‌خاطر يكديگر زيانى وارد شود و نه بر پدر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ناحيه يكديگر ضررى وارد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تُضآرُّوهُنَّ لِتُضَيِّقُوا عَلَيْهِنَّ</w:t>
      </w:r>
    </w:p>
    <w:p>
      <w:pPr>
        <w:pStyle w:val="BookText"/>
        <w:rPr/>
      </w:pPr>
      <w:r>
        <w:rPr>
          <w:rFonts w:ascii="IRNazanin" w:hAnsi="IRNazanin" w:eastAsia="IRNazanin"/>
          <w:color w:val="111111"/>
          <w:sz w:val="28"/>
          <w:sz w:val="28"/>
          <w:szCs w:val="28"/>
          <w:rtl w:val="true"/>
          <w:lang w:bidi="fa-IR"/>
        </w:rPr>
        <w:t xml:space="preserve">وبه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 نرسانيد تا آنها را در تنگنا قرار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مجبور به ترك منزل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يُضَارَّ كاتِبٌ وَ لا شَهِيدٌ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نبايد به نويسنده و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p>
    <w:p>
      <w:pPr>
        <w:pStyle w:val="BookText"/>
        <w:rPr/>
      </w:pPr>
      <w:r>
        <w:rPr>
          <w:rFonts w:ascii="IRNazanin" w:hAnsi="IRNazanin" w:eastAsia="IRNazanin"/>
          <w:color w:val="111111"/>
          <w:sz w:val="28"/>
          <w:sz w:val="28"/>
          <w:szCs w:val="28"/>
          <w:rtl w:val="true"/>
          <w:lang w:bidi="fa-IR"/>
        </w:rPr>
        <w:t>سبب حق‌گويى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زيانى برسد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٢٨٢</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نفع را نيز به غير خدا نسبت مى‌دهد؛ همچنان‌كه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الْفُلْكِ الَّتِي تَجْرِي فِي الْبَحْرِ بِما يَنْفَعُ النَّاسَ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كشتى‌هايى كه در دريا به نفع مردم در حركتند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١۶۴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يَنْفَعُ النَّاسَ فَيَمْكُثُ فِي الْأَرْضِ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آنچه به مردم سود مى‌رساند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يا فلز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مى‌ماند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موارد نفع و زيان را بدون ذكر اين دو عنوان جستجو كنيم، تعداد بيشترى از آن را در قرآن‌مجيد خواهيم يافت</w:t>
      </w:r>
      <w:r>
        <w:rPr>
          <w:rFonts w:eastAsia="IRNazanin" w:cs="IRNazanin"/>
          <w:color w:val="111111"/>
          <w:sz w:val="28"/>
          <w:szCs w:val="28"/>
          <w:rtl w:val="true"/>
          <w:lang w:bidi="fa-IR"/>
        </w:rPr>
        <w:t xml:space="preserve">. </w:t>
      </w:r>
      <w:bookmarkStart w:id="85" w:name="pg1971_8355"/>
    </w:p>
    <w:p>
      <w:pPr>
        <w:pStyle w:val="Heading2"/>
        <w:numPr>
          <w:ilvl w:val="1"/>
          <w:numId w:val="1"/>
        </w:numPr>
        <w:rPr/>
      </w:pPr>
      <w:bookmarkStart w:id="86" w:name="__RefHeading___Toc3696409_3650668749"/>
      <w:bookmarkStart w:id="87" w:name="_Toc31"/>
      <w:bookmarkEnd w:id="85"/>
      <w:bookmarkEnd w:id="86"/>
      <w:r>
        <w:rPr/>
        <w:t>۴</w:t>
      </w:r>
      <w:r>
        <w:rPr>
          <w:rtl w:val="true"/>
        </w:rPr>
        <w:t xml:space="preserve"> سود رسانى عتبات و مقبره‌ها</w:t>
      </w:r>
      <w:bookmarkEnd w:id="87"/>
    </w:p>
    <w:p>
      <w:pPr>
        <w:pStyle w:val="Heading3"/>
        <w:numPr>
          <w:ilvl w:val="2"/>
          <w:numId w:val="1"/>
        </w:numPr>
        <w:rPr/>
      </w:pPr>
      <w:bookmarkStart w:id="88" w:name="__RefHeading___Toc3696411_3650668749"/>
      <w:bookmarkStart w:id="89" w:name="_Toc32"/>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از نذر مادرش مى‌گويد كه براى شفاى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كرد به زيارتگاه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براى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ويژه‌اى بكند؛ زيرا مادرش همانند همه شيعيان معتقد بود عتبات و مقبره‌ها سود مى‌رسانند و زيان را دور مى‌كنند؛ اما از آنجا كه مادرش نتوانسته بود نذرش را انجام دهد از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كه سنّى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نذر را انجام دهد؛ اما وى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خنده‌آور اين بود كه بعد از سال‌ها كه مردم به زيارتگاه مى‌رفتند و نذر مى‌كردند، معلوم شد كه زيارتگاه دروغ بوده و سپس آن را تخريب كردند</w:t>
      </w:r>
      <w:r>
        <w:rPr>
          <w:rFonts w:eastAsia="IRNazanin" w:cs="IRNazanin"/>
          <w:color w:val="111111"/>
          <w:sz w:val="28"/>
          <w:szCs w:val="28"/>
          <w:rtl w:val="true"/>
          <w:lang w:bidi="fa-IR"/>
        </w:rPr>
        <w:t>» .</w:t>
      </w:r>
    </w:p>
    <w:p>
      <w:pPr>
        <w:pStyle w:val="Heading3"/>
        <w:numPr>
          <w:ilvl w:val="2"/>
          <w:numId w:val="1"/>
        </w:numPr>
        <w:rPr/>
      </w:pPr>
      <w:bookmarkStart w:id="90" w:name="__RefHeading___Toc3696413_3650668749"/>
      <w:bookmarkStart w:id="91" w:name="_Toc33"/>
      <w:bookmarkEnd w:id="90"/>
      <w:r>
        <w:rPr>
          <w:rtl w:val="true"/>
        </w:rPr>
        <w:t>پاسخ</w:t>
      </w:r>
      <w:bookmarkEnd w:id="91"/>
    </w:p>
    <w:p>
      <w:pPr>
        <w:pStyle w:val="BookText"/>
        <w:rPr/>
      </w:pPr>
      <w:r>
        <w:rPr>
          <w:rFonts w:ascii="IRNazanin" w:hAnsi="IRNazanin" w:eastAsia="IRNazanin"/>
          <w:color w:val="111111"/>
          <w:sz w:val="28"/>
          <w:sz w:val="28"/>
          <w:szCs w:val="28"/>
          <w:rtl w:val="true"/>
          <w:lang w:bidi="fa-IR"/>
        </w:rPr>
        <w:t>اگر مقصود وى از سودرسانى مقبره‌ها آن است كه ساختمان‌شان سود مى‌رساند، سخنى مغرضانه و بهتان بر شيعه است و اين مثل آن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معتقدند مسجد و كعبه سود مى‌رساند؛ زيرا در آنجا اجتماع مى‌كنند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مقصود آن است كه اين مكان‌ها به سبب وجود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اولياى الهى مورد توجه خداوند متعال است و خداوند دعاى مردم </w:t>
      </w:r>
    </w:p>
    <w:p>
      <w:pPr>
        <w:pStyle w:val="BookText"/>
        <w:rPr/>
      </w:pPr>
      <w:r>
        <w:rPr>
          <w:rFonts w:ascii="IRNazanin" w:hAnsi="IRNazanin" w:eastAsia="IRNazanin"/>
          <w:color w:val="111111"/>
          <w:sz w:val="28"/>
          <w:sz w:val="28"/>
          <w:szCs w:val="28"/>
          <w:rtl w:val="true"/>
          <w:lang w:bidi="fa-IR"/>
        </w:rPr>
        <w:t>را در آنجا بهتر اجابت مى‌كند، همچنان‌كه در مسجد و كنار بيت‌الله، بيشتر عنايت دارد، مطلب حقى است و ما معتقديم كه مشاهد مشرفه از مصاديق بارز اين آيه مباركه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بُيُوتٍ أَذِنَ اللَّهُ أَنْ تُرْفَعَ وَ يُذْكَرَ فِيهَا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چراغ پرفروغ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خانه‌هايى قراردارد كه خداوند اذن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بالا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دستبرد شياطين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آنها نام خدا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چنين نباشد درحالى‌كه خداوند شهر مكه را به سبب وجود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بزرگ شمرده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أُقْسِمُ بِهذَا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حِلٌّ بِهذَا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اين شهر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شهرى كه تو در آن ساكنى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مناجات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خورده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طُورِ سِينِينَ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الْبَلَدِ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سوگند به طور سينا و سوگند به اين شهر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همين است كه شيعيان از اين فرصت الهى استفاده كرده و در آنجا دعا مى‌كنند تا خداوند به بركت آن ولى خدا كه آنجا آرميده است خير دنيا و آخرت را به آنها عطا و شر دنيا و آخرت را از آنها دفع كند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مقصود نويسنده آن است كه شيعيان در اين مكان‌ها، اولياى خدا و ائمه معصوم را در درگاه الهى شفيع قرار مى‌دهند و از آنان مى‌خواهند كه به اذن و قدرتى كه خداوند در اختيارشان قرار داده، حاجات آنها را برآورده كنند، اين نيز مطلب حق و صحيحى است كه هيچ دليل عقلى و نقلى برخلاف آن وجود ندارد، بلكه به آيات قرآن و روايات فراوانى </w:t>
      </w:r>
    </w:p>
    <w:p>
      <w:pPr>
        <w:pStyle w:val="BookText"/>
        <w:rPr/>
      </w:pPr>
      <w:r>
        <w:rPr>
          <w:rFonts w:ascii="Amiri" w:hAnsi="Amiri" w:eastAsia="Amiri" w:cs="Amiri"/>
          <w:color w:val="111111"/>
          <w:sz w:val="28"/>
          <w:sz w:val="28"/>
          <w:szCs w:val="28"/>
          <w:rtl w:val="true"/>
          <w:lang w:bidi="ar-SA"/>
        </w:rPr>
        <w:t>تأييد شده است و با ادّعا و تمسخر نمى‌توان حقى را باطل كرد يا باطلى را اثبات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درباره زيارتگاه منامه اگر چنين باشد كه وى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اين داستان براى ما مشكوك است؛ به‌ويژه وقتى فردى مثل نويسنده با ديده دشمنى به آن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سوء استفاده برخى مغرضان از عواطف پاك مردم يا اشتباه برخى مؤمنان به سبب زيادى علاقه به مسائل مذهبى در تاريخ، تازگى دارد كه اين‌گونه موارد، سرزنش به حساب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در تشخيص موضوع و به‌ويژه قبور اوليا كه قرن‌ها از آن مى‌گذرد، فراوان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موارد با توجه به عشق و علاقه ميليون‌ها نفر در سراسر جهان به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همان‌گونه كه هر كالاى ارزشمندى به سبب مشترى زياد، ممكن است مورد سوءاستفاده بَدانديشان قرار گيرد و هرگز به تقدس اين مرقدها صدمه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گاهى در تشخيص موضوع اشتباه كنند؛ همانند كسى كه سال‌ها در جايى به خيال آنكه معبد است نماز خوانده، بعد معلوم شده كه معبد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مسئولان فرهنگى و دينى، بايد دقت و تلاش بيشترى در شناسايى اين‌گونه مرقدهاى غير مشهور داشته باشند تا عده‌اى مغرض از احساسات پاك مردم سوء استفاده نكنند و بهانه به دست مغرضان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كسى به تاريخ گذشته و معاصر اهل سنت مراجعه كند، چه بسا به موارد بسيارى از اين‌گونه خطاهاى در تشخيص برخورد كند؛ زيرا آنان نيز مزارهاى فراوانى دارند و به دورترين نقاط براى زيارت قبور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بزرگانشان مى‌روند</w:t>
      </w:r>
      <w:r>
        <w:rPr>
          <w:rFonts w:eastAsia="IRNazanin" w:cs="IRNazanin"/>
          <w:color w:val="111111"/>
          <w:sz w:val="28"/>
          <w:szCs w:val="28"/>
          <w:rtl w:val="true"/>
          <w:lang w:bidi="fa-IR"/>
        </w:rPr>
        <w:t xml:space="preserve">. </w:t>
      </w:r>
      <w:bookmarkStart w:id="92" w:name="pg1971_8358"/>
    </w:p>
    <w:p>
      <w:pPr>
        <w:pStyle w:val="Heading2"/>
        <w:numPr>
          <w:ilvl w:val="1"/>
          <w:numId w:val="1"/>
        </w:numPr>
        <w:rPr/>
      </w:pPr>
      <w:bookmarkStart w:id="93" w:name="__RefHeading___Toc3696415_3650668749"/>
      <w:bookmarkStart w:id="94" w:name="_Toc34"/>
      <w:bookmarkEnd w:id="92"/>
      <w:bookmarkEnd w:id="93"/>
      <w:r>
        <w:rPr/>
        <w:t>۵</w:t>
      </w:r>
      <w:r>
        <w:rPr>
          <w:rtl w:val="true"/>
        </w:rPr>
        <w:t xml:space="preserve"> خرافه عوام شيعه و خواص اهل سنت</w:t>
      </w:r>
      <w:bookmarkEnd w:id="94"/>
    </w:p>
    <w:p>
      <w:pPr>
        <w:pStyle w:val="Heading3"/>
        <w:numPr>
          <w:ilvl w:val="2"/>
          <w:numId w:val="1"/>
        </w:numPr>
        <w:rPr/>
      </w:pPr>
      <w:bookmarkStart w:id="95" w:name="__RefHeading___Toc3696417_3650668749"/>
      <w:bookmarkStart w:id="96" w:name="_Toc35"/>
      <w:bookmarkEnd w:id="95"/>
      <w:r>
        <w:rPr>
          <w:rtl w:val="true"/>
        </w:rPr>
        <w:t>اشاره</w:t>
      </w:r>
      <w:bookmarkEnd w:id="96"/>
    </w:p>
    <w:p>
      <w:pPr>
        <w:pStyle w:val="BookText"/>
        <w:rPr/>
      </w:pPr>
      <w:r>
        <w:rPr>
          <w:rFonts w:ascii="Amiri" w:hAnsi="Amiri" w:eastAsia="Amiri" w:cs="Amiri"/>
          <w:color w:val="111111"/>
          <w:sz w:val="28"/>
          <w:sz w:val="28"/>
          <w:szCs w:val="28"/>
          <w:rtl w:val="true"/>
          <w:lang w:bidi="ar-SA"/>
        </w:rPr>
        <w:t xml:space="preserve">نويسنده در صفحه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با تمسخر اشاره به شايعه‌اى در ميان عوام مى‌كند كه آنان تصوير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منعكس در ماه مى‌دانند</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3696419_3650668749"/>
      <w:bookmarkStart w:id="98" w:name="_Toc36"/>
      <w:bookmarkEnd w:id="97"/>
      <w:r>
        <w:rPr>
          <w:rtl w:val="true"/>
        </w:rPr>
        <w:t>پاسخ</w:t>
      </w:r>
      <w:bookmarkEnd w:id="9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كه تمسك به اين‌گونه امور بى‌پايه، دليل عجز علمى افرادى است كه آن را وسيله‌اى براى محكوم كردن يك مكتب قرار مى‌دهند؛ زيرا هر كسى مى‌داند كه اين‌گونه شايعات، مسئله‌اى جاهلانه يا مغرضانه است و ربطى به عقايد شيعه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ابراهيم فرزند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خورشيد گرفت، مردم آن را با مرگ ابراهيم مرتبط دانسته و گفتند بر اثر رحلت وى چنين شده است؛ اما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آنها را تصحيح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مى‌توان به اين سبب اسلام و صحابه را به استهزا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دنياى پرفريب و با وجود تبليغات گسترده دشمنان اسلام، به‌ويژه وهابى‌ها، بعيد نيست مطرح كردن اين‌گونه مسائل براى بدنام كردن شيعه باشد تا بتوانند خوراك تبليغاتى براى خود و ديگران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از آن نيست كه عده‌اى مردم ساده‌لوح، شايعه عكس مرجع خود را در ماه باور كنند؛ تعجب از آن </w:t>
      </w:r>
    </w:p>
    <w:p>
      <w:pPr>
        <w:pStyle w:val="BookText"/>
        <w:rPr/>
      </w:pPr>
      <w:r>
        <w:rPr>
          <w:rFonts w:ascii="IRNazanin" w:hAnsi="IRNazanin" w:eastAsia="IRNazanin"/>
          <w:color w:val="111111"/>
          <w:sz w:val="28"/>
          <w:sz w:val="28"/>
          <w:szCs w:val="28"/>
          <w:rtl w:val="true"/>
          <w:lang w:bidi="fa-IR"/>
        </w:rPr>
        <w:t xml:space="preserve">است كه يك عالم اهل سنت بنويسد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عبدالقادر جيلانى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معراج وقتى جبرئيل از همراهى پيامبر باز ماند،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فرستاد و من چون بُراق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سوارى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پيامبر بر من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افسارم به دست حضرت بود و به مقام قاب قوسين رسيد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 پاى من بر گردن توست و پاى تو بر گردن همه اولياى خداوند</w:t>
      </w:r>
      <w:r>
        <w:rPr>
          <w:rFonts w:eastAsia="IRNazanin" w:cs="IRNazanin"/>
          <w:color w:val="111111"/>
          <w:sz w:val="28"/>
          <w:szCs w:val="28"/>
          <w:rtl w:val="true"/>
          <w:lang w:bidi="fa-IR"/>
        </w:rPr>
        <w:t xml:space="preserve">» .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سال در صحراى عراق تنها سير مى‌كردم، طوائفى از جن و رجال غيب نزد من مى‌آمدند و به آنها راه خدا را نشان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ورودم به عراق،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من او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كرد با او مخالفت نكنم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سال آنجا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يك‌بار مى‌آمد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همينجا باش تا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يكسال در خرابه‌هاى مدائن مجاهدت مى‌كردم و از پس‌مانده‌ها مى‌خوردم؛ ولى آب ننوشيدم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يك‌سال فقط آب خوردم و پس‌مانده نخوردم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يك‌سال نه آب خوردم و نه پس‌مانده و نه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در شبى سرد در ايوان كسرا خوابيدم و جنب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نهر رفتم و غسل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جنب شدم و به نهر رفتم و غسل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چهل بار جنب شدم و غسل كردم، سرانجام از ترس خواب به بالاى ايوان رفتم</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علامه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است از انسانى كه يك‌سال نخورد و يك سال نياشاميد و يك سال هر دو را ترك كرد؛ ولى ضعيف نشده و در يك شب سرد، چهل بار جنب شده و شيطان اين همه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فانى در خدا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كرده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چه شب طولانى كه گنجايش چهل بار خواب و جنابت و چهل بار رفت و آمد به نهر براى غسل را داشته است و بعد از اين همه، هنوز از ترس خواب به ايوان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اگر بقيه شب را مى‌خوابيد عدد به چهارصد يا بيشتر مى‌رسيد و شيطان از آن هيكل قدسى جدا نمى‌شد</w:t>
      </w:r>
      <w:r>
        <w:rPr>
          <w:rFonts w:eastAsia="IRNazanin" w:cs="IRNazanin"/>
          <w:color w:val="111111"/>
          <w:sz w:val="28"/>
          <w:szCs w:val="28"/>
          <w:rtl w:val="true"/>
          <w:lang w:bidi="fa-IR"/>
        </w:rPr>
        <w:t xml:space="preserve">. </w:t>
      </w:r>
      <w:r>
        <w:rPr>
          <w:rStyle w:val="FootnoteAnchor"/>
          <w:rtl w:val="true"/>
        </w:rPr>
        <w:footnoteReference w:id="15"/>
      </w:r>
      <w:bookmarkStart w:id="99" w:name="pg1971_8361"/>
    </w:p>
    <w:p>
      <w:pPr>
        <w:pStyle w:val="Heading2"/>
        <w:numPr>
          <w:ilvl w:val="1"/>
          <w:numId w:val="1"/>
        </w:numPr>
        <w:rPr/>
      </w:pPr>
      <w:bookmarkStart w:id="100" w:name="__RefHeading___Toc3696421_3650668749"/>
      <w:bookmarkStart w:id="101" w:name="_Toc37"/>
      <w:bookmarkEnd w:id="99"/>
      <w:bookmarkEnd w:id="100"/>
      <w:r>
        <w:rPr/>
        <w:t>۶</w:t>
      </w:r>
      <w:r>
        <w:rPr>
          <w:rtl w:val="true"/>
        </w:rPr>
        <w:t xml:space="preserve"> ناراحتى نويسنده از سه موضوع</w:t>
      </w:r>
      <w:bookmarkEnd w:id="101"/>
    </w:p>
    <w:p>
      <w:pPr>
        <w:pStyle w:val="Heading3"/>
        <w:numPr>
          <w:ilvl w:val="2"/>
          <w:numId w:val="1"/>
        </w:numPr>
        <w:rPr/>
      </w:pPr>
      <w:bookmarkStart w:id="102" w:name="__RefHeading___Toc3696423_3650668749"/>
      <w:bookmarkStart w:id="103" w:name="_Toc38"/>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مى‌گويد كه سه موضوع در مذهب شيعه بيش از همه، او را ناراحت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گفتن به اصحاب؛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فرياد خواندن غير خداوند و يارى خواستن از انسان‌ها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ادامه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نمى‌گفتم و نفرين نمى‌كردم؛ زيرا نظرم اين بود كه از نظر اخلاقى، ناسزا و نفرين كار درستى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مى‌كردم هيچ دينى، پيروانش را به اين فرا نخوانده است كه مردگان را ناسزا گويند</w:t>
      </w:r>
      <w:r>
        <w:rPr>
          <w:rFonts w:eastAsia="IRNazanin" w:cs="IRNazanin"/>
          <w:color w:val="111111"/>
          <w:sz w:val="28"/>
          <w:szCs w:val="28"/>
          <w:rtl w:val="true"/>
          <w:lang w:bidi="fa-IR"/>
        </w:rPr>
        <w:t>.</w:t>
      </w:r>
    </w:p>
    <w:p>
      <w:pPr>
        <w:pStyle w:val="Heading3"/>
        <w:numPr>
          <w:ilvl w:val="2"/>
          <w:numId w:val="1"/>
        </w:numPr>
        <w:rPr/>
      </w:pPr>
      <w:bookmarkStart w:id="104" w:name="__RefHeading___Toc3696425_3650668749"/>
      <w:bookmarkStart w:id="105" w:name="_Toc39"/>
      <w:bookmarkEnd w:id="104"/>
      <w:r>
        <w:rPr>
          <w:rtl w:val="true"/>
        </w:rPr>
        <w:t>پاسخ</w:t>
      </w:r>
      <w:bookmarkEnd w:id="10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هيچ‌كدام از اين سه عمل از واجبات مكتب شيعه نيست؛ يعنى اگر كسى در تمام عمر به هيچ فردى ناسزا نگويد يا ازدواج موقت ننمايد يا غيرخداوند را با صداى بلند يا آهسته نخواند، معصيتى مرتكب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اعتقاد به جواز آن امور با شرايط خاصش، نزد شيعيان وجود دارد كه توضيح خواهيم داد</w:t>
      </w:r>
      <w:r>
        <w:rPr>
          <w:rFonts w:eastAsia="IRNazanin" w:cs="IRNazanin"/>
          <w:color w:val="111111"/>
          <w:sz w:val="28"/>
          <w:szCs w:val="28"/>
          <w:rtl w:val="true"/>
          <w:lang w:bidi="fa-IR"/>
        </w:rPr>
        <w:t xml:space="preserve">. </w:t>
      </w:r>
      <w:bookmarkStart w:id="106" w:name="pg1971_8362"/>
    </w:p>
    <w:p>
      <w:pPr>
        <w:pStyle w:val="Heading3"/>
        <w:numPr>
          <w:ilvl w:val="2"/>
          <w:numId w:val="1"/>
        </w:numPr>
        <w:rPr/>
      </w:pPr>
      <w:bookmarkStart w:id="107" w:name="__RefHeading___Toc3696427_3650668749"/>
      <w:bookmarkStart w:id="108" w:name="_Toc40"/>
      <w:bookmarkEnd w:id="106"/>
      <w:bookmarkEnd w:id="107"/>
      <w:r>
        <w:rPr>
          <w:rtl w:val="true"/>
        </w:rPr>
        <w:t xml:space="preserve">ناسزاگويى به اصحاب رسول الله </w:t>
      </w:r>
      <w:r>
        <w:rPr>
          <w:rtl w:val="true"/>
        </w:rPr>
        <w:t>(</w:t>
      </w:r>
      <w:r>
        <w:rPr>
          <w:rtl w:val="true"/>
        </w:rPr>
        <w:t>ص</w:t>
      </w:r>
      <w:r>
        <w:rPr>
          <w:rtl w:val="true"/>
        </w:rPr>
        <w:t>)</w:t>
      </w:r>
      <w:bookmarkEnd w:id="108"/>
    </w:p>
    <w:p>
      <w:pPr>
        <w:pStyle w:val="BookText"/>
        <w:rPr/>
      </w:pPr>
      <w:r>
        <w:rPr>
          <w:rFonts w:ascii="IRNazanin" w:hAnsi="IRNazanin" w:eastAsia="IRNazanin"/>
          <w:color w:val="111111"/>
          <w:sz w:val="28"/>
          <w:sz w:val="28"/>
          <w:szCs w:val="28"/>
          <w:rtl w:val="true"/>
          <w:lang w:bidi="fa-IR"/>
        </w:rPr>
        <w:t>اما در مسئله ناسزاگويى به صحابه، اگر مقصود نويسنده، جميع صحابه باشد، حرفى نادرست است و پناه به خدا مى‌بريم كه شيعه چنين اعتقادى داشته باشد يا در عمل چنين كارى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همواره از اصحابى، مثل سلمان، ابوذر، مقداد، عمار، ابن‌عباس، حذيفه، سهل بن حنيف، عبادة بن صامت، ابو ايوب انصارى، خزيمةبن ثابت و ابوسعيد خدرى و همچنين از جميع شهداى غزوات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نيكى ياد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نام بسيارى از صحابه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كسانى كه صحابه را در امثال معاويه، عمرو بن عاص، ابوموسى اشعرى و ابوهريره و اندكى ديگر خلاصه مى‌كنند، حق دارند چنين بينديشند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 در آيات زيادى مانند آيه </w:t>
      </w:r>
      <w:r>
        <w:rPr>
          <w:rFonts w:ascii="IRNazanin" w:hAnsi="IRNazanin" w:eastAsia="IRNazanin"/>
          <w:color w:val="111111"/>
          <w:sz w:val="28"/>
          <w:sz w:val="28"/>
          <w:szCs w:val="28"/>
          <w:lang w:bidi="fa-IR"/>
        </w:rPr>
        <w:t>۶١</w:t>
      </w:r>
      <w:r>
        <w:rPr>
          <w:rFonts w:ascii="IRNazanin" w:hAnsi="IRNazanin" w:eastAsia="IRNazanin"/>
          <w:color w:val="111111"/>
          <w:sz w:val="28"/>
          <w:sz w:val="28"/>
          <w:szCs w:val="28"/>
          <w:rtl w:val="true"/>
          <w:lang w:bidi="fa-IR"/>
        </w:rPr>
        <w:t xml:space="preserve"> توبه منافقان و اذيت‌كنندگان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رسوا و مذمت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ارتدادشان خبر داد،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وليدبن‌عقبه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او را فاسق ناميد و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نوشيد و در حال مستى امام جماعت شد </w:t>
      </w:r>
      <w:r>
        <w:rPr>
          <w:rStyle w:val="FootnoteAnchor"/>
          <w:rtl w:val="true"/>
        </w:rPr>
        <w:footnoteReference w:id="17"/>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مغيرةبن شعبه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سه نفر بر زناى او شهادت دادند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از</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چهارمى شد و او را از جارى شدن حد رهانيد </w:t>
      </w:r>
      <w:r>
        <w:rPr>
          <w:rStyle w:val="FootnoteAnchor"/>
          <w:rtl w:val="true"/>
        </w:rPr>
        <w:footnoteReference w:id="18"/>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حضرت جسارت كرد و حاضر </w:t>
      </w:r>
    </w:p>
    <w:p>
      <w:pPr>
        <w:pStyle w:val="BookText"/>
        <w:rPr/>
      </w:pPr>
      <w:r>
        <w:rPr>
          <w:rFonts w:ascii="IRNazanin" w:hAnsi="IRNazanin" w:eastAsia="IRNazanin"/>
          <w:color w:val="111111"/>
          <w:sz w:val="28"/>
          <w:sz w:val="28"/>
          <w:szCs w:val="28"/>
          <w:rtl w:val="true"/>
          <w:lang w:bidi="fa-IR"/>
        </w:rPr>
        <w:t xml:space="preserve">نشد حتى در عوض درختى در بهشت، از آزار آن صحابى دست بردارد و درخت خود را واگذارد؛ همان كسى كه در تاريخ جنايت‌هاى بسيارى را براى خدمت به معاويه مرتكب شد </w:t>
      </w:r>
      <w:r>
        <w:rPr>
          <w:rStyle w:val="FootnoteAnchor"/>
          <w:rtl w:val="true"/>
        </w:rPr>
        <w:footnoteReference w:id="19"/>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جنايتكار معروف و سنگدل كه به فرمان معاويه به مردم ظلم مى‌كرد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فتنه‌جوى فاسد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نويره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كرد و مالك را كشت و همان‌جا با همسر وى همبستر شد و رسوايى‌اش چنان شد كه حتى عُمر تصميم به قتل وى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جاى سخن گفتن از حالات و كارهاى ناهنجار آنها نيست و بعد از واضح بودن اين مسئله حتى نزد اهل سنت، ديگر نيازى به ذكر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وقتى اين‌ها دچار اين‌همه ظلم و فساد شده‌اند و قرآن مجيد همه ظالمان را به صراحت لعنت كرده است، مى‌توان گفت كه لعنتشان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لَعْنَةُ اللَّهِ عَلَى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لعنت خدا بر ستمكاران باد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لا يَنْفَعُ الظَّالِمِينَ مَعْذِرَتُهُمْ وَ لَهُمُ اللَّعْنَةُ وَ لَهُمْ سُوءُ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روزى كه عذرخواهى ستمكاران سودى به حالشان نمى‌بخشد و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دورى از رحمت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 بد براى آنان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صحابه يكديگر را ضرب و شتم، سب و لعن و </w:t>
      </w:r>
    </w:p>
    <w:p>
      <w:pPr>
        <w:pStyle w:val="BookText"/>
        <w:rPr/>
      </w:pPr>
      <w:r>
        <w:rPr>
          <w:rFonts w:ascii="IRNazanin" w:hAnsi="IRNazanin" w:eastAsia="IRNazanin"/>
          <w:color w:val="111111"/>
          <w:sz w:val="28"/>
          <w:sz w:val="28"/>
          <w:szCs w:val="28"/>
          <w:rtl w:val="true"/>
          <w:lang w:bidi="fa-IR"/>
        </w:rPr>
        <w:t xml:space="preserve">متهم به نفاق مى‌كردند و حتى يكديگر را مى‌كشتند؛ مثل قتل عثمان يا قتل صحابه در جنگ جمل و صفين يا آن‌همه سبّ و لعن كه معاويه عليه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و طرفداران آن حضرت سنت كرده بود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چگونه است كه اين اعمال براى صحابه جايز است؛ اما ما نمى‌توانيم به آنها اقتدا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اهل‌سنت مدعى‌اند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من مثل ستاره‌ها هستند؛ به هر كدام اقتدا كنيد نجات يافته‌ايد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است كه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عثمان را در هنگام خلافت، ناسزا بگويد و او را نعثل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خرفت و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بنامد و به مردم بگويد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اقتلوا نعثلاً فقد كفر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پير خرفت و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بكشيد كه كافر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مردم نمى‌توانند از ام‌المؤمنين پيروى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نظر ما در مورد صحابه، نظر قرآن كريم است و همه كسانى كه ستمكارند به حكم خداوند درخور لعن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كسانى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اذيت كرده‌اند، خواه در زمان حيات آن حضرت يا بعد از آن يا اهل بيت او را اذيت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اذيت اهل بيت خود را اذيت خويش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ملعون‌اند؛ زيرا خداوند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bookmarkStart w:id="109" w:name="pg1971_8365"/>
    </w:p>
    <w:p>
      <w:pPr>
        <w:pStyle w:val="BookText"/>
        <w:rPr/>
      </w:pPr>
      <w:bookmarkEnd w:id="109"/>
      <w:r>
        <w:rPr>
          <w:rFonts w:ascii="Amiri" w:hAnsi="Amiri" w:eastAsia="Amiri" w:cs="Amiri"/>
          <w:color w:val="111111"/>
          <w:sz w:val="28"/>
          <w:sz w:val="28"/>
          <w:szCs w:val="28"/>
          <w:rtl w:val="true"/>
          <w:lang w:bidi="ar-SA"/>
        </w:rPr>
        <w:t xml:space="preserve">إِنَّ الَّذِينَ يُؤْذُونَ اللَّهَ وَ رَسُولَهُ لَعَنَهُمُ اللَّهُ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كه خدا و پيامبرش را آزار مى‌دهند، خداوند آنها را از رحمت خود در دنيا و آخرت دور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دشمنان اميرالمؤمنين دشمن هستيم؛ زيرا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اَللّهُمَّ عادِ مَنْ عاداهُ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هر كه با على دشمن است، او را دشمن باش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آيا لعن كسانى كه خداوند آنها را لعنت كرده، نويسنده را ناراحت كرده است؟ </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3696429_3650668749"/>
      <w:bookmarkStart w:id="111" w:name="_Toc41"/>
      <w:bookmarkEnd w:id="110"/>
      <w:r>
        <w:rPr>
          <w:rtl w:val="true"/>
        </w:rPr>
        <w:t>اسلام و مذمت مردگان</w:t>
      </w:r>
      <w:bookmarkEnd w:id="111"/>
    </w:p>
    <w:p>
      <w:pPr>
        <w:pStyle w:val="BookText"/>
        <w:rPr/>
      </w:pPr>
      <w:r>
        <w:rPr>
          <w:rFonts w:ascii="IRNazanin" w:hAnsi="IRNazanin" w:eastAsia="IRNazanin"/>
          <w:color w:val="111111"/>
          <w:sz w:val="28"/>
          <w:sz w:val="28"/>
          <w:szCs w:val="28"/>
          <w:rtl w:val="true"/>
          <w:lang w:bidi="fa-IR"/>
        </w:rPr>
        <w:t>اما اينكه هيچ دينى پيروانش را به ناسزاگويى به مردگان فرانخوانده است، اگر منظور از ناسزا، كلمات ركيك و به دور از ادب است، ما نيز چنين مى‌گوييم و هرگز بر زبان آوردن كلمات ركيك را نمى‌پسنديم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اصحاب ناآگاه و فريب‌خورده معاويه را ناسزا مى‌گفتند،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شما دوست ندارم كه لعنت‌گر و پرخاش‌گر باشيد، اگر اعمال زشت آنها را بگوييد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سخنى بهتر و رساتر در عذر خواهد بود و به جاى لعن ايشان و بيزارى از آنان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خون‌هاى ايشان و</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را حفظ كن و ميان ما اصلاح فرما</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اما اگر منظور آن است كه لعن و نفرين بر مردگان كار ناسزايى است، هرچند از جنايتكاران و ستمكاران باشند و هيچ دينى به لعن و نفرين و اظهار انزجار از سران كفر و نفاق و جنايت دستور يا اجازه نداده است، سخنى است كه فكر نمى‌كنم مسلمانى به آن ملتزم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لَعَنَ الْكافِرِينَ وَ أَعَدَّ لَهُمْ سَعِيراً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كافران را از رحمت خود دور داشته و براى آنان آتش سوزاننده‌اى آماده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الَّذِينَ كَفَرُوا مِنْ بَنِي إِسْرائِيلَ عَلى لِسانِ داوُدَ وَ عِيس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كافران بنى‌اسرائيل، بر زبان داود و عيسى بن مريم، 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اين آيات شامل اموات آنها نيست؟</w:t>
      </w:r>
    </w:p>
    <w:p>
      <w:pPr>
        <w:pStyle w:val="BookText"/>
        <w:rPr/>
      </w:pPr>
      <w:r>
        <w:rPr>
          <w:rFonts w:ascii="IRNazanin" w:hAnsi="IRNazanin" w:eastAsia="IRNazanin"/>
          <w:color w:val="111111"/>
          <w:sz w:val="28"/>
          <w:sz w:val="28"/>
          <w:szCs w:val="28"/>
          <w:rtl w:val="true"/>
          <w:lang w:bidi="fa-IR"/>
        </w:rPr>
        <w:t xml:space="preserve">قرآن مجيد در مورد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أُتْبِعُوا فِي هذِهِ الدُّنْيا لَعْنَةً وَ يَوْمَ الْقِيامَةِ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 اين دنيا و روز قيامت،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ننگينى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دارند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بعد از غرق كردن فرعون و لشكريانش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أَتْبَعْناهُمْ فِي هذِهِ الدُّنْيا لَعْنَةً وَ يَوْمَ الْقِيامَةِ هُمْ مِنَ الْمَقْبُوحِينَ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 اين دنيا نيز لعنت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دورى از رحمت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دنبال آنان قرار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داديم و روز قيامت از زشت رويانند</w:t>
      </w:r>
      <w:r>
        <w:rPr>
          <w:rFonts w:eastAsia="Amiri" w:cs="Amiri" w:ascii="Amiri" w:hAnsi="Amiri"/>
          <w:color w:val="111111"/>
          <w:sz w:val="28"/>
          <w:szCs w:val="28"/>
          <w:rtl w:val="true"/>
          <w:lang w:bidi="ar-SA"/>
        </w:rPr>
        <w:t xml:space="preserve">. </w:t>
      </w:r>
      <w:bookmarkStart w:id="112" w:name="pg1971_8367"/>
    </w:p>
    <w:p>
      <w:pPr>
        <w:pStyle w:val="BookText"/>
        <w:rPr/>
      </w:pPr>
      <w:bookmarkEnd w:id="112"/>
      <w:r>
        <w:rPr>
          <w:rFonts w:ascii="IRNazanin" w:hAnsi="IRNazanin" w:eastAsia="IRNazanin"/>
          <w:color w:val="111111"/>
          <w:sz w:val="28"/>
          <w:sz w:val="28"/>
          <w:szCs w:val="28"/>
          <w:rtl w:val="true"/>
          <w:lang w:bidi="fa-IR"/>
        </w:rPr>
        <w:t>به هر حال، لعن و برائت از مردگانى كه سردمدار يك مكتب انحرافى بوده‌اند و هنوز نيز پيروان‌شان مردم را منحرف مى‌كنند، بهترين ابزار براى مقابله با مكتب و روش آنها و تقويت راه حق 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در روايات، از ستمكاران به دين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بيزارى شده است؛ مثلاً در روايتى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از لعن بر كسانى كه خداوند آنها را لعن كرده است ناراحت باشد، لعنت خداوند بر او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در حقيقت مسلمان واقعى كسى است كه به حكم خداوند و رسول او تسليم باشد و خواسته ايشان را بر خواسته خويش ترجيح دهد</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3696431_3650668749"/>
      <w:bookmarkStart w:id="114" w:name="_Toc42"/>
      <w:bookmarkEnd w:id="113"/>
      <w:r>
        <w:rPr>
          <w:rtl w:val="true"/>
        </w:rPr>
        <w:t>وجود زياده‌روى در همه مذاهب</w:t>
      </w:r>
      <w:bookmarkEnd w:id="114"/>
    </w:p>
    <w:p>
      <w:pPr>
        <w:pStyle w:val="BookText"/>
        <w:rPr/>
      </w:pPr>
      <w:r>
        <w:rPr>
          <w:rFonts w:ascii="IRNazanin" w:hAnsi="IRNazanin" w:eastAsia="IRNazanin"/>
          <w:color w:val="111111"/>
          <w:sz w:val="28"/>
          <w:sz w:val="28"/>
          <w:szCs w:val="28"/>
          <w:rtl w:val="true"/>
          <w:lang w:bidi="fa-IR"/>
        </w:rPr>
        <w:t xml:space="preserve">اما آنچه از مرحوم تويسركانى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نويسنده به منظور خاصى او را عمدةالمحققين نام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لعن برخى از ظالمان 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دستشويى نقل كرده است و احساسات نويسنده را نيز برانگيخته است، هرگز ميان شيعه مرسوم نيست و اگر كسى هم آن را بگويد يا اقدام كند، نبايد آن را روش شيعه دانست و اصولاً در همه جوامع افرادى هستند كه از اعتدال، خارج و مرتكب برخى زياده‌روى‌ها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صدر اسلام برخى از صحابه نبودند كه دست به توهين، سب، جرح و قتل يكديگر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خانه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يورش نبردند و حداقل به آتش زدن تهديد نكردند؟ مگر صحابه و تابعان </w:t>
      </w:r>
    </w:p>
    <w:p>
      <w:pPr>
        <w:pStyle w:val="BookText"/>
        <w:rPr/>
      </w:pPr>
      <w:r>
        <w:rPr>
          <w:rFonts w:ascii="IRNazanin" w:hAnsi="IRNazanin" w:eastAsia="IRNazanin"/>
          <w:color w:val="111111"/>
          <w:sz w:val="28"/>
          <w:sz w:val="28"/>
          <w:szCs w:val="28"/>
          <w:rtl w:val="true"/>
          <w:lang w:bidi="fa-IR"/>
        </w:rPr>
        <w:t xml:space="preserve">كمر به قتل عثمان نبستند؟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اصحاب جمل، معاويه و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عده فراوانى از صحابه هم در ميان آنها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جرح و قتل سپاه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معاويه و ياران او سال‌ها به سب، لعن، هتك حرمت و كشتار وسيع شيعيان اقدام نكردند؟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امينى 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ابى‌طالب را بر منبرهاى شرق و غرب لعنت كردند جز در سيستان كه يك‌بار بيشتر لعن نكردند و با بنى‌اميه عهد كردند كه هيچ‌كس بر منبر ايشان لعن نشود و چهل سال اين كار ادامه داشت و در هفتاد هزار منبر، حضرت را لعن مى‌كردند تا آنكه زمان عمربن عبدالعزيز ممنوع شد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چگونه اين امور سبب انزجار شما از مذهب معاويه نشده است؛ اما گفتار يك عالم شيعه، شما را از مذهب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منزجر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كسانى در ميان علماى اهل سنت نبوده‌اند كه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ناسزا مى‌گفته‌اند؟ و با كمال تأسف مورد احترام نيز قرار مى‌گرفته‌اند؛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حريز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ناصبى از مسجد بيرون نمى‌آمد، مگر آنكه هفتاد بار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او از مصر تا مكه همراه 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 سب و لعن مى‌كرد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ومى‌گفت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مثل هارون هستى نسبت به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شنونده </w:t>
      </w:r>
    </w:p>
    <w:p>
      <w:pPr>
        <w:pStyle w:val="BookText"/>
        <w:rPr/>
      </w:pPr>
      <w:r>
        <w:rPr>
          <w:rFonts w:ascii="IRNazanin" w:hAnsi="IRNazanin" w:eastAsia="IRNazanin"/>
          <w:color w:val="111111"/>
          <w:sz w:val="28"/>
          <w:sz w:val="28"/>
          <w:szCs w:val="28"/>
          <w:rtl w:val="true"/>
          <w:lang w:bidi="fa-IR"/>
        </w:rPr>
        <w:t>اشتباه كرده و صحيحش اين است كه مِثل قارون به موسى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عياش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از وليد بن عبدالملك شنيدم كه روى منبر مى‌گفت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با اين 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صحيح خود به حديث او احتجاج كرده </w:t>
      </w:r>
      <w:r>
        <w:rPr>
          <w:rStyle w:val="FootnoteAnchor"/>
          <w:rtl w:val="true"/>
        </w:rPr>
        <w:footnoteReference w:id="2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بزرگ اهل سنت، حريز را توثيق كرده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يعقوب جوزجانى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الرجال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اعتراف به اينكه وى به شدت ناصبى و منحرف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ائمه جرح و تعديل شمرده و توثيق كرده‌است،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نامه مى‌نوشت و او را به شدت احترام مى‌كرد با آنكه امام احمد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موسى عبسى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بدگويى از معاويه حديث نقل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جوزجانى ناصبى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جليل جداً</w:t>
      </w:r>
      <w:r>
        <w:rPr>
          <w:rFonts w:eastAsia="IRNazanin" w:cs="IRNazanin"/>
          <w:color w:val="111111"/>
          <w:sz w:val="28"/>
          <w:szCs w:val="28"/>
          <w:rtl w:val="true"/>
          <w:lang w:bidi="fa-IR"/>
        </w:rPr>
        <w:t xml:space="preserve">» .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مگر برخى علماى اهل سنت، مردگان مخالف خود را سب نمى‌كردند؟ مثل ذهبى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ابن‌خِراش عبدالرحمن بن 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٢٨٣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آنكه به حفظ و معرفت مى‌ستايد، به شيعه بودن و روايت مطاعن شيخين متهم مى‌كند و مى‌گويد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فَاَنْتَ زِنديقٌ مُعانِدٌ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لِلْحَقِّ فَلا رَضِيَ اللهُ عَنْكَ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زنديق و معاند حق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w:t>
      </w:r>
    </w:p>
    <w:p>
      <w:pPr>
        <w:pStyle w:val="BookText"/>
        <w:rPr/>
      </w:pPr>
      <w:r>
        <w:rPr>
          <w:rFonts w:ascii="IRNazanin" w:hAnsi="IRNazanin" w:eastAsia="IRNazanin"/>
          <w:color w:val="111111"/>
          <w:sz w:val="28"/>
          <w:sz w:val="28"/>
          <w:szCs w:val="28"/>
          <w:rtl w:val="true"/>
          <w:lang w:bidi="fa-IR"/>
        </w:rPr>
        <w:t>تو راضى مباد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اصولاً آيا شيعه و پيروان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بنيان‌گذار اين سنت بودند يا گروه‌هاى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 جان، مال و نواميس ائمه شيعه و پيروان‌شان در طول تاريخ، همواره مورد تعرض مخالفان قرار مى‌گرفته است تاريخ اسلام از اين جنايت‌ها پرشده است با اين حال شيعه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خود دفاع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به فرمان معاويه صحابى اموال مردم يمن را كه از دوستداران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غارت نكرد؟ او با كشتن مردان، نواميس آنان را هتك كرد و در بازار بردگان در معرض فروش قرار دادو دو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حاكم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مادرشان سر بريد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آيا اين‌گونه اعمال سبب انزجار از مكتب معاويه نمى‌شود؛ اما افراط يك عالم در مورد سب برخى صحابه، شما را از مذهب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در ميان دانشمندان اهل سنت كسانى هستند كه بر ظالمان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و نفرين مى‌كنند و هرگز به اين عقيده موهوم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دينى به لعن اموات سفارش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اعتنايى نكرده‌اند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تفتازانى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 اهل سنت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راجع به يزيد و بى‌ايمانى او ترديد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 خدا بر او و بر ياران و كمك‌كاران او </w:t>
      </w:r>
      <w:r>
        <w:rPr>
          <w:rFonts w:eastAsia="Amiri" w:cs="Amiri" w:ascii="Amiri" w:hAnsi="Amiri"/>
          <w:color w:val="111111"/>
          <w:sz w:val="28"/>
          <w:szCs w:val="28"/>
          <w:rtl w:val="true"/>
          <w:lang w:bidi="ar-SA"/>
        </w:rPr>
        <w:t xml:space="preserve">» . </w:t>
      </w:r>
      <w:r>
        <w:rPr>
          <w:rStyle w:val="FootnoteAnchor"/>
          <w:rtl w:val="true"/>
        </w:rPr>
        <w:footnoteReference w:id="31"/>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از ظلم كه بر اهل بيت پيامبر مى‌رفت، آن‌قدر روشن است كه مجالى براى مخفى‌كارى نيست و آن‌قدر فجيع و ناهنجار است كه جايى براى شبهه نيست؛ زيرا نزديك است جمادات و حيوانات به آن شهادت دهند، ساكنان آسمان و زمين بگريند، كوه‌ها فرو ريزند و بدى آن كردار تا ابدالدهر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بر آنكه مباشرت كرد يا راضى بود يا تلاش كرد و البته عذاب آخرت شديدتر و دائمى‌تر است</w:t>
      </w:r>
      <w:r>
        <w:rPr>
          <w:rFonts w:eastAsia="IRNazanin" w:cs="IRNazanin"/>
          <w:color w:val="111111"/>
          <w:sz w:val="28"/>
          <w:szCs w:val="28"/>
          <w:rtl w:val="true"/>
          <w:lang w:bidi="fa-IR"/>
        </w:rPr>
        <w:t xml:space="preserve">. </w:t>
      </w:r>
      <w:r>
        <w:rPr>
          <w:rStyle w:val="FootnoteAnchor"/>
          <w:rtl w:val="true"/>
        </w:rPr>
        <w:footnoteReference w:id="32"/>
      </w:r>
      <w:bookmarkStart w:id="115" w:name="pg1971_8372"/>
    </w:p>
    <w:p>
      <w:pPr>
        <w:pStyle w:val="Heading2"/>
        <w:numPr>
          <w:ilvl w:val="1"/>
          <w:numId w:val="1"/>
        </w:numPr>
        <w:rPr/>
      </w:pPr>
      <w:bookmarkStart w:id="116" w:name="__RefHeading___Toc3696433_3650668749"/>
      <w:bookmarkStart w:id="117" w:name="_Toc43"/>
      <w:bookmarkEnd w:id="115"/>
      <w:bookmarkEnd w:id="116"/>
      <w:r>
        <w:rPr/>
        <w:t>٧</w:t>
      </w:r>
      <w:r>
        <w:rPr>
          <w:rtl w:val="true"/>
        </w:rPr>
        <w:t xml:space="preserve"> چرا اجتهاد براى قتل بى‌گناهان، عذر و براى لعن ستمكاران جرم است؟</w:t>
      </w:r>
      <w:bookmarkEnd w:id="117"/>
    </w:p>
    <w:p>
      <w:pPr>
        <w:pStyle w:val="Heading3"/>
        <w:numPr>
          <w:ilvl w:val="2"/>
          <w:numId w:val="1"/>
        </w:numPr>
        <w:rPr/>
      </w:pPr>
      <w:bookmarkStart w:id="118" w:name="__RefHeading___Toc3696435_3650668749"/>
      <w:bookmarkStart w:id="119" w:name="_Toc44"/>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به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دعاهايى اشاره مى‌كند كه آكنده از لعن بر شيخين است و آنها را به بت و طاغوت تشبيه كرده‌اند كه نتيجه‌اش تكفير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20" w:name="__RefHeading___Toc3696437_3650668749"/>
      <w:bookmarkStart w:id="121" w:name="_Toc45"/>
      <w:bookmarkEnd w:id="120"/>
      <w:r>
        <w:rPr>
          <w:rtl w:val="true"/>
        </w:rPr>
        <w:t>پاسخ</w:t>
      </w:r>
      <w:bookmarkEnd w:id="121"/>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دعا در جامعه شيعه مرسوم نيست و در كتاب‌هاى رايج شيعه، مثل مفاتيح‌الجنان، ذكر نشده است و بيشتر شيعيان، نه آن را مى‌شناسند و نه مى‌خوانند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ترديدى نيست كه از نظر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مانع خلافت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شدند، ستمكارند؛ زيرا از اعتقادات ضرورى شيعه اين است كه خلافت، حق منصوص حضرت 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كه غصب شده است و اين اعتقاد به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مسئله‌اى نيست كه مخالف يا موافق در آن ترديد داشته باشد و قرآن نيز، ظالمان را لعن كرده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اين برهان، لَعن و اظهار بيزارى از غاصبان خلافت، به‌ويژه </w:t>
      </w:r>
    </w:p>
    <w:p>
      <w:pPr>
        <w:pStyle w:val="BookText"/>
        <w:rPr/>
      </w:pPr>
      <w:r>
        <w:rPr>
          <w:rFonts w:ascii="IRNazanin" w:hAnsi="IRNazanin" w:eastAsia="IRNazanin"/>
          <w:color w:val="111111"/>
          <w:sz w:val="28"/>
          <w:sz w:val="28"/>
          <w:szCs w:val="28"/>
          <w:rtl w:val="true"/>
          <w:lang w:bidi="fa-IR"/>
        </w:rPr>
        <w:t xml:space="preserve">سردمداران آنها جايز است و حساسيت مخالفان روى برخى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نظر شيعه ظالم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نمى‌شود شيعيان از عقايد خويش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عمل بايد از تحريك احساسات و ايجاد تفرقه دورى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اجتهاد در نظر اهل سنت، چنان گسترده است كه تمامى جنايات امثال معاويه و ديگر صحابه ناديده گرفته مى‌شود، چرا اجتهاد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پيروانشان ناديده گرفته نشود؟ حتى به نظر برخى، كشتار مالك بن نويره و هتك حرمت همسرش به دست خالد بن وليد با عنوان اجتهاد ابوبكر، ناديده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زمانى كه اظهار بيزارى، سبب بروز درگيرى و تفرقه ميان مسلمانان شود، چنين اظهارى حرام خواهد بود؛ خواه از جانب شيعه باشد يا اهل سنت به‌ويژه در اين دوران كه مستكبران جهان، قصد نابودى اسلام و مسلمانان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امروز شاهد تهاجم برخى گستاخان به ويژه وهابيونى هستيم كه با تكفير و كشتار شيعيان و مخالفان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از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كينه و اختلاف را شعله‌ور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خود را همواره به آرامش و مدارا با ديگر مسلمانان دعوت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احكام دينى، مانند تقيه براى هماهنگى با اهل سنت و پرهيز از ايجاد كدورت و نزاع صادر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تكفير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شيعه تهمتى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بسيارى از صحابه از اعتقاد به امامت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شده‌اند و اين به معناى گمراه شدن از ولايت است نه بازگشت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روى ناآگاهى اين اشتباه را مرتكب شدند و عده‌اى نيز به اشتباه خود </w:t>
      </w:r>
    </w:p>
    <w:p>
      <w:pPr>
        <w:pStyle w:val="BookText"/>
        <w:rPr/>
      </w:pPr>
      <w:r>
        <w:rPr>
          <w:rFonts w:ascii="IRNazanin" w:hAnsi="IRNazanin" w:eastAsia="IRNazanin"/>
          <w:color w:val="111111"/>
          <w:sz w:val="28"/>
          <w:sz w:val="28"/>
          <w:szCs w:val="28"/>
          <w:rtl w:val="true"/>
          <w:lang w:bidi="fa-IR"/>
        </w:rPr>
        <w:t>پى بردند و از اين راه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روى عمد و آگاهى، خلافت اميرالمؤمنين 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مواضع مختلف به‌ويژه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 ناديده گرفته باشد، منحرف و مستحق عقوبت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الْمُؤْمِنِينَ رِجالٌ صَدَقُوا ما عاهَدُوا اللَّهَ عَلَيْهِ فَمِنْهُمْ مَنْ 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نَحْبَهُ وَ مِنْهُمْ مَنْ يَنْتَظِرُ وَ ما بَدَّلُوا تَبْدِيلاً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ميان مؤمنان، مردانى هستند كه بر سرعهدى كه با خدا بستند، صادقانه ايستاده‌اند؛ بعضى پيمان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در انتظارند و هيچ‌گونه تغييرى در پيمان خود ندادند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آيات خداوند كسانى را مؤمن واقعى مى‌داند كه در راه دين استقامت داشته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كسانى كه بر عهد ولايت با علم به آن استقامت نكردند مؤمن واقعى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مخالفان شيعه، تمام ارادت و اعتقاد خود را بر محور كسانى متمركز كرده‌اند كه به نظر شيعه بيشترين ستم را به رهبران شيعه، يعنى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شيعه، از دشمنان سرسخت اهل‌بيت، همچون مروان و معاويه و جنايت‌هايشان دفاع مى‌كنند و امثال اينها را تحت عنوان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محترم مى‌شمارند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كارها شيعه را تحريك مى‌كند تا از مخالفان اهل‌بيت به شدت بيزار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مخالفان از حساسيت و دفاع همه‌جانبه از دشمنان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نمى‌كشند، درحالى‌كه انتظار دارند شيعيان از اظهار بيزارى از آنها صرف‌نظر نمايند</w:t>
      </w:r>
      <w:r>
        <w:rPr>
          <w:rFonts w:eastAsia="Amiri" w:cs="Amiri" w:ascii="Amiri" w:hAnsi="Amiri"/>
          <w:color w:val="111111"/>
          <w:sz w:val="28"/>
          <w:szCs w:val="28"/>
          <w:rtl w:val="true"/>
          <w:lang w:bidi="ar-SA"/>
        </w:rPr>
        <w:t xml:space="preserve">. </w:t>
      </w:r>
      <w:bookmarkStart w:id="122" w:name="pg1971_8375"/>
    </w:p>
    <w:p>
      <w:pPr>
        <w:pStyle w:val="Heading2"/>
        <w:numPr>
          <w:ilvl w:val="1"/>
          <w:numId w:val="1"/>
        </w:numPr>
        <w:rPr/>
      </w:pPr>
      <w:bookmarkStart w:id="123" w:name="__RefHeading___Toc3696439_3650668749"/>
      <w:bookmarkStart w:id="124" w:name="_Toc46"/>
      <w:bookmarkEnd w:id="122"/>
      <w:bookmarkEnd w:id="123"/>
      <w:r>
        <w:rPr/>
        <w:t>٨</w:t>
      </w:r>
      <w:r>
        <w:rPr>
          <w:rtl w:val="true"/>
        </w:rPr>
        <w:t xml:space="preserve"> ارتداد صحابه بعد از پيامبر اكرم </w:t>
      </w:r>
      <w:r>
        <w:rPr>
          <w:rtl w:val="true"/>
        </w:rPr>
        <w:t>(</w:t>
      </w:r>
      <w:r>
        <w:rPr>
          <w:rtl w:val="true"/>
        </w:rPr>
        <w:t>ص</w:t>
      </w:r>
      <w:r>
        <w:rPr>
          <w:rtl w:val="true"/>
        </w:rPr>
        <w:t>)</w:t>
      </w:r>
      <w:bookmarkEnd w:id="124"/>
    </w:p>
    <w:p>
      <w:pPr>
        <w:pStyle w:val="Heading3"/>
        <w:numPr>
          <w:ilvl w:val="2"/>
          <w:numId w:val="1"/>
        </w:numPr>
        <w:rPr/>
      </w:pPr>
      <w:bookmarkStart w:id="125" w:name="__RefHeading___Toc3696441_3650668749"/>
      <w:bookmarkStart w:id="126" w:name="_Toc47"/>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١۶</w:t>
      </w:r>
      <w:r>
        <w:rPr>
          <w:rFonts w:ascii="IRNazanin" w:hAnsi="IRNazanin" w:eastAsia="IRNazanin"/>
          <w:color w:val="111111"/>
          <w:sz w:val="28"/>
          <w:sz w:val="28"/>
          <w:szCs w:val="28"/>
          <w:rtl w:val="true"/>
          <w:lang w:bidi="fa-IR"/>
        </w:rPr>
        <w:t xml:space="preserve"> رواياتى را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مضمون ذكر مى‌كند كه همه مردم بعد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شدند مگر سه نفر</w:t>
      </w:r>
      <w:r>
        <w:rPr>
          <w:rFonts w:eastAsia="IRNazanin" w:cs="IRNazanin"/>
          <w:color w:val="111111"/>
          <w:sz w:val="28"/>
          <w:szCs w:val="28"/>
          <w:rtl w:val="true"/>
          <w:lang w:bidi="fa-IR"/>
        </w:rPr>
        <w:t>.</w:t>
      </w:r>
    </w:p>
    <w:p>
      <w:pPr>
        <w:pStyle w:val="Heading3"/>
        <w:numPr>
          <w:ilvl w:val="2"/>
          <w:numId w:val="1"/>
        </w:numPr>
        <w:rPr/>
      </w:pPr>
      <w:bookmarkStart w:id="127" w:name="__RefHeading___Toc3696443_3650668749"/>
      <w:bookmarkStart w:id="128" w:name="_Toc48"/>
      <w:bookmarkEnd w:id="127"/>
      <w:r>
        <w:rPr>
          <w:rtl w:val="true"/>
        </w:rPr>
        <w:t>پاسخ</w:t>
      </w:r>
      <w:bookmarkEnd w:id="12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اهل سنت مكرر آمده است كه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اعراب مدينه و برخى قبايل اطراف آن، همگى از اسلام برگشتند و جنگ با اين مرتدان را از افتخارات ابوبكر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اعتقاد به اين‌همه مرتد، كه اكثريت قاطع مسلمانان را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مى‌شود، مشكلى ندارد؟</w:t>
      </w:r>
    </w:p>
    <w:p>
      <w:pPr>
        <w:pStyle w:val="BookText"/>
        <w:rPr/>
      </w:pPr>
      <w:r>
        <w:rPr>
          <w:rFonts w:ascii="Amiri" w:hAnsi="Amiri" w:eastAsia="Amiri" w:cs="Amiri"/>
          <w:color w:val="111111"/>
          <w:sz w:val="28"/>
          <w:sz w:val="28"/>
          <w:szCs w:val="28"/>
          <w:rtl w:val="true"/>
          <w:lang w:bidi="ar-SA"/>
        </w:rPr>
        <w:t xml:space="preserve">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قول عايشه آورده است كه وقتى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دنيا رفت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اشرأب النفاق وارتدّت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گردن كشيد و عرب مرتد 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از ابوهريره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ارتَدَّتِ العَرَب حَول المَدينه</w:t>
      </w:r>
      <w:r>
        <w:rPr>
          <w:rFonts w:eastAsia="Amiri" w:cs="Amiri" w:ascii="Amiri" w:hAnsi="Amiri"/>
          <w:color w:val="111111"/>
          <w:sz w:val="28"/>
          <w:szCs w:val="28"/>
          <w:rtl w:val="true"/>
          <w:lang w:bidi="ar-SA"/>
        </w:rPr>
        <w:t xml:space="preserve">. . .»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اطراف مدينه مرتد شد</w:t>
      </w:r>
      <w:r>
        <w:rPr>
          <w:rFonts w:eastAsia="Amiri" w:cs="Amiri" w:ascii="Amiri" w:hAnsi="Amiri"/>
          <w:color w:val="111111"/>
          <w:sz w:val="28"/>
          <w:szCs w:val="28"/>
          <w:rtl w:val="true"/>
          <w:lang w:bidi="ar-SA"/>
        </w:rPr>
        <w:t xml:space="preserve">. . .» . </w:t>
      </w:r>
    </w:p>
    <w:p>
      <w:pPr>
        <w:pStyle w:val="BookText"/>
        <w:rPr/>
      </w:pPr>
      <w:r>
        <w:rPr>
          <w:rFonts w:ascii="IRNazanin" w:hAnsi="IRNazanin" w:eastAsia="IRNazanin"/>
          <w:color w:val="111111"/>
          <w:sz w:val="28"/>
          <w:sz w:val="28"/>
          <w:szCs w:val="28"/>
          <w:rtl w:val="true"/>
          <w:lang w:bidi="fa-IR"/>
        </w:rPr>
        <w:t>و از ذهبى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خبر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طوايف بسيارى از عرب مرتد شدند و زكات نپرداختند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 ادامه هم نام گروه‌هايى را از جمله مردم بحرين و عمان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مى‌برد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سال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هجرى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اسامه رفت، زمين كافر گشت، و همه يا افرادى از هر قبيله مرتد شدند، مگر قريش و ثقيف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ارتَدَّتِ العَرَبُ عَوامٌ أو خَواصٌ</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به طور عام يا خاص مرتد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آورده است كه ابوبكر به عده‌اى از صحابه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كافِرَة</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كافر گرديده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تعابير، نشان‌دهنده گستردگى ارتداد به معناى حقيقى آن، يعنى بازگشت به كفر و جاهليت است، به‌ويژه آنكه جمعيت مدينه بسيار اندك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پيروان‌آنها، امامت از اركان دين و اصول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ايمان غير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 شهادتين است كه با اقرار به آن، شخص، مسلمان مى‌شود و احكام اسلامى بر او مترتب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ايمان مرحله بالاترى از اسلام است؛ يعنى با شهادتين لفظى و قلبى به امامت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معتقد باشد و كسى كه به امامت حضرت معتقد نباشد، اگرچه مسلمان است، مؤمن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بنابراين، مسئله ارتداد مردم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روايات آمده، همان انحراف از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انحراف و ارتداد رسمى از اسلام كه موجب كفر شود بله، هر كس عمداً از ولايت منحرف شده باشد، در آخرت مستحق عقوبت است و حتى اسلام دنيوى او نيز پذيرفته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عملكرد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آنها، از صدر اسلام تاكنون، نشان‌دهنده آن است كه مخالفان خود را مسلمان دانسته و احكام اسلام را بر آنها جارى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كه به ادعاى شيعه، مبنى بر انحراف اصحاب از مسئله ولايت و ايمان، اعتراض مى‌شود اما ادعاى ارتداد همه مسلمانان و كافر دانستن آنان، به جز گروهى اندك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رواياتى را از اهل سنت مى‌آوريم كه بيانگر ارتداد بيشتر صحابه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طريق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ايستاده‌ام كه گروهى ظاهر مى‌شوند، وقتى آنها را شناختم، ميان من و ايشان مردى مى‌آيد و به آنها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بشتابيد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به سوى آتش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اِرْتَدُّوا بَعْدَكَ عَلى أَدبارِهِمُ الْقَهْقَرى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بعد از تو مرتد شدند و به گذشته خود برگشتند</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گروه ديگر و گروه ديگر و همين سؤال و جواب صورت </w:t>
      </w:r>
      <w:bookmarkStart w:id="129" w:name="pg1971_8378"/>
    </w:p>
    <w:p>
      <w:pPr>
        <w:pStyle w:val="BookText"/>
        <w:rPr/>
      </w:pPr>
      <w:bookmarkEnd w:id="129"/>
      <w:r>
        <w:rPr>
          <w:rFonts w:ascii="IRNazanin" w:hAnsi="IRNazanin" w:eastAsia="IRNazanin"/>
          <w:color w:val="111111"/>
          <w:sz w:val="28"/>
          <w:sz w:val="28"/>
          <w:szCs w:val="28"/>
          <w:rtl w:val="true"/>
          <w:lang w:bidi="fa-IR"/>
        </w:rPr>
        <w:t xml:space="preserve">مى‌گيرد تا آنكه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اَراهُ يَخْلُصُ مِنْهُمْ اِلّا مِثلُ هَمَلِ النَّعَمِ</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نمى‌بينم كسى از آنها نجات يابد، مگر اندكى</w:t>
      </w:r>
      <w:r>
        <w:rPr>
          <w:rFonts w:eastAsia="IRNazanin" w:cs="IRNazanin"/>
          <w:color w:val="111111"/>
          <w:sz w:val="28"/>
          <w:szCs w:val="28"/>
          <w:rtl w:val="true"/>
          <w:lang w:bidi="fa-IR"/>
        </w:rPr>
        <w:t>» .</w:t>
      </w:r>
    </w:p>
    <w:p>
      <w:pPr>
        <w:pStyle w:val="Heading3"/>
        <w:numPr>
          <w:ilvl w:val="2"/>
          <w:numId w:val="1"/>
        </w:numPr>
        <w:rPr/>
      </w:pPr>
      <w:bookmarkStart w:id="130" w:name="__RefHeading___Toc3696445_3650668749"/>
      <w:bookmarkStart w:id="131" w:name="_Toc49"/>
      <w:bookmarkEnd w:id="130"/>
      <w:r>
        <w:rPr>
          <w:rtl w:val="true"/>
        </w:rPr>
        <w:t xml:space="preserve">اصحاب و سرپيچى از فرمان پيامبر </w:t>
      </w:r>
      <w:r>
        <w:rPr>
          <w:rtl w:val="true"/>
        </w:rPr>
        <w:t>(</w:t>
      </w:r>
      <w:r>
        <w:rPr>
          <w:rtl w:val="true"/>
        </w:rPr>
        <w:t>ص</w:t>
      </w:r>
      <w:r>
        <w:rPr>
          <w:rtl w:val="true"/>
        </w:rPr>
        <w:t>)</w:t>
      </w:r>
      <w:bookmarkEnd w:id="131"/>
    </w:p>
    <w:p>
      <w:pPr>
        <w:pStyle w:val="BookText"/>
        <w:rPr/>
      </w:pPr>
      <w:r>
        <w:rPr>
          <w:rFonts w:ascii="IRNazanin" w:hAnsi="IRNazanin" w:eastAsia="IRNazanin"/>
          <w:color w:val="111111"/>
          <w:sz w:val="28"/>
          <w:sz w:val="28"/>
          <w:szCs w:val="28"/>
          <w:rtl w:val="true"/>
          <w:lang w:bidi="fa-IR"/>
        </w:rPr>
        <w:t xml:space="preserve">اما چطور ممكن است بيشتر اصحاب از فرمان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سرپيچى كنند و از ولايت اميرمؤمنان منحرف شوند؟</w:t>
      </w:r>
    </w:p>
    <w:p>
      <w:pPr>
        <w:pStyle w:val="BookText"/>
        <w:rPr/>
      </w:pPr>
      <w:r>
        <w:rPr>
          <w:rFonts w:ascii="IRNazanin" w:hAnsi="IRNazanin" w:eastAsia="IRNazanin"/>
          <w:color w:val="111111"/>
          <w:sz w:val="28"/>
          <w:sz w:val="28"/>
          <w:szCs w:val="28"/>
          <w:rtl w:val="true"/>
          <w:lang w:bidi="fa-IR"/>
        </w:rPr>
        <w:t>پاسخ آن را بايد در مجموعه‌اى از عوامل جست‌وجو كرد، از جمله حب دنيا و جاه و مقام، نفاق، سستى ايمان، تسامح و تساهل، فرار از مناقشه‌هاى سياسى، تسليم شدن در برابر وضع حاكم، فريب خوردن عده‌اى به سبب ادعاى بحران و حساسيت شرايط، سياسى تلقى‌كردن مسئله حكومت در مقابل مسائل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مهم‌ترين عامل، حسد و كينه قريش از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به‌سبب اجراى دستور الهى و كشته شدن بسيارى از بزرگان آنها به دست حضرت، ايجاد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عوامل انحراف مردم اين بود كه بسيارى از صحابه، آن تعبدى كه در احكام ديگر، همچون نماز و روزه داشتند، در مسائل سياسى و حكومتى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پيوسته در اين‌گونه موارد بر پيامبر اعتراض مى‌كردند؛ مثل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صلح حديبيه </w:t>
      </w:r>
      <w:r>
        <w:rPr>
          <w:rStyle w:val="FootnoteAnchor"/>
          <w:rtl w:val="true"/>
        </w:rPr>
        <w:footnoteReference w:id="39"/>
      </w:r>
      <w:r>
        <w:rPr>
          <w:rFonts w:ascii="IRNazanin" w:hAnsi="IRNazanin" w:eastAsia="IRNazanin"/>
          <w:color w:val="111111"/>
          <w:sz w:val="28"/>
          <w:sz w:val="28"/>
          <w:szCs w:val="28"/>
          <w:rtl w:val="true"/>
          <w:lang w:bidi="fa-IR"/>
        </w:rPr>
        <w:t xml:space="preserve">يا جريان روز پنجشنبه و مقاومت وى در نگاشتن وصيت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40"/>
      </w:r>
      <w:r>
        <w:rPr>
          <w:rFonts w:ascii="Amiri" w:hAnsi="Amiri" w:eastAsia="Amiri" w:cs="Amiri"/>
          <w:color w:val="111111"/>
          <w:sz w:val="28"/>
          <w:sz w:val="28"/>
          <w:szCs w:val="28"/>
          <w:rtl w:val="true"/>
          <w:lang w:bidi="ar-SA"/>
        </w:rPr>
        <w:t>يا اعتراض</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بسيارى </w:t>
      </w:r>
      <w:bookmarkStart w:id="132" w:name="pg1971_8379"/>
    </w:p>
    <w:p>
      <w:pPr>
        <w:pStyle w:val="BookText"/>
        <w:rPr/>
      </w:pPr>
      <w:bookmarkEnd w:id="132"/>
      <w:r>
        <w:rPr>
          <w:rFonts w:ascii="IRNazanin" w:hAnsi="IRNazanin" w:eastAsia="IRNazanin"/>
          <w:color w:val="111111"/>
          <w:sz w:val="28"/>
          <w:sz w:val="28"/>
          <w:szCs w:val="28"/>
          <w:rtl w:val="true"/>
          <w:lang w:bidi="fa-IR"/>
        </w:rPr>
        <w:t xml:space="preserve">از صحابه در مورد فرماندهى اسامه </w:t>
      </w:r>
      <w:r>
        <w:rPr>
          <w:rStyle w:val="FootnoteAnchor"/>
          <w:rtl w:val="true"/>
        </w:rPr>
        <w:footnoteReference w:id="41"/>
      </w:r>
      <w:r>
        <w:rPr>
          <w:rFonts w:ascii="IRNazanin" w:hAnsi="IRNazanin" w:eastAsia="IRNazanin"/>
          <w:color w:val="111111"/>
          <w:sz w:val="28"/>
          <w:sz w:val="28"/>
          <w:szCs w:val="28"/>
          <w:rtl w:val="true"/>
          <w:lang w:bidi="fa-IR"/>
        </w:rPr>
        <w:t>، مخالفت وى در غزوه بدر درباره گرفتن مدينه، جريان عباس و موارد بسيارى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طبق عادت، به روايات و سخنان پيامبر در اين مورد نيز اعتنايى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عوامل انحراف، حديث جعلى ديگر به اين مضمون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و نبوت در يك بيت جمع نمى‌شود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و به اين ترتيب مردم را فريب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دوم به ابن‌عباس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قريش از اين ناراحت بود كه در ميان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خلافت جمع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ديگر عوامل انحراف، شايعه‌اى بود كه بعد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غسل، كفن و دفن پيامبر بود و ديگران سرگرم توطئه براى حكومت بودند، شايعه كردند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شدت مصيبت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تصدى منصب خلافت خوددارى كرده و در خانه‌اش به اندوه و ماتم نشسته‌است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اين عوامل هر كدام به تنهايى براى انحراف كافى بود، تا چه رسد به مجموعه عوامل كه صحابه را با همه ارادتشان به پيامبر، در وادى مسائل سياسى و تعصبات قومى انداخته تا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ناديده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امروز، حتى نزد مؤمنان در مسائل سياسى مشاهده مى‌كنيم</w:t>
      </w:r>
      <w:r>
        <w:rPr>
          <w:rFonts w:eastAsia="IRNazanin" w:cs="IRNazanin"/>
          <w:color w:val="111111"/>
          <w:sz w:val="28"/>
          <w:szCs w:val="28"/>
          <w:rtl w:val="true"/>
          <w:lang w:bidi="fa-IR"/>
        </w:rPr>
        <w:t>.</w:t>
      </w:r>
    </w:p>
    <w:p>
      <w:pPr>
        <w:pStyle w:val="Heading3"/>
        <w:numPr>
          <w:ilvl w:val="2"/>
          <w:numId w:val="1"/>
        </w:numPr>
        <w:rPr/>
      </w:pPr>
      <w:bookmarkStart w:id="133" w:name="__RefHeading___Toc3696447_3650668749"/>
      <w:bookmarkStart w:id="134" w:name="_Toc50"/>
      <w:bookmarkEnd w:id="133"/>
      <w:r>
        <w:rPr>
          <w:rtl w:val="true"/>
        </w:rPr>
        <w:t>انحراف اصحاب انبياى گذشته</w:t>
      </w:r>
      <w:bookmarkEnd w:id="13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زمان وى منحرف شدند و بعد از عبور از نيل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لَنا إِلهاً كَما لَهُمْ آلِهَةٌ؛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هم براى ما معبودى قرار ده همان‌گونه كه آنها معبودان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طرفداران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فرمان او را نشنيدند و عده بسيارى آب نوشيدند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رِبُوا مِنْهُ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٢۴٩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امت عيسى با اعتقاد به الوهيت او هلاك نشدند؟ مگر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امت من بر </w:t>
      </w:r>
      <w:r>
        <w:rPr>
          <w:rFonts w:ascii="IRNazanin" w:hAnsi="IRNazanin" w:eastAsia="IRNazanin"/>
          <w:color w:val="111111"/>
          <w:sz w:val="28"/>
          <w:sz w:val="28"/>
          <w:szCs w:val="28"/>
          <w:lang w:bidi="fa-IR"/>
        </w:rPr>
        <w:t>٧٣</w:t>
      </w:r>
      <w:r>
        <w:rPr>
          <w:rFonts w:ascii="IRNazanin" w:hAnsi="IRNazanin" w:eastAsia="IRNazanin"/>
          <w:color w:val="111111"/>
          <w:sz w:val="28"/>
          <w:sz w:val="28"/>
          <w:szCs w:val="28"/>
          <w:rtl w:val="true"/>
          <w:lang w:bidi="fa-IR"/>
        </w:rPr>
        <w:t xml:space="preserve"> فرقه مى‌شوند و تنها يكى اهل نجات است</w:t>
      </w:r>
      <w:r>
        <w:rPr>
          <w:rFonts w:eastAsia="IRNazanin" w:cs="IRNazanin"/>
          <w:color w:val="111111"/>
          <w:sz w:val="28"/>
          <w:szCs w:val="28"/>
          <w:rtl w:val="true"/>
          <w:lang w:bidi="fa-IR"/>
        </w:rPr>
        <w:t xml:space="preserve">» . </w:t>
      </w:r>
      <w:r>
        <w:rPr>
          <w:rStyle w:val="FootnoteAnchor"/>
          <w:rtl w:val="true"/>
        </w:rPr>
        <w:footnoteReference w:id="44"/>
      </w:r>
      <w:r>
        <w:rPr>
          <w:rFonts w:ascii="IRNazanin" w:hAnsi="IRNazanin" w:eastAsia="IRNazanin"/>
          <w:color w:val="111111"/>
          <w:sz w:val="28"/>
          <w:sz w:val="28"/>
          <w:szCs w:val="28"/>
          <w:rtl w:val="true"/>
          <w:lang w:bidi="fa-IR"/>
        </w:rPr>
        <w:t>مگر در حجةالوداع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به كفر برنگرديد و به جان يكديگر نيفتيد</w:t>
      </w:r>
      <w:r>
        <w:rPr>
          <w:rFonts w:eastAsia="IRNazanin" w:cs="IRNazanin"/>
          <w:color w:val="111111"/>
          <w:sz w:val="28"/>
          <w:szCs w:val="28"/>
          <w:rtl w:val="true"/>
          <w:lang w:bidi="fa-IR"/>
        </w:rPr>
        <w:t xml:space="preserve">» . </w:t>
      </w:r>
      <w:r>
        <w:rPr>
          <w:rStyle w:val="FootnoteAnchor"/>
          <w:rtl w:val="true"/>
        </w:rPr>
        <w:footnoteReference w:id="45"/>
      </w:r>
      <w:r>
        <w:rPr>
          <w:rFonts w:ascii="IRNazanin" w:hAnsi="IRNazanin" w:eastAsia="IRNazanin"/>
          <w:color w:val="111111"/>
          <w:sz w:val="28"/>
          <w:sz w:val="28"/>
          <w:szCs w:val="28"/>
          <w:rtl w:val="true"/>
          <w:lang w:bidi="fa-IR"/>
        </w:rPr>
        <w:t>مگر قرآن‌مكرر به صحابه درباره ارتداد، هشدار نداده است؟ 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ارْتَدُّوا عَلى أَدْبارِهِمْ مِنْ بَعْدِ ما تَبَيَّنَ لَهُمُ الْهُدَى الشَّيْطانُ سَوَّلَ لَهُمْ وَ أَمْلى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يقين كسانى كه بعد از روشن شدن راه هدايت براى آنها، پشت به آن كردند شيطان اعمال زشتشان را در نظرشان زينت داده و آنان را با آرزوهاى طولانى فريفته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شبهه ارتداد، فقط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رفتن او منتفى گرديد؟ خداوند مى‌فرمايد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يَرْتَدِدْ مِنْكُمْ عَنْ دِينِهِ فَيَمُتْ وَ هُوَ كافِرٌ فَأُولئِكَ حَبِطَتْ أَعْمالُهُمْ فِي الدُّنْيا وَ الْآخِرَةِ وَ أُولئِكَ أَصْحابُ النَّارِ 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وهر كس از شما كه از آيينش برگردد و در حال كفر بميرد، تمام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دنيا و آخرت بر باد مى‌رود و چنين كسانى اهل دوزخند و جاودانه در آن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 يُحِبُّونَهُ أَذِلَّةٍ عَلَى الْمُؤْمِنِينَ أَعِزَّةٍ عَلَى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شما، از آيين خود باز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زيانى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گروهى را مى‌آورد كه آنها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 در برابر مؤمنان، متواضع و در برابر كافران، سرسخت و نيرومندند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روايات بسيارى از شيعه و اهل سنت آمده است كه اين آيه درباره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فتح خيبر يا مبارزه او با ناكثان، قاسطان و مارقان نازل شده است</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جالب است بلافاصله بعد از هشدار ارتداد،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آمده است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سرپرست و ولى شما، تنها خداست و پيامبر او و كسانى كه ايمان آورده‌اند؛ آنها كه نماز را برپا مى‌دارند و در حال ركوع زكات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مى‌دهند</w:t>
      </w:r>
      <w:r>
        <w:rPr>
          <w:rFonts w:eastAsia="IRNazanin" w:cs="IRNazanin"/>
          <w:color w:val="111111"/>
          <w:sz w:val="28"/>
          <w:szCs w:val="28"/>
          <w:rtl w:val="true"/>
          <w:lang w:bidi="fa-IR"/>
        </w:rPr>
        <w:t xml:space="preserve">. </w:t>
      </w:r>
      <w:bookmarkStart w:id="135" w:name="pg1971_8382"/>
    </w:p>
    <w:p>
      <w:pPr>
        <w:pStyle w:val="Heading2"/>
        <w:numPr>
          <w:ilvl w:val="1"/>
          <w:numId w:val="1"/>
        </w:numPr>
        <w:rPr/>
      </w:pPr>
      <w:bookmarkStart w:id="136" w:name="__RefHeading___Toc3696449_3650668749"/>
      <w:bookmarkStart w:id="137" w:name="_Toc51"/>
      <w:bookmarkEnd w:id="135"/>
      <w:bookmarkEnd w:id="136"/>
      <w:r>
        <w:rPr/>
        <w:t>٩</w:t>
      </w:r>
      <w:r>
        <w:rPr>
          <w:rtl w:val="true"/>
        </w:rPr>
        <w:t xml:space="preserve"> عدالت و فضيلت صحابه</w:t>
      </w:r>
      <w:bookmarkEnd w:id="137"/>
    </w:p>
    <w:p>
      <w:pPr>
        <w:pStyle w:val="Heading3"/>
        <w:numPr>
          <w:ilvl w:val="2"/>
          <w:numId w:val="1"/>
        </w:numPr>
        <w:rPr/>
      </w:pPr>
      <w:bookmarkStart w:id="138" w:name="__RefHeading___Toc3696451_3650668749"/>
      <w:bookmarkStart w:id="139" w:name="_Toc52"/>
      <w:bookmarkEnd w:id="138"/>
      <w:r>
        <w:rPr>
          <w:rtl w:val="true"/>
        </w:rPr>
        <w:t>اشاره</w:t>
      </w:r>
      <w:bookmarkEnd w:id="139"/>
    </w:p>
    <w:p>
      <w:pPr>
        <w:pStyle w:val="BookText"/>
        <w:rPr/>
      </w:pPr>
      <w:r>
        <w:rPr>
          <w:rFonts w:ascii="Amiri" w:hAnsi="Amiri" w:eastAsia="Amiri" w:cs="Amiri"/>
          <w:color w:val="111111"/>
          <w:sz w:val="28"/>
          <w:sz w:val="28"/>
          <w:szCs w:val="28"/>
          <w:rtl w:val="true"/>
          <w:lang w:bidi="ar-SA"/>
        </w:rPr>
        <w:t xml:space="preserve">نويسنده در صفحه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مطالبى را آورده است كه ابتدا به آنها اشاره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السَّابِقُونَ الْأَوَّلُونَ مِنَ الْمُهاجِرِينَ وَ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پيشگامان نخستين از مهاجرين و انصار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 عثمان، طلحه، زبير، سعد بن ابى وقاص، عبدالله‌بن مسعود، سعد بن معاذ و همه كسانى كه شيعه بر آنها لعنت مى‌فرستند از مهاجران، انصار و پيشگامانند كه خداوند از آنان اعلام رضايت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عاقلى مى‌تواند بگويد كه اصحاب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كرده و غصب خلافت كرده‌اند با آنكه خداوند در اين آيه مى‌گويد از اصحاب راضى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وفات از اصحاب و در رأس آنها خلفاى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ابوبكر، عمر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بود و آياتى را خواند كه اصحاب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خداوند نمى‌دانست كه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شيعه مى‌گويد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مى‌شوند، قرآن را تحريف مى‌كنند </w:t>
      </w:r>
      <w:bookmarkStart w:id="140" w:name="pg1971_8383"/>
    </w:p>
    <w:p>
      <w:pPr>
        <w:pStyle w:val="BookText"/>
        <w:rPr/>
      </w:pPr>
      <w:bookmarkEnd w:id="140"/>
      <w:r>
        <w:rPr>
          <w:rFonts w:ascii="IRNazanin" w:hAnsi="IRNazanin" w:eastAsia="IRNazanin"/>
          <w:color w:val="111111"/>
          <w:sz w:val="28"/>
          <w:sz w:val="28"/>
          <w:szCs w:val="28"/>
          <w:rtl w:val="true"/>
          <w:lang w:bidi="fa-IR"/>
        </w:rPr>
        <w:t>واحكام دين را تغيير مى‌دهند؟ اگر مى‌دانست پس آياتى كه اصحاب را ستوده است، چگونه بايد توجيه كرد؟ قرآن آنها را مى‌ستايد، اما شيعه آنها را منافق و مرتد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مى‌خواست پيامبرش را فريب دهد و اصحاب را به ناحق ستايش كند تا پيامبر به آنها اعتماد كند و با آنان فاميل شود و بعد از وفات او از دين برگردند؟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صفات واقعى آنها را و وضعيتى كه بعد از وفات پيامبر بدان درخواهند آمد را بيان نكرده است؟</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مباركه لَقَدْ رَضِي اللَّهُ عَنِ الْمُؤْمِنِينَ إِذْ يُبايِعُونَكَ تَحْتَ الشَّجَرَةِ؛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زير آن درخت با تو بيعت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پاى‌بندى اصحاب است</w:t>
      </w:r>
      <w:r>
        <w:rPr>
          <w:rFonts w:eastAsia="IRNazanin" w:cs="IRNazanin"/>
          <w:color w:val="111111"/>
          <w:sz w:val="28"/>
          <w:szCs w:val="28"/>
          <w:rtl w:val="true"/>
          <w:lang w:bidi="fa-IR"/>
        </w:rPr>
        <w:t>.</w:t>
      </w:r>
    </w:p>
    <w:p>
      <w:pPr>
        <w:pStyle w:val="Heading3"/>
        <w:numPr>
          <w:ilvl w:val="2"/>
          <w:numId w:val="1"/>
        </w:numPr>
        <w:rPr/>
      </w:pPr>
      <w:bookmarkStart w:id="141" w:name="__RefHeading___Toc3696453_3650668749"/>
      <w:bookmarkStart w:id="142" w:name="_Toc53"/>
      <w:bookmarkEnd w:id="141"/>
      <w:r>
        <w:rPr>
          <w:rtl w:val="true"/>
        </w:rPr>
        <w:t>آيه پيشگامان و عدالت صحابه</w:t>
      </w:r>
      <w:bookmarkEnd w:id="142"/>
    </w:p>
    <w:p>
      <w:pPr>
        <w:pStyle w:val="BookText"/>
        <w:rPr/>
      </w:pPr>
      <w:r>
        <w:rPr>
          <w:rFonts w:ascii="Amiri" w:hAnsi="Amiri" w:eastAsia="Amiri" w:cs="Amiri"/>
          <w:color w:val="111111"/>
          <w:sz w:val="28"/>
          <w:sz w:val="28"/>
          <w:szCs w:val="28"/>
          <w:rtl w:val="true"/>
          <w:lang w:bidi="ar-SA"/>
        </w:rPr>
        <w:t>مطالب اول درباره آيه مباركه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١٠٠</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پيشگامانِ نخستين از مهاجران و انصار و كسانى كه به نيكى از آنها پيروى كردند، خداوند از آنها خشنود گشت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 شدند، و باغ‌هاى بهشتى براى آنان آماده ساخته كه نهرها از پاى درختانش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خواهند ماند و اين است رستگارى و پيروزى بزرگ</w:t>
      </w:r>
      <w:r>
        <w:rPr>
          <w:rFonts w:eastAsia="IRNazanin" w:cs="IRNazanin"/>
          <w:color w:val="111111"/>
          <w:sz w:val="28"/>
          <w:szCs w:val="28"/>
          <w:rtl w:val="true"/>
          <w:lang w:bidi="fa-IR"/>
        </w:rPr>
        <w:t xml:space="preserve">. </w:t>
      </w:r>
      <w:bookmarkStart w:id="143" w:name="pg1971_8384"/>
    </w:p>
    <w:p>
      <w:pPr>
        <w:pStyle w:val="Heading3"/>
        <w:numPr>
          <w:ilvl w:val="2"/>
          <w:numId w:val="1"/>
        </w:numPr>
        <w:rPr/>
      </w:pPr>
      <w:bookmarkStart w:id="144" w:name="__RefHeading___Toc3696455_3650668749"/>
      <w:bookmarkStart w:id="145" w:name="_Toc54"/>
      <w:bookmarkEnd w:id="143"/>
      <w:bookmarkEnd w:id="144"/>
      <w:r>
        <w:rPr>
          <w:rtl w:val="true"/>
        </w:rPr>
        <w:t>پاسخ</w:t>
      </w:r>
      <w:bookmarkEnd w:id="145"/>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مورد همه اصحاب نيست؛ زيرا پيشگامان نخستين در آن ستايش شده‌اند، نه همه و حتى معلوم نيست تمامى مهاجر و انصار را هم شامل شود؛ زيرا كلمه</w:t>
      </w:r>
    </w:p>
    <w:p>
      <w:pPr>
        <w:pStyle w:val="BookText"/>
        <w:rPr/>
      </w:pPr>
      <w:r>
        <w:rPr>
          <w:rFonts w:ascii="IRNazanin" w:hAnsi="IRNazanin" w:eastAsia="IRNazanin"/>
          <w:color w:val="111111"/>
          <w:sz w:val="28"/>
          <w:sz w:val="28"/>
          <w:szCs w:val="28"/>
          <w:rtl w:val="true"/>
          <w:lang w:bidi="fa-IR"/>
        </w:rPr>
        <w:t xml:space="preserve">مِنَ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پيشگامان از مهاجر و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اين پيشگامان، مشروط به استقامت در دين و عدم انحراف است نه مطلق؛ زيرا اگر آيه مطلق باشد، يا به معناى آن است كه پيشگامان از مهاجر و انصار همواره بهشتى و مورد رضاى خدا هستند اگرچه گناه كرده باشند و حتى مرتد شده باشند يا به اين معناست كه آنها تا آخر عمر منحرف نشدند و در دين پايدار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احتمال اول درست نيست و خداوند هرگز از افراد فاسق و منحرف راضى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نيز درست نيست؛ زيرا به طور قطع مى‌يابيم كه بسيارى از اين پيشگامان، يكديگر را تفسيق يا تكفير كردند و به قتل و غارت و هتك يكديگر پرداختند و هرگز نمى‌توان گفت كه خداوند از همه آنها راضى است</w:t>
      </w:r>
      <w:r>
        <w:rPr>
          <w:rFonts w:eastAsia="IRNazanin" w:cs="IRNazanin"/>
          <w:color w:val="111111"/>
          <w:sz w:val="28"/>
          <w:szCs w:val="28"/>
          <w:rtl w:val="true"/>
          <w:lang w:bidi="fa-IR"/>
        </w:rPr>
        <w:t>.</w:t>
      </w:r>
    </w:p>
    <w:p>
      <w:pPr>
        <w:pStyle w:val="Heading3"/>
        <w:numPr>
          <w:ilvl w:val="2"/>
          <w:numId w:val="1"/>
        </w:numPr>
        <w:rPr/>
      </w:pPr>
      <w:bookmarkStart w:id="146" w:name="__RefHeading___Toc3696457_3650668749"/>
      <w:bookmarkStart w:id="147" w:name="_Toc55"/>
      <w:bookmarkEnd w:id="146"/>
      <w:r>
        <w:rPr>
          <w:rtl w:val="true"/>
        </w:rPr>
        <w:t>قرآن و پيشگامان مذموم</w:t>
      </w:r>
      <w:bookmarkEnd w:id="147"/>
    </w:p>
    <w:p>
      <w:pPr>
        <w:pStyle w:val="BookText"/>
        <w:rPr/>
      </w:pPr>
      <w:r>
        <w:rPr>
          <w:rFonts w:ascii="IRNazanin" w:hAnsi="IRNazanin" w:eastAsia="IRNazanin"/>
          <w:color w:val="111111"/>
          <w:sz w:val="28"/>
          <w:sz w:val="28"/>
          <w:szCs w:val="28"/>
          <w:rtl w:val="true"/>
          <w:lang w:bidi="fa-IR"/>
        </w:rPr>
        <w:t>آيات قرآن، روايات و حقايق تاريخ، نه تنها مصون بودن صحابه را رد مى‌كند، بلكه برخى از آن پيشگامان را مردود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ثعلبة بن حاطب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از اصحاب بدر و از پيشگامان است و از پرداخت</w:t>
      </w:r>
    </w:p>
    <w:p>
      <w:pPr>
        <w:pStyle w:val="BookText"/>
        <w:rPr/>
      </w:pPr>
      <w:r>
        <w:rPr>
          <w:rFonts w:ascii="Amiri" w:hAnsi="Amiri" w:eastAsia="Amiri" w:cs="Amiri"/>
          <w:color w:val="111111"/>
          <w:sz w:val="28"/>
          <w:sz w:val="28"/>
          <w:szCs w:val="28"/>
          <w:rtl w:val="true"/>
          <w:lang w:bidi="ar-SA"/>
        </w:rPr>
        <w:t xml:space="preserve">زكات امتناع ورزيد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مذمت كرده و مى‌فرمايد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عاهَدَ اللَّهَ لَئِنْ آتانا مِنْ فَضْلِهِ لَنَصَّدَّقَنَّ وَ لَنَكُونَنَّ </w:t>
      </w:r>
    </w:p>
    <w:p>
      <w:pPr>
        <w:pStyle w:val="BookText"/>
        <w:rPr/>
      </w:pPr>
      <w:r>
        <w:rPr>
          <w:rFonts w:ascii="Amiri" w:hAnsi="Amiri" w:eastAsia="Amiri" w:cs="Amiri"/>
          <w:color w:val="111111"/>
          <w:sz w:val="28"/>
          <w:sz w:val="28"/>
          <w:szCs w:val="28"/>
          <w:rtl w:val="true"/>
          <w:lang w:bidi="ar-SA"/>
        </w:rPr>
        <w:t xml:space="preserve">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 مِنْ فَضْلِهِ بَخِلُوا بِهِ وَ تَوَلَّوْا وَ 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فِي قُلُوبِهِمْ إِلى يَوْمِ يَلْقَوْنَهُ بِما أَخْلَفُوا اللَّهَ ما وَعَدُوهُ وَ بِما كانُوا يَكْذِبُونَ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آنها كسانى هستند كه با خدا پيمان بسته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خداوند ما را از فضل خود روزى دهد، قطعاً صدقه و زكات خواهيم داد و از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هنگامى كه خدا از فضل خود به آنها بخشيد، نسبت به آن بُخل ورزيدند و سرپيچى كردند و روى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را تا روزى كه خدا را ملاقات كنند در دل‌هايشان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سزاى شكستن پيمانى است كه با خدا بسته بودند و سزاى دروغ‌هايى است كه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اين آيات، امثال ثعلبه را تا زمان مرگ يا قيامت محكوم به نفاق كرده است با آنكه از پيشگامان انصار و از شركت‌كنندگان بدر است</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آيه 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الثَّلاثَةِ الَّذِينَ خُلِّفُوا حَتَّى إِذا ضاقَتْ عَلَيْهِمُ الْأَرْضُ بِما رَحُبَتْ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مورد پذيرش توبه سه نفر از كسانى است كه از همراهى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شركت در جنگ تبوك خوددارى كردند و بعد از بازگشت،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سخن نگفت و دستور داد كه هيچ‌كس </w:t>
      </w:r>
    </w:p>
    <w:p>
      <w:pPr>
        <w:pStyle w:val="BookText"/>
        <w:rPr/>
      </w:pPr>
      <w:r>
        <w:rPr>
          <w:rFonts w:ascii="IRNazanin" w:hAnsi="IRNazanin" w:eastAsia="IRNazanin"/>
          <w:color w:val="111111"/>
          <w:sz w:val="28"/>
          <w:sz w:val="28"/>
          <w:szCs w:val="28"/>
          <w:rtl w:val="true"/>
          <w:lang w:bidi="fa-IR"/>
        </w:rPr>
        <w:t xml:space="preserve">با آنها سخن نگويد و آنها تحت فشار عجيبى قرار گرفتند به گونه‌اى كه زنان‌شان،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خواستند تا از آنها جدا شوند؛ ولى حضرت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نفر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كعب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مرارةبن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هلال‌بن اميةالرافعى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هلال را از شركت‌كنندگان بدر، احد و قديم‌الاسلام و مرارة را از شركت‌كنندگان بدر شمرده‌اند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درباره حضور كعب بن مالك در جنگ بدر نيز اختلاف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سه نفر از مسلمانان پيشگام هستند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يا آيه مباركه نجوا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إِذا ناجَيْتُمُ الرَّسُولَ فَقَدِّمُوا بَيْنَ يَدَىْ نَجْواكُمْ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مؤمنان دستور مى‌دهد قبل از نجواى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صدقه‌اى بدهند؛ ولى كسى جز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عمل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خدا آيه‌اى است كه هيچ‌كس جز من به آن عمل نكرده و بعد از من نيز عمل نخواهد كرد و آن آيه نجواست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دينار داشتم به ده درهم فروختم و با پيامبر نجوا مى‌كردم و هر بار يك درهم دادم سپس آيه نسخ شد و كسى به آن عمل نكرد و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أَشْفَقْتُمْ أَنْ تُقَدِّمُوا بَيْنَ يَدَيْ نَجْواكُمْ صَدَقاتٍ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ترسيديد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فقير شويد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دادن صدقات قبل از نجوا، خوددارى كرديد؟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ذهبى هم با همه دشمنى‌اش چيزى به آن نيفزوده و حتى ابن تيميه </w:t>
      </w:r>
    </w:p>
    <w:p>
      <w:pPr>
        <w:pStyle w:val="BookText"/>
        <w:rPr/>
      </w:pPr>
      <w:r>
        <w:rPr>
          <w:rFonts w:ascii="Amiri" w:hAnsi="Amiri" w:eastAsia="Amiri" w:cs="Amiri"/>
          <w:color w:val="111111"/>
          <w:sz w:val="28"/>
          <w:sz w:val="28"/>
          <w:szCs w:val="28"/>
          <w:rtl w:val="true"/>
          <w:lang w:bidi="ar-SA"/>
        </w:rPr>
        <w:t>هم به آن اعتراف كرده است</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در اين آيه مباركه، خداوند همه صحابه‌اى كه قدرت پرداخت صدقه داشتند و امتناع كردند، به‌ويژه ابوبكر كه گويند ثروتمند بوده است را مذمت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خداوند از اين افراد و اعمال‌شان راضى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و بيعت‌كنندگان شجره است و مشمول اين آيه است كه خدا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رَضِيَ اللَّهُ عَنِ الْمُؤْمِنِينَ إِذْ يُبايِعُونَكَ تَحْتَ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مؤمنان، هنگامى كه در زير آن درخت با تو بيعت كردند، خشنود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همان كسى است كه در زمان رياستش بر بصره، با زن شوهردار معروف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 و چهار شاهد هنگام زنا او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و شهود را نزد عمر آوردند، سه نفر از آنها شهادت به زناى صريح دادند؛ اما چهارمى با اشاره عمر فقط همبستر شدن او به صورت عريان و مقدمات كار را شهادت داد و اين‌گونه مغيره از سنگسار شدن رهايى يافت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جريان مذكور، هرگونه كه توجيه شود، باز همبستر شدن و استمتاع در آن قطعى است؛ همچنان‌كه در روايات اهل‌سنت به وضوح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چنين فردى مورد رضايت مطلق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همه جنگ‌ها شركت داشته است، سه بار شرب</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خمر </w:t>
      </w:r>
    </w:p>
    <w:p>
      <w:pPr>
        <w:pStyle w:val="BookText"/>
        <w:rPr/>
      </w:pPr>
      <w:r>
        <w:rPr>
          <w:rFonts w:ascii="IRNazanin" w:hAnsi="IRNazanin" w:eastAsia="IRNazanin"/>
          <w:color w:val="111111"/>
          <w:sz w:val="28"/>
          <w:sz w:val="28"/>
          <w:szCs w:val="28"/>
          <w:rtl w:val="true"/>
          <w:lang w:bidi="fa-IR"/>
        </w:rPr>
        <w:t xml:space="preserve">كرد به گونه‌اى كه در مرتبه چهارم، عُمر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قتل او را كرد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آيا مى‌توان اينها را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پيشگامان 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p>
    <w:p>
      <w:pPr>
        <w:pStyle w:val="BookText"/>
        <w:rPr/>
      </w:pPr>
      <w:r>
        <w:rPr>
          <w:rFonts w:ascii="IRNazanin" w:hAnsi="IRNazanin" w:eastAsia="IRNazanin"/>
          <w:color w:val="111111"/>
          <w:sz w:val="28"/>
          <w:sz w:val="28"/>
          <w:szCs w:val="28"/>
          <w:rtl w:val="true"/>
          <w:lang w:bidi="fa-IR"/>
        </w:rPr>
        <w:t>يا در جنگ اُحد، نافرمانى و فرار مسلمانان را داريم كه قرآن كريم آنها را به شدت مذمت كرده است؛ مذمت به سبب ترديد در حقانيت اسلام، فرار ننگين و رها كردن پيامبر، دنياطلبى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آيات </w:t>
      </w:r>
      <w:r>
        <w:rPr>
          <w:rFonts w:ascii="IRNazanin" w:hAnsi="IRNazanin" w:eastAsia="IRNazanin"/>
          <w:color w:val="111111"/>
          <w:sz w:val="28"/>
          <w:sz w:val="28"/>
          <w:szCs w:val="28"/>
          <w:lang w:bidi="fa-IR"/>
        </w:rPr>
        <w:t>١۴١</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١۵٨</w:t>
      </w:r>
      <w:r>
        <w:rPr>
          <w:rFonts w:ascii="IRNazanin" w:hAnsi="IRNazanin" w:eastAsia="IRNazanin"/>
          <w:color w:val="111111"/>
          <w:sz w:val="28"/>
          <w:sz w:val="28"/>
          <w:szCs w:val="28"/>
          <w:rtl w:val="true"/>
          <w:lang w:bidi="fa-IR"/>
        </w:rPr>
        <w:t xml:space="preserve"> سوره آل‌عمران به اين واقعه پرداخته است به‌ويژه آيه </w:t>
      </w:r>
      <w:r>
        <w:rPr>
          <w:rFonts w:ascii="IRNazanin" w:hAnsi="IRNazanin" w:eastAsia="IRNazanin"/>
          <w:color w:val="111111"/>
          <w:sz w:val="28"/>
          <w:sz w:val="28"/>
          <w:szCs w:val="28"/>
          <w:lang w:bidi="fa-IR"/>
        </w:rPr>
        <w:t>١۴٢</w:t>
      </w:r>
      <w:r>
        <w:rPr>
          <w:rFonts w:ascii="IRNazanin" w:hAnsi="IRNazanin" w:eastAsia="IRNazanin"/>
          <w:color w:val="111111"/>
          <w:sz w:val="28"/>
          <w:sz w:val="28"/>
          <w:szCs w:val="28"/>
          <w:rtl w:val="true"/>
          <w:lang w:bidi="fa-IR"/>
        </w:rPr>
        <w:t xml:space="preserve"> كه شرط ورود به بهشت را جهاد و صبر در راه دين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در جنگ حنين، سپاه ده هزار نفرى مسلمانان كه به جز اميرالمؤمنين و ده نفر ديگر، بقيه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فراركنندگان از جنگ را مشمول غضب دانسته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يُوَلِّهِمْ يَوْمَئِذٍ دُبُرَهُ إِلَّا مُتَحَرِّفاً لِقِتالٍ أَوْ مُتَحَيِّزاً إِلى فِئَةٍ فَقَدْ باءَ بِغَضَبٍ مِنَ اللَّهِ وَ مَأْواهُ جَهَنَّمُ وَ بِئْسَ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با كافران در ميدان نبرد روبرو شويد، به آنها پشت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ننماييد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كس در آن هنگام به آنها پشت كند مگر آنكه هدفش از كناره‌گيرى، تجديد نيرو براى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پيوستن به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غضب خدا گرفتار خواهد شد و جايگاه او جهنم است و چه</w:t>
      </w:r>
    </w:p>
    <w:p>
      <w:pPr>
        <w:pStyle w:val="BookText"/>
        <w:rPr/>
      </w:pPr>
      <w:r>
        <w:rPr>
          <w:rFonts w:ascii="IRNazanin" w:hAnsi="IRNazanin" w:eastAsia="IRNazanin"/>
          <w:color w:val="111111"/>
          <w:sz w:val="28"/>
          <w:sz w:val="28"/>
          <w:szCs w:val="28"/>
          <w:rtl w:val="true"/>
          <w:lang w:bidi="fa-IR"/>
        </w:rPr>
        <w:t>بدجايگاهى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جاى ديگر درباره اين واقعه مى‌فرمايد</w:t>
      </w:r>
      <w:r>
        <w:rPr>
          <w:rFonts w:eastAsia="IRNazanin" w:cs="IRNazanin"/>
          <w:color w:val="111111"/>
          <w:sz w:val="28"/>
          <w:szCs w:val="28"/>
          <w:rtl w:val="true"/>
          <w:lang w:bidi="fa-IR"/>
        </w:rPr>
        <w:t xml:space="preserve">: </w:t>
      </w:r>
      <w:bookmarkStart w:id="148" w:name="pg1971_8389"/>
    </w:p>
    <w:p>
      <w:pPr>
        <w:pStyle w:val="BookText"/>
        <w:rPr/>
      </w:pPr>
      <w:bookmarkEnd w:id="148"/>
      <w:r>
        <w:rPr>
          <w:rFonts w:ascii="Amiri" w:hAnsi="Amiri" w:eastAsia="Amiri" w:cs="Amiri"/>
          <w:color w:val="111111"/>
          <w:sz w:val="28"/>
          <w:sz w:val="28"/>
          <w:szCs w:val="28"/>
          <w:rtl w:val="true"/>
          <w:lang w:bidi="ar-SA"/>
        </w:rPr>
        <w:t xml:space="preserve">وَ يَوْمَ حُنَيْنٍ إِذْ أَعْجَبَتْكُمْ كَثْرَتُكُمْ فَلَمْ تُغْنِ عَنْكُمْ شَيْئاً وَ ضاقَتْ عَلَيْكُمُ الْأَرْضُ بِما رَحُبَتْ ثُمَّ وَلَّيْتُمْ مُدْبِرِينَ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ودر روز حنين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يارى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فزونى جمعيتتان، شما را مغرور ساخت؛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فزونى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مشكلى را از شما حل نكرد و زمين با همه وسعتش بر شما تنگ شد سپس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فرار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جنگ ده هزار نفر با پيامبر بودند به اضافه گروهى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گريختند</w:t>
      </w:r>
      <w:r>
        <w:rPr>
          <w:rFonts w:eastAsia="IRNazanin" w:cs="IRNazanin"/>
          <w:color w:val="111111"/>
          <w:sz w:val="28"/>
          <w:szCs w:val="28"/>
          <w:rtl w:val="true"/>
          <w:lang w:bidi="fa-IR"/>
        </w:rPr>
        <w:t xml:space="preserve">» . </w:t>
      </w:r>
      <w:r>
        <w:rPr>
          <w:rStyle w:val="FootnoteAnchor"/>
          <w:rtl w:val="true"/>
        </w:rPr>
        <w:footnoteReference w:id="54"/>
      </w:r>
      <w:r>
        <w:rPr>
          <w:rFonts w:ascii="IRNazanin" w:hAnsi="IRNazanin" w:eastAsia="IRNazanin"/>
          <w:color w:val="111111"/>
          <w:sz w:val="28"/>
          <w:sz w:val="28"/>
          <w:szCs w:val="28"/>
          <w:rtl w:val="true"/>
          <w:lang w:bidi="fa-IR"/>
        </w:rPr>
        <w:t xml:space="preserve">و ابن 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عباس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اختلافى نيست كه عثمان و ابوبكر از فراركننده‌ها بودند؛ اختلاف در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كلام وى معلوم مى‌شود فرار آنها را درست مى‌داند</w:t>
      </w:r>
      <w:r>
        <w:rPr>
          <w:rFonts w:eastAsia="IRNazanin" w:cs="IRNazanin"/>
          <w:color w:val="111111"/>
          <w:sz w:val="28"/>
          <w:szCs w:val="28"/>
          <w:rtl w:val="true"/>
          <w:lang w:bidi="fa-IR"/>
        </w:rPr>
        <w:t xml:space="preserve">. </w:t>
      </w:r>
      <w:r>
        <w:rPr>
          <w:rStyle w:val="FootnoteAnchor"/>
          <w:rtl w:val="true"/>
        </w:rPr>
        <w:footnoteReference w:id="55"/>
      </w:r>
    </w:p>
    <w:p>
      <w:pPr>
        <w:pStyle w:val="Heading3"/>
        <w:numPr>
          <w:ilvl w:val="2"/>
          <w:numId w:val="1"/>
        </w:numPr>
        <w:rPr/>
      </w:pPr>
      <w:bookmarkStart w:id="149" w:name="__RefHeading___Toc3696459_3650668749"/>
      <w:bookmarkStart w:id="150" w:name="_Toc56"/>
      <w:bookmarkEnd w:id="149"/>
      <w:r>
        <w:rPr>
          <w:rtl w:val="true"/>
        </w:rPr>
        <w:t xml:space="preserve">صحابه در نگاه پيامبر </w:t>
      </w:r>
      <w:r>
        <w:rPr>
          <w:rtl w:val="true"/>
        </w:rPr>
        <w:t>(</w:t>
      </w:r>
      <w:r>
        <w:rPr>
          <w:rtl w:val="true"/>
        </w:rPr>
        <w:t>ص</w:t>
      </w:r>
      <w:r>
        <w:rPr>
          <w:rtl w:val="true"/>
        </w:rPr>
        <w:t xml:space="preserve">) </w:t>
      </w:r>
      <w:r>
        <w:rPr>
          <w:rtl w:val="true"/>
        </w:rPr>
        <w:t>و خود صحابه</w:t>
      </w:r>
      <w:bookmarkEnd w:id="150"/>
    </w:p>
    <w:p>
      <w:pPr>
        <w:pStyle w:val="BookText"/>
        <w:rPr/>
      </w:pPr>
      <w:r>
        <w:rPr>
          <w:rFonts w:ascii="IRNazanin" w:hAnsi="IRNazanin" w:eastAsia="IRNazanin"/>
          <w:color w:val="111111"/>
          <w:sz w:val="28"/>
          <w:sz w:val="28"/>
          <w:szCs w:val="28"/>
          <w:rtl w:val="true"/>
          <w:lang w:bidi="fa-IR"/>
        </w:rPr>
        <w:t>خود صحابه چنين فضيلت و حريم امنى را براى خود قائل نبودند و خود را به سبب صحابى يا پيشگام بودن به طور قطع بهشتى نمى‌دانستند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صحيح بخارى آمده است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شخصى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تو كه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مصاحبت داشتى و با او در زير شجره، بيعت </w:t>
      </w:r>
    </w:p>
    <w:p>
      <w:pPr>
        <w:pStyle w:val="BookText"/>
        <w:rPr/>
      </w:pPr>
      <w:r>
        <w:rPr>
          <w:rFonts w:ascii="IRNazanin" w:hAnsi="IRNazanin" w:eastAsia="IRNazanin"/>
          <w:color w:val="111111"/>
          <w:sz w:val="28"/>
          <w:sz w:val="28"/>
          <w:szCs w:val="28"/>
          <w:rtl w:val="true"/>
          <w:lang w:bidi="fa-IR"/>
        </w:rPr>
        <w:t xml:space="preserve">رضوان نمودى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همان‌ها كه آيه از آنها اعلام رضايت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نمى‌دانى ما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كرديم؟</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شما هستم، در اين هنگام مردانى از شما را نزد من مى‌آورند؛ همين‌كه مى‌خواهم به آنها نزديك شوم، مانع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اصحاب من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تو نمى‌دانى بعد از تو چه كردند</w:t>
      </w:r>
      <w:r>
        <w:rPr>
          <w:rFonts w:eastAsia="IRNazanin" w:cs="IRNazanin"/>
          <w:color w:val="111111"/>
          <w:sz w:val="28"/>
          <w:szCs w:val="28"/>
          <w:rtl w:val="true"/>
          <w:lang w:bidi="fa-IR"/>
        </w:rPr>
        <w:t xml:space="preserve">» .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از همين رو خليفه دوم عمر بن خطاب نزد حذيفه يمانى كه به نام‌هاى منافقان آگاه بود، رفت و از او پرسيد كه آيا او از منافقان است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را در ميان آنها برده است؟ </w:t>
      </w:r>
      <w:r>
        <w:rPr>
          <w:rStyle w:val="FootnoteAnchor"/>
          <w:rtl w:val="true"/>
        </w:rPr>
        <w:footnoteReference w:id="58"/>
      </w:r>
      <w:r>
        <w:rPr>
          <w:rFonts w:ascii="IRNazanin" w:hAnsi="IRNazanin" w:eastAsia="IRNazanin"/>
          <w:color w:val="111111"/>
          <w:sz w:val="28"/>
          <w:sz w:val="28"/>
          <w:szCs w:val="28"/>
          <w:rtl w:val="true"/>
          <w:lang w:bidi="fa-IR"/>
        </w:rPr>
        <w:t xml:space="preserve">آيا كسى كه مصداق آيه مذكور است، در بهشتى بودن و ايمان خود ترديد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كسى كه جزءده نفرى است كه وعده بهشت به او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ايمان خود ترديد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صحيح همان است كه عُمر به مردى كه</w:t>
      </w:r>
    </w:p>
    <w:p>
      <w:pPr>
        <w:pStyle w:val="BookText"/>
        <w:rPr/>
      </w:pPr>
      <w:r>
        <w:rPr>
          <w:rFonts w:ascii="IRNazanin" w:hAnsi="IRNazanin" w:eastAsia="IRNazanin"/>
          <w:color w:val="111111"/>
          <w:sz w:val="28"/>
          <w:sz w:val="28"/>
          <w:szCs w:val="28"/>
          <w:rtl w:val="true"/>
          <w:lang w:bidi="fa-IR"/>
        </w:rPr>
        <w:t>ادعاى ايمان داشت،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با پيامبر بر سه گروه نبوديد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مشرك، منافق و مؤمن؟ </w:t>
      </w:r>
      <w:r>
        <w:rPr>
          <w:rStyle w:val="FootnoteAnchor"/>
          <w:rtl w:val="true"/>
        </w:rPr>
        <w:footnoteReference w:id="59"/>
      </w:r>
      <w:bookmarkStart w:id="151" w:name="pg1971_8391"/>
    </w:p>
    <w:p>
      <w:pPr>
        <w:pStyle w:val="Heading3"/>
        <w:numPr>
          <w:ilvl w:val="2"/>
          <w:numId w:val="1"/>
        </w:numPr>
        <w:rPr/>
      </w:pPr>
      <w:bookmarkStart w:id="152" w:name="__RefHeading___Toc3696461_3650668749"/>
      <w:bookmarkStart w:id="153" w:name="_Toc57"/>
      <w:bookmarkEnd w:id="151"/>
      <w:bookmarkEnd w:id="152"/>
      <w:r>
        <w:rPr>
          <w:rtl w:val="true"/>
        </w:rPr>
        <w:t>شرايط رضايت خداوند از پيشگامان</w:t>
      </w:r>
      <w:bookmarkEnd w:id="153"/>
    </w:p>
    <w:p>
      <w:pPr>
        <w:pStyle w:val="BookText"/>
        <w:rPr/>
      </w:pPr>
      <w:r>
        <w:rPr>
          <w:rFonts w:ascii="IRNazanin" w:hAnsi="IRNazanin" w:eastAsia="IRNazanin"/>
          <w:color w:val="111111"/>
          <w:sz w:val="28"/>
          <w:sz w:val="28"/>
          <w:szCs w:val="28"/>
          <w:rtl w:val="true"/>
          <w:lang w:bidi="fa-IR"/>
        </w:rPr>
        <w:t>از همه آنچه گفته شد و بسيارى ديگر كه مجال گفتن آن نبود، استفاده مى‌شود كه رضايت خداوند از پيشگامان از مهاجر و انصار و از بيعت‌كنندگان زير شجره مشروط به استقامت در دين و عمل صالح است نه آنكه ايجاد كننده حريم اَمن براى فسق و اعطاى عصمت به‌آنها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خداوند به پيامبرش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الَّذِينَ آمَنُوا وَ عَمِلُوا الصَّالِحاتِ أَنَّ لَهُمْ جَنَّاتٍ تَجْرِي مِنْ تَحْتِهَا الْأَنْهارُ</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كسانى كه ايمان آورده و كارهاى شايسته انجام داده‌اند بشارت ده باغ‌هاى بهشتى براى آنهاست كه نهرها از پاى درختانش جارى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مسلماً اين وعده، مشروط به استقامت در دين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 بسيارى وعده بهشت مشروط به عمل صالح و استقامت در دين است و در صورت انحراف از دين اعمال او نيز باطل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آشكارا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يَرْتَدِدْ مِنْكُمْ عَنْ دِينِهِ فَيَمُتْ وَ هُوَ كافِرٌ فَأُولئِكَ حَبِطَتْ أَعْمالُهُمْ فِى الدُّنْيا وَ الْآخِرَةِ وَ أُولئِكَ أَصْحابُ النَّارِ 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از شما كه از آيينش برگردد و در حال كفر بميرد، تمام</w:t>
      </w:r>
    </w:p>
    <w:p>
      <w:pPr>
        <w:pStyle w:val="BookText"/>
        <w:rPr/>
      </w:pP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دنيا و آخرت بر باد مى‌رود و چنين كسانى اهل دوزخند و جاودانه در آن خواهند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همچنان‌كه وعده جهنم و عذاب براى فاسقان و كافران، مشروط به </w:t>
      </w:r>
    </w:p>
    <w:p>
      <w:pPr>
        <w:pStyle w:val="BookText"/>
        <w:rPr/>
      </w:pPr>
      <w:r>
        <w:rPr>
          <w:rFonts w:ascii="IRNazanin" w:hAnsi="IRNazanin" w:eastAsia="IRNazanin"/>
          <w:color w:val="111111"/>
          <w:sz w:val="28"/>
          <w:sz w:val="28"/>
          <w:szCs w:val="28"/>
          <w:rtl w:val="true"/>
          <w:lang w:bidi="fa-IR"/>
        </w:rPr>
        <w:t>توبه‌نكردن و نداشتن اسلام است، وعده بهشت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چنين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هذا يَوْمُ يَنْفَعُ الصَّادِقِينَ صِدْقُهُمْ لَهُمْ جَنَّاتٌ تَجْرِى مِنْ تَحْتِهَا الْأَنْهارُ خالِدِينَ فِيها أَبَداً رَضِىَ اللَّهُ عَنْهُمْ وَ رَضُوا عَنْهُ ذلِكَ الْفَوْزُ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است كه راستى راستگويان به آنها سود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باغ‌هاى بهشتى است كه نهرها از پاى درختان آن مى‌گذرد و تا ابد جاودانه در آن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آنها خشنود است و آنها نيزاز او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فهميده مى‌شود كه رضايت خداوند بر اثر صداقت است؛ يعنى استقامت بر پيمان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خداوند در آيه‌هاى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سوره‌بينه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جَزاؤُهُمْ عِنْدَ رَبِّهِمْ جَنَّاتُ عَدْنٍ تَجْرِي مِنْ تَحْتِهَا الْأَنْهارُ خالِدِينَ فِيها أَبَداً رَضِيَ اللَّهُ عَنْهُمْ وَ رَضُوا عَنْهُ ذلِكَ لِمَنْ خَشِيَ رَبَّهُ</w:t>
      </w:r>
    </w:p>
    <w:p>
      <w:pPr>
        <w:pStyle w:val="BookText"/>
        <w:rPr/>
      </w:pPr>
      <w:r>
        <w:rPr>
          <w:rFonts w:ascii="IRNazanin" w:hAnsi="IRNazanin" w:eastAsia="IRNazanin"/>
          <w:color w:val="111111"/>
          <w:sz w:val="28"/>
          <w:sz w:val="28"/>
          <w:szCs w:val="28"/>
          <w:rtl w:val="true"/>
          <w:lang w:bidi="fa-IR"/>
        </w:rPr>
        <w:t xml:space="preserve">كسانى كه ايمان آوردند و اعمال صالح انجام دادند بهترين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آنها نزد پروردگارشان باغ‌هاى جاويدان</w:t>
      </w:r>
    </w:p>
    <w:p>
      <w:pPr>
        <w:pStyle w:val="BookText"/>
        <w:rPr/>
      </w:pPr>
      <w:r>
        <w:rPr>
          <w:rFonts w:ascii="IRNazanin" w:hAnsi="IRNazanin" w:eastAsia="IRNazanin"/>
          <w:color w:val="111111"/>
          <w:sz w:val="28"/>
          <w:sz w:val="28"/>
          <w:szCs w:val="28"/>
          <w:rtl w:val="true"/>
          <w:lang w:bidi="fa-IR"/>
        </w:rPr>
        <w:t xml:space="preserve">بهشتى است كه نهرها از پاى درختانش جارى است، هميشه در آن مى‌مانند؛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آنان خشنود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او 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بترسد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بهشت و رضايت خداوند بر اثر ايمان و عمل صالح است و </w:t>
      </w:r>
    </w:p>
    <w:p>
      <w:pPr>
        <w:pStyle w:val="BookText"/>
        <w:rPr/>
      </w:pPr>
      <w:r>
        <w:rPr>
          <w:rFonts w:ascii="IRNazanin" w:hAnsi="IRNazanin" w:eastAsia="IRNazanin"/>
          <w:color w:val="111111"/>
          <w:sz w:val="28"/>
          <w:sz w:val="28"/>
          <w:szCs w:val="28"/>
          <w:rtl w:val="true"/>
          <w:lang w:bidi="fa-IR"/>
        </w:rPr>
        <w:t>خداوند هرگز از فاسقان راضى نيست؛ ازاين‌رو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تَرْضَوْا عَنْهُمْ فَإِنَّ اللَّهَ لا يَرْضى عَنِ الْقَوْمِ الْفاسِقِينَ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از آنها راضى شويد،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فاسقان، راضى نخواهد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كسانى از صحابه مورد تأييد قرآن هستند كه در ايمان، صادق و در عقيده، ثابت باشند و گرفتار هوا و هوس و دنياطلبى نيز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الْمُؤْمِنِينَ رِجالٌ صَدَقُوا ما عاهَدُوا اللَّهَ عَلَيْهِ فَمِنْهُمْ مَنْ 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نَحْبَهُ وَ مِنْهُمْ مَنْ يَنْتَظِرُ وَ ما بَدَّلُوا تَبْدِيلاً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ميان مؤمنان مردانى هستند كه بر سر عهدى كه با خدا بستند، صادقانه ايستاده‌اند؛ بعضى پيمان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در انتظارند و هيچ‌گونه تغييرى در پيمان خود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اين آيه، تنها برخى از مؤمنانِ زمان نزول آيه، صادق هستند و آنها كسانى‌اند كه يا شهيد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بهترين گواه صداقت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منتظرند؛ ولى تغيير روش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ما بايد كسانى از صحابه يا پيشگامان را تعظيم كنيم كه بر سر پيمانشان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ستمكاران بر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همان‌ها كه به قصد آتش زدن حريم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خانه هجوم بردند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شمشير برهنه،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تهديد كردند تا از او بيعت بگيرند، صادق نبوده و داخل در آن آيات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كه حرمت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رعايت نكردند، كسى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رضاى او راضى و با خشم او خشمگين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w:t>
      </w:r>
      <w:bookmarkStart w:id="154" w:name="pg1971_8394"/>
    </w:p>
    <w:p>
      <w:pPr>
        <w:pStyle w:val="BookText"/>
        <w:rPr/>
      </w:pPr>
      <w:bookmarkEnd w:id="154"/>
      <w:r>
        <w:rPr>
          <w:rFonts w:ascii="Amiri" w:hAnsi="Amiri" w:eastAsia="Amiri" w:cs="Amiri"/>
          <w:color w:val="111111"/>
          <w:sz w:val="28"/>
          <w:sz w:val="28"/>
          <w:szCs w:val="28"/>
          <w:rtl w:val="true"/>
          <w:lang w:bidi="ar-SA"/>
        </w:rPr>
        <w:t>بر اثر ظلم و ستمى كه به او شد با خشم فراوان بر حاكمان زمان خويش، در جوانى به شهادت رسيد و حتى راضى نشد آنها در مراسم دفن او حاضر شوند و قبر او را بشناسند</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3696463_3650668749"/>
      <w:bookmarkStart w:id="156" w:name="_Toc58"/>
      <w:bookmarkEnd w:id="155"/>
      <w:r>
        <w:rPr>
          <w:rtl w:val="true"/>
        </w:rPr>
        <w:t>توضيحى در مورد برخى از پيشگامان اهل سنت</w:t>
      </w:r>
      <w:bookmarkEnd w:id="156"/>
    </w:p>
    <w:p>
      <w:pPr>
        <w:pStyle w:val="BookText"/>
        <w:rPr/>
      </w:pPr>
      <w:r>
        <w:rPr>
          <w:rFonts w:ascii="IRNazanin" w:hAnsi="IRNazanin" w:eastAsia="IRNazanin"/>
          <w:color w:val="111111"/>
          <w:sz w:val="28"/>
          <w:sz w:val="28"/>
          <w:szCs w:val="28"/>
          <w:rtl w:val="true"/>
          <w:lang w:bidi="fa-IR"/>
        </w:rPr>
        <w:t>اما 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نام نُه نفر را برده و آنان را پيشگامان دانسته است و اضافه كرده همه كسانى كه شيعه آنها را لعنت مى‌كند از مهاجر، انصار و پيشگامان هستند كه خداوند از آنان اعلام رضايت كرده است</w:t>
      </w:r>
      <w:r>
        <w:rPr>
          <w:rFonts w:eastAsia="IRNazanin" w:cs="IRNazanin"/>
          <w:color w:val="111111"/>
          <w:sz w:val="28"/>
          <w:szCs w:val="28"/>
          <w:rtl w:val="true"/>
          <w:lang w:bidi="fa-IR"/>
        </w:rPr>
        <w:t>.</w:t>
      </w:r>
    </w:p>
    <w:p>
      <w:pPr>
        <w:pStyle w:val="Heading3"/>
        <w:numPr>
          <w:ilvl w:val="2"/>
          <w:numId w:val="1"/>
        </w:numPr>
        <w:rPr/>
      </w:pPr>
      <w:bookmarkStart w:id="157" w:name="__RefHeading___Toc3696465_3650668749"/>
      <w:bookmarkStart w:id="158" w:name="_Toc59"/>
      <w:bookmarkEnd w:id="157"/>
      <w:r>
        <w:rPr>
          <w:rtl w:val="true"/>
        </w:rPr>
        <w:t>پاسخ</w:t>
      </w:r>
      <w:bookmarkEnd w:id="15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كسانى كه شيعه آنها را لعنت مى‌كند از پيشگامان نيستند و مورد رضايت خداوند هم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افرادى مثل معاويه، عمروبن عاص، مروان، بُسر بن ارطاة، ابوسفيان، مغيرة و ديگر پيروان ستمكاران را لعنت مى‌كند و اينها جزء پيشگامان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هرگز به افرادى مثل عبدالله بن مسعود و سعد بن معاذ متعرض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مباركه در مورد پيشگامان، به استقامت در دين و انحراف نيافتن بعد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است و صحابه‌اى كه قطعاً با ستم</w:t>
      </w:r>
    </w:p>
    <w:p>
      <w:pPr>
        <w:pStyle w:val="BookText"/>
        <w:rPr/>
      </w:pPr>
      <w:r>
        <w:rPr>
          <w:rFonts w:ascii="Amiri" w:hAnsi="Amiri" w:eastAsia="Amiri" w:cs="Amiri"/>
          <w:color w:val="111111"/>
          <w:sz w:val="28"/>
          <w:sz w:val="28"/>
          <w:szCs w:val="28"/>
          <w:rtl w:val="true"/>
          <w:lang w:bidi="ar-SA"/>
        </w:rPr>
        <w:t xml:space="preserve">به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مخالفت با ايشان منحرف شده‌اند، مشمول آيه نيستند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خداوند از طلحه و زبير راضى باشد كه سبب اختلاف ميان مسلمانان شدند و بر امام مسلمانان خروج كردند و هزاران نفر را به كشتن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كند با </w:t>
      </w:r>
    </w:p>
    <w:p>
      <w:pPr>
        <w:pStyle w:val="BookText"/>
        <w:rPr/>
      </w:pPr>
      <w:r>
        <w:rPr>
          <w:rFonts w:ascii="IRNazanin" w:hAnsi="IRNazanin" w:eastAsia="IRNazanin"/>
          <w:color w:val="111111"/>
          <w:sz w:val="28"/>
          <w:sz w:val="28"/>
          <w:szCs w:val="28"/>
          <w:rtl w:val="true"/>
          <w:lang w:bidi="fa-IR"/>
        </w:rPr>
        <w:t>من جنگ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دشمن خدا و كسى كه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مى‌جنگد مورد رضايت خداوند است؟</w:t>
      </w:r>
    </w:p>
    <w:p>
      <w:pPr>
        <w:pStyle w:val="BookText"/>
        <w:rPr/>
      </w:pPr>
      <w:r>
        <w:rPr>
          <w:rFonts w:ascii="IRNazanin" w:hAnsi="IRNazanin" w:eastAsia="IRNazanin"/>
          <w:color w:val="111111"/>
          <w:sz w:val="28"/>
          <w:sz w:val="28"/>
          <w:szCs w:val="28"/>
          <w:rtl w:val="true"/>
          <w:lang w:bidi="fa-IR"/>
        </w:rPr>
        <w:t>گفتنى است كه در روايات اهل سنت آمده است كه عُمربن‌خطاب وقتى خلافت را بعد از خود در ميان شوراى شش نفره، يعنى اميرالمؤمنين، عثمان، طلحه، زبير، سعد بن ابى‌وقاص و عبدالرحمن بن عوف قرار داد، خودش به شرح حال اينها پرداخت و در مورد طلحه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درحالى‌كه تو را سرزنش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زبير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هنگام خشم، كافرى و در هنگام رضايت، مؤمن؛ روزى شيطانى و روزى انسان</w:t>
      </w:r>
      <w:r>
        <w:rPr>
          <w:rFonts w:eastAsia="IRNazanin" w:cs="IRNazanin"/>
          <w:color w:val="111111"/>
          <w:sz w:val="28"/>
          <w:szCs w:val="28"/>
          <w:rtl w:val="true"/>
          <w:lang w:bidi="fa-IR"/>
        </w:rPr>
        <w:t xml:space="preserve">» . </w:t>
      </w:r>
      <w:r>
        <w:rPr>
          <w:rStyle w:val="FootnoteAnchor"/>
          <w:rtl w:val="true"/>
        </w:rPr>
        <w:footnoteReference w:id="60"/>
      </w:r>
      <w:r>
        <w:rPr>
          <w:rFonts w:ascii="IRNazanin" w:hAnsi="IRNazanin" w:eastAsia="IRNazanin"/>
          <w:color w:val="111111"/>
          <w:sz w:val="28"/>
          <w:sz w:val="28"/>
          <w:szCs w:val="28"/>
          <w:rtl w:val="true"/>
          <w:lang w:bidi="fa-IR"/>
        </w:rPr>
        <w:t>در روايت ديگر است كه به طلحه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تو نيستى كه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پيامبر از دنيا برود ما همسران او را نكاح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را نسبت به دخترعموهاى ما شايسته‌تر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مورد تو اين آيه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لَكُمْ أَنْ تُؤْذُوا رَسُولَ اللَّهِ وَ لا أَنْ تَنْكِحُوا أَزْواجَهُ مِنْ بَعْدِهِ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حق نداريد پيامبر خدا را آزار دهيد، و نه</w:t>
      </w:r>
    </w:p>
    <w:p>
      <w:pPr>
        <w:pStyle w:val="BookText"/>
        <w:rPr/>
      </w:pPr>
      <w:r>
        <w:rPr>
          <w:rFonts w:ascii="IRNazanin" w:hAnsi="IRNazanin" w:eastAsia="IRNazanin"/>
          <w:color w:val="111111"/>
          <w:sz w:val="28"/>
          <w:sz w:val="28"/>
          <w:szCs w:val="28"/>
          <w:rtl w:val="true"/>
          <w:lang w:bidi="fa-IR"/>
        </w:rPr>
        <w:t>هرگز همسران او را بعد از او به همسرى خود درآوريد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آيه مذكور آمده است، طلحه آن كسى است كه پيامبر را اذيت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 با عايشه ازدواج مى‌كنم؛ او دختر عموى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شنيد، </w:t>
      </w:r>
    </w:p>
    <w:p>
      <w:pPr>
        <w:pStyle w:val="BookText"/>
        <w:rPr/>
      </w:pPr>
      <w:r>
        <w:rPr>
          <w:rFonts w:ascii="Amiri" w:hAnsi="Amiri" w:eastAsia="Amiri" w:cs="Amiri"/>
          <w:color w:val="111111"/>
          <w:sz w:val="28"/>
          <w:sz w:val="28"/>
          <w:szCs w:val="28"/>
          <w:rtl w:val="true"/>
          <w:lang w:bidi="ar-SA"/>
        </w:rPr>
        <w:t>ناراحت شد و اين آيه نازل شد</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مگر قرآن نمى‌گويد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يُؤْذُونَ اللَّهَ وَ رَسُولَهُ لَعَنَهُمُ اللَّهُ فِى الدُّنْيا وَ الْآخِرَةِ وَ أَعَدَّ لَهُمْ عَذاباً مُهِيناً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كه خدا و پيامبرش را آزار مى‌دهند، خداوند آنان را از رحمت خود در دنيا و آخرت دور ساخته و براى آنها عذاب خوار كننده‌اى آماده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كسى كه به عذاب اليم تهديد شده و در دنيا و آخرت مورد لعن قرار گرفته، مورد رضايت خداوند است؟</w:t>
      </w:r>
    </w:p>
    <w:p>
      <w:pPr>
        <w:pStyle w:val="BookText"/>
        <w:rPr/>
      </w:pPr>
      <w:r>
        <w:rPr>
          <w:rFonts w:ascii="Amiri" w:hAnsi="Amiri" w:eastAsia="Amiri" w:cs="Amiri"/>
          <w:color w:val="111111"/>
          <w:sz w:val="28"/>
          <w:sz w:val="28"/>
          <w:szCs w:val="28"/>
          <w:rtl w:val="true"/>
          <w:lang w:bidi="ar-SA"/>
        </w:rPr>
        <w:t>اهل سنت روايت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آن‌گاه كه مورد ضربه قرار گرفت به طلحه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بگويم يا ساكت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كه هرگز سخن نيك نمى‌گويى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ساخِطاً عَلَيكَ بِالْكَلِمَةِ الَّتي قُلتَها يَوْم نَزَلَتْ آيَة الحِجاب</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حالى از</w:t>
      </w:r>
    </w:p>
    <w:p>
      <w:pPr>
        <w:pStyle w:val="BookText"/>
        <w:rPr/>
      </w:pPr>
      <w:r>
        <w:rPr>
          <w:rFonts w:ascii="IRNazanin" w:hAnsi="IRNazanin" w:eastAsia="IRNazanin"/>
          <w:color w:val="111111"/>
          <w:sz w:val="28"/>
          <w:sz w:val="28"/>
          <w:szCs w:val="28"/>
          <w:rtl w:val="true"/>
          <w:lang w:bidi="fa-IR"/>
        </w:rPr>
        <w:t>دنيا رفت كه بر تو به سبب سخنى كه در روز نزول آيه حجاب گفتى، خشمگين بود</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سعد بن ابى‌وقاص همان كسى نيست كه از بيعت با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 كرد و حضرت را يارى ننمود با آنكه همه امت از بدريّون، مهاجر </w:t>
      </w:r>
      <w:bookmarkStart w:id="159" w:name="pg1971_8397"/>
    </w:p>
    <w:p>
      <w:pPr>
        <w:pStyle w:val="BookText"/>
        <w:rPr/>
      </w:pPr>
      <w:bookmarkEnd w:id="159"/>
      <w:r>
        <w:rPr>
          <w:rFonts w:ascii="Amiri" w:hAnsi="Amiri" w:eastAsia="Amiri" w:cs="Amiri"/>
          <w:color w:val="111111"/>
          <w:sz w:val="28"/>
          <w:sz w:val="28"/>
          <w:szCs w:val="28"/>
          <w:rtl w:val="true"/>
          <w:lang w:bidi="ar-SA"/>
        </w:rPr>
        <w:t>و انصار با او بيعت كردند؟ آيا او مورد رضايت خدا و رسولش است؟</w:t>
      </w:r>
    </w:p>
    <w:p>
      <w:pPr>
        <w:pStyle w:val="BookText"/>
        <w:rPr/>
      </w:pPr>
      <w:r>
        <w:rPr>
          <w:rFonts w:ascii="IRNazanin" w:hAnsi="IRNazanin" w:eastAsia="IRNazanin"/>
          <w:color w:val="111111"/>
          <w:sz w:val="28"/>
          <w:sz w:val="28"/>
          <w:szCs w:val="28"/>
          <w:rtl w:val="true"/>
          <w:lang w:bidi="fa-IR"/>
        </w:rPr>
        <w:t xml:space="preserve">اما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حديثى ساختگى است و حكايت ديگرى دارد كه اكنون مجال بيان آن نيست</w:t>
      </w:r>
      <w:r>
        <w:rPr>
          <w:rFonts w:eastAsia="IRNazanin" w:cs="IRNazanin"/>
          <w:color w:val="111111"/>
          <w:sz w:val="28"/>
          <w:szCs w:val="28"/>
          <w:rtl w:val="true"/>
          <w:lang w:bidi="fa-IR"/>
        </w:rPr>
        <w:t>.</w:t>
      </w:r>
    </w:p>
    <w:p>
      <w:pPr>
        <w:pStyle w:val="Heading3"/>
        <w:numPr>
          <w:ilvl w:val="2"/>
          <w:numId w:val="1"/>
        </w:numPr>
        <w:rPr/>
      </w:pPr>
      <w:bookmarkStart w:id="160" w:name="__RefHeading___Toc3696467_3650668749"/>
      <w:bookmarkStart w:id="161" w:name="_Toc60"/>
      <w:bookmarkEnd w:id="160"/>
      <w:r>
        <w:rPr>
          <w:rtl w:val="true"/>
        </w:rPr>
        <w:t xml:space="preserve">نقش صحابه در مظلوميت حضرت على </w:t>
      </w:r>
      <w:r>
        <w:rPr>
          <w:rtl w:val="true"/>
        </w:rPr>
        <w:t>(</w:t>
      </w:r>
      <w:r>
        <w:rPr>
          <w:rtl w:val="true"/>
        </w:rPr>
        <w:t>ع</w:t>
      </w:r>
      <w:r>
        <w:rPr>
          <w:rtl w:val="true"/>
        </w:rPr>
        <w:t>)</w:t>
      </w:r>
      <w:bookmarkEnd w:id="161"/>
    </w:p>
    <w:p>
      <w:pPr>
        <w:pStyle w:val="BookText"/>
        <w:rPr/>
      </w:pPr>
      <w:r>
        <w:rPr>
          <w:rFonts w:ascii="IRNazanin" w:hAnsi="IRNazanin" w:eastAsia="IRNazanin"/>
          <w:color w:val="111111"/>
          <w:sz w:val="28"/>
          <w:sz w:val="28"/>
          <w:szCs w:val="28"/>
          <w:rtl w:val="true"/>
          <w:lang w:bidi="fa-IR"/>
        </w:rPr>
        <w:t>اما 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با استناد به آيه صد 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الْأَوَّلُونَ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عاقلى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شده است و خلافتش را غصب كرده‌اند</w:t>
      </w:r>
      <w:r>
        <w:rPr>
          <w:rFonts w:eastAsia="IRNazanin" w:cs="IRNazanin"/>
          <w:color w:val="111111"/>
          <w:sz w:val="28"/>
          <w:szCs w:val="28"/>
          <w:rtl w:val="true"/>
          <w:lang w:bidi="fa-IR"/>
        </w:rPr>
        <w:t>.</w:t>
      </w:r>
    </w:p>
    <w:p>
      <w:pPr>
        <w:pStyle w:val="Heading3"/>
        <w:numPr>
          <w:ilvl w:val="2"/>
          <w:numId w:val="1"/>
        </w:numPr>
        <w:rPr/>
      </w:pPr>
      <w:bookmarkStart w:id="162" w:name="__RefHeading___Toc3696469_3650668749"/>
      <w:bookmarkStart w:id="163" w:name="_Toc61"/>
      <w:bookmarkEnd w:id="162"/>
      <w:r>
        <w:rPr>
          <w:rtl w:val="true"/>
        </w:rPr>
        <w:t>پاسخ</w:t>
      </w:r>
      <w:bookmarkEnd w:id="163"/>
    </w:p>
    <w:p>
      <w:pPr>
        <w:pStyle w:val="BookText"/>
        <w:rPr/>
      </w:pPr>
      <w:r>
        <w:rPr>
          <w:rFonts w:ascii="IRNazanin" w:hAnsi="IRNazanin" w:eastAsia="IRNazanin"/>
          <w:color w:val="111111"/>
          <w:sz w:val="28"/>
          <w:sz w:val="28"/>
          <w:szCs w:val="28"/>
          <w:rtl w:val="true"/>
          <w:lang w:bidi="fa-IR"/>
        </w:rPr>
        <w:t>گفتيم كه آيه مباركه، نه بر طهارت همه اصحاب دلالت مى‌كند و نه بر طهارت همه پيشگامان، مگر به صورت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زمينه مناسب است خطبه شقشقيه و آنچه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از مظلوميت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خلفا و غصب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را مطالعه كرد؛ خطبه‌اى كه بزرگان شيعه و اهل سنت از محدثان و مورخان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را ذكر كرده‌اند</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ابن ابى‌الحديد معتزلى مدعى است كه دادخواهى حضرت 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خلفاى ثلاثه، به شكل متواتر رسيده است</w:t>
      </w:r>
      <w:r>
        <w:rPr>
          <w:rFonts w:eastAsia="Amiri" w:cs="Amiri" w:ascii="Amiri" w:hAnsi="Amiri"/>
          <w:color w:val="111111"/>
          <w:sz w:val="28"/>
          <w:szCs w:val="28"/>
          <w:rtl w:val="true"/>
          <w:lang w:bidi="ar-SA"/>
        </w:rPr>
        <w:t xml:space="preserve">. </w:t>
      </w:r>
      <w:r>
        <w:rPr>
          <w:rStyle w:val="FootnoteAnchor"/>
          <w:rtl w:val="true"/>
        </w:rPr>
        <w:footnoteReference w:id="65"/>
      </w:r>
      <w:bookmarkStart w:id="164" w:name="pg1971_8398"/>
    </w:p>
    <w:p>
      <w:pPr>
        <w:pStyle w:val="BookText"/>
        <w:rPr/>
      </w:pPr>
      <w:bookmarkEnd w:id="164"/>
      <w:r>
        <w:rPr>
          <w:rFonts w:ascii="IRNazanin" w:hAnsi="IRNazanin" w:eastAsia="IRNazanin"/>
          <w:color w:val="111111"/>
          <w:sz w:val="28"/>
          <w:sz w:val="28"/>
          <w:szCs w:val="28"/>
          <w:rtl w:val="true"/>
          <w:lang w:bidi="fa-IR"/>
        </w:rPr>
        <w:t xml:space="preserve">آيا اين ظلم نيست كه براى گرفتن بيعت به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برند و آن حوادث دردناك را به وجود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ظلم نيست كه فدك را با دسيسه از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ظلم نيست كه خلافت را بدون مشورت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و فصل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ظلم نيست كه طلحه، زبير، عايشه و برخى ديگر از اصحاب، جنگ جمل را عليه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ظلم نيست كه امثال معاويه، عمرو عاص، مروان، بُسر و ديگر صحابه به سب و لعن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مطهر وى و كشتار شيعيان در زمان حضرت و بعد از آن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 .</w:t>
      </w:r>
    </w:p>
    <w:p>
      <w:pPr>
        <w:pStyle w:val="Heading3"/>
        <w:numPr>
          <w:ilvl w:val="2"/>
          <w:numId w:val="1"/>
        </w:numPr>
        <w:rPr/>
      </w:pPr>
      <w:bookmarkStart w:id="165" w:name="__RefHeading___Toc3696471_3650668749"/>
      <w:bookmarkStart w:id="166" w:name="_Toc62"/>
      <w:bookmarkEnd w:id="165"/>
      <w:r>
        <w:rPr>
          <w:rtl w:val="true"/>
        </w:rPr>
        <w:t xml:space="preserve">رضايت پيامبر </w:t>
      </w:r>
      <w:r>
        <w:rPr>
          <w:rtl w:val="true"/>
        </w:rPr>
        <w:t>(</w:t>
      </w:r>
      <w:r>
        <w:rPr>
          <w:rtl w:val="true"/>
        </w:rPr>
        <w:t>ص</w:t>
      </w:r>
      <w:r>
        <w:rPr>
          <w:rtl w:val="true"/>
        </w:rPr>
        <w:t xml:space="preserve">) </w:t>
      </w:r>
      <w:r>
        <w:rPr>
          <w:rtl w:val="true"/>
        </w:rPr>
        <w:t>از اصحاب</w:t>
      </w:r>
      <w:bookmarkEnd w:id="166"/>
    </w:p>
    <w:p>
      <w:pPr>
        <w:pStyle w:val="BookText"/>
        <w:rPr/>
      </w:pPr>
      <w:r>
        <w:rPr>
          <w:rFonts w:ascii="IRNazanin" w:hAnsi="IRNazanin" w:eastAsia="IRNazanin"/>
          <w:color w:val="111111"/>
          <w:sz w:val="28"/>
          <w:sz w:val="28"/>
          <w:szCs w:val="28"/>
          <w:rtl w:val="true"/>
          <w:lang w:bidi="fa-IR"/>
        </w:rPr>
        <w:t xml:space="preserve">و اما مطلب چهارم، يعنى رضايت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خود و در رأس آنها خلفاى ثلاثه</w:t>
      </w:r>
      <w:r>
        <w:rPr>
          <w:rFonts w:eastAsia="IRNazanin" w:cs="IRNazanin"/>
          <w:color w:val="111111"/>
          <w:sz w:val="28"/>
          <w:szCs w:val="28"/>
          <w:rtl w:val="true"/>
          <w:lang w:bidi="fa-IR"/>
        </w:rPr>
        <w:t>!</w:t>
      </w:r>
    </w:p>
    <w:p>
      <w:pPr>
        <w:pStyle w:val="Heading3"/>
        <w:numPr>
          <w:ilvl w:val="2"/>
          <w:numId w:val="1"/>
        </w:numPr>
        <w:rPr/>
      </w:pPr>
      <w:bookmarkStart w:id="167" w:name="__RefHeading___Toc3696473_3650668749"/>
      <w:bookmarkStart w:id="168" w:name="_Toc63"/>
      <w:bookmarkEnd w:id="167"/>
      <w:r>
        <w:rPr>
          <w:rtl w:val="true"/>
        </w:rPr>
        <w:t>پاسخ</w:t>
      </w:r>
      <w:bookmarkEnd w:id="168"/>
    </w:p>
    <w:p>
      <w:pPr>
        <w:pStyle w:val="BookText"/>
        <w:rPr/>
      </w:pPr>
      <w:r>
        <w:rPr>
          <w:rFonts w:ascii="IRNazanin" w:hAnsi="IRNazanin" w:eastAsia="IRNazanin"/>
          <w:color w:val="111111"/>
          <w:sz w:val="28"/>
          <w:sz w:val="28"/>
          <w:szCs w:val="28"/>
          <w:rtl w:val="true"/>
          <w:lang w:bidi="fa-IR"/>
        </w:rPr>
        <w:t>اگر مقصود كسانى است كه در دو آيه گذشته از آنها سخن گفته شد، جوابش را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افافاينكه آن دو آيه مربوط به همه اصحاب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دليل ديگرى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اصحاب به‌ويژه آن سه نفر راضى بود، بايد دليلى از عقل يا قرآن يا روايت كه از دو طرف پذيرفتنى باشد، ذكر شود؛ ولى استدلال به روايات مخصوص اهل سنت براى پاسخ به شيعه منطقى نيست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همگى اصحاب راضى باشد، درحالى‌كه بسيارى از آنها به حكم قرآن، منافق يا به حكم روايات، مرتد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bookmarkStart w:id="169" w:name="pg1971_8399"/>
    </w:p>
    <w:p>
      <w:pPr>
        <w:pStyle w:val="BookText"/>
        <w:rPr/>
      </w:pPr>
      <w:bookmarkEnd w:id="169"/>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باشد از كسانى كه دخترش را چنان آزردند كه با حالت خشم بر آنها از دنيا رفت و وصيت كرد كه آنها بر او نماز نخوانند و بر جنازه‌اش حاضر نشوند؟ </w:t>
      </w:r>
      <w:r>
        <w:rPr>
          <w:rStyle w:val="FootnoteAnchor"/>
          <w:rtl w:val="true"/>
        </w:rPr>
        <w:footnoteReference w:id="66"/>
      </w:r>
      <w:r>
        <w:rPr>
          <w:rFonts w:ascii="IRNazanin" w:hAnsi="IRNazanin" w:eastAsia="IRNazanin"/>
          <w:color w:val="111111"/>
          <w:sz w:val="28"/>
          <w:sz w:val="28"/>
          <w:szCs w:val="28"/>
          <w:rtl w:val="true"/>
          <w:lang w:bidi="fa-IR"/>
        </w:rPr>
        <w:t xml:space="preserve">مگر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رضاى فاطمه رضاى من است و خشم فاطمه، خشم من است؛ هر كه او را خشمگين كند مرا خشمگين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كه فاطمه را خشمگين كردند راضى است؟ </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آيا پيامبر از ابوبكر راضى است كه دختر پيامبر به او گفت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وَاللهِ لَادْعُوَنَّ عَلَيْكَ فى كُلِّ صَلاةٍ اُصَلّيها</w:t>
      </w:r>
      <w:r>
        <w:rPr>
          <w:rFonts w:eastAsia="Amiri" w:cs="Amiri" w:ascii="Amiri" w:hAnsi="Amiri"/>
          <w:color w:val="111111"/>
          <w:sz w:val="28"/>
          <w:szCs w:val="28"/>
          <w:rtl w:val="true"/>
          <w:lang w:bidi="ar-SA"/>
        </w:rPr>
        <w:t xml:space="preserve">. . . »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در هر نمازى كه مى‌خوانم، بر تو نفرين مى‌كنم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آيا پيامبر از امثال ابوسفيان، معاويه، حكم و مروان راضى بود كه آنها را لعنت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بنى‌اميه راضى بود درحالى‌كه قرآن آنها را شجره</w:t>
      </w:r>
    </w:p>
    <w:p>
      <w:pPr>
        <w:pStyle w:val="BookText"/>
        <w:rPr/>
      </w:pPr>
      <w:r>
        <w:rPr>
          <w:rFonts w:ascii="IRNazanin" w:hAnsi="IRNazanin" w:eastAsia="IRNazanin"/>
          <w:color w:val="111111"/>
          <w:sz w:val="28"/>
          <w:sz w:val="28"/>
          <w:szCs w:val="28"/>
          <w:rtl w:val="true"/>
          <w:lang w:bidi="fa-IR"/>
        </w:rPr>
        <w:t xml:space="preserve">ملعونه 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منافقان و فاسقان راضى بود درحالى‌كه خداوند از آنها راضى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آنهايى كه خود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مرتد شدنشان بعد وفاتش خبر داد، راضى بود؟ </w:t>
      </w:r>
      <w:r>
        <w:rPr>
          <w:rFonts w:eastAsia="IRNazanin" w:cs="IRNazanin"/>
          <w:color w:val="111111"/>
          <w:sz w:val="28"/>
          <w:szCs w:val="28"/>
          <w:rtl w:val="true"/>
          <w:lang w:bidi="fa-IR"/>
        </w:rPr>
        <w:t>!</w:t>
      </w:r>
    </w:p>
    <w:p>
      <w:pPr>
        <w:pStyle w:val="Heading3"/>
        <w:numPr>
          <w:ilvl w:val="2"/>
          <w:numId w:val="1"/>
        </w:numPr>
        <w:rPr/>
      </w:pPr>
      <w:bookmarkStart w:id="170" w:name="__RefHeading___Toc3696475_3650668749"/>
      <w:bookmarkStart w:id="171" w:name="_Toc64"/>
      <w:bookmarkEnd w:id="170"/>
      <w:r>
        <w:rPr>
          <w:rtl w:val="true"/>
        </w:rPr>
        <w:t>خدا و ستايش از منحرفان</w:t>
      </w:r>
      <w:bookmarkEnd w:id="171"/>
    </w:p>
    <w:p>
      <w:pPr>
        <w:pStyle w:val="BookText"/>
        <w:rPr/>
      </w:pPr>
      <w:r>
        <w:rPr>
          <w:rFonts w:ascii="IRNazanin" w:hAnsi="IRNazanin" w:eastAsia="IRNazanin"/>
          <w:color w:val="111111"/>
          <w:sz w:val="28"/>
          <w:sz w:val="28"/>
          <w:szCs w:val="28"/>
          <w:rtl w:val="true"/>
          <w:lang w:bidi="fa-IR"/>
        </w:rPr>
        <w:t>اما 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خداوند با علم به انحراف اينان بعد از پيامبر باز هم آنها را ستود؟ آيا مى‌خواست پيامبرش را فريب دهد تا به آنها اعتماد كند و بعد از وفات وى از دين برگردند؟ </w:t>
      </w:r>
      <w:bookmarkStart w:id="172" w:name="pg1971_8400"/>
    </w:p>
    <w:p>
      <w:pPr>
        <w:pStyle w:val="Heading3"/>
        <w:numPr>
          <w:ilvl w:val="2"/>
          <w:numId w:val="1"/>
        </w:numPr>
        <w:rPr/>
      </w:pPr>
      <w:bookmarkStart w:id="173" w:name="__RefHeading___Toc3696477_3650668749"/>
      <w:bookmarkStart w:id="174" w:name="_Toc65"/>
      <w:bookmarkEnd w:id="172"/>
      <w:bookmarkEnd w:id="173"/>
      <w:r>
        <w:rPr>
          <w:rtl w:val="true"/>
        </w:rPr>
        <w:t>پاسخ</w:t>
      </w:r>
      <w:bookmarkEnd w:id="174"/>
    </w:p>
    <w:p>
      <w:pPr>
        <w:pStyle w:val="BookText"/>
        <w:rPr/>
      </w:pPr>
      <w:r>
        <w:rPr>
          <w:rFonts w:ascii="IRNazanin" w:hAnsi="IRNazanin" w:eastAsia="IRNazanin"/>
          <w:color w:val="111111"/>
          <w:sz w:val="28"/>
          <w:sz w:val="28"/>
          <w:szCs w:val="28"/>
          <w:rtl w:val="true"/>
          <w:lang w:bidi="fa-IR"/>
        </w:rPr>
        <w:t>خداوند متعال، افراد را به سبب كار نيكشان ستوده است و هرگز به بقاى آنها بر ايمان و عمل صالح در هر شرايطى تعهدى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اگر حال فعلى او نيكو باشد، در خور ستايش است؛ و اين بدان معنا نيست كه تا آخر بر همين حال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افراد به اعمال آينده آنها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هرگز از آن آيات، چنين برداشتى را نكرد كه اينها تا آخر ثابت‌قدم باقى خواهند بود تا موجب فريب وى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آيات كه درباره كفر بعد از ايمان و ارتداد آنها هشدار مى‌دهد به روشنى مى‌فهماند كه آينده افراد در گرو استقامت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انحراف برخى از اصحاب خويش خبر داد؛ همچنان‌كه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قرآن مجيد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معيارها را بيان فرمودند تا مردم، افراد</w:t>
      </w:r>
    </w:p>
    <w:p>
      <w:pPr>
        <w:pStyle w:val="BookText"/>
        <w:rPr/>
      </w:pPr>
      <w:r>
        <w:rPr>
          <w:rFonts w:ascii="IRNazanin" w:hAnsi="IRNazanin" w:eastAsia="IRNazanin"/>
          <w:color w:val="111111"/>
          <w:sz w:val="28"/>
          <w:sz w:val="28"/>
          <w:szCs w:val="28"/>
          <w:rtl w:val="true"/>
          <w:lang w:bidi="fa-IR"/>
        </w:rPr>
        <w:t>را بر اساس آن، در حال و آينده ارزش‌گذارى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معيارها، تقوا و 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خلافت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پيروى از وى و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احاديث فراوانى مثل غديرخم، حديث ثقلين و مانند اينها و در كتاب‌هاى فريقين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محبت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رضايت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اشاره‌اى كه نويسنده كرده است كه شيعه آنها را به تحريف قرآن متهم مى‌كند، ما در مباحث آخر همين كتاب كه اين اتهام آشكارتر مطرح مى‌شود، به آن خواهيم پرداخت</w:t>
      </w:r>
      <w:r>
        <w:rPr>
          <w:rFonts w:eastAsia="IRNazanin" w:cs="IRNazanin"/>
          <w:color w:val="111111"/>
          <w:sz w:val="28"/>
          <w:szCs w:val="28"/>
          <w:rtl w:val="true"/>
          <w:lang w:bidi="fa-IR"/>
        </w:rPr>
        <w:t xml:space="preserve">. </w:t>
      </w:r>
      <w:bookmarkStart w:id="175" w:name="pg1971_8401"/>
    </w:p>
    <w:p>
      <w:pPr>
        <w:pStyle w:val="Heading3"/>
        <w:numPr>
          <w:ilvl w:val="2"/>
          <w:numId w:val="1"/>
        </w:numPr>
        <w:rPr/>
      </w:pPr>
      <w:bookmarkStart w:id="176" w:name="__RefHeading___Toc3696479_3650668749"/>
      <w:bookmarkStart w:id="177" w:name="_Toc66"/>
      <w:bookmarkEnd w:id="175"/>
      <w:bookmarkEnd w:id="176"/>
      <w:r>
        <w:rPr>
          <w:rtl w:val="true"/>
        </w:rPr>
        <w:t>برخى از بدعت‌هاى خلفا</w:t>
      </w:r>
      <w:bookmarkEnd w:id="177"/>
    </w:p>
    <w:p>
      <w:pPr>
        <w:pStyle w:val="BookText"/>
        <w:rPr/>
      </w:pPr>
      <w:r>
        <w:rPr>
          <w:rFonts w:ascii="IRNazanin" w:hAnsi="IRNazanin" w:eastAsia="IRNazanin"/>
          <w:color w:val="111111"/>
          <w:sz w:val="28"/>
          <w:sz w:val="28"/>
          <w:szCs w:val="28"/>
          <w:rtl w:val="true"/>
          <w:lang w:bidi="fa-IR"/>
        </w:rPr>
        <w:t>اما ادعاى شيعه در مورد تغيير احكام دين به دست خلفا، مسئله حقى است كه در كتاب‌هاى مفصل درباره آن سخن گفته شده است و ما به برخى از آنها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تعطيلى حد زنا بر مغيرة بن شعبه، تحريم عقد موقت، بدعت‌گذارى نماز تراويح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خواندن نوافل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قرار دادن ماليات بر اموال مسلمانان، قرار دادن زكات بر اسب، حذف سهم بنى‌هاشم از خُمس، حذف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حذف يك تكبير از نماز ميت با آنكه سنت بر پنج تكبير بود، تحريم گريه بر ميت، تغيير مقام ابراهيم،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 و اقامه، تجويز سه طلاق در يك مجلس و امور ديگرى كه خليفه دوم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مشروح اين امور و ديگر بدعت‌هاى خلفا و غير ايشان در كتاب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عبدالحسين شرف‌الدين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كتاب‌ها آمده است</w:t>
      </w:r>
      <w:r>
        <w:rPr>
          <w:rFonts w:eastAsia="IRNazanin" w:cs="IRNazanin"/>
          <w:color w:val="111111"/>
          <w:sz w:val="28"/>
          <w:szCs w:val="28"/>
          <w:rtl w:val="true"/>
          <w:lang w:bidi="fa-IR"/>
        </w:rPr>
        <w:t>.</w:t>
      </w:r>
    </w:p>
    <w:p>
      <w:pPr>
        <w:pStyle w:val="Heading3"/>
        <w:numPr>
          <w:ilvl w:val="2"/>
          <w:numId w:val="1"/>
        </w:numPr>
        <w:rPr/>
      </w:pPr>
      <w:bookmarkStart w:id="178" w:name="__RefHeading___Toc3696481_3650668749"/>
      <w:bookmarkStart w:id="179" w:name="_Toc67"/>
      <w:bookmarkEnd w:id="178"/>
      <w:r>
        <w:rPr>
          <w:rtl w:val="true"/>
        </w:rPr>
        <w:t>علت بيان نشدن صفات و ويژگى‌هاى منحرفان</w:t>
      </w:r>
      <w:bookmarkEnd w:id="179"/>
    </w:p>
    <w:p>
      <w:pPr>
        <w:pStyle w:val="BookText"/>
        <w:rPr/>
      </w:pPr>
      <w:r>
        <w:rPr>
          <w:rFonts w:ascii="IRNazanin" w:hAnsi="IRNazanin" w:eastAsia="IRNazanin"/>
          <w:color w:val="111111"/>
          <w:sz w:val="28"/>
          <w:sz w:val="28"/>
          <w:szCs w:val="28"/>
          <w:rtl w:val="true"/>
          <w:lang w:bidi="fa-IR"/>
        </w:rPr>
        <w:t>اما مطلب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خداوند صفات واقعى و وضعيت‌آنها را بعد از پيامبر بيان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3"/>
        <w:numPr>
          <w:ilvl w:val="2"/>
          <w:numId w:val="1"/>
        </w:numPr>
        <w:rPr/>
      </w:pPr>
      <w:bookmarkStart w:id="180" w:name="__RefHeading___Toc3696483_3650668749"/>
      <w:bookmarkStart w:id="181" w:name="_Toc68"/>
      <w:bookmarkEnd w:id="180"/>
      <w:r>
        <w:rPr>
          <w:rtl w:val="true"/>
        </w:rPr>
        <w:t>پاسخ</w:t>
      </w:r>
      <w:bookmarkEnd w:id="18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طور كلّى ويژگى‌هاى منافقان و ديگر منحرفان را در قرآن بيان كرده است؛ ولى تطبيق آن را به عهده خود افراد گذارده است و از آنها خواسته كه با توجه به عقل، قرآن و روايات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p>
    <w:p>
      <w:pPr>
        <w:pStyle w:val="BookText"/>
        <w:rPr/>
      </w:pPr>
      <w:r>
        <w:rPr>
          <w:rFonts w:ascii="IRNazanin" w:hAnsi="IRNazanin" w:eastAsia="IRNazanin"/>
          <w:color w:val="111111"/>
          <w:sz w:val="28"/>
          <w:sz w:val="28"/>
          <w:szCs w:val="28"/>
          <w:rtl w:val="true"/>
          <w:lang w:bidi="fa-IR"/>
        </w:rPr>
        <w:t>صحيح را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الهى در هدايت مردم، بيان كليات و صفات عمومى است نه تطبيق جزئى آنها تا زمينه امتحان مردم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همه چيز در قرآن به صورت شفاف و ريز بيان شود، ديگر مجالى براى انتخاب و امتحان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در قرآن، آيات متشابه در كنار محكمات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الَّذِينَ فِى قُلُوبِهِمْ زَيْغٌ فَيَتَّبِعُونَ ما تَشابَهَ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آنها كه در قلوبشان انحراف است به دنبال آيات متشابه‌اند تا فتنه‌انگيزى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همه احكام الهى در قرآن به صورت واضح بيان شده كه انتظار معرفى منافقان و منحرفان را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همه تأكيد و سفارش در</w:t>
      </w:r>
    </w:p>
    <w:p>
      <w:pPr>
        <w:pStyle w:val="BookText"/>
        <w:rPr/>
      </w:pPr>
      <w:r>
        <w:rPr>
          <w:rFonts w:ascii="IRNazanin" w:hAnsi="IRNazanin" w:eastAsia="IRNazanin"/>
          <w:color w:val="111111"/>
          <w:sz w:val="28"/>
          <w:sz w:val="28"/>
          <w:szCs w:val="28"/>
          <w:rtl w:val="true"/>
          <w:lang w:bidi="fa-IR"/>
        </w:rPr>
        <w:t xml:space="preserve">مورد اهل بيت و امامت آنها كه در قرآن و احاديث نبوى به صورت متواتر آمده است، كافى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جريان غدير خم و حديث متواتر ثقلين چه مى‌خواهيم؟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در قرآن به طور آشكار نام منافقان برده مى‌شد با آنكه تعدادشان نيز بسيار بود و چه بسا از اصحاب مشهور نيز بودند، جامعه نوپاى اسلامى را دچار تزلزل و توطئه نمى‌كرد؟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احتمال شورش عليه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نمى‌رفت، همچنان كه عليه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معرفى آنها حتى از سوى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مصلحت‌جامعه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بعد از جنگ تبوك كه منافقان قصد ترور حضرت را كردند و حذيفه و عمار نيز آنها را ديدند،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اجازه بازگو كردن نداد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مخفى دار</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اعلان نفاق برخى سبب نمى‌شد تا مقابله‌اى شديدتر از جريان </w:t>
      </w:r>
      <w:bookmarkStart w:id="182" w:name="pg1971_8403"/>
    </w:p>
    <w:p>
      <w:pPr>
        <w:pStyle w:val="BookText"/>
        <w:rPr/>
      </w:pPr>
      <w:bookmarkEnd w:id="182"/>
      <w:r>
        <w:rPr>
          <w:rFonts w:ascii="IRNazanin" w:hAnsi="IRNazanin" w:eastAsia="IRNazanin"/>
          <w:color w:val="111111"/>
          <w:sz w:val="28"/>
          <w:sz w:val="28"/>
          <w:szCs w:val="28"/>
          <w:rtl w:val="true"/>
          <w:lang w:bidi="fa-IR"/>
        </w:rPr>
        <w:t xml:space="preserve">دوات و قلم رخ دهد كه وقتى فهميدند حضرت مى‌خواهد خلافت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مكتوب كند، ايشان را به هذيان نسبت دادند؛ به‌گونه‌اى كه در كنار بستر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بيمارى بر پيامبر غلبه كرده، هذيان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براى ما كافى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عده‌اى عمل به دستور پيامبر را خواستار شدند و عده‌اى حق را با عمر دانستند و چون اختلاف و سروصدا شدت يافت،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مصيبت آن بود كه ميان رسول‌الله و نوشتن مانع شدند</w:t>
      </w:r>
      <w:r>
        <w:rPr>
          <w:rFonts w:eastAsia="IRNazanin" w:cs="IRNazanin"/>
          <w:color w:val="111111"/>
          <w:sz w:val="28"/>
          <w:szCs w:val="28"/>
          <w:rtl w:val="true"/>
          <w:lang w:bidi="fa-IR"/>
        </w:rPr>
        <w:t xml:space="preserve">» . </w:t>
      </w:r>
      <w:r>
        <w:rPr>
          <w:rStyle w:val="FootnoteAnchor"/>
          <w:rtl w:val="true"/>
        </w:rPr>
        <w:footnoteReference w:id="69"/>
      </w:r>
    </w:p>
    <w:p>
      <w:pPr>
        <w:pStyle w:val="Heading3"/>
        <w:numPr>
          <w:ilvl w:val="2"/>
          <w:numId w:val="1"/>
        </w:numPr>
        <w:rPr/>
      </w:pPr>
      <w:bookmarkStart w:id="183" w:name="__RefHeading___Toc3696485_3650668749"/>
      <w:bookmarkStart w:id="184" w:name="_Toc69"/>
      <w:bookmarkEnd w:id="183"/>
      <w:r>
        <w:rPr>
          <w:rtl w:val="true"/>
        </w:rPr>
        <w:t>آيه بيعت رضوان و عدالت صحابه</w:t>
      </w:r>
      <w:bookmarkEnd w:id="184"/>
    </w:p>
    <w:p>
      <w:pPr>
        <w:pStyle w:val="BookText"/>
        <w:rPr/>
      </w:pPr>
      <w:r>
        <w:rPr>
          <w:rFonts w:ascii="Amiri" w:hAnsi="Amiri" w:eastAsia="Amiri" w:cs="Amiri"/>
          <w:color w:val="111111"/>
          <w:sz w:val="28"/>
          <w:sz w:val="28"/>
          <w:szCs w:val="28"/>
          <w:rtl w:val="true"/>
          <w:lang w:bidi="ar-SA"/>
        </w:rPr>
        <w:t>اما مطلب هفتم، يعنى آيه بيعت رضوان؛</w:t>
      </w:r>
    </w:p>
    <w:p>
      <w:pPr>
        <w:pStyle w:val="Heading3"/>
        <w:numPr>
          <w:ilvl w:val="2"/>
          <w:numId w:val="1"/>
        </w:numPr>
        <w:rPr/>
      </w:pPr>
      <w:bookmarkStart w:id="185" w:name="__RefHeading___Toc3696487_3650668749"/>
      <w:bookmarkStart w:id="186" w:name="_Toc70"/>
      <w:bookmarkEnd w:id="185"/>
      <w:r>
        <w:rPr>
          <w:rtl w:val="true"/>
        </w:rPr>
        <w:t>پاسخ</w:t>
      </w:r>
      <w:bookmarkEnd w:id="18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آيه </w:t>
      </w:r>
      <w:r>
        <w:rPr>
          <w:rFonts w:ascii="IRNazanin" w:hAnsi="IRNazanin" w:eastAsia="IRNazanin"/>
          <w:color w:val="111111"/>
          <w:sz w:val="28"/>
          <w:sz w:val="28"/>
          <w:szCs w:val="28"/>
          <w:lang w:bidi="fa-IR"/>
        </w:rPr>
        <w:t>١٠٠</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الْأَوَّلُونَ مفصّل در اين مورد سخن گفته‌ايم و نيازى به تكرار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شركت در بيعت رضوان دليل بر بهشتى بودن چهار هزار نفر باشد، بدون توجه به اعمال آنها درحالى‌كه يكى از آنها مغيرة بن شعبه است با آن وضع اسفبار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استدلال كنندگان به آيه از فردى مثل معاويه طرفدارى مى‌كنند كه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۶٣</w:t>
      </w:r>
      <w:r>
        <w:rPr>
          <w:rFonts w:ascii="IRNazanin" w:hAnsi="IRNazanin" w:eastAsia="IRNazanin"/>
          <w:color w:val="111111"/>
          <w:sz w:val="28"/>
          <w:sz w:val="28"/>
          <w:szCs w:val="28"/>
          <w:rtl w:val="true"/>
          <w:lang w:bidi="fa-IR"/>
        </w:rPr>
        <w:t xml:space="preserve"> نفر از بيعت‌كنندگان رضوان را به قتل رسانده است</w:t>
      </w:r>
      <w:r>
        <w:rPr>
          <w:rFonts w:eastAsia="IRNazanin" w:cs="IRNazanin"/>
          <w:color w:val="111111"/>
          <w:sz w:val="28"/>
          <w:szCs w:val="28"/>
          <w:rtl w:val="true"/>
          <w:lang w:bidi="fa-IR"/>
        </w:rPr>
        <w:t xml:space="preserve">. </w:t>
      </w:r>
      <w:r>
        <w:rPr>
          <w:rStyle w:val="FootnoteAnchor"/>
          <w:rtl w:val="true"/>
        </w:rPr>
        <w:footnoteReference w:id="70"/>
      </w:r>
      <w:bookmarkStart w:id="187" w:name="pg1971_8404"/>
    </w:p>
    <w:p>
      <w:pPr>
        <w:pStyle w:val="Heading3"/>
        <w:numPr>
          <w:ilvl w:val="2"/>
          <w:numId w:val="1"/>
        </w:numPr>
        <w:rPr/>
      </w:pPr>
      <w:bookmarkStart w:id="188" w:name="__RefHeading___Toc3696489_3650668749"/>
      <w:bookmarkStart w:id="189" w:name="_Toc71"/>
      <w:bookmarkEnd w:id="187"/>
      <w:bookmarkEnd w:id="188"/>
      <w:r>
        <w:rPr>
          <w:rtl w:val="true"/>
        </w:rPr>
        <w:t>نظر صحيح درباره صحابه</w:t>
      </w:r>
      <w:bookmarkEnd w:id="189"/>
    </w:p>
    <w:p>
      <w:pPr>
        <w:pStyle w:val="BookText"/>
        <w:rPr/>
      </w:pPr>
      <w:r>
        <w:rPr>
          <w:rFonts w:ascii="Amiri" w:hAnsi="Amiri" w:eastAsia="Amiri" w:cs="Amiri"/>
          <w:color w:val="111111"/>
          <w:sz w:val="28"/>
          <w:sz w:val="28"/>
          <w:szCs w:val="28"/>
          <w:rtl w:val="true"/>
          <w:lang w:bidi="ar-SA"/>
        </w:rPr>
        <w:t xml:space="preserve">بهترين نظريه درباره صحابه آن است كه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 حديث مفصلى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ولايت اميرالمؤمنين و صحابه‌اى كه دنباله‌رو پيامبر بودند و تغييرى نكردند، واجب است، مثل سلمان فارسى، ابوذر غفارى، مقداد بن اسود، عمار بن ياسر، حذيفه يمانى، ابوالهيثم بن التيهان، سهل بن حنيف، عثمان بن حنيف و دو برادر او، عبادةبن صامت، ابوايوب انصارى، خزيمة بن ثابت ذوالشهادتين و ابوسعيد خدرى و امثال</w:t>
      </w:r>
    </w:p>
    <w:p>
      <w:pPr>
        <w:pStyle w:val="BookText"/>
        <w:rPr/>
      </w:pP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عنهم و رحمة الله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ولايت پيروان</w:t>
      </w:r>
    </w:p>
    <w:p>
      <w:pPr>
        <w:pStyle w:val="BookText"/>
        <w:rPr/>
      </w:pPr>
      <w:r>
        <w:rPr>
          <w:rFonts w:ascii="IRNazanin" w:hAnsi="IRNazanin" w:eastAsia="IRNazanin"/>
          <w:color w:val="111111"/>
          <w:sz w:val="28"/>
          <w:sz w:val="28"/>
          <w:szCs w:val="28"/>
          <w:rtl w:val="true"/>
          <w:lang w:bidi="fa-IR"/>
        </w:rPr>
        <w:t>اينها و كسانى كه به هدايت اينان رهنمون شدند و در راه‌شان گام برداشتند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برخى از علماى باانصاف اهل سنت نيز درباره صحابه، نظريه‌اى معتدل بيان كرده‌اند؛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طه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مورد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خودشان درباره خود معتقد نبودند، معتقد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بشرى مى‌دانستند كه همچون ديگران دچار خطا و گناه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يكديگر تهمت‌هاى بزرگ زده‌اند و يكديگر را تفسيق و تكفير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عمار، عثمان را تكفير كرده و خون او را مباح دانسته است و او را نَعثَل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خرفت و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و عبدالله بن مسعود زمانى كه در كوفه بود، خون عثمان را مباح مى‌دانست</w:t>
      </w:r>
      <w:r>
        <w:rPr>
          <w:rFonts w:eastAsia="IRNazanin" w:cs="IRNazanin"/>
          <w:color w:val="111111"/>
          <w:sz w:val="28"/>
          <w:szCs w:val="28"/>
          <w:rtl w:val="true"/>
          <w:lang w:bidi="fa-IR"/>
        </w:rPr>
        <w:t xml:space="preserve">. . . . </w:t>
      </w:r>
      <w:r>
        <w:rPr>
          <w:rStyle w:val="FootnoteAnchor"/>
          <w:rtl w:val="true"/>
        </w:rPr>
        <w:footnoteReference w:id="72"/>
      </w:r>
      <w:bookmarkStart w:id="190" w:name="pg1971_8405"/>
    </w:p>
    <w:p>
      <w:pPr>
        <w:pStyle w:val="Heading2"/>
        <w:numPr>
          <w:ilvl w:val="1"/>
          <w:numId w:val="1"/>
        </w:numPr>
        <w:rPr/>
      </w:pPr>
      <w:bookmarkStart w:id="191" w:name="__RefHeading___Toc3696491_3650668749"/>
      <w:bookmarkStart w:id="192" w:name="_Toc72"/>
      <w:bookmarkEnd w:id="190"/>
      <w:bookmarkEnd w:id="191"/>
      <w:r>
        <w:rPr/>
        <w:t>١٠</w:t>
      </w:r>
      <w:r>
        <w:rPr>
          <w:rtl w:val="true"/>
        </w:rPr>
        <w:t xml:space="preserve"> ازدواج موقت</w:t>
      </w:r>
      <w:bookmarkEnd w:id="192"/>
    </w:p>
    <w:p>
      <w:pPr>
        <w:pStyle w:val="Heading3"/>
        <w:numPr>
          <w:ilvl w:val="2"/>
          <w:numId w:val="1"/>
        </w:numPr>
        <w:rPr/>
      </w:pPr>
      <w:bookmarkStart w:id="193" w:name="__RefHeading___Toc3696493_3650668749"/>
      <w:bookmarkStart w:id="194" w:name="_Toc73"/>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 xml:space="preserve">چند نكته درباره ازدواج موقت در صفحه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وقتى شيعه بوده است، همواره از بحث جواز آن شرم داشته و از مناقشه‌گر مى‌پرسيده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حاضرى فردى با خواهرت ازدواج موقت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با خجالت و گاهى خشم جواب منفى مى‌داده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مدعى است كه ازدواج موقت براى مدت كوتاهى جايز شد، 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هميشه آن را حرام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روايات شيعه نيز ازدواج موقت را حرام و زشت مى‌داند و شيعه پاسخى براى آن ندارد</w:t>
      </w:r>
      <w:r>
        <w:rPr>
          <w:rFonts w:eastAsia="IRNazanin" w:cs="IRNazanin"/>
          <w:color w:val="111111"/>
          <w:sz w:val="28"/>
          <w:szCs w:val="28"/>
          <w:rtl w:val="true"/>
          <w:lang w:bidi="fa-IR"/>
        </w:rPr>
        <w:t>.</w:t>
      </w:r>
    </w:p>
    <w:p>
      <w:pPr>
        <w:pStyle w:val="Heading3"/>
        <w:numPr>
          <w:ilvl w:val="2"/>
          <w:numId w:val="1"/>
        </w:numPr>
        <w:rPr/>
      </w:pPr>
      <w:bookmarkStart w:id="195" w:name="__RefHeading___Toc3696495_3650668749"/>
      <w:bookmarkStart w:id="196" w:name="_Toc74"/>
      <w:bookmarkEnd w:id="195"/>
      <w:r>
        <w:rPr>
          <w:rtl w:val="true"/>
        </w:rPr>
        <w:t>پاسخ</w:t>
      </w:r>
      <w:bookmarkEnd w:id="196"/>
    </w:p>
    <w:p>
      <w:pPr>
        <w:pStyle w:val="BookText"/>
        <w:rPr/>
      </w:pPr>
      <w:r>
        <w:rPr>
          <w:rFonts w:ascii="IRNazanin" w:hAnsi="IRNazanin" w:eastAsia="IRNazanin"/>
          <w:color w:val="111111"/>
          <w:sz w:val="28"/>
          <w:sz w:val="28"/>
          <w:szCs w:val="28"/>
          <w:rtl w:val="true"/>
          <w:lang w:bidi="fa-IR"/>
        </w:rPr>
        <w:t>نمى‌دانم خجالت كشيدن نويسنده و امثال او از يك حكم الهى چه نقصى به حكم خداوند وارد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مى‌پرسم آيا شما حاضريد دختر يا خواهرت را به عقد مردى كه چند زن دارد، درآوريد؟ آيا حاضريد خواهر جوانت را به عقد مردى كه ده‌ها سال از او بزرگ‌تر است، درآوريد؟ با آنكه هر دو حكم در اسلام جايز است و در ازدواج</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عايشه اتفاق افتاده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شما حاضريد ملخ بخوريد؟ با آنكه غذاى افراد زيادى است و اسلام نيز آن را جايز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آن است كه حكم الهى غير از خواسته‌هاى نفسانى و پذيرش آداب و رسوم است؛ همچنان كه جواز غير از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واجب نيست تا اگر كسى با آن موافق نبود، مشكلى برايش پيش آيد و از نظر عقل و عقلا هيچ محذورى براى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اين اجازه را براى جلوگيرى از فحشا داده است تا كسانى كه در وضع خاصى به سر مى‌برند و نمى‌توانند زندگى مشترك هميشگى تشكيل دهند، از فشار مسائل شهوانى و كشيده شدن به فساد دور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وجود همين ضرورت در مواقع بسيار، سبب شده است كه عده‌اى از فقهاى اهل سنت به فكر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عرفان بن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قرضاوى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اهل سنت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نكاح مسيار با عقد شرعى و مهريه شكل مى‌گيرد؛ ولى دو امر اساسى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اساس خانواده بر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حذف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معاف بودن مرد از پرداخت حق نفقه زن و ديگرى حاضر نبودن زن نزد مرد كه مرد اين حق را واگذار مى‌كند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بله، در جوامعى كه بر اثر تبليغات و ناآگاهى، مسئله‌اى زشت جلوه داده شود، آن را نمى‌پذيرند؛ همانند بسيارى از احكام اسلام در جوامع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زشتى حجاب يا حكم اعدام براى مرتد در جوامع غرب، نقص</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نپذيرفتن كنترل روابط آزاد پسر و دختر در </w:t>
      </w:r>
      <w:bookmarkStart w:id="197" w:name="pg1971_8407"/>
    </w:p>
    <w:p>
      <w:pPr>
        <w:pStyle w:val="BookText"/>
        <w:rPr/>
      </w:pPr>
      <w:bookmarkEnd w:id="197"/>
      <w:r>
        <w:rPr>
          <w:rFonts w:ascii="IRNazanin" w:hAnsi="IRNazanin" w:eastAsia="IRNazanin"/>
          <w:color w:val="111111"/>
          <w:sz w:val="28"/>
          <w:sz w:val="28"/>
          <w:szCs w:val="28"/>
          <w:rtl w:val="true"/>
          <w:lang w:bidi="fa-IR"/>
        </w:rPr>
        <w:t xml:space="preserve">جوامع غرب، نقص قانون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معيار در احكام الهى، خواسته مردم، هوا و هوس، عادات و تربيت غلط نيست، بلكه حكمت و مصلحتى است كه خداوند در نظر مى‌گيرد؛ همانند حكمت تفاوت ديه زن و مرد و تفاوت ارث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اساتيد نقل مى‌كرد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زمان طاغوت، فرد ارجمندى را در راهرو دادگاه ديد و علت حضور او را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به جرم ازدواج موقت مى‌خواهند او را محاكمه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وى سفارش كرد كه در دادگاه منكر ازدواج موقت شود و فقط بگويد با اين زن رابطه بدون عقد داشتم؛ زيرا نزد قانون آنها، ارتباط نامشروع جايز است؛ اما ازدواج موقت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اين‌گونه محافل غير دينى، هميشه مسائل نامشروع، پسنديده است و امور دينى ناپسند است</w:t>
      </w:r>
      <w:r>
        <w:rPr>
          <w:rFonts w:eastAsia="IRNazanin" w:cs="IRNazanin"/>
          <w:color w:val="111111"/>
          <w:sz w:val="28"/>
          <w:szCs w:val="28"/>
          <w:rtl w:val="true"/>
          <w:lang w:bidi="fa-IR"/>
        </w:rPr>
        <w:t>.</w:t>
      </w:r>
    </w:p>
    <w:p>
      <w:pPr>
        <w:pStyle w:val="Heading3"/>
        <w:numPr>
          <w:ilvl w:val="2"/>
          <w:numId w:val="1"/>
        </w:numPr>
        <w:rPr/>
      </w:pPr>
      <w:bookmarkStart w:id="198" w:name="__RefHeading___Toc3696497_3650668749"/>
      <w:bookmarkStart w:id="199" w:name="_Toc75"/>
      <w:bookmarkEnd w:id="198"/>
      <w:r>
        <w:rPr>
          <w:rtl w:val="true"/>
        </w:rPr>
        <w:t>فسخ نشدن جواز ازدواج موقت</w:t>
      </w:r>
      <w:bookmarkEnd w:id="199"/>
    </w:p>
    <w:p>
      <w:pPr>
        <w:pStyle w:val="BookText"/>
        <w:rPr/>
      </w:pPr>
      <w:r>
        <w:rPr>
          <w:rFonts w:ascii="IRNazanin" w:hAnsi="IRNazanin" w:eastAsia="IRNazanin"/>
          <w:color w:val="111111"/>
          <w:sz w:val="28"/>
          <w:sz w:val="28"/>
          <w:szCs w:val="28"/>
          <w:rtl w:val="true"/>
          <w:lang w:bidi="fa-IR"/>
        </w:rPr>
        <w:t xml:space="preserve">اما اينكه گفته است ازدواج موقت براى مدت كوتاهى مباح شد و 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هميشه حرام كرده، ادعايى است كه بدون مدرك آن را رها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به جاى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خليفه دوم را مى‌گذاشت، جمله صحيح بود؛ زيرا در روايات اهل سنت و شيعه است كه عُمربن‌خطاب آن را براى نخستين بار حرام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نخستين كسى است كه اميرالمؤمنين ناميده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نخستين شخصى است كه متعه را حرام كرد</w:t>
      </w:r>
      <w:r>
        <w:rPr>
          <w:rFonts w:eastAsia="Amiri" w:cs="Amiri" w:ascii="Amiri" w:hAnsi="Amiri"/>
          <w:color w:val="111111"/>
          <w:sz w:val="28"/>
          <w:szCs w:val="28"/>
          <w:rtl w:val="true"/>
          <w:lang w:bidi="ar-SA"/>
        </w:rPr>
        <w:t xml:space="preserve">» .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مشهور است كه خليفه دوم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متعه است كه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رايج بود و من از آن نهى و بر آن مجازات مى‌كنم؛ متعه حج و متعه زن‌ها</w:t>
      </w:r>
      <w:r>
        <w:rPr>
          <w:rFonts w:eastAsia="IRNazanin" w:cs="IRNazanin"/>
          <w:color w:val="111111"/>
          <w:sz w:val="28"/>
          <w:szCs w:val="28"/>
          <w:rtl w:val="true"/>
          <w:lang w:bidi="fa-IR"/>
        </w:rPr>
        <w:t xml:space="preserve">» . </w:t>
      </w:r>
      <w:r>
        <w:rPr>
          <w:rStyle w:val="FootnoteAnchor"/>
          <w:rtl w:val="true"/>
        </w:rPr>
        <w:footnoteReference w:id="75"/>
      </w:r>
      <w:r>
        <w:rPr>
          <w:rFonts w:ascii="IRNazanin" w:hAnsi="IRNazanin" w:eastAsia="IRNazanin"/>
          <w:color w:val="111111"/>
          <w:sz w:val="28"/>
          <w:sz w:val="28"/>
          <w:szCs w:val="28"/>
          <w:rtl w:val="true"/>
          <w:lang w:bidi="fa-IR"/>
        </w:rPr>
        <w:t xml:space="preserve">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عُمر از متعه نهى نمى‌كرد كسى جز شخص پست زنا نمى‌كرد</w:t>
      </w:r>
      <w:r>
        <w:rPr>
          <w:rFonts w:eastAsia="IRNazanin" w:cs="IRNazanin"/>
          <w:color w:val="111111"/>
          <w:sz w:val="28"/>
          <w:szCs w:val="28"/>
          <w:rtl w:val="true"/>
          <w:lang w:bidi="fa-IR"/>
        </w:rPr>
        <w:t xml:space="preserve">» .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قرآن مجيد نيز بر حليت اين ازدواج، دلالت دارد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اسْتَمْتَعْتُمْ بِهِ مِنْهُنَّ فَآتُوهُنَّ أُجُورَهُنَّ فَرِيضَةً وَ لَا جُناحَ عَلَيْكُمْ فِيما تَراضَيْتُمْ بِهِ مِنْ بَعْدِ الْفَرِيضَةِ إِنَّ اللَّهَ كانَ عَلِيماً حَكِيماً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وزنانى را كه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مى‌كنيد، واجب است مهر آنها را بپردازيد و گناهى بر شما نيست در آنچه بعد از تعيين مهر با يكديگر توافق كرده‌ايد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مى‌توانيد با توافق، آن را كم يا زياد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حكيم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قرائت خود كلمه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مى‌آوردند و ابن عباس سوگند ياد مى‌كرد كه آيه اينگونه نازل شده است؛ يعنى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إلى أجل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تا زمان موقت است و مدعى بود كه ديگران نيز اين‌گونه قرائت كرده‌اند</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صحيح بخارى </w:t>
      </w:r>
      <w:r>
        <w:rPr>
          <w:rStyle w:val="FootnoteAnchor"/>
          <w:rtl w:val="true"/>
        </w:rPr>
        <w:footnoteReference w:id="78"/>
      </w:r>
      <w:r>
        <w:rPr>
          <w:rFonts w:ascii="Amiri" w:hAnsi="Amiri" w:eastAsia="Amiri" w:cs="Amiri"/>
          <w:color w:val="111111"/>
          <w:sz w:val="28"/>
          <w:sz w:val="28"/>
          <w:szCs w:val="28"/>
          <w:rtl w:val="true"/>
          <w:lang w:bidi="ar-SA"/>
        </w:rPr>
        <w:t xml:space="preserve">و صحيح مسلم </w:t>
      </w:r>
      <w:r>
        <w:rPr>
          <w:rStyle w:val="FootnoteAnchor"/>
          <w:rtl w:val="true"/>
        </w:rPr>
        <w:footnoteReference w:id="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جواز متعه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صحابه نيز تصريح كرده‌اند كه ازدواج موقت هرگز فسخ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ابوبكر با يك مشت خرما و آرد استمتاع مى‌نموديم تا آنكه عمر در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نهى كرد</w:t>
      </w:r>
      <w:r>
        <w:rPr>
          <w:rFonts w:eastAsia="IRNazanin" w:cs="IRNazanin"/>
          <w:color w:val="111111"/>
          <w:sz w:val="28"/>
          <w:szCs w:val="28"/>
          <w:rtl w:val="true"/>
          <w:lang w:bidi="fa-IR"/>
        </w:rPr>
        <w:t xml:space="preserve">» .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صحابى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متعه در كتاب خدا آمد و آيه‌اى هم آن را نسخ نكرد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ما امر كرد و ما نيز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دنيا رفت و از آن نهى نكرد تا آنكه مردى به نظر خودش هر چه خواست گفت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ابوسعيد خدرى و جابر بن عبدالله نيز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تا نصف زمان خلافت عمر متعه مى‌كرديم تا آنكه او مردم را در جريان عمرو بن حريث منع كرد</w:t>
      </w:r>
      <w:r>
        <w:rPr>
          <w:rFonts w:eastAsia="IRNazanin" w:cs="IRNazanin"/>
          <w:color w:val="111111"/>
          <w:sz w:val="28"/>
          <w:szCs w:val="28"/>
          <w:rtl w:val="true"/>
          <w:lang w:bidi="fa-IR"/>
        </w:rPr>
        <w:t xml:space="preserve">» .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بيان‌كننده آن است كه عُمر به رأى خود، حكم خدا را تغيير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آمده است كه شخصى به نام عبدالله بن عُمير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متعه زن‌ها چه</w:t>
      </w:r>
    </w:p>
    <w:p>
      <w:pPr>
        <w:pStyle w:val="BookText"/>
        <w:rPr/>
      </w:pPr>
      <w:r>
        <w:rPr>
          <w:rFonts w:ascii="IRNazanin" w:hAnsi="IRNazanin" w:eastAsia="IRNazanin"/>
          <w:color w:val="111111"/>
          <w:sz w:val="28"/>
          <w:sz w:val="28"/>
          <w:szCs w:val="28"/>
          <w:rtl w:val="true"/>
          <w:lang w:bidi="fa-IR"/>
        </w:rPr>
        <w:t>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را در كتاب خود و بر زبان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پيامبرش حلال كرد و تا قيامت نيز حلال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مثل شما چنين مى‌گويد با آنكه عمر آن را حرام و از آن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او چنين كرده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بر خدا </w:t>
      </w:r>
      <w:bookmarkStart w:id="200" w:name="pg1971_8410"/>
    </w:p>
    <w:p>
      <w:pPr>
        <w:pStyle w:val="BookText"/>
        <w:rPr/>
      </w:pPr>
      <w:bookmarkEnd w:id="200"/>
      <w:r>
        <w:rPr>
          <w:rFonts w:ascii="IRNazanin" w:hAnsi="IRNazanin" w:eastAsia="IRNazanin"/>
          <w:color w:val="111111"/>
          <w:sz w:val="28"/>
          <w:sz w:val="28"/>
          <w:szCs w:val="28"/>
          <w:rtl w:val="true"/>
          <w:lang w:bidi="fa-IR"/>
        </w:rPr>
        <w:t>از اينكه چيزى را حلال بدانى كه عمر حرام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بر سخن صاحبت باش و من بر سخن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روايات فراوان ديگرى است كه در جواز، حدود، شرايط، استحباب و ثواب آن سخن گفته است كه دليل بر بقاى حكم جواز متعه نزد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01" w:name="__RefHeading___Toc3696499_3650668749"/>
      <w:bookmarkStart w:id="202" w:name="_Toc76"/>
      <w:bookmarkEnd w:id="201"/>
      <w:r>
        <w:rPr>
          <w:rtl w:val="true"/>
        </w:rPr>
        <w:t>جواز ازدواج موقت از نظر گروهى از صحابه و تابعان</w:t>
      </w:r>
      <w:bookmarkEnd w:id="202"/>
    </w:p>
    <w:p>
      <w:pPr>
        <w:pStyle w:val="BookText"/>
        <w:rPr/>
      </w:pPr>
      <w:r>
        <w:rPr>
          <w:rFonts w:ascii="IRNazanin" w:hAnsi="IRNazanin" w:eastAsia="IRNazanin"/>
          <w:color w:val="111111"/>
          <w:sz w:val="28"/>
          <w:sz w:val="28"/>
          <w:szCs w:val="28"/>
          <w:rtl w:val="true"/>
          <w:lang w:bidi="fa-IR"/>
        </w:rPr>
        <w:t>عده زيادى از صحابه و تابعان نيز به نظر خليفه دوم توجه نكرده و آن را همچنان حلال مى‌دانستند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اهل سنت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گذشتگان، متعه را همچنان حلال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صحابه، اسماء دختر ابوبكر، جابربن‌عبدالله، ابن‌مسعود، ابن‌عباس، معاوية بن ابى‌سفيان، عمرو بن حريث، ابوسعيد خُدرى، سلمة و معبد دو پسر امية بن خلف و از تابعان، طاووس، عطاء، سعيد بن جبير و ديگر فقهاى مكّه اعزهم الله</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المغنى</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جواز متعه از ابن‌عباس حكايت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اصحاب او نيز بر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رأى بودند سپس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شواهد بر جواز حليت متعه نزد ابن عباس آن است كه عروة بن زبير به ابن‌عباس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نمى‌ترسى كه متعه را جايز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مادرت بپرس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عروة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و عمر انجام ندادند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نمى‌بينم كه دست برداريد مگر آنكه خداوند شما را عذاب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پيامبر مى‌گويم و شما از ابوبكر و عمر</w:t>
      </w:r>
      <w:r>
        <w:rPr>
          <w:rFonts w:eastAsia="IRNazanin" w:cs="IRNazanin"/>
          <w:color w:val="111111"/>
          <w:sz w:val="28"/>
          <w:szCs w:val="28"/>
          <w:rtl w:val="true"/>
          <w:lang w:bidi="fa-IR"/>
        </w:rPr>
        <w:t xml:space="preserve">!» .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الايجاز</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جماعتى از تابعان به جواز متعه قائل بودند، ازجمله امام زين‌العابدين و الباقر و الصادق، مجاهد، عطاء بن ابى‌رباح، طاووس، ابوزبيربن مطرف، محمد بن سدى، حسن بصرى، ابراهيم نخعى، جابر بن يزيد جعفى، ابن‌جريح، حسن بن محمد بن على و عمرو بن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سعيد بن جبير نقل كرده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اَحَلَّ مِنْ ماءِ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 از آب فرات حلال‌تر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حتى عده‌اى نيز مانند زبير به اين كار عملاً اقدام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اهل‌سنت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عبدالله بن زبير در سخنرانى خود به ابن‌عباس در جواز متعه كنايه مى‌زد و او را مذمت مى‌كرد، ابن‌عباس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مى‌گويد از مادرش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مادرش پرسيد،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راست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مردانى از قريش را نام مى‌برم كه از متعه متولد شده‌اند</w:t>
      </w:r>
      <w:r>
        <w:rPr>
          <w:rFonts w:eastAsia="Amiri" w:cs="Amiri" w:ascii="Amiri" w:hAnsi="Amiri"/>
          <w:color w:val="111111"/>
          <w:sz w:val="28"/>
          <w:szCs w:val="28"/>
          <w:rtl w:val="true"/>
          <w:lang w:bidi="ar-SA"/>
        </w:rPr>
        <w:t xml:space="preserve">» . </w:t>
      </w:r>
      <w:r>
        <w:rPr>
          <w:rStyle w:val="FootnoteAnchor"/>
          <w:rtl w:val="true"/>
        </w:rPr>
        <w:footnoteReference w:id="88"/>
      </w:r>
      <w:r>
        <w:rPr>
          <w:rFonts w:ascii="Amiri" w:hAnsi="Amiri" w:eastAsia="Amiri" w:cs="Amiri"/>
          <w:color w:val="111111"/>
          <w:sz w:val="28"/>
          <w:sz w:val="28"/>
          <w:szCs w:val="28"/>
          <w:rtl w:val="true"/>
          <w:lang w:bidi="ar-SA"/>
        </w:rPr>
        <w:t>سلمة بن اميه در زمان خليفه دوم با زنى عقد موقت بست و او باردار شد و عمر او را تهديد كرد</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نام اين زن را برخى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فرزندش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زمان </w:t>
      </w:r>
      <w:bookmarkStart w:id="203" w:name="pg1971_8412"/>
    </w:p>
    <w:p>
      <w:pPr>
        <w:pStyle w:val="BookText"/>
        <w:rPr/>
      </w:pPr>
      <w:bookmarkEnd w:id="203"/>
      <w:r>
        <w:rPr>
          <w:rFonts w:ascii="IRNazanin" w:hAnsi="IRNazanin" w:eastAsia="IRNazanin"/>
          <w:color w:val="111111"/>
          <w:sz w:val="28"/>
          <w:sz w:val="28"/>
          <w:szCs w:val="28"/>
          <w:rtl w:val="true"/>
          <w:lang w:bidi="fa-IR"/>
        </w:rPr>
        <w:t>متعه را دوران حكومت عُمر يا ابوبكر گفته‌اند</w:t>
      </w:r>
      <w:r>
        <w:rPr>
          <w:rFonts w:eastAsia="IRNazanin" w:cs="IRNazanin"/>
          <w:color w:val="111111"/>
          <w:sz w:val="28"/>
          <w:szCs w:val="28"/>
          <w:rtl w:val="true"/>
          <w:lang w:bidi="fa-IR"/>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حتى معاويه نيز زنى را در طائف متعه كرد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متولد شد</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سعيد بن جبير آن تابعى عظيم‌الشأن، زنى زيبا را در مكه متعه كرد و اِبايى از اعلام آن نداشت</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از همه مشهورتر، فقيه مكه از اهل سنت، عبدالملك بن عبدالعزيز معروف به ابن‌جريج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سال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و متوفاى سال </w:t>
      </w:r>
      <w:r>
        <w:rPr>
          <w:rFonts w:ascii="Amiri" w:hAnsi="Amiri" w:eastAsia="Amiri" w:cs="Amiri"/>
          <w:color w:val="111111"/>
          <w:sz w:val="28"/>
          <w:sz w:val="28"/>
          <w:szCs w:val="28"/>
          <w:lang w:bidi="ar-SA"/>
        </w:rPr>
        <w:t>١۵٠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تنها متعه را جايز، بلكه با شصت تا هفتاد زن متعه كرده بود</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جواز متعه در شهرهاى مكه و يمن كه پيرو ابن عباس بودند مشهور بوده است و به آن اقدام مى‌كردند</w:t>
      </w:r>
      <w:r>
        <w:rPr>
          <w:rFonts w:eastAsia="IRNazanin" w:cs="IRNazanin"/>
          <w:color w:val="111111"/>
          <w:sz w:val="28"/>
          <w:szCs w:val="28"/>
          <w:rtl w:val="true"/>
          <w:lang w:bidi="fa-IR"/>
        </w:rPr>
        <w:t xml:space="preserve">. </w:t>
      </w:r>
      <w:r>
        <w:rPr>
          <w:rStyle w:val="FootnoteAnchor"/>
          <w:rtl w:val="true"/>
        </w:rPr>
        <w:footnoteReference w:id="94"/>
      </w:r>
      <w:r>
        <w:rPr>
          <w:rFonts w:ascii="Amiri" w:hAnsi="Amiri" w:eastAsia="Amiri" w:cs="Amiri"/>
          <w:color w:val="111111"/>
          <w:sz w:val="28"/>
          <w:sz w:val="28"/>
          <w:szCs w:val="28"/>
          <w:rtl w:val="true"/>
          <w:lang w:bidi="ar-SA"/>
        </w:rPr>
        <w:t>حتى ذهبى اين قول را به اهل حجاز نسبت مى‌دهد</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ابن‌عاشور محمدبن‌طاهر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مفسّران اهل سنت، متعه را در حال ضرورت، مثل عزوبت در سفر و جنگ، كه همسر مردى همراهش نباشد، جايز دانسته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با اين‌همه، آيا هنوز مى‌توان به صورت قاطع ادعا كرد كه متعه امرى زشت است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تا قيامت نهى كرده است؟ </w:t>
      </w:r>
      <w:r>
        <w:rPr>
          <w:rFonts w:eastAsia="IRNazanin" w:cs="IRNazanin"/>
          <w:color w:val="111111"/>
          <w:sz w:val="28"/>
          <w:szCs w:val="28"/>
          <w:rtl w:val="true"/>
          <w:lang w:bidi="fa-IR"/>
        </w:rPr>
        <w:t>!</w:t>
      </w:r>
    </w:p>
    <w:p>
      <w:pPr>
        <w:pStyle w:val="Heading3"/>
        <w:numPr>
          <w:ilvl w:val="2"/>
          <w:numId w:val="1"/>
        </w:numPr>
        <w:rPr/>
      </w:pPr>
      <w:bookmarkStart w:id="204" w:name="__RefHeading___Toc3696501_3650668749"/>
      <w:bookmarkStart w:id="205" w:name="_Toc77"/>
      <w:bookmarkEnd w:id="204"/>
      <w:r>
        <w:rPr>
          <w:rtl w:val="true"/>
        </w:rPr>
        <w:t xml:space="preserve">حرمت ازدواج موقت در روايات اهل بيت </w:t>
      </w:r>
      <w:r>
        <w:rPr>
          <w:rtl w:val="true"/>
        </w:rPr>
        <w:t>(</w:t>
      </w:r>
      <w:r>
        <w:rPr>
          <w:rtl w:val="true"/>
        </w:rPr>
        <w:t>عليهم‌السلام</w:t>
      </w:r>
      <w:r>
        <w:rPr>
          <w:rtl w:val="true"/>
        </w:rPr>
        <w:t>)</w:t>
      </w:r>
      <w:bookmarkEnd w:id="20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ادعا كرده است كه چند روايت از متعه نهى مى‌كند و پس از </w:t>
      </w:r>
      <w:bookmarkStart w:id="206" w:name="pg1971_8413"/>
    </w:p>
    <w:p>
      <w:pPr>
        <w:pStyle w:val="BookText"/>
        <w:rPr/>
      </w:pPr>
      <w:bookmarkEnd w:id="206"/>
      <w:r>
        <w:rPr>
          <w:rFonts w:ascii="IRNazanin" w:hAnsi="IRNazanin" w:eastAsia="IRNazanin"/>
          <w:color w:val="111111"/>
          <w:sz w:val="28"/>
          <w:sz w:val="28"/>
          <w:szCs w:val="28"/>
          <w:rtl w:val="true"/>
          <w:lang w:bidi="fa-IR"/>
        </w:rPr>
        <w:t>ذكر آنها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شيخ طوسى براى اين روايات توجيهى نيافته،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را بر تقيه حمل مى‌كنيم؛ زيرا با مذهب عامه موافق است</w:t>
      </w:r>
      <w:r>
        <w:rPr>
          <w:rFonts w:eastAsia="IRNazanin" w:cs="IRNazanin"/>
          <w:color w:val="111111"/>
          <w:sz w:val="28"/>
          <w:szCs w:val="28"/>
          <w:rtl w:val="true"/>
          <w:lang w:bidi="fa-IR"/>
        </w:rPr>
        <w:t>» .</w:t>
      </w:r>
    </w:p>
    <w:p>
      <w:pPr>
        <w:pStyle w:val="Heading3"/>
        <w:numPr>
          <w:ilvl w:val="2"/>
          <w:numId w:val="1"/>
        </w:numPr>
        <w:rPr/>
      </w:pPr>
      <w:bookmarkStart w:id="207" w:name="__RefHeading___Toc3696503_3650668749"/>
      <w:bookmarkStart w:id="208" w:name="_Toc78"/>
      <w:bookmarkEnd w:id="207"/>
      <w:r>
        <w:rPr>
          <w:rtl w:val="true"/>
        </w:rPr>
        <w:t>پاسخ</w:t>
      </w:r>
      <w:bookmarkEnd w:id="20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روايت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جواز متعه و احكام و شرايط آن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متعه از ضروريات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حتى اهل سنت نيز به آن اعتراف كرده‌اند؛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 الاوطار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در اين‌گونه موارد، ترديد در مسئله به سبب چند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صحيح و صريح هم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براساس قاعده‌اى است كه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كرده‌اند كه در روايات گوناگون در يك مسئله، ابتدا بايد روايت موافق قرآن و سپس روايت مخالف عامه گرفته شود و روايت موافق اهل سنت نيز كنار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شيخ طوسى برخى</w:t>
      </w:r>
    </w:p>
    <w:p>
      <w:pPr>
        <w:pStyle w:val="BookText"/>
        <w:rPr/>
      </w:pPr>
      <w:r>
        <w:rPr>
          <w:rFonts w:ascii="Amiri" w:hAnsi="Amiri" w:eastAsia="Amiri" w:cs="Amiri"/>
          <w:color w:val="111111"/>
          <w:sz w:val="28"/>
          <w:sz w:val="28"/>
          <w:szCs w:val="28"/>
          <w:rtl w:val="true"/>
          <w:lang w:bidi="ar-SA"/>
        </w:rPr>
        <w:t xml:space="preserve">از آن روايات را تقيه دانسته است به سبب اين دستور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نه به سبب عجز از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همين است كه شيخ طوسي</w:t>
      </w:r>
      <w:r>
        <w:rPr>
          <w:rStyle w:val="FootnoteAnchor"/>
          <w:rtl w:val="true"/>
        </w:rPr>
        <w:footnoteReference w:id="97"/>
      </w:r>
      <w:r>
        <w:rPr>
          <w:rFonts w:ascii="IRNazanin" w:hAnsi="IRNazanin" w:eastAsia="IRNazanin"/>
          <w:color w:val="111111"/>
          <w:sz w:val="28"/>
          <w:sz w:val="28"/>
          <w:szCs w:val="28"/>
          <w:rtl w:val="true"/>
          <w:lang w:bidi="fa-IR"/>
        </w:rPr>
        <w:t>بعد از تقيه دانستن برخى روايات موافق عامه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پيشين، موافق ظاهر قرآن و اجماع اماميه است و به آنها بايد عمل كرد؛ نه اين روايت شاذ</w:t>
      </w:r>
      <w:r>
        <w:rPr>
          <w:rFonts w:eastAsia="IRNazanin" w:cs="IRNazanin"/>
          <w:color w:val="111111"/>
          <w:sz w:val="28"/>
          <w:szCs w:val="28"/>
          <w:rtl w:val="true"/>
          <w:lang w:bidi="fa-IR"/>
        </w:rPr>
        <w:t xml:space="preserve">» . </w:t>
      </w:r>
      <w:r>
        <w:rPr>
          <w:rStyle w:val="FootnoteAnchor"/>
          <w:rtl w:val="true"/>
        </w:rPr>
        <w:footnoteReference w:id="9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است وقتى گروه حاكم، تحمل مخالفت علمى در مسائلى </w:t>
      </w:r>
      <w:bookmarkStart w:id="209" w:name="pg1971_8414"/>
    </w:p>
    <w:p>
      <w:pPr>
        <w:pStyle w:val="BookText"/>
        <w:rPr/>
      </w:pPr>
      <w:bookmarkEnd w:id="209"/>
      <w:r>
        <w:rPr>
          <w:rFonts w:ascii="IRNazanin" w:hAnsi="IRNazanin" w:eastAsia="IRNazanin"/>
          <w:color w:val="111111"/>
          <w:sz w:val="28"/>
          <w:sz w:val="28"/>
          <w:szCs w:val="28"/>
          <w:rtl w:val="true"/>
          <w:lang w:bidi="fa-IR"/>
        </w:rPr>
        <w:t xml:space="preserve">بسيار سبك‌تر از اين مسئله را ندارند، گاهى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براى حفظ مصالح شيعه و اتحاد مسلمانان، پيروان خود را از انجام دادن اين عمل كه واجب هم نيست، منع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و سليمان‌بن خالد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متعه را بر شما ممنوع كردم تا زمانى كه در مدينه هستيد؛ زيرا شما نزد من زياد رفت و آمد مى‌كنيد و مى‌ترسم شما را مؤاخذه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دستگير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جعفر اينانند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اهل سنت كه اكثريت قاطع آنها اكنون به حرمت متعه فتوا مى‌دهند با روايات حلّيت متعه كه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چه مى‌كنند؟ آيا جز اين است كه آن را توجيه مى‌كنند و از نظريه اصلى خود كه پيروى از خليفه دوم است، برنمى‌گردند؟</w:t>
      </w:r>
    </w:p>
    <w:p>
      <w:pPr>
        <w:pStyle w:val="BookText"/>
        <w:rPr/>
      </w:pPr>
      <w:r>
        <w:rPr>
          <w:rFonts w:ascii="IRNazanin" w:hAnsi="IRNazanin" w:eastAsia="IRNazanin"/>
          <w:color w:val="111111"/>
          <w:sz w:val="28"/>
          <w:sz w:val="28"/>
          <w:szCs w:val="28"/>
          <w:rtl w:val="true"/>
          <w:lang w:bidi="fa-IR"/>
        </w:rPr>
        <w:t>به‌هرحال توضيح بيشتر را در اين بحث به مجالى ديگر كه مناسب با بحث‌هاى فقهى است واگذار مى‌كنيم</w:t>
      </w:r>
      <w:r>
        <w:rPr>
          <w:rFonts w:eastAsia="IRNazanin" w:cs="IRNazanin"/>
          <w:color w:val="111111"/>
          <w:sz w:val="28"/>
          <w:szCs w:val="28"/>
          <w:rtl w:val="true"/>
          <w:lang w:bidi="fa-IR"/>
        </w:rPr>
        <w:t>.</w:t>
      </w:r>
    </w:p>
    <w:p>
      <w:pPr>
        <w:pStyle w:val="Heading3"/>
        <w:numPr>
          <w:ilvl w:val="2"/>
          <w:numId w:val="1"/>
        </w:numPr>
        <w:rPr/>
      </w:pPr>
      <w:bookmarkStart w:id="210" w:name="__RefHeading___Toc3696505_3650668749"/>
      <w:bookmarkStart w:id="211" w:name="_Toc79"/>
      <w:bookmarkEnd w:id="210"/>
      <w:r>
        <w:rPr>
          <w:rtl w:val="true"/>
        </w:rPr>
        <w:t>توضيح روايات مورد ادعا</w:t>
      </w:r>
      <w:bookmarkEnd w:id="211"/>
    </w:p>
    <w:p>
      <w:pPr>
        <w:pStyle w:val="BookText"/>
        <w:rPr/>
      </w:pPr>
      <w:r>
        <w:rPr>
          <w:rFonts w:ascii="IRNazanin" w:hAnsi="IRNazanin" w:eastAsia="IRNazanin"/>
          <w:color w:val="111111"/>
          <w:sz w:val="28"/>
          <w:sz w:val="28"/>
          <w:szCs w:val="28"/>
          <w:rtl w:val="true"/>
          <w:lang w:bidi="fa-IR"/>
        </w:rPr>
        <w:t>اكنون درباره چهار روايت مورد ادعاى نويسنده توضيح مختصرى مى‌دهيم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روايت هشام بن‌حكم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افراد فاسد، متعه مى‌كنند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ظاهراً بر نويسنده مشتبه شده است؛ زيرا آنچه در وسائل‌الشيعه از نوادر احمدبن محمد بن يحيى از ابن‌ابى‌عمير از هشام بن حكم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اين است كه حضرت در مورد متعه فرمود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يَفْعَلُها عِندَنا اِلَّا الفَواجِر </w:t>
      </w:r>
      <w:r>
        <w:rPr>
          <w:rFonts w:eastAsia="Amiri" w:cs="Amiri" w:ascii="Amiri" w:hAnsi="Amiri"/>
          <w:color w:val="111111"/>
          <w:sz w:val="28"/>
          <w:szCs w:val="28"/>
          <w:rtl w:val="true"/>
          <w:lang w:bidi="ar-SA"/>
        </w:rPr>
        <w:t xml:space="preserve">» . </w:t>
      </w:r>
      <w:r>
        <w:rPr>
          <w:rStyle w:val="FootnoteAnchor"/>
          <w:rtl w:val="true"/>
        </w:rPr>
        <w:footnoteReference w:id="100"/>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زن فاجره است و مقصود حضرت اين است كه چون زن‌هايى كه در مدينه صيغه مى‌شوند به زنا آلوده هستند با آنها ازدواج موقت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 كلمه عندنا يعنى نزد ما، مسئله را مقيد كرد؛ نه اينكه مردانى كه ازدواج موقت مى‌كنند، آلوده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متعدد نيز آمده است كه ازدواج دائم و متعه با زن‌هاى عفيف باشد </w:t>
      </w:r>
      <w:r>
        <w:rPr>
          <w:rStyle w:val="FootnoteAnchor"/>
          <w:rtl w:val="true"/>
        </w:rPr>
        <w:footnoteReference w:id="101"/>
      </w:r>
      <w:r>
        <w:rPr>
          <w:rFonts w:ascii="Amiri" w:hAnsi="Amiri" w:eastAsia="Amiri" w:cs="Amiri"/>
          <w:color w:val="111111"/>
          <w:sz w:val="28"/>
          <w:sz w:val="28"/>
          <w:szCs w:val="28"/>
          <w:rtl w:val="true"/>
          <w:lang w:bidi="ar-SA"/>
        </w:rPr>
        <w:t>، نه زن‌هايى كه به فساد معروف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على‌بن‌يقطين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نويسنده در نوشته‌اش آورده است كه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ابوالحسن درباره ازدواج موقت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آن چه كار دارى؟ خداوند ما را از آن بى‌نياز كرده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اين روايت دو نكته ذكر شده است كه هر دو به ضرر نويسنده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آمده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اغناك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يعنى خداوند تو را بى‌نياز</w:t>
      </w:r>
    </w:p>
    <w:p>
      <w:pPr>
        <w:pStyle w:val="BookText"/>
        <w:rPr/>
      </w:pPr>
      <w:r>
        <w:rPr>
          <w:rFonts w:ascii="IRNazanin" w:hAnsi="IRNazanin" w:eastAsia="IRNazanin"/>
          <w:color w:val="111111"/>
          <w:sz w:val="28"/>
          <w:sz w:val="28"/>
          <w:szCs w:val="28"/>
          <w:rtl w:val="true"/>
          <w:lang w:bidi="fa-IR"/>
        </w:rPr>
        <w:t>كرده است، نه آن‌طور كه در نوشته آمده كه امام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 را</w:t>
      </w:r>
    </w:p>
    <w:p>
      <w:pPr>
        <w:pStyle w:val="BookText"/>
        <w:rPr/>
      </w:pPr>
      <w:r>
        <w:rPr>
          <w:rFonts w:ascii="IRNazanin" w:hAnsi="IRNazanin" w:eastAsia="IRNazanin"/>
          <w:color w:val="111111"/>
          <w:sz w:val="28"/>
          <w:sz w:val="28"/>
          <w:szCs w:val="28"/>
          <w:rtl w:val="true"/>
          <w:lang w:bidi="fa-IR"/>
        </w:rPr>
        <w:t>بى‌نياز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حضرت آن است كه چون على بن يقطين فردى سرشناس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هارون‌الرشيد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ثروتمند و داراى همسران و كنيزان بوده است، انجام دادن اين عمل براى او صلاح نيست؛ زيرا شيعه و طرفدار سرسخت حضرت است و اهل سنت نيز به اين مسئله خيلى حساسند و او نيز نياز جنسى به آن ندارد؛ ازاين‌رو حضرت او را از متعه منع كرد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حديث است كه على بن يقطين به حضرت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مى‌خواهم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براى آگاهى است نه اقدام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نكاح در كتاب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صفاى آن جز به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102"/>
      </w:r>
      <w:r>
        <w:rPr>
          <w:rFonts w:ascii="Amiri" w:hAnsi="Amiri" w:eastAsia="Amiri" w:cs="Amiri"/>
          <w:color w:val="111111"/>
          <w:sz w:val="28"/>
          <w:sz w:val="28"/>
          <w:szCs w:val="28"/>
          <w:rtl w:val="true"/>
          <w:lang w:bidi="ar-SA"/>
        </w:rPr>
        <w:t>مى‌بينيم كه حديث مذكور در جواز متعه صراحت دارد؛ ولى نويسنده از آن غفلت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حديث شيخ طوسى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الاغ‌هاى اهلى و ازدواج موقت را حرام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همچنان‌كه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با ظاهر قرآن و اجماع اماميه و انبوه روايات صحيح و متواتر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مى‌شود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از مخالفان سرسخت تحريم متعه است، اين حديث را بيان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چنين باشد درحالى‌كه عامه و خاصه، حديث اباحه متعه را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كرده‌اند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عمر از متعه منع نمى‌كرد جز بدبخت</w:t>
      </w:r>
    </w:p>
    <w:p>
      <w:pPr>
        <w:pStyle w:val="BookText"/>
        <w:rPr/>
      </w:pPr>
      <w:r>
        <w:rPr>
          <w:rFonts w:ascii="Amiri" w:hAnsi="Amiri" w:eastAsia="Amiri" w:cs="Amiri"/>
          <w:color w:val="111111"/>
          <w:sz w:val="28"/>
          <w:sz w:val="28"/>
          <w:szCs w:val="28"/>
          <w:rtl w:val="true"/>
          <w:lang w:bidi="ar-SA"/>
        </w:rPr>
        <w:t>كسى زنا نمى‌كرد</w:t>
      </w:r>
      <w:r>
        <w:rPr>
          <w:rFonts w:eastAsia="Amiri" w:cs="Amiri" w:ascii="Amiri" w:hAnsi="Amiri"/>
          <w:color w:val="111111"/>
          <w:sz w:val="28"/>
          <w:szCs w:val="28"/>
          <w:rtl w:val="true"/>
          <w:lang w:bidi="ar-SA"/>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اين حديث برخى از عامه و برخى از زيديه‌اند كه از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گشتند و در عقايد و بسيارى از فروع به اهل سنت نزديك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اين مسئله مهم، هرگز شايسته اعتماد نيستند؛ به‌ويژه كه اين روايت را عامه نيز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و مستمسك خويش نموده‌اند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گذشته از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w:t>
      </w:r>
    </w:p>
    <w:p>
      <w:pPr>
        <w:pStyle w:val="BookText"/>
        <w:rPr/>
      </w:pPr>
      <w:r>
        <w:rPr>
          <w:rFonts w:ascii="IRNazanin" w:hAnsi="IRNazanin" w:eastAsia="IRNazanin"/>
          <w:color w:val="111111"/>
          <w:sz w:val="28"/>
          <w:sz w:val="28"/>
          <w:szCs w:val="28"/>
          <w:rtl w:val="true"/>
          <w:lang w:bidi="fa-IR"/>
        </w:rPr>
        <w:t xml:space="preserve">نقل صحيح بخارى 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خيبر بوده است و ممكن است اين نهى به سبب مصالحى در آن مقطع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مؤيد اين مسئله، نهى پيامبر از خوردن گوشت الاغ‌هاى اهلى است؛ زيرا در جنگ خيبر، برخى براى رفع گرسنگى از گوشت الاغ استفاده كردند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الاغ پرسيدند،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براى اين سبب از خوردن آن نهى كرد چون مركب و وسيله باربرى مردم بود</w:t>
      </w:r>
      <w:r>
        <w:rPr>
          <w:rFonts w:eastAsia="IRNazanin" w:cs="IRNazanin"/>
          <w:color w:val="111111"/>
          <w:sz w:val="28"/>
          <w:szCs w:val="28"/>
          <w:rtl w:val="true"/>
          <w:lang w:bidi="fa-IR"/>
        </w:rPr>
        <w:t xml:space="preserve">» . </w:t>
      </w:r>
      <w:r>
        <w:rPr>
          <w:rStyle w:val="FootnoteAnchor"/>
          <w:rtl w:val="true"/>
        </w:rPr>
        <w:footnoteReference w:id="104"/>
      </w:r>
      <w:r>
        <w:rPr>
          <w:rFonts w:ascii="IRNazanin" w:hAnsi="IRNazanin" w:eastAsia="IRNazanin"/>
          <w:color w:val="111111"/>
          <w:sz w:val="28"/>
          <w:sz w:val="28"/>
          <w:szCs w:val="28"/>
          <w:rtl w:val="true"/>
          <w:lang w:bidi="fa-IR"/>
        </w:rPr>
        <w:t xml:space="preserve">همچنين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احتمال اشتباه يا تحريف در اين روايت بعيد نيست؛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مخالف ديدگاه قطعى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انبوه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اهل سنت در محل نهى به شدت ترديد كرده‌اند؛ برخى نهى را در</w:t>
      </w:r>
    </w:p>
    <w:p>
      <w:pPr>
        <w:pStyle w:val="BookText"/>
        <w:rPr/>
      </w:pPr>
      <w:r>
        <w:rPr>
          <w:rFonts w:ascii="Amiri" w:hAnsi="Amiri" w:eastAsia="Amiri" w:cs="Amiri"/>
          <w:color w:val="111111"/>
          <w:sz w:val="28"/>
          <w:sz w:val="28"/>
          <w:szCs w:val="28"/>
          <w:rtl w:val="true"/>
          <w:lang w:bidi="ar-SA"/>
        </w:rPr>
        <w:t xml:space="preserve">فتح مكه </w:t>
      </w:r>
      <w:r>
        <w:rPr>
          <w:rStyle w:val="FootnoteAnchor"/>
          <w:rtl w:val="true"/>
        </w:rPr>
        <w:footnoteReference w:id="10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در جنگ تبوك </w:t>
      </w:r>
      <w:r>
        <w:rPr>
          <w:rStyle w:val="FootnoteAnchor"/>
          <w:rtl w:val="true"/>
        </w:rPr>
        <w:footnoteReference w:id="106"/>
      </w:r>
      <w:r>
        <w:rPr>
          <w:rFonts w:ascii="Amiri" w:hAnsi="Amiri" w:eastAsia="Amiri" w:cs="Amiri"/>
          <w:color w:val="111111"/>
          <w:sz w:val="28"/>
          <w:sz w:val="28"/>
          <w:szCs w:val="28"/>
          <w:rtl w:val="true"/>
          <w:lang w:bidi="ar-SA"/>
        </w:rPr>
        <w:t xml:space="preserve">، برخى در حجةالوداع </w:t>
      </w:r>
      <w:r>
        <w:rPr>
          <w:rStyle w:val="FootnoteAnchor"/>
          <w:rtl w:val="true"/>
        </w:rPr>
        <w:footnoteReference w:id="107"/>
      </w:r>
      <w:r>
        <w:rPr>
          <w:rFonts w:ascii="IRNazanin" w:hAnsi="IRNazanin" w:eastAsia="IRNazanin"/>
          <w:color w:val="111111"/>
          <w:sz w:val="28"/>
          <w:sz w:val="28"/>
          <w:szCs w:val="28"/>
          <w:rtl w:val="true"/>
          <w:lang w:bidi="fa-IR"/>
        </w:rPr>
        <w:t xml:space="preserve">، برخى در جنگ حنين </w:t>
      </w:r>
      <w:r>
        <w:rPr>
          <w:rStyle w:val="FootnoteAnchor"/>
          <w:rtl w:val="true"/>
        </w:rPr>
        <w:footnoteReference w:id="108"/>
      </w:r>
      <w:r>
        <w:rPr>
          <w:rFonts w:ascii="IRNazanin" w:hAnsi="IRNazanin" w:eastAsia="IRNazanin"/>
          <w:color w:val="111111"/>
          <w:sz w:val="28"/>
          <w:sz w:val="28"/>
          <w:szCs w:val="28"/>
          <w:rtl w:val="true"/>
          <w:lang w:bidi="fa-IR"/>
        </w:rPr>
        <w:t xml:space="preserve">و برخى در جنگ خيبر </w:t>
      </w:r>
      <w:r>
        <w:rPr>
          <w:rStyle w:val="FootnoteAnchor"/>
          <w:rtl w:val="true"/>
        </w:rPr>
        <w:footnoteReference w:id="109"/>
      </w:r>
      <w:r>
        <w:rPr>
          <w:rFonts w:ascii="Amiri" w:hAnsi="Amiri" w:eastAsia="Amiri" w:cs="Amiri"/>
          <w:color w:val="111111"/>
          <w:sz w:val="28"/>
          <w:sz w:val="28"/>
          <w:szCs w:val="28"/>
          <w:rtl w:val="true"/>
          <w:lang w:bidi="ar-SA"/>
        </w:rPr>
        <w:t>دانسته‌اند و اين اختلاف نشان از ضعف مسئله دارد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آنكه ابن حجر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نهى از متعه در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خيبر را هيچ‌كس از اهل سير و راويان نمى‌شناسند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بن 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الاغ‌هاى اهلى در خيبر نهى كرد نه نكاح متعه</w:t>
      </w:r>
      <w:r>
        <w:rPr>
          <w:rFonts w:eastAsia="IRNazanin" w:cs="IRNazanin"/>
          <w:color w:val="111111"/>
          <w:sz w:val="28"/>
          <w:szCs w:val="28"/>
          <w:rtl w:val="true"/>
          <w:lang w:bidi="fa-IR"/>
        </w:rPr>
        <w:t xml:space="preserve">» . </w:t>
      </w:r>
      <w:r>
        <w:rPr>
          <w:rStyle w:val="FootnoteAnchor"/>
          <w:rtl w:val="true"/>
        </w:rPr>
        <w:footnoteReference w:id="1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جنگ خيبر سخنى از متعه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انجام دادن آن و نه تحريم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 </w:t>
      </w:r>
      <w:r>
        <w:rPr>
          <w:rStyle w:val="FootnoteAnchor"/>
          <w:rtl w:val="true"/>
        </w:rPr>
        <w:footnoteReference w:id="112"/>
      </w:r>
      <w:bookmarkStart w:id="212" w:name="pg1971_8419"/>
    </w:p>
    <w:p>
      <w:pPr>
        <w:pStyle w:val="Heading2"/>
        <w:numPr>
          <w:ilvl w:val="1"/>
          <w:numId w:val="1"/>
        </w:numPr>
        <w:rPr/>
      </w:pPr>
      <w:bookmarkStart w:id="213" w:name="__RefHeading___Toc3696507_3650668749"/>
      <w:bookmarkStart w:id="214" w:name="_Toc80"/>
      <w:bookmarkEnd w:id="212"/>
      <w:bookmarkEnd w:id="213"/>
      <w:r>
        <w:rPr/>
        <w:t>١١</w:t>
      </w:r>
      <w:r>
        <w:rPr>
          <w:rtl w:val="true"/>
        </w:rPr>
        <w:t xml:space="preserve"> سينه‌زنى و بى‌تابى در مصائب سيدالشهدا</w:t>
      </w:r>
      <w:bookmarkEnd w:id="214"/>
    </w:p>
    <w:p>
      <w:pPr>
        <w:pStyle w:val="Heading3"/>
        <w:numPr>
          <w:ilvl w:val="2"/>
          <w:numId w:val="1"/>
        </w:numPr>
        <w:rPr/>
      </w:pPr>
      <w:bookmarkStart w:id="215" w:name="__RefHeading___Toc3696509_3650668749"/>
      <w:bookmarkStart w:id="216" w:name="_Toc81"/>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تناقضات مذهب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علماى مذهب بر سر و سينه زدن در عزادارى عاشورا را كار درستى دانسته‌اند؛ ولى از كتاب و سنت، نصى براى مشروعيت آن وجود ندارد</w:t>
      </w:r>
      <w:r>
        <w:rPr>
          <w:rFonts w:eastAsia="IRNazanin" w:cs="IRNazanin"/>
          <w:color w:val="111111"/>
          <w:sz w:val="28"/>
          <w:szCs w:val="28"/>
          <w:rtl w:val="true"/>
          <w:lang w:bidi="fa-IR"/>
        </w:rPr>
        <w:t>» .</w:t>
      </w:r>
    </w:p>
    <w:p>
      <w:pPr>
        <w:pStyle w:val="Heading3"/>
        <w:numPr>
          <w:ilvl w:val="2"/>
          <w:numId w:val="1"/>
        </w:numPr>
        <w:rPr/>
      </w:pPr>
      <w:bookmarkStart w:id="217" w:name="__RefHeading___Toc3696511_3650668749"/>
      <w:bookmarkStart w:id="218" w:name="_Toc82"/>
      <w:bookmarkEnd w:id="217"/>
      <w:r>
        <w:rPr>
          <w:rtl w:val="true"/>
        </w:rPr>
        <w:t>پاسخ</w:t>
      </w:r>
      <w:bookmarkEnd w:id="21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جواز هر عملى به نص و روايت خاص نياز نيست، بلكه بنابر حكم عقل و عموم آيات و روايات هر عملى كه مورد نهى شارع نباشد، جايز است و علما از آن به برائت عقلى يا نقلى يا قاعده حلّيت تعبير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موضوعات جديدى كه در دوران ما واقع مى‌شود، مثل استفاده از كامپيوتر و هواپيما و يا مسائل پزشكى و حتى جشن تولد و مانند اينها با آنكه روايت خاص ندارد،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و شيوه آن نيز تا وقتى دليلى بر منع آن نباشد،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چاپ اطلاعيه، عكس، اعلام تسليت، گرفتن مجلس ختم و آوردن گل با روبان مشكى و مانند اينها تا نهى شرعى نداشته باشد، جايز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انبوه روايات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بر جواز و استحباب بى‌تابى و </w:t>
      </w:r>
    </w:p>
    <w:p>
      <w:pPr>
        <w:pStyle w:val="BookText"/>
        <w:rPr/>
      </w:pPr>
      <w:r>
        <w:rPr>
          <w:rFonts w:ascii="IRNazanin" w:hAnsi="IRNazanin" w:eastAsia="IRNazanin"/>
          <w:color w:val="111111"/>
          <w:sz w:val="28"/>
          <w:sz w:val="28"/>
          <w:szCs w:val="28"/>
          <w:rtl w:val="true"/>
          <w:lang w:bidi="fa-IR"/>
        </w:rPr>
        <w:t xml:space="preserve">عزادارى بر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كه جز افراد غافل نمى‌توانند آنها را ناديده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گريه و بى‌تابى در هر موردى براى انسان مكروه است مگر گريه و بى‌تابى بر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كار، پاداش مى‌برد</w:t>
      </w:r>
      <w:r>
        <w:rPr>
          <w:rFonts w:eastAsia="IRNazanin" w:cs="IRNazanin"/>
          <w:color w:val="111111"/>
          <w:sz w:val="28"/>
          <w:szCs w:val="28"/>
          <w:rtl w:val="true"/>
          <w:lang w:bidi="fa-IR"/>
        </w:rPr>
        <w:t xml:space="preserve">» .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همچنين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آنچه را 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ياد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بى‌تابى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آرى و مى‌گريم چنان‌كه خانواده‌ام اثر آن را در من مى‌بينند و از غذا خوردن مى‌افتم به گونه‌اى كه در صورتم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اشك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تو از كسانى هستى كه اهل بى‌تابى بر ما به حساب مى‌آيند</w:t>
      </w:r>
      <w:r>
        <w:rPr>
          <w:rFonts w:eastAsia="IRNazanin" w:cs="IRNazanin"/>
          <w:color w:val="111111"/>
          <w:sz w:val="28"/>
          <w:szCs w:val="28"/>
          <w:rtl w:val="true"/>
          <w:lang w:bidi="fa-IR"/>
        </w:rPr>
        <w:t xml:space="preserve">» .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آيا بر سر و سينه زدن از مصاديق بى‌تابى نيست كه در اين روايات به آن تأكيد شده است؟ حضرت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سخت‌ترين بى‌تابى، فرياد به آه و ناله و بر صورت و سينه‌زدن و كندن موى است</w:t>
      </w:r>
      <w:r>
        <w:rPr>
          <w:rFonts w:eastAsia="Amiri" w:cs="Amiri" w:ascii="Amiri" w:hAnsi="Amiri"/>
          <w:color w:val="111111"/>
          <w:sz w:val="28"/>
          <w:szCs w:val="28"/>
          <w:rtl w:val="true"/>
          <w:lang w:bidi="ar-SA"/>
        </w:rPr>
        <w:t xml:space="preserve">» . </w:t>
      </w:r>
      <w:r>
        <w:rPr>
          <w:rStyle w:val="FootnoteAnchor"/>
          <w:rtl w:val="true"/>
        </w:rPr>
        <w:footnoteReference w:id="11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دلالت مى‌كند براينكه، همچنان كه اين كارها در مصائب عادى روا نيست، در عزاى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كارها از مصاديق جزع بوده و مستحب است</w:t>
      </w:r>
      <w:r>
        <w:rPr>
          <w:rFonts w:eastAsia="IRNazanin" w:cs="IRNazanin"/>
          <w:color w:val="111111"/>
          <w:sz w:val="28"/>
          <w:szCs w:val="28"/>
          <w:rtl w:val="true"/>
          <w:lang w:bidi="fa-IR"/>
        </w:rPr>
        <w:t xml:space="preserve">. </w:t>
      </w:r>
      <w:bookmarkStart w:id="219" w:name="pg1971_8421"/>
    </w:p>
    <w:p>
      <w:pPr>
        <w:pStyle w:val="Heading2"/>
        <w:numPr>
          <w:ilvl w:val="1"/>
          <w:numId w:val="1"/>
        </w:numPr>
        <w:rPr/>
      </w:pPr>
      <w:bookmarkStart w:id="220" w:name="__RefHeading___Toc3696513_3650668749"/>
      <w:bookmarkStart w:id="221" w:name="_Toc83"/>
      <w:bookmarkEnd w:id="219"/>
      <w:bookmarkEnd w:id="220"/>
      <w:r>
        <w:rPr/>
        <w:t>١٢</w:t>
      </w:r>
      <w:r>
        <w:rPr>
          <w:rtl w:val="true"/>
        </w:rPr>
        <w:t xml:space="preserve"> نوحه‌سرايى</w:t>
      </w:r>
      <w:bookmarkEnd w:id="221"/>
    </w:p>
    <w:p>
      <w:pPr>
        <w:pStyle w:val="Heading3"/>
        <w:numPr>
          <w:ilvl w:val="2"/>
          <w:numId w:val="1"/>
        </w:numPr>
        <w:rPr/>
      </w:pPr>
      <w:bookmarkStart w:id="222" w:name="__RefHeading___Toc3696515_3650668749"/>
      <w:bookmarkStart w:id="223" w:name="_Toc84"/>
      <w:bookmarkEnd w:id="222"/>
      <w:r>
        <w:rPr>
          <w:rtl w:val="true"/>
        </w:rPr>
        <w:t>اشاره</w:t>
      </w:r>
      <w:bookmarkEnd w:id="223"/>
    </w:p>
    <w:p>
      <w:pPr>
        <w:pStyle w:val="BookText"/>
        <w:rPr/>
      </w:pPr>
      <w:r>
        <w:rPr>
          <w:rFonts w:ascii="Amiri" w:hAnsi="Amiri" w:eastAsia="Amiri" w:cs="Amiri"/>
          <w:color w:val="111111"/>
          <w:sz w:val="28"/>
          <w:sz w:val="28"/>
          <w:szCs w:val="28"/>
          <w:rtl w:val="true"/>
          <w:lang w:bidi="ar-SA"/>
        </w:rPr>
        <w:t xml:space="preserve">نويسنده در صفحه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به رواياتى اشاره مى‌كند كه نوحه‌سرايى را منع كرده است و از قرآن‌نيز براى حرمت آن دليل مى‌آورد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نويسنده به روايات زير تمسك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نوحه‌سرايى از كارهاى جاهليت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نورى طبرسى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از اعمال جاهليت است كه مردم تا قيامت به آن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باران از ستارگان، طعنه زدن به نسب‌ها و نوحه‌سرايى براى مردگان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بعد از رحلت ابراهيم پسر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شدت و با صداى بلند مى‌گريستند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شدت نهى‌كرد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سخت‌ترين بى‌تابى، فرياد و نوحه سردادن و زدن بر سروسينه و كندن موى پيشانى است و هركه نوحه‌سرايى كند، صبر و شكيبايى را رها كرده و راهى غير از راه صبر در پيش گرفته است</w:t>
      </w:r>
      <w:r>
        <w:rPr>
          <w:rFonts w:eastAsia="IRNazanin" w:cs="IRNazanin"/>
          <w:color w:val="111111"/>
          <w:sz w:val="28"/>
          <w:szCs w:val="28"/>
          <w:rtl w:val="true"/>
          <w:lang w:bidi="fa-IR"/>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خواهرش زينب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خواهرم، تو را قسم </w:t>
      </w:r>
      <w:bookmarkStart w:id="224" w:name="pg1971_8422"/>
    </w:p>
    <w:p>
      <w:pPr>
        <w:pStyle w:val="BookText"/>
        <w:rPr/>
      </w:pPr>
      <w:bookmarkEnd w:id="224"/>
      <w:r>
        <w:rPr>
          <w:rFonts w:ascii="IRNazanin" w:hAnsi="IRNazanin" w:eastAsia="IRNazanin"/>
          <w:color w:val="111111"/>
          <w:sz w:val="28"/>
          <w:sz w:val="28"/>
          <w:szCs w:val="28"/>
          <w:rtl w:val="true"/>
          <w:lang w:bidi="fa-IR"/>
        </w:rPr>
        <w:t>مى‌دهم اگر من كشته شدم گريبانت را پاره مكن و براى از دست دادن من، چهره‌ات را خونين مكن و فرياد واويلا سر مده</w:t>
      </w:r>
      <w:r>
        <w:rPr>
          <w:rFonts w:eastAsia="IRNazanin" w:cs="IRNazanin"/>
          <w:color w:val="111111"/>
          <w:sz w:val="28"/>
          <w:szCs w:val="28"/>
          <w:rtl w:val="true"/>
          <w:lang w:bidi="fa-IR"/>
        </w:rPr>
        <w:t>» .</w:t>
      </w:r>
    </w:p>
    <w:p>
      <w:pPr>
        <w:pStyle w:val="Heading3"/>
        <w:numPr>
          <w:ilvl w:val="2"/>
          <w:numId w:val="1"/>
        </w:numPr>
        <w:rPr/>
      </w:pPr>
      <w:bookmarkStart w:id="225" w:name="__RefHeading___Toc3696517_3650668749"/>
      <w:bookmarkStart w:id="226" w:name="_Toc85"/>
      <w:bookmarkEnd w:id="225"/>
      <w:r>
        <w:rPr>
          <w:rtl w:val="true"/>
        </w:rPr>
        <w:t>پاسخ</w:t>
      </w:r>
      <w:bookmarkEnd w:id="226"/>
    </w:p>
    <w:p>
      <w:pPr>
        <w:pStyle w:val="BookText"/>
        <w:rPr/>
      </w:pPr>
      <w:r>
        <w:rPr>
          <w:rFonts w:ascii="IRNazanin" w:hAnsi="IRNazanin" w:eastAsia="IRNazanin"/>
          <w:color w:val="111111"/>
          <w:sz w:val="28"/>
          <w:sz w:val="28"/>
          <w:szCs w:val="28"/>
          <w:rtl w:val="true"/>
          <w:lang w:bidi="fa-IR"/>
        </w:rPr>
        <w:t>تشخيص احكام شريعت، نياز به قوه‌اجتهاد و تخصص دارد كه فقهاى اسلام عهده‌دار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آوردن چند روايت كه فقهاى شيعه همگى از آنها آگاه بوده‌اند، نمى‌توان نتيجه نهايى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مجموعه روايات و ديگر امور مربوط به يك مسئله را ملاحظه كرد</w:t>
      </w:r>
      <w:r>
        <w:rPr>
          <w:rFonts w:eastAsia="IRNazanin" w:cs="IRNazanin"/>
          <w:color w:val="111111"/>
          <w:sz w:val="28"/>
          <w:szCs w:val="28"/>
          <w:rtl w:val="true"/>
          <w:lang w:bidi="fa-IR"/>
        </w:rPr>
        <w:t>.</w:t>
      </w:r>
    </w:p>
    <w:p>
      <w:pPr>
        <w:pStyle w:val="Heading3"/>
        <w:numPr>
          <w:ilvl w:val="2"/>
          <w:numId w:val="1"/>
        </w:numPr>
        <w:rPr/>
      </w:pPr>
      <w:bookmarkStart w:id="227" w:name="__RefHeading___Toc3696519_3650668749"/>
      <w:bookmarkStart w:id="228" w:name="_Toc86"/>
      <w:bookmarkEnd w:id="227"/>
      <w:r>
        <w:rPr>
          <w:rtl w:val="true"/>
        </w:rPr>
        <w:t xml:space="preserve">جواز نوحه‌سرايى بر اهل بيت </w:t>
      </w:r>
      <w:r>
        <w:rPr>
          <w:rtl w:val="true"/>
        </w:rPr>
        <w:t>(</w:t>
      </w:r>
      <w:r>
        <w:rPr>
          <w:rtl w:val="true"/>
        </w:rPr>
        <w:t>عليهم‌السلام</w:t>
      </w:r>
      <w:r>
        <w:rPr>
          <w:rtl w:val="true"/>
        </w:rPr>
        <w:t>)</w:t>
      </w:r>
      <w:bookmarkEnd w:id="22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بنا مى‌گذاريم كه روايات مذكور به جز روايت اخير، همگى از نظر سند و دلالت صحيح باشند و معارضى نيز نداشته باشند، در نتيجه نوحه‌سرايى هم مثل ديگر اعمال هنگام مصيبت ديدن، نهى مى‌شود؛ ولى همين عمل در مورد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مصائب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تعظيم شعائر و حفظ دين جايز است؛ زيرا هركه اندك اطلاعى از فقه داشته باشد، مى‌داند كه كمتر مطلقى است كه مقيد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حرمت نوحه‌سرايى از حرمت ربا شديدتر است كه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الرِّبا و تهديد به آتش شده است؟ با آنكه همين ربا در شرايطى جايز شمرده شده است؛ مثل گرفتن ربا از كافر يا ميان زن و شوهر يا پدر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حكم انبوه رواياتى كه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وارده شده، هيچ مانعى ندارد كه نوحه‌سرايى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همه‌جا حرام باشد؛ اما در مصائب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مصائب ما را ياد كند، بگريد و بگرياند، چشمش نگريد روزى كه چشم‌ها گريان است و هر كه در جلسه‌اى شركت كند كه امر ما در آن زنده مى‌شود، نميرد دلش روزى كه دل‌ها مى‌ميرد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همچنين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جريان و روز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پلك‌هاى ما را زخمى و اشك‌هاى ما را جارى كرد و عزيز ما را در سرزمين غم و بلا خوار كرد و براى ما تا قيامت، غم و بلا به ارث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گريه‌كنندگان بر مثل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كنند، كه گريه بر او گناهان بزرگ را فرو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ماه محرم مى‌شد، كسى پدرم را خندان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بر او غلبه مى‌كرد تا روز دهم كه روز مصيبت و غم و گريه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روزى است 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كشته شد</w:t>
      </w:r>
      <w:r>
        <w:rPr>
          <w:rFonts w:eastAsia="IRNazanin" w:cs="IRNazanin"/>
          <w:color w:val="111111"/>
          <w:sz w:val="28"/>
          <w:szCs w:val="28"/>
          <w:rtl w:val="true"/>
          <w:lang w:bidi="fa-IR"/>
        </w:rPr>
        <w:t xml:space="preserve">» .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مجلس خويش از برخى شعرا خواسته بود تا شعر بخوانند و نوحه‌سرايى كنند و آنها را با بيان فضيلت اين كار، به شدت تشويق مى‌كرد و گاهى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كه نزد خودتان مى‌خوانيد، برايم بخوانيد</w:t>
      </w:r>
      <w:r>
        <w:rPr>
          <w:rFonts w:eastAsia="IRNazanin" w:cs="IRNazanin"/>
          <w:color w:val="111111"/>
          <w:sz w:val="28"/>
          <w:szCs w:val="28"/>
          <w:rtl w:val="true"/>
          <w:lang w:bidi="fa-IR"/>
        </w:rPr>
        <w:t xml:space="preserve">» . </w:t>
      </w:r>
      <w:r>
        <w:rPr>
          <w:rStyle w:val="FootnoteAnchor"/>
          <w:rtl w:val="true"/>
        </w:rPr>
        <w:footnoteReference w:id="118"/>
      </w:r>
      <w:r>
        <w:rPr>
          <w:rFonts w:ascii="IRNazanin" w:hAnsi="IRNazanin" w:eastAsia="IRNazanin"/>
          <w:color w:val="111111"/>
          <w:sz w:val="28"/>
          <w:sz w:val="28"/>
          <w:szCs w:val="28"/>
          <w:rtl w:val="true"/>
          <w:lang w:bidi="fa-IR"/>
        </w:rPr>
        <w:t xml:space="preserve">قبلاً گذشت رواياتى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شيعيان را به بى‌تابى كردن در مصائب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خواند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روايتى ابوبصير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پسرى نزد ايشان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خوش‌آمدى و او را در آغوش گرفت و بوسيد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خوار كند آن كه شما را خوار كرد و انتقام گيرد از آن كه شما را تنها گذارد و واگذارد آن كه شما را يارى نكرد و لعنت خدا بر آن كه شما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سرپرست و حافظ و ياور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گريه زنان، پيامبران، صديقان، شهدا و ملائكه آسمان طولانى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فرزندان حسين مى‌نگرم به سبب آنچه به پدرشان و خود ايشان رسيد حالتى به من دست مى‌دهد كه اختيار از كف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مى‌گريد و فرياد مى‌كشد به گونه‌اى كه جهنم شعله مى‌كشد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فدايت شوم اين امر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آن عظيم‌تر است كه آن را نشنيدى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نمى‌خواهى از كسانى باشى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يارى مى‌دهد؟ من با شنيدن اين جمله، گريه‌ام گرفت به‌گونه‌اى كه نه من توان سخن داشتم و نه حضرت از شدت گريه توان سخن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برخاست و به محل نماز رفت و من بيرون رفتم درحالى‌كه نه از غذا سودى مى‌بردم و نه خواب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از ترس، روزه گرفتم و نزد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آمدم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آرامش حضرت را ديدم، آرام شدم</w:t>
      </w:r>
      <w:r>
        <w:rPr>
          <w:rFonts w:eastAsia="Amiri" w:cs="Amiri" w:ascii="Amiri" w:hAnsi="Amiri"/>
          <w:color w:val="111111"/>
          <w:sz w:val="28"/>
          <w:szCs w:val="28"/>
          <w:rtl w:val="true"/>
          <w:lang w:bidi="ar-SA"/>
        </w:rPr>
        <w:t xml:space="preserve">. . . .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در روايت است كه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يك سال بعد از شهادت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 و شب بر حضرت نوحه‌سرايى شد و سپس تا سه سال در روز شهادت آن حضرت عده‌اى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جمله مسوّر بن مخرمه، مخفيانه مى‌آمدند و نوحه را گوش مى‌دادند و مى‌گريستند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از اهل سنت نيز افرادى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گريه بانوان انصار بر حمزه را بعد از جمله پيامبر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حَمْزَةَلا بَواكِىَ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كرده‌اند</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ترجمه جعفر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خبر مرگ جعفر آمد،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 همسر جعفر، اسماء رفت و او را تسليت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وارد شد و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مثل جعفر، بايد كه زنان گريه‌كننده بگريند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خود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در صحيح بخارى </w:t>
      </w:r>
      <w:r>
        <w:rPr>
          <w:rStyle w:val="FootnoteAnchor"/>
          <w:rtl w:val="true"/>
        </w:rPr>
        <w:footnoteReference w:id="123"/>
      </w:r>
      <w:r>
        <w:rPr>
          <w:rFonts w:ascii="IRNazanin" w:hAnsi="IRNazanin" w:eastAsia="IRNazanin"/>
          <w:color w:val="111111"/>
          <w:sz w:val="28"/>
          <w:sz w:val="28"/>
          <w:szCs w:val="28"/>
          <w:rtl w:val="true"/>
          <w:lang w:bidi="fa-IR"/>
        </w:rPr>
        <w:t>، ابواب جنائز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احوالات جناب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حمزه را ديد، كه كشته شده است گريست و چون ديد كه او را مُثله كرده‌اند، فرياد زد و</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هق‌هق كنان گريست</w:t>
      </w:r>
      <w:r>
        <w:rPr>
          <w:rFonts w:eastAsia="IRNazanin" w:cs="IRNazanin"/>
          <w:color w:val="111111"/>
          <w:sz w:val="28"/>
          <w:szCs w:val="28"/>
          <w:rtl w:val="true"/>
          <w:lang w:bidi="fa-IR"/>
        </w:rPr>
        <w:t xml:space="preserve">» . </w:t>
      </w:r>
      <w:r>
        <w:rPr>
          <w:rStyle w:val="FootnoteAnchor"/>
          <w:rtl w:val="true"/>
        </w:rPr>
        <w:footnoteReference w:id="124"/>
      </w:r>
      <w:bookmarkStart w:id="229" w:name="pg1971_8426"/>
    </w:p>
    <w:p>
      <w:pPr>
        <w:pStyle w:val="BookText"/>
        <w:rPr/>
      </w:pPr>
      <w:bookmarkEnd w:id="229"/>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صفيّه، خواهر حمزه، در شهادت برادرش مى‌گريست،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مى‌گريست و هرگاه او هق‌هق مى‌گريست، پيامبر نيز هق‌هق مى‌گريست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هم شروع مى‌كرد به گريستن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گريستن او نيز مى‌گريست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در صحيح بخارى و مسلم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بچه‌اى كه از يكى از دخترانش فوت كرد، گريست،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گريه چيست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ترحم است كه خدا در دل بندگان خود قرار داده است و خداوند تنها به بندگان دلسوز خود، ترحم مى‌كند</w:t>
      </w:r>
      <w:r>
        <w:rPr>
          <w:rFonts w:eastAsia="IRNazanin" w:cs="IRNazanin"/>
          <w:color w:val="111111"/>
          <w:sz w:val="28"/>
          <w:szCs w:val="28"/>
          <w:rtl w:val="true"/>
          <w:lang w:bidi="fa-IR"/>
        </w:rPr>
        <w:t xml:space="preserve">» . </w:t>
      </w:r>
      <w:r>
        <w:rPr>
          <w:rStyle w:val="FootnoteAnchor"/>
          <w:rtl w:val="true"/>
        </w:rPr>
        <w:footnoteReference w:id="126"/>
      </w:r>
    </w:p>
    <w:p>
      <w:pPr>
        <w:pStyle w:val="Heading3"/>
        <w:numPr>
          <w:ilvl w:val="2"/>
          <w:numId w:val="1"/>
        </w:numPr>
        <w:rPr/>
      </w:pPr>
      <w:bookmarkStart w:id="230" w:name="__RefHeading___Toc3696521_3650668749"/>
      <w:bookmarkStart w:id="231" w:name="_Toc87"/>
      <w:bookmarkEnd w:id="230"/>
      <w:r>
        <w:rPr>
          <w:rtl w:val="true"/>
        </w:rPr>
        <w:t xml:space="preserve">شيعه و پيروى محض از پيامبر </w:t>
      </w:r>
      <w:r>
        <w:rPr>
          <w:rtl w:val="true"/>
        </w:rPr>
        <w:t>(</w:t>
      </w:r>
      <w:r>
        <w:rPr>
          <w:rtl w:val="true"/>
        </w:rPr>
        <w:t>ص</w:t>
      </w:r>
      <w:r>
        <w:rPr>
          <w:rtl w:val="true"/>
        </w:rPr>
        <w:t xml:space="preserve">) </w:t>
      </w:r>
      <w:r>
        <w:rPr>
          <w:rtl w:val="true"/>
        </w:rPr>
        <w:t>و خاندان او</w:t>
      </w:r>
      <w:bookmarkEnd w:id="231"/>
    </w:p>
    <w:p>
      <w:pPr>
        <w:pStyle w:val="BookText"/>
        <w:rPr/>
      </w:pPr>
      <w:r>
        <w:rPr>
          <w:rFonts w:ascii="IRNazanin" w:hAnsi="IRNazanin" w:eastAsia="IRNazanin"/>
          <w:color w:val="111111"/>
          <w:sz w:val="28"/>
          <w:sz w:val="28"/>
          <w:szCs w:val="28"/>
          <w:rtl w:val="true"/>
          <w:lang w:bidi="fa-IR"/>
        </w:rPr>
        <w:t xml:space="preserve">ما پيرو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او هستيم كه مردم را به رحمت دعوت مى‌كنند نه پيرو خليفه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حتى بر مصيبت‌ديدگان نيز رحم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حتى به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مورد توجهى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احمد بن حنبل آورده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جنازه‌اى مى‌گذشت كه بانوانى بر آن مى‌گريستند، عمر با تندى آنها را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را رها كن كه جان، عزادار است و چشم،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گريان</w:t>
      </w:r>
      <w:r>
        <w:rPr>
          <w:rFonts w:eastAsia="IRNazanin" w:cs="IRNazanin"/>
          <w:color w:val="111111"/>
          <w:sz w:val="28"/>
          <w:szCs w:val="28"/>
          <w:rtl w:val="true"/>
          <w:lang w:bidi="fa-IR"/>
        </w:rPr>
        <w:t xml:space="preserve">» . </w:t>
      </w:r>
      <w:r>
        <w:rPr>
          <w:rStyle w:val="FootnoteAnchor"/>
          <w:rtl w:val="true"/>
        </w:rPr>
        <w:footnoteReference w:id="127"/>
      </w:r>
      <w:r>
        <w:rPr>
          <w:rFonts w:ascii="IRNazanin" w:hAnsi="IRNazanin" w:eastAsia="IRNazanin"/>
          <w:color w:val="111111"/>
          <w:sz w:val="28"/>
          <w:sz w:val="28"/>
          <w:szCs w:val="28"/>
          <w:rtl w:val="true"/>
          <w:lang w:bidi="fa-IR"/>
        </w:rPr>
        <w:t>ولى خليفه دوم همچنان بر اين نهى اصرار مى‌كرد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جريان مرگ رقيه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زن‌ها بر او مى‌گريستند، عمر زن‌ها را با تازيانه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رها كن تا گريه‌كنند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بر لبه قبر نشست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وى مى‌گريست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گوشه لباس خويش از روى دلسوزى اشك چشم او را پاك مى‌كرد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ولى اين همه، مانع خشونت عمر نشد؛ به‌گونه‌اى كه اهل سنت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فوت ابوبكر، عايشه براى پدرش نوحه برپا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در خانه وى آمد و زن‌ها را از گريه بر ابوبكر نهى‌كرد و آنها گوش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هشام بن وليد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دختر ابى‌قحافه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مصيبت زده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عايشه كه اين را شنيد به 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نمى‌گذارم وارد اتاق من 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عمر به 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اجازه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رفت و امّ‌فروه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عمر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بدون كوچك‌ترين ترحمى به حالت عزا و وضع او و بدون توجه به فرمايش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بانوى مصيبت‌ديده را با تازيانه زد تا آنكه نوحه‌گران پراكنده شدند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آرى، ما پيرو عمر بن خطاب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پيرو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اهل‌بيت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كه مى‌گريستند و مردم را نيز در گريستن، آزاد مى‌گذاردند؛ اما سخنى و عملى كه خدا را ناخشنود كند، انجام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نمى‌دادند</w:t>
      </w:r>
      <w:r>
        <w:rPr>
          <w:rFonts w:eastAsia="IRNazanin" w:cs="IRNazanin"/>
          <w:color w:val="111111"/>
          <w:sz w:val="28"/>
          <w:szCs w:val="28"/>
          <w:rtl w:val="true"/>
          <w:lang w:bidi="fa-IR"/>
        </w:rPr>
        <w:t xml:space="preserve">. </w:t>
      </w:r>
      <w:bookmarkStart w:id="232" w:name="pg1971_8428"/>
    </w:p>
    <w:p>
      <w:pPr>
        <w:pStyle w:val="Heading3"/>
        <w:numPr>
          <w:ilvl w:val="2"/>
          <w:numId w:val="1"/>
        </w:numPr>
        <w:rPr/>
      </w:pPr>
      <w:bookmarkStart w:id="233" w:name="__RefHeading___Toc3696523_3650668749"/>
      <w:bookmarkStart w:id="234" w:name="_Toc88"/>
      <w:bookmarkEnd w:id="232"/>
      <w:bookmarkEnd w:id="233"/>
      <w:r>
        <w:rPr>
          <w:rtl w:val="true"/>
        </w:rPr>
        <w:t>حكم نوحه‌سرايى در ساير موارد</w:t>
      </w:r>
      <w:bookmarkEnd w:id="234"/>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نوحه‌سرايى، صرف‌نظر از مصائب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طور مطلق ممنوع نيست؛ ازاين‌رو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بود در مصيبت پدر گريست و بى‌تابى كرد به‌گونه‌اى كه مردم مدينه گلايه كردند و ايشان مجبور شد به مقابر شهدا برود و در آنجا نوحه‌سرايى كند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جريان اُحد و شهادت ده‌ها نفر از مسلمانان، وقتى شنيد از هر خانه‌اى كه شهيد داده، صداى نوحه و گريه بلند است، مگر خانه حمزه،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حمزه گريه‌كننده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مدينه سوگند خوردند كه بر هيچ مرده‌اى نوحه‌سرايى نكنند و نگريند تا اول بر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بگريند و بر او نوحه كنند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در روايت است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يك‌سال بر دختر خود كه از دنيا رفته بود، نوحه‌سرايى مى‌كرد و اين كار را براى فرزند ديگرش نيز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خانه شما نوحه‌سرايى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حمزه گريه‌كن ندارد</w:t>
      </w:r>
      <w:r>
        <w:rPr>
          <w:rFonts w:eastAsia="IRNazanin" w:cs="IRNazanin"/>
          <w:color w:val="111111"/>
          <w:sz w:val="28"/>
          <w:szCs w:val="28"/>
          <w:rtl w:val="true"/>
          <w:lang w:bidi="fa-IR"/>
        </w:rPr>
        <w:t xml:space="preserve">» .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وقتى خبر مرگ</w:t>
      </w:r>
    </w:p>
    <w:p>
      <w:pPr>
        <w:pStyle w:val="BookText"/>
        <w:rPr/>
      </w:pPr>
      <w:r>
        <w:rPr>
          <w:rFonts w:ascii="IRNazanin" w:hAnsi="IRNazanin" w:eastAsia="IRNazanin"/>
          <w:color w:val="111111"/>
          <w:sz w:val="28"/>
          <w:sz w:val="28"/>
          <w:szCs w:val="28"/>
          <w:rtl w:val="true"/>
          <w:lang w:bidi="fa-IR"/>
        </w:rPr>
        <w:t>جعفربن ابى‌طالب و زيد بن حارثه را به حضرت دادند، حضرت چون به خانه آمد</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كَثُرَ بُكاؤُهُ عَلَيهِمَا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حضرت بر آن دو بسيار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bookmarkStart w:id="235" w:name="pg1971_8429"/>
    </w:p>
    <w:p>
      <w:pPr>
        <w:pStyle w:val="BookText"/>
        <w:rPr/>
      </w:pPr>
      <w:bookmarkEnd w:id="235"/>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همدم و هم‌سخن من بودند، هر دو رفتند</w:t>
      </w:r>
      <w:r>
        <w:rPr>
          <w:rFonts w:eastAsia="IRNazanin" w:cs="IRNazanin"/>
          <w:color w:val="111111"/>
          <w:sz w:val="28"/>
          <w:szCs w:val="28"/>
          <w:rtl w:val="true"/>
          <w:lang w:bidi="fa-IR"/>
        </w:rPr>
        <w:t xml:space="preserve">» .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از اين روايات و امثال آن معلوم مى‌شود كه نوحه‌سرايى به طور مطلق ممنوع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مواردى كه شخص به خود آسيب زند يا نشانه عدم رضايت به قضا و حكم الهى باشد يا سخنان ناهنجار بر زبان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ناشكرى يا دروغ گفتن در رثاى ميت يا خراش دادن بر صورت و پاره كردن يقه و مانند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يا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نهى از نوحه‌سرايى در روايات يا كلام فقها، نوحه همراه با كلمات باطل يا اعمال ناهنجار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نوحه‌زن نوحه‌گر به باطل،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تقييد حكم به باطل را اقتضاى جمع ميان نهى از نوحه و رواياتى كه دلالت بر جواز مى‌كند، مى‌شمرد و در ادامه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جواز نوحه به حق، در كلام بسيارى، بلكه در كلام مشهور به آن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بعيد نيست حكم به كراهت مطلق نوحه به ويژه در شب، مگر 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شهداى همراه ايشان و همچنين پيامبر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بلكه ممكن است الحاق علما به ايشان</w:t>
      </w:r>
      <w:r>
        <w:rPr>
          <w:rFonts w:eastAsia="IRNazanin" w:cs="IRNazanin"/>
          <w:color w:val="111111"/>
          <w:sz w:val="28"/>
          <w:szCs w:val="28"/>
          <w:rtl w:val="true"/>
          <w:lang w:bidi="fa-IR"/>
        </w:rPr>
        <w:t xml:space="preserve">. </w:t>
      </w:r>
      <w:r>
        <w:rPr>
          <w:rStyle w:val="FootnoteAnchor"/>
          <w:rtl w:val="true"/>
        </w:rPr>
        <w:footnoteReference w:id="134"/>
      </w:r>
    </w:p>
    <w:p>
      <w:pPr>
        <w:pStyle w:val="Heading3"/>
        <w:numPr>
          <w:ilvl w:val="2"/>
          <w:numId w:val="1"/>
        </w:numPr>
        <w:rPr/>
      </w:pPr>
      <w:bookmarkStart w:id="236" w:name="__RefHeading___Toc3696525_3650668749"/>
      <w:bookmarkStart w:id="237" w:name="_Toc89"/>
      <w:bookmarkEnd w:id="236"/>
      <w:r>
        <w:rPr>
          <w:rtl w:val="true"/>
        </w:rPr>
        <w:t>رعايت اعتدال در ناله و شيون در مصائب</w:t>
      </w:r>
      <w:bookmarkEnd w:id="23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است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جنگ صفين كه هزاران شهيد برجاى گذارد از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كرد و صداى گريه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صداها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 بر شهداى صفين است</w:t>
      </w:r>
      <w:r>
        <w:rPr>
          <w:rFonts w:eastAsia="IRNazanin" w:cs="IRNazanin"/>
          <w:color w:val="111111"/>
          <w:sz w:val="28"/>
          <w:szCs w:val="28"/>
          <w:rtl w:val="true"/>
          <w:lang w:bidi="fa-IR"/>
        </w:rPr>
        <w:t xml:space="preserve">» . </w:t>
      </w:r>
      <w:bookmarkStart w:id="238" w:name="pg1971_8430"/>
    </w:p>
    <w:p>
      <w:pPr>
        <w:pStyle w:val="BookText"/>
        <w:rPr/>
      </w:pPr>
      <w:bookmarkEnd w:id="238"/>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هر كشته آنان كه صابر باشد و براى خداوند شهيد شده باشد، گواهم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محله ديگرى عبور كرد و صداها را شنيد و مانند آن را فرمود تا آنكه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بسيار بلند و ناله‌هاى شديد شنيد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بزرگان ايشان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حرب‌بن‌شرحبيل نزد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زن‌هاى‌تان شما را مغلوب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آنها را از اين فرياد و ناله نهى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يا دو يا سه خانه بود، مى‌توانستيم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طائفه صدوهشتاد نفر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خانه‌اى نيست مگر آنكه در آن گريه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مردان نمى‌گرييم، بلكه از شهادت ايشان خوشحاليم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 خدا بر كشته‌ها و اموات شما</w:t>
      </w:r>
      <w:r>
        <w:rPr>
          <w:rFonts w:eastAsia="Amiri" w:cs="Amiri" w:ascii="Amiri" w:hAnsi="Amiri"/>
          <w:color w:val="111111"/>
          <w:sz w:val="28"/>
          <w:szCs w:val="28"/>
          <w:rtl w:val="true"/>
          <w:lang w:bidi="ar-SA"/>
        </w:rPr>
        <w:t xml:space="preserve">» . </w:t>
      </w:r>
      <w:r>
        <w:rPr>
          <w:rStyle w:val="FootnoteAnchor"/>
          <w:rtl w:val="true"/>
        </w:rPr>
        <w:footnoteReference w:id="135"/>
      </w:r>
    </w:p>
    <w:p>
      <w:pPr>
        <w:pStyle w:val="Heading3"/>
        <w:numPr>
          <w:ilvl w:val="2"/>
          <w:numId w:val="1"/>
        </w:numPr>
        <w:rPr/>
      </w:pPr>
      <w:bookmarkStart w:id="239" w:name="__RefHeading___Toc3696527_3650668749"/>
      <w:bookmarkStart w:id="240" w:name="_Toc90"/>
      <w:bookmarkEnd w:id="239"/>
      <w:r>
        <w:rPr>
          <w:rtl w:val="true"/>
        </w:rPr>
        <w:t>ناله و شيون در مصائب سيدالشهدا</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حسين بن على برايم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خواندم و حضرت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خواندم و حضرت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پى‌درپى مى‌خواندم و او مى‌گريست تا آنكه صداى گريه از خانه شنيدم</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w:t>
      </w:r>
    </w:p>
    <w:p>
      <w:pPr>
        <w:pStyle w:val="BookText"/>
        <w:rPr/>
      </w:pPr>
      <w:r>
        <w:rPr>
          <w:rFonts w:ascii="IRNazanin" w:hAnsi="IRNazanin" w:eastAsia="IRNazanin"/>
          <w:color w:val="111111"/>
          <w:sz w:val="28"/>
          <w:sz w:val="28"/>
          <w:szCs w:val="28"/>
          <w:rtl w:val="true"/>
          <w:lang w:bidi="fa-IR"/>
        </w:rPr>
        <w:t xml:space="preserve">و مرثيه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تا به اين شعر رسيدم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صيحه و فرياد بانويى را از پشت پرده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ابتاه</w:t>
      </w:r>
      <w:r>
        <w:rPr>
          <w:rFonts w:eastAsia="IRNazanin" w:cs="IRNazanin"/>
          <w:color w:val="111111"/>
          <w:sz w:val="28"/>
          <w:szCs w:val="28"/>
          <w:rtl w:val="true"/>
          <w:lang w:bidi="fa-IR"/>
        </w:rPr>
        <w:t xml:space="preserve">!» .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در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ابوهارون 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برايم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همان‌گونه كه خودتان مى‌خوانيد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نزد قبر او مرثيه‌سرايى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شروع كردم به خواندن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حضرت گريست و من خوددارى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ادامه دادم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اين شعر را خواندم كه مضمونش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مريم برخيز و بر مولاى خودت ناله كن، بر حسين و با گريه همراه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 و صداى زن‌ها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آرام شدند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ابوهارون هركه درباره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ده نفر را بگرياند، بهشت براى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يك به يك كم كرد تا به يك نفر رسيد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درباره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يك نفر را بگرياند، بهشت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كند و بگريد بهشت براى اوست</w:t>
      </w:r>
      <w:r>
        <w:rPr>
          <w:rFonts w:eastAsia="IRNazanin" w:cs="IRNazanin"/>
          <w:color w:val="111111"/>
          <w:sz w:val="28"/>
          <w:szCs w:val="28"/>
          <w:rtl w:val="true"/>
          <w:lang w:bidi="fa-IR"/>
        </w:rPr>
        <w:t xml:space="preserve">» .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گرفتم و نزد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تا نماز حضرت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در مناجات با خداوند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ما را به كرامت، مخصوص‌گردانيدى و به ما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وعده شفاعت داده‌اى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وصايت و جانشينى را به ما اختصاص دادى و </w:t>
      </w:r>
    </w:p>
    <w:p>
      <w:pPr>
        <w:pStyle w:val="BookText"/>
        <w:rPr/>
      </w:pPr>
      <w:r>
        <w:rPr>
          <w:rFonts w:ascii="IRNazanin" w:hAnsi="IRNazanin" w:eastAsia="IRNazanin"/>
          <w:color w:val="111111"/>
          <w:sz w:val="28"/>
          <w:sz w:val="28"/>
          <w:szCs w:val="28"/>
          <w:rtl w:val="true"/>
          <w:lang w:bidi="fa-IR"/>
        </w:rPr>
        <w:t>علم گذشته و باقى‌مانده را به ما عطا كرده و دل‌هايى از مردم را به سوى ما متمايل نموده‌اى؛ بيامرز مرا و برادرانم و زائران قبر پدرم حسين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اموال خود را هزينه مى‌كنند و بدن‌هاى خويش را سختى و اذيت مى‌دهند براى نيكى به ما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بر ايشان در اين سفر خرده مى‌گيرند و سرزنش مى‌كنند؛ اما اينان از آمدن نزد ما منصرف نمى‌شوند تا به اين وسيله با مخالفان ما مخالفت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فرست بر آن صورتى كه خورشيد آن را دگرگون كرده و رحمت فرست بر آن صورت‌ها كه اطراف قبر ابوعبدالله مى‌گردد و رحمت فرست بر آن چشم‌ها كه اشك آن براى دلسوزى ما جارى شد و رحمت فرست بر آن‌دل‌ها كه بى‌تاب شد و براى ما سوخت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وَارحَمْ تِلْكَ الصَّرخَةالّتي كانَت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فرست بر آن فريادها كه براى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آن‌جان‌ها و آن بدن‌ها را به تو مى‌سپارم تا كنار حوض كوثر هنگام عطش به آنها وفا كنى و سيراب‌شان گردانى</w:t>
      </w:r>
      <w:r>
        <w:rPr>
          <w:rFonts w:eastAsia="IRNazanin" w:cs="IRNazanin"/>
          <w:color w:val="111111"/>
          <w:sz w:val="28"/>
          <w:szCs w:val="28"/>
          <w:rtl w:val="true"/>
          <w:lang w:bidi="fa-IR"/>
        </w:rPr>
        <w:t xml:space="preserve">. . . .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قبلاً نيز در حديث ابوبصير ديديم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سيدالشهدا مى‌گريد و ناله و صيحه مى‌زند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كراهت 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كه از مصاديق جزع، فرياد كردن است؛ اما همين جزع در مورد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است؛ همچنان‌كه پيشتر گذشت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جريان حوادث دردناك وقايع كربلا هم مواردى يافت مى‌شود كه </w:t>
      </w:r>
    </w:p>
    <w:p>
      <w:pPr>
        <w:pStyle w:val="BookText"/>
        <w:rPr/>
      </w:pPr>
      <w:r>
        <w:rPr>
          <w:rFonts w:ascii="IRNazanin" w:hAnsi="IRNazanin" w:eastAsia="IRNazanin"/>
          <w:color w:val="111111"/>
          <w:sz w:val="28"/>
          <w:sz w:val="28"/>
          <w:szCs w:val="28"/>
          <w:rtl w:val="true"/>
          <w:lang w:bidi="fa-IR"/>
        </w:rPr>
        <w:t xml:space="preserve">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صداى بلند بر عزيزان خود گريسته است؛ مثلاً در جريان شهادت على‌اكبر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 بِالْبُكاءِ وَلَمْ يَسْمَعْ اَحَدٌ اِلى ذلِكَ الزَّمان صَوْتَهُ بِالْبُكاء</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صدايش را به گريه بلند كرد و تا آن زمان كسى صداى گريۀ حسين را نشنيده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بعد از شهادت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اسب برگشت، خاندان عصمت با صداى بلند مى‌گريستند و ناله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نَظَرَتْ اَخَواتُ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بَناتُهُ وَ اَهْلُهُ اِلَى الْفَرَسِ لَيْسَ عَلَيْهِ اَحَدٌ، رَفَعْنَ اَصْواتَهُنَّ بِالْبُكاءِ وَالْعَويل</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وقتى خواهران و دختران و خانواده سيدالشهدا به اسب بى‌سوار نگاه كردند، صداها را به گريه و ناله بلند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عقيله بنى‌هاشم،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هنگامى‌كه زن‌ها را از كنار كشته‌ها عبور دادند، فرياد مى‌كشيدند و بر صورت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فراموش نمى‌كنم زينب دختر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 حسين ناله مى‌كرد و با صداى غمگين و دل داغدار صدا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محمداه</w:t>
      </w:r>
      <w:r>
        <w:rPr>
          <w:rFonts w:eastAsia="IRNazanin" w:cs="IRNazanin"/>
          <w:color w:val="111111"/>
          <w:sz w:val="28"/>
          <w:szCs w:val="28"/>
          <w:rtl w:val="true"/>
          <w:lang w:bidi="fa-IR"/>
        </w:rPr>
        <w:t xml:space="preserve">. . . !» . </w:t>
      </w:r>
      <w:r>
        <w:rPr>
          <w:rStyle w:val="FootnoteAnchor"/>
          <w:rtl w:val="true"/>
        </w:rPr>
        <w:footnoteReference w:id="14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رواياتى كه نوحه‌سرايى باطل را ممنوع يا مكروه مى‌داند، مشمول نوحه‌سرايى بر مصائب سيدالشهدا و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نمى‌شود</w:t>
      </w:r>
      <w:r>
        <w:rPr>
          <w:rFonts w:eastAsia="Amiri" w:cs="Amiri" w:ascii="Amiri" w:hAnsi="Amiri"/>
          <w:color w:val="111111"/>
          <w:sz w:val="28"/>
          <w:szCs w:val="28"/>
          <w:rtl w:val="true"/>
          <w:lang w:bidi="ar-SA"/>
        </w:rPr>
        <w:t xml:space="preserve">. </w:t>
      </w:r>
      <w:bookmarkStart w:id="241" w:name="pg1971_8434"/>
    </w:p>
    <w:p>
      <w:pPr>
        <w:pStyle w:val="Heading3"/>
        <w:numPr>
          <w:ilvl w:val="2"/>
          <w:numId w:val="1"/>
        </w:numPr>
        <w:rPr/>
      </w:pPr>
      <w:bookmarkStart w:id="242" w:name="__RefHeading___Toc3696529_3650668749"/>
      <w:bookmarkStart w:id="243" w:name="_Toc91"/>
      <w:bookmarkEnd w:id="241"/>
      <w:bookmarkEnd w:id="242"/>
      <w:r>
        <w:rPr>
          <w:rtl w:val="true"/>
        </w:rPr>
        <w:t xml:space="preserve">مقايسه مصيبت سيدالشهدا </w:t>
      </w:r>
      <w:r>
        <w:rPr>
          <w:rtl w:val="true"/>
        </w:rPr>
        <w:t>(</w:t>
      </w:r>
      <w:r>
        <w:rPr>
          <w:rtl w:val="true"/>
        </w:rPr>
        <w:t>ع</w:t>
      </w:r>
      <w:r>
        <w:rPr>
          <w:rtl w:val="true"/>
        </w:rPr>
        <w:t xml:space="preserve">) </w:t>
      </w:r>
      <w:r>
        <w:rPr>
          <w:rtl w:val="true"/>
        </w:rPr>
        <w:t>با ديگر مصائب</w:t>
      </w:r>
      <w:bookmarkEnd w:id="243"/>
    </w:p>
    <w:p>
      <w:pPr>
        <w:pStyle w:val="BookText"/>
        <w:rPr/>
      </w:pPr>
      <w:r>
        <w:rPr>
          <w:rFonts w:ascii="IRNazanin" w:hAnsi="IRNazanin" w:eastAsia="IRNazanin"/>
          <w:color w:val="111111"/>
          <w:sz w:val="28"/>
          <w:sz w:val="28"/>
          <w:szCs w:val="28"/>
          <w:rtl w:val="true"/>
          <w:lang w:bidi="fa-IR"/>
        </w:rPr>
        <w:t xml:space="preserve">اما در جريان منع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گريه بلند اصحاب بر فرزندش ابراهيم، بايد گفت كه در برخى از نقل‌ها منعى در اين باره ذكر نشده، بلكه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مى‌گريد و دل غمگين مى‌شود؛ ولى چيزى كه خدا را خشمگين كند، نمى‌گوييم</w:t>
      </w:r>
      <w:r>
        <w:rPr>
          <w:rFonts w:eastAsia="IRNazanin" w:cs="IRNazanin"/>
          <w:color w:val="111111"/>
          <w:sz w:val="28"/>
          <w:szCs w:val="28"/>
          <w:rtl w:val="true"/>
          <w:lang w:bidi="fa-IR"/>
        </w:rPr>
        <w:t xml:space="preserve">» . </w:t>
      </w:r>
      <w:r>
        <w:rPr>
          <w:rStyle w:val="FootnoteAnchor"/>
          <w:rtl w:val="true"/>
        </w:rPr>
        <w:footnoteReference w:id="143"/>
      </w:r>
      <w:r>
        <w:rPr>
          <w:rFonts w:ascii="IRNazanin" w:hAnsi="IRNazanin" w:eastAsia="IRNazanin"/>
          <w:color w:val="111111"/>
          <w:sz w:val="28"/>
          <w:sz w:val="28"/>
          <w:szCs w:val="28"/>
          <w:rtl w:val="true"/>
          <w:lang w:bidi="fa-IR"/>
        </w:rPr>
        <w:t>در نقل ديگرى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كه خدا را خشنود كند، بگوييد و بيهوده‌گويى نكنيد و باطل نگوييد</w:t>
      </w:r>
      <w:r>
        <w:rPr>
          <w:rFonts w:eastAsia="IRNazanin" w:cs="IRNazanin"/>
          <w:color w:val="111111"/>
          <w:sz w:val="28"/>
          <w:szCs w:val="28"/>
          <w:rtl w:val="true"/>
          <w:lang w:bidi="fa-IR"/>
        </w:rPr>
        <w:t xml:space="preserve">» .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به هر حال، اگر نهى حضرت در آن مورد ثابت باشد، احتمال دارد براى تناسب نداشتن آن همه ناله شديد با مصيبت باشد؛ زيرا طبق آن نقل، اصحاب چنان ناله و فرياد مى‌كردند كه صداى مردان بر زنان غلبه داشت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سبب همين بى‌تناسبى يا به سبب كراهت اين‌گونه ناله كردن، از آن منع كرد؛ ولى اين مسئله ارتباطى با فرياد و شيون در مصائب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كه مصيبت ايشان قابل مقايسه با آن مصيبت نيست؛ زيرا عزادارى بر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نشان از عظمت مصيبت، سبب بقاى دين و ارزش‌هاى الهى است و همواره دين، شهادت، آزادگى و حقانيت را ترويج مى‌كند</w:t>
      </w:r>
      <w:r>
        <w:rPr>
          <w:rFonts w:eastAsia="IRNazanin" w:cs="IRNazanin"/>
          <w:color w:val="111111"/>
          <w:sz w:val="28"/>
          <w:szCs w:val="28"/>
          <w:rtl w:val="true"/>
          <w:lang w:bidi="fa-IR"/>
        </w:rPr>
        <w:t>.</w:t>
      </w:r>
    </w:p>
    <w:p>
      <w:pPr>
        <w:pStyle w:val="Heading3"/>
        <w:numPr>
          <w:ilvl w:val="2"/>
          <w:numId w:val="1"/>
        </w:numPr>
        <w:rPr/>
      </w:pPr>
      <w:bookmarkStart w:id="244" w:name="__RefHeading___Toc3696531_3650668749"/>
      <w:bookmarkStart w:id="245" w:name="_Toc92"/>
      <w:bookmarkEnd w:id="244"/>
      <w:r>
        <w:rPr>
          <w:rtl w:val="true"/>
        </w:rPr>
        <w:t xml:space="preserve">حضرت زينب و شرايط ويژه بعد از شهادت سيدالشهدا </w:t>
      </w:r>
      <w:r>
        <w:rPr>
          <w:rtl w:val="true"/>
        </w:rPr>
        <w:t>(</w:t>
      </w:r>
      <w:r>
        <w:rPr>
          <w:rtl w:val="true"/>
        </w:rPr>
        <w:t>ع</w:t>
      </w:r>
      <w:r>
        <w:rPr>
          <w:rtl w:val="true"/>
        </w:rPr>
        <w:t>)</w:t>
      </w:r>
      <w:bookmarkEnd w:id="24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اينكه حضرت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خواهرش را از چاك دادن يقه و خونين كردن چهره و واويلا سردادن منع كرده است با فرض صحت </w:t>
      </w:r>
    </w:p>
    <w:p>
      <w:pPr>
        <w:pStyle w:val="BookText"/>
        <w:rPr/>
      </w:pPr>
      <w:r>
        <w:rPr>
          <w:rFonts w:ascii="IRNazanin" w:hAnsi="IRNazanin" w:eastAsia="IRNazanin"/>
          <w:color w:val="111111"/>
          <w:sz w:val="28"/>
          <w:sz w:val="28"/>
          <w:szCs w:val="28"/>
          <w:rtl w:val="true"/>
          <w:lang w:bidi="fa-IR"/>
        </w:rPr>
        <w:t>حديث از نظر سند و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ناظر به شرايط خاص كربلا باشد و قابل سرايت به ديگر شرايط نيست؛ زيرا از طرفى بعد از شهادت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مسئوليت حفظ كاروان اُسرا و ادامه رسالت كربلا عملاً به عهده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معلوم است كه بى‌تابى ايشان، اثر نامطلوبى در روحيه ديگر مصيبت‌ديده‌ها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ممكن است بى‌تابى ايشان در نظر دشمن نشانه ضعف تلقى گردد و شماتت دشمن را موجب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نمى‌خواهد كوچك‌ترين عملى كه نشانه ضعف باشد از خاندانش ظاهر شود؛ براى همين از گريه با صداى بلند در مواقعى از جريان كربلا منع كردند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عزادارى و ناله كردن پيروان حضرت بعد از جريان كربلا، ديگر جنبه ضعف يا نشانه ناشكرى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برعكس، علامت هوشيارى، دفاع از اسلام و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احترام به مقام شهادت و سيدالشهدا و آرمان‌هاى بلند آن حضرت و سبب تقويت دين و ارزش‌هاى دينى است</w:t>
      </w:r>
      <w:r>
        <w:rPr>
          <w:rFonts w:eastAsia="IRNazanin" w:cs="IRNazanin"/>
          <w:color w:val="111111"/>
          <w:sz w:val="28"/>
          <w:szCs w:val="28"/>
          <w:rtl w:val="true"/>
          <w:lang w:bidi="fa-IR"/>
        </w:rPr>
        <w:t xml:space="preserve">. </w:t>
      </w:r>
      <w:bookmarkStart w:id="246" w:name="pg1971_8436"/>
    </w:p>
    <w:p>
      <w:pPr>
        <w:pStyle w:val="Heading2"/>
        <w:numPr>
          <w:ilvl w:val="1"/>
          <w:numId w:val="1"/>
        </w:numPr>
        <w:rPr/>
      </w:pPr>
      <w:bookmarkStart w:id="247" w:name="__RefHeading___Toc3696533_3650668749"/>
      <w:bookmarkStart w:id="248" w:name="_Toc93"/>
      <w:bookmarkEnd w:id="246"/>
      <w:bookmarkEnd w:id="247"/>
      <w:r>
        <w:rPr/>
        <w:t>١٣</w:t>
      </w:r>
      <w:r>
        <w:rPr>
          <w:rtl w:val="true"/>
        </w:rPr>
        <w:t xml:space="preserve"> لباس مشكى در عزادارى سيدالشهدا</w:t>
      </w:r>
      <w:bookmarkEnd w:id="248"/>
    </w:p>
    <w:p>
      <w:pPr>
        <w:pStyle w:val="Heading3"/>
        <w:numPr>
          <w:ilvl w:val="2"/>
          <w:numId w:val="1"/>
        </w:numPr>
        <w:rPr/>
      </w:pPr>
      <w:bookmarkStart w:id="249" w:name="__RefHeading___Toc3696535_3650668749"/>
      <w:bookmarkStart w:id="250" w:name="_Toc94"/>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٢۶</w:t>
      </w:r>
      <w:r>
        <w:rPr>
          <w:rFonts w:ascii="IRNazanin" w:hAnsi="IRNazanin" w:eastAsia="IRNazanin"/>
          <w:color w:val="111111"/>
          <w:sz w:val="28"/>
          <w:sz w:val="28"/>
          <w:szCs w:val="28"/>
          <w:rtl w:val="true"/>
          <w:lang w:bidi="fa-IR"/>
        </w:rPr>
        <w:t xml:space="preserve"> ضمن نقل روايتى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سياه نپوشيد، زيرا لباس فرعون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دليل بر حرمت پوشيدن لباس سياه قرار مى‌دهد</w:t>
      </w:r>
      <w:r>
        <w:rPr>
          <w:rFonts w:eastAsia="IRNazanin" w:cs="IRNazanin"/>
          <w:color w:val="111111"/>
          <w:sz w:val="28"/>
          <w:szCs w:val="28"/>
          <w:rtl w:val="true"/>
          <w:lang w:bidi="fa-IR"/>
        </w:rPr>
        <w:t>.</w:t>
      </w:r>
    </w:p>
    <w:p>
      <w:pPr>
        <w:pStyle w:val="Heading3"/>
        <w:numPr>
          <w:ilvl w:val="2"/>
          <w:numId w:val="1"/>
        </w:numPr>
        <w:rPr/>
      </w:pPr>
      <w:bookmarkStart w:id="251" w:name="__RefHeading___Toc3696537_3650668749"/>
      <w:bookmarkStart w:id="252" w:name="_Toc95"/>
      <w:bookmarkEnd w:id="251"/>
      <w:r>
        <w:rPr>
          <w:rtl w:val="true"/>
        </w:rPr>
        <w:t>پاسخ</w:t>
      </w:r>
      <w:bookmarkEnd w:id="252"/>
    </w:p>
    <w:p>
      <w:pPr>
        <w:pStyle w:val="BookText"/>
        <w:rPr/>
      </w:pPr>
      <w:r>
        <w:rPr>
          <w:rFonts w:ascii="IRNazanin" w:hAnsi="IRNazanin" w:eastAsia="IRNazanin"/>
          <w:color w:val="111111"/>
          <w:sz w:val="28"/>
          <w:sz w:val="28"/>
          <w:szCs w:val="28"/>
          <w:rtl w:val="true"/>
          <w:lang w:bidi="fa-IR"/>
        </w:rPr>
        <w:t>نويسنده كه علاقه زيادى به خورده گرفتن از شيعه دارد، فراموش كرده است كه هر روايتى در خور استناد نيست و بايد از نظر سند، دلالت و مقايسه با ادلّه ديگر بررسى گردد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اين است كه آيا تا به حال، كسى پوشيدن لباس مشكى را حرام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بسيارى گفته‌اند، كراهت است نه حرمت؛ اگرچه كراهت آن نيز نزد عده‌اى ثابت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موجود در روايت نيز كراهت را اقتضا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كراهت پوشيدن لباس سياه، ذاتى نيست، بلكه به علت تشابه به لباس دشمنان دين، مثل فرعون، مكروه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مانع از آن‌نيست كه بعضى دلايل و عنوان‌هاى خاص و راجح، ملاك كراهت را تغيير دهد و كار مكروه، مستحب گردد يا بر عكس، كارى در واقع مستحب، به سبب عنوان ثانوى </w:t>
      </w:r>
    </w:p>
    <w:p>
      <w:pPr>
        <w:pStyle w:val="BookText"/>
        <w:rPr/>
      </w:pPr>
      <w:r>
        <w:rPr>
          <w:rFonts w:ascii="IRNazanin" w:hAnsi="IRNazanin" w:eastAsia="IRNazanin"/>
          <w:color w:val="111111"/>
          <w:sz w:val="28"/>
          <w:sz w:val="28"/>
          <w:szCs w:val="28"/>
          <w:rtl w:val="true"/>
          <w:lang w:bidi="fa-IR"/>
        </w:rPr>
        <w:t>مكروه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لباس سياه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كه مكروه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نپوشيدن آن سبب اتهام شود، مثلاً در وضعى كه همه لباس مشكى پوشيده و آن را لازم مى‌دانند، اگر نپوشيدن آن تأمل برانگيز باشد يا به شخص آزار رساند چه بسا پوشيدن آن مستحب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آمده است وقتى فرستاده ابوالعباس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خليفه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تا ايشان را دعوت كند، حضرت بارانى مشكى پوشيد كه يك طرف آن سياه و طرف ديگرش سفيد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شعار بنى‌عباس، لباس مشكى بود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به همين سبب، يعنى مورد اتهام و اذيت قرار نگرفتن شيعه در مقابل حاكمان بنى‌عباس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شعار سياه‌جامگان 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پوشيدن لباس سياه پرسيدند، حضرت را ديدند كه با بالاپوش بلند مشكى و كلاه و كفش مشكى ظاهر شد و حضرت نشان داد كه درون آن هم مشكى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دلت را سفيد كن، هر چه مى‌خواهى بپوش</w:t>
      </w:r>
      <w:r>
        <w:rPr>
          <w:rFonts w:eastAsia="IRNazanin" w:cs="IRNazanin"/>
          <w:color w:val="111111"/>
          <w:sz w:val="28"/>
          <w:szCs w:val="28"/>
          <w:rtl w:val="true"/>
          <w:lang w:bidi="fa-IR"/>
        </w:rPr>
        <w:t xml:space="preserve">» . </w:t>
      </w:r>
      <w:r>
        <w:rPr>
          <w:rStyle w:val="FootnoteAnchor"/>
          <w:rtl w:val="true"/>
        </w:rPr>
        <w:footnoteReference w:id="146"/>
      </w:r>
      <w:r>
        <w:rPr>
          <w:rFonts w:ascii="Amiri" w:hAnsi="Amiri" w:eastAsia="Amiri" w:cs="Amiri"/>
          <w:color w:val="111111"/>
          <w:sz w:val="28"/>
          <w:sz w:val="28"/>
          <w:szCs w:val="28"/>
          <w:rtl w:val="true"/>
          <w:lang w:bidi="ar-SA"/>
        </w:rPr>
        <w:t>از اين روايت فهميده مى‌شود كه حكم كراهت بر اثر برخى عنوان‌هاى ثانوى و راجح تغيير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همين دليل بسيارى از فقها پوشيدن لباس مشكى را در عزاى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مكروه نمى‌دانند؛ زيرا نشان از اظهار حزن بر مصائب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مظلوميت ايشان و بزرگداشت و احترام به مقام ايشان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دارد كه در روايات نيز بر اين امور تأكيد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اندكى </w:t>
      </w:r>
    </w:p>
    <w:p>
      <w:pPr>
        <w:pStyle w:val="BookText"/>
        <w:rPr/>
      </w:pPr>
      <w:r>
        <w:rPr>
          <w:rFonts w:ascii="IRNazanin" w:hAnsi="IRNazanin" w:eastAsia="IRNazanin"/>
          <w:color w:val="111111"/>
          <w:sz w:val="28"/>
          <w:sz w:val="28"/>
          <w:szCs w:val="28"/>
          <w:rtl w:val="true"/>
          <w:lang w:bidi="fa-IR"/>
        </w:rPr>
        <w:t>در فقه كار كرده باشد به خوبى با اين‌گونه احكام آشنايى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فرزند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بنى‌هاشم بعد از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سياه و خشن پوشيدند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برپايى ماتم براى آنها غذا تهيه مى‌نمود</w:t>
      </w:r>
      <w:r>
        <w:rPr>
          <w:rFonts w:eastAsia="IRNazanin" w:cs="IRNazanin"/>
          <w:color w:val="111111"/>
          <w:sz w:val="28"/>
          <w:szCs w:val="28"/>
          <w:rtl w:val="true"/>
          <w:lang w:bidi="fa-IR"/>
        </w:rPr>
        <w:t xml:space="preserve">» .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اهل سنت نيز در مواردى از اين روش فقهى هرچند نابجا استفاده كرده‌اند؛ مثلاً در مورد فرستادن صلوات بر آل محمد، ابن قيم جوزيّه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بر پيامبر حق ايشان و حق آل اوست، نه ديگرى از امّت</w:t>
      </w:r>
      <w:r>
        <w:rPr>
          <w:rFonts w:eastAsia="IRNazanin" w:cs="IRNazanin"/>
          <w:color w:val="111111"/>
          <w:sz w:val="28"/>
          <w:szCs w:val="28"/>
          <w:rtl w:val="true"/>
          <w:lang w:bidi="fa-IR"/>
        </w:rPr>
        <w:t xml:space="preserve">» . </w:t>
      </w:r>
      <w:r>
        <w:rPr>
          <w:rStyle w:val="FootnoteAnchor"/>
          <w:rtl w:val="true"/>
        </w:rPr>
        <w:footnoteReference w:id="148"/>
      </w:r>
      <w:r>
        <w:rPr>
          <w:rFonts w:ascii="IRNazanin" w:hAnsi="IRNazanin" w:eastAsia="IRNazanin"/>
          <w:color w:val="111111"/>
          <w:sz w:val="28"/>
          <w:sz w:val="28"/>
          <w:szCs w:val="28"/>
          <w:rtl w:val="true"/>
          <w:lang w:bidi="fa-IR"/>
        </w:rPr>
        <w:t xml:space="preserve">با اينكه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صلوات فرستادن بر آل پيامبر، شعار اهل بدعت شده است و پيامبر، ما را از شعار اهل بدعت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ابن‌قيم جوزيه ادامه مى‌دهد و مى‌گويد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اين كلام آن است كه رافضيان وقتى نام ائمه‌شان را مى‌برند بر آنها صلوات مى‌فرستند و بر ديگر كسانى كه بهتر از ائمه و محبوب‌تر از آنها نزد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صلوات نمى‌فرستند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در اين شعار صلوات، با آنها مخالفت كرد</w:t>
      </w:r>
      <w:r>
        <w:rPr>
          <w:rFonts w:eastAsia="IRNazanin" w:cs="IRNazanin"/>
          <w:color w:val="111111"/>
          <w:sz w:val="28"/>
          <w:szCs w:val="28"/>
          <w:rtl w:val="true"/>
          <w:lang w:bidi="fa-IR"/>
        </w:rPr>
        <w:t xml:space="preserve">. </w:t>
      </w:r>
      <w:r>
        <w:rPr>
          <w:rStyle w:val="FootnoteAnchor"/>
          <w:rtl w:val="true"/>
        </w:rPr>
        <w:footnoteReference w:id="149"/>
      </w:r>
      <w:bookmarkStart w:id="253" w:name="pg1971_8439"/>
    </w:p>
    <w:p>
      <w:pPr>
        <w:pStyle w:val="Heading2"/>
        <w:numPr>
          <w:ilvl w:val="1"/>
          <w:numId w:val="1"/>
        </w:numPr>
        <w:rPr/>
      </w:pPr>
      <w:bookmarkStart w:id="254" w:name="__RefHeading___Toc3696539_3650668749"/>
      <w:bookmarkStart w:id="255" w:name="_Toc96"/>
      <w:bookmarkEnd w:id="253"/>
      <w:bookmarkEnd w:id="254"/>
      <w:r>
        <w:rPr/>
        <w:t>١۴</w:t>
      </w:r>
      <w:r>
        <w:rPr>
          <w:rtl w:val="true"/>
        </w:rPr>
        <w:t xml:space="preserve"> نه جادوگرى، نه مظلوم‌نمايى و نه بزرگ‌نمايى</w:t>
      </w:r>
      <w:bookmarkEnd w:id="255"/>
    </w:p>
    <w:p>
      <w:pPr>
        <w:pStyle w:val="Heading3"/>
        <w:numPr>
          <w:ilvl w:val="2"/>
          <w:numId w:val="1"/>
        </w:numPr>
        <w:rPr/>
      </w:pPr>
      <w:bookmarkStart w:id="256" w:name="__RefHeading___Toc3696541_3650668749"/>
      <w:bookmarkStart w:id="257" w:name="_Toc97"/>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٢۶</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 موفق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جريانى را نقل مى‌كند كه بعد از سنّى شدن وى، يك عالم شيعه سعى داشته است تا از راه جادو وى را از مذهبش منحرف كند؛ اما آن عالم شيعه رسوا شده و موفق نگرديده است</w:t>
      </w:r>
      <w:r>
        <w:rPr>
          <w:rFonts w:eastAsia="IRNazanin" w:cs="IRNazanin"/>
          <w:color w:val="111111"/>
          <w:sz w:val="28"/>
          <w:szCs w:val="28"/>
          <w:rtl w:val="true"/>
          <w:lang w:bidi="fa-IR"/>
        </w:rPr>
        <w:t>.</w:t>
      </w:r>
    </w:p>
    <w:p>
      <w:pPr>
        <w:pStyle w:val="Heading3"/>
        <w:numPr>
          <w:ilvl w:val="2"/>
          <w:numId w:val="1"/>
        </w:numPr>
        <w:rPr/>
      </w:pPr>
      <w:bookmarkStart w:id="258" w:name="__RefHeading___Toc3696543_3650668749"/>
      <w:bookmarkStart w:id="259" w:name="_Toc98"/>
      <w:bookmarkEnd w:id="258"/>
      <w:r>
        <w:rPr>
          <w:rtl w:val="true"/>
        </w:rPr>
        <w:t>پاسخ</w:t>
      </w:r>
      <w:bookmarkEnd w:id="259"/>
    </w:p>
    <w:p>
      <w:pPr>
        <w:pStyle w:val="BookText"/>
        <w:rPr/>
      </w:pPr>
      <w:r>
        <w:rPr>
          <w:rFonts w:ascii="IRNazanin" w:hAnsi="IRNazanin" w:eastAsia="IRNazanin"/>
          <w:color w:val="111111"/>
          <w:sz w:val="28"/>
          <w:sz w:val="28"/>
          <w:szCs w:val="28"/>
          <w:rtl w:val="true"/>
          <w:lang w:bidi="fa-IR"/>
        </w:rPr>
        <w:t xml:space="preserve">ذكر اين داستان‌ها كه عالم و نويسنده‌اش ناشناخته و كيفيت آن مبهم و مشكوك است، هيچ سودى براى نويسنده در ترويج مكتب باطل وى يا تضعيف مكتب حق ندارد؛ زيرا بر فرض صحت اين جريان، اشتباهى است كه يك‌نفر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دلسوزى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علماى شيعه، سحر و جادو را حرام و جادوگر را مستحق اعدام مى‌دانند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اگر بنا به بيان چنين حركات جاهلانه‌اى باشد، مسلماً در ميان اهل سنت نيز اين كارها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شعار دادن، بزرگ‌نمايى، كلّى‌گويى، تظاهر به خيرخواهى و برشمردن ادله حرمت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حرمت آن نزد همه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 انديشمندان را فريفت و اشتباه يك نفر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صحت آن گزارش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مكتب نسبت داد</w:t>
      </w:r>
      <w:r>
        <w:rPr>
          <w:rFonts w:eastAsia="IRNazanin" w:cs="IRNazanin"/>
          <w:color w:val="111111"/>
          <w:sz w:val="28"/>
          <w:szCs w:val="28"/>
          <w:rtl w:val="true"/>
          <w:lang w:bidi="fa-IR"/>
        </w:rPr>
        <w:t xml:space="preserve">. </w:t>
      </w:r>
      <w:bookmarkStart w:id="260" w:name="pg1971_8440"/>
    </w:p>
    <w:p>
      <w:pPr>
        <w:pStyle w:val="Heading2"/>
        <w:numPr>
          <w:ilvl w:val="1"/>
          <w:numId w:val="1"/>
        </w:numPr>
        <w:rPr/>
      </w:pPr>
      <w:bookmarkStart w:id="261" w:name="__RefHeading___Toc3696545_3650668749"/>
      <w:bookmarkStart w:id="262" w:name="_Toc99"/>
      <w:bookmarkEnd w:id="260"/>
      <w:bookmarkEnd w:id="261"/>
      <w:r>
        <w:rPr/>
        <w:t>١۵</w:t>
      </w:r>
      <w:r>
        <w:rPr>
          <w:rtl w:val="true"/>
        </w:rPr>
        <w:t xml:space="preserve"> تعصب وحشيانه</w:t>
      </w:r>
      <w:bookmarkEnd w:id="262"/>
    </w:p>
    <w:p>
      <w:pPr>
        <w:pStyle w:val="Heading3"/>
        <w:numPr>
          <w:ilvl w:val="2"/>
          <w:numId w:val="1"/>
        </w:numPr>
        <w:rPr/>
      </w:pPr>
      <w:bookmarkStart w:id="263" w:name="__RefHeading___Toc3696547_3650668749"/>
      <w:bookmarkStart w:id="264" w:name="_Toc100"/>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 xml:space="preserve">نويسنده كتاب در صفحه </w:t>
      </w: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وحشيانه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جريان را نقل مى‌كند؛ در جريان اول از برخورد ناهنجار و اهانت‌آميز پيرزنى با او پس از سنّى شدن، سخن مى‌گويد و در جريان دوم از برخورد تند زنى با كودكى مى‌گويد كه نامش عمر بوده است و به كودك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تو، بر عمر، بر كسى كه تو را عُمر ناميده و بر كسى كه نام پسرش را عُمر مى‌نهد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نويسنده در پاورقى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زن ناآگاهانه اهل بيت را لعنت كرده است؛ زيرا طبق روايت شيعه نام يكى از فرزندان امام حسن، امام زين العابدين و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عمر بوده است</w:t>
      </w:r>
      <w:r>
        <w:rPr>
          <w:rFonts w:eastAsia="IRNazanin" w:cs="IRNazanin"/>
          <w:color w:val="111111"/>
          <w:sz w:val="28"/>
          <w:szCs w:val="28"/>
          <w:rtl w:val="true"/>
          <w:lang w:bidi="fa-IR"/>
        </w:rPr>
        <w:t>» .</w:t>
      </w:r>
    </w:p>
    <w:p>
      <w:pPr>
        <w:pStyle w:val="Heading3"/>
        <w:numPr>
          <w:ilvl w:val="2"/>
          <w:numId w:val="1"/>
        </w:numPr>
        <w:rPr/>
      </w:pPr>
      <w:bookmarkStart w:id="265" w:name="__RefHeading___Toc3696549_3650668749"/>
      <w:bookmarkStart w:id="266" w:name="_Toc101"/>
      <w:bookmarkEnd w:id="265"/>
      <w:r>
        <w:rPr>
          <w:rtl w:val="true"/>
        </w:rPr>
        <w:t>پاسخ</w:t>
      </w:r>
      <w:bookmarkEnd w:id="266"/>
    </w:p>
    <w:p>
      <w:pPr>
        <w:pStyle w:val="BookText"/>
        <w:rPr/>
      </w:pPr>
      <w:r>
        <w:rPr>
          <w:rFonts w:ascii="IRNazanin" w:hAnsi="IRNazanin" w:eastAsia="IRNazanin"/>
          <w:color w:val="111111"/>
          <w:sz w:val="28"/>
          <w:sz w:val="28"/>
          <w:szCs w:val="28"/>
          <w:rtl w:val="true"/>
          <w:lang w:bidi="fa-IR"/>
        </w:rPr>
        <w:t>پاسخ اجمالى اين دو جريان نيز روشن است؛ زيرا بر فرض صحت دليل بر چيزى نيست جز رفتار ناهنجار پيرزنى با برخى از مخالفان كه گاهى در مناطقى كه شيعه و سنى با هم زندگى مى‌كنند، از دو طرف بروز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انتظار اين است كه همه شيعيان در يك سطح از علم،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ايمان و اخلاق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شيعيان در طول تاريخ از اهل‌سنت، به‌ويژه </w:t>
      </w:r>
    </w:p>
    <w:p>
      <w:pPr>
        <w:pStyle w:val="BookText"/>
        <w:rPr/>
      </w:pPr>
      <w:r>
        <w:rPr>
          <w:rFonts w:ascii="IRNazanin" w:hAnsi="IRNazanin" w:eastAsia="IRNazanin"/>
          <w:color w:val="111111"/>
          <w:sz w:val="28"/>
          <w:sz w:val="28"/>
          <w:szCs w:val="28"/>
          <w:rtl w:val="true"/>
          <w:lang w:bidi="fa-IR"/>
        </w:rPr>
        <w:t>وهابى‌ها ضربه‌هاى سهمگين‌تر از اين بر جان و مال و نواميس‌شان نخورده‌اند؟</w:t>
      </w:r>
    </w:p>
    <w:p>
      <w:pPr>
        <w:pStyle w:val="BookText"/>
        <w:rPr/>
      </w:pPr>
      <w:r>
        <w:rPr>
          <w:rFonts w:ascii="IRNazanin" w:hAnsi="IRNazanin" w:eastAsia="IRNazanin"/>
          <w:color w:val="111111"/>
          <w:sz w:val="28"/>
          <w:sz w:val="28"/>
          <w:szCs w:val="28"/>
          <w:rtl w:val="true"/>
          <w:lang w:bidi="fa-IR"/>
        </w:rPr>
        <w:t xml:space="preserve">تعصب وحشيانه، يعنى حمله به خانه وحى، سوزاندن آن، ضربه زدن به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ناسزا گفتن به او و اميرالمؤمنان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تعصب وحشيانه، يعنى كشتن مالك بن نويره و مسلمانانِ قبيله‌اش بعد از تسليم شدن آنان و آميزش خالد بن وليد با همسر مالك و تبرئه او به دست خليفه وقت و طرفدارى شما از اين 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تعصب وحشيانه، يعنى قتل‌عام پيروان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يمن، كشتن دو طفل بى‌گناه عبيدالله بن عباس به دست بسر بن ارطاة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 و نماينده و عامل معاويةبن ابى‌سفيان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اسير كردن زنان مسلمان و فروختن آنها در بازار برده‌فروشان و طرفدارى از معاويه و جنايت‌هاى او به نام عدالت و اجتهاد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تعصب وحشيانه، يعنى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 او به دستور معاوية بن ابى‌سفيان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جُرم خوددارى از بدگويى به اميرالمؤمنان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امثال نويسنده از معاويه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تعصب وحشيانه، يعنى اعتراض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دادن هذيان به وى و طرفدارى عده‌اى در همان وقت از سخن آن گوينده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 وحشيانه، يعنى فتوا دادن به كفر شيعه و كشتن چهل هزار نفر از آنها</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تعصب وحشيانه، يعنى رها كردن دشمن كينه‌توز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امريكا و </w:t>
      </w:r>
    </w:p>
    <w:p>
      <w:pPr>
        <w:pStyle w:val="BookText"/>
        <w:rPr/>
      </w:pPr>
      <w:r>
        <w:rPr>
          <w:rFonts w:ascii="IRNazanin" w:hAnsi="IRNazanin" w:eastAsia="IRNazanin"/>
          <w:color w:val="111111"/>
          <w:sz w:val="28"/>
          <w:sz w:val="28"/>
          <w:szCs w:val="28"/>
          <w:rtl w:val="true"/>
          <w:lang w:bidi="fa-IR"/>
        </w:rPr>
        <w:t>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تهاجم گسترده به شيعه، هزينه كردن امكانات مسلمانان براى برادركشى و كشتار مردم مظلوم عراق و تكفير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بخواهيم نمونه بارزى از تعصب وحشيانه را مثال بزنيم، بايد از برخورد شاميان با عالم بزرگ اهل سنت، يعنى نسائى سخن گفت كه وقتى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كرد و گفت كه از معاويه فضيلتى نمى‌شناسد، جز اينكه پيامبر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شكمش را پر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جمعيت حاضر، به اين عالم بزرگ خودشان حمله‌ور شدند و چنان او را لگدكوب كردندكه اندكى بعد جان داد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يا برخورد اهل سنت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شيخ محمد مرعى الامين الانطاكى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به مذهب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گرويد، به‌گونه‌اى كه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ما اعلام تشيع كرديم و اين خبر منتشر شد، گروه‌هايى از روى نادانى، كارهاى ناپسندى كردند كه ما از ذكر آن حيا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ايشان، ما را به كفر و ارتداد محكوم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بچه‌هايشان را تحريك مى‌كردند تا با سخن، ما را اذيت كنند و با سنگ هدف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بندگان قِرميدة، يعنى اى بندگان تربت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 سر منابر، مردم را از معامله با ما به سبب كفر و ارتداد منع مى‌كردند به‌گونه‌اى كه اگر مى‌خواستيم خانه‌اى اجاره كنيم، صاحب خانه را تهديد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مى‌كردند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اينان رافضى و مشرك هستند، صحابه </w:t>
      </w:r>
      <w:bookmarkStart w:id="267" w:name="pg1971_8443"/>
    </w:p>
    <w:p>
      <w:pPr>
        <w:pStyle w:val="BookText"/>
        <w:rPr/>
      </w:pPr>
      <w:bookmarkEnd w:id="267"/>
      <w:r>
        <w:rPr>
          <w:rFonts w:ascii="IRNazanin" w:hAnsi="IRNazanin" w:eastAsia="IRNazanin"/>
          <w:color w:val="111111"/>
          <w:sz w:val="28"/>
          <w:sz w:val="28"/>
          <w:szCs w:val="28"/>
          <w:rtl w:val="true"/>
          <w:lang w:bidi="fa-IR"/>
        </w:rPr>
        <w:t>را بدگويى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اجاره دهى، تو را اذيت خواهيم كرد</w:t>
      </w:r>
      <w:r>
        <w:rPr>
          <w:rFonts w:eastAsia="IRNazanin" w:cs="IRNazanin"/>
          <w:color w:val="111111"/>
          <w:sz w:val="28"/>
          <w:szCs w:val="28"/>
          <w:rtl w:val="true"/>
          <w:lang w:bidi="fa-IR"/>
        </w:rPr>
        <w:t xml:space="preserve">» . </w:t>
      </w:r>
      <w:r>
        <w:rPr>
          <w:rStyle w:val="FootnoteAnchor"/>
          <w:rtl w:val="true"/>
        </w:rPr>
        <w:footnoteReference w:id="153"/>
      </w:r>
    </w:p>
    <w:p>
      <w:pPr>
        <w:pStyle w:val="Heading3"/>
        <w:numPr>
          <w:ilvl w:val="2"/>
          <w:numId w:val="1"/>
        </w:numPr>
        <w:rPr/>
      </w:pPr>
      <w:bookmarkStart w:id="268" w:name="__RefHeading___Toc3696551_3650668749"/>
      <w:bookmarkStart w:id="269" w:name="_Toc102"/>
      <w:bookmarkEnd w:id="268"/>
      <w:r>
        <w:rPr>
          <w:rtl w:val="true"/>
        </w:rPr>
        <w:t xml:space="preserve">علت همنامى برخى از فرزندان ائمه </w:t>
      </w:r>
      <w:r>
        <w:rPr>
          <w:rtl w:val="true"/>
        </w:rPr>
        <w:t>(</w:t>
      </w:r>
      <w:r>
        <w:rPr>
          <w:rtl w:val="true"/>
        </w:rPr>
        <w:t>عليهم‌السلام</w:t>
      </w:r>
      <w:r>
        <w:rPr>
          <w:rtl w:val="true"/>
        </w:rPr>
        <w:t xml:space="preserve">) </w:t>
      </w:r>
      <w:r>
        <w:rPr>
          <w:rtl w:val="true"/>
        </w:rPr>
        <w:t>با مخالفان</w:t>
      </w:r>
      <w:bookmarkEnd w:id="269"/>
    </w:p>
    <w:p>
      <w:pPr>
        <w:pStyle w:val="Heading3"/>
        <w:numPr>
          <w:ilvl w:val="2"/>
          <w:numId w:val="1"/>
        </w:numPr>
        <w:rPr/>
      </w:pPr>
      <w:bookmarkStart w:id="270" w:name="__RefHeading___Toc3696553_3650668749"/>
      <w:bookmarkStart w:id="271" w:name="_Toc103"/>
      <w:bookmarkEnd w:id="270"/>
      <w:r>
        <w:rPr>
          <w:rtl w:val="true"/>
        </w:rPr>
        <w:t>پاسخ</w:t>
      </w:r>
      <w:bookmarkEnd w:id="271"/>
    </w:p>
    <w:p>
      <w:pPr>
        <w:pStyle w:val="BookText"/>
        <w:rPr/>
      </w:pPr>
      <w:r>
        <w:rPr>
          <w:rFonts w:ascii="IRNazanin" w:hAnsi="IRNazanin" w:eastAsia="IRNazanin"/>
          <w:color w:val="111111"/>
          <w:sz w:val="28"/>
          <w:sz w:val="28"/>
          <w:szCs w:val="28"/>
          <w:rtl w:val="true"/>
          <w:lang w:bidi="fa-IR"/>
        </w:rPr>
        <w:t xml:space="preserve">اما درباره اينكه گفتار آن زن به‌طور ناخواسته، لعن بر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بعضى از ائمه، نام فرزندانشان را عُمر نهاده‌اند،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وى به‌طور قطع كسانى هستند كه با اعتقاد به صاحب اين نام، آن را براى فرزندان خود انتخاب مى‌كنند؛ نه هر كه از روى مصلحت يا ضرورت، تن به اين كار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نام‌گذارى برخى از فرزندان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بسيار اندكى كه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برپايه مصلحت‌انديشى بوده است؛ به‌ويژه گاهى اطرافيان آن فرزند، مثل مادر و همچنين شرايط محيط، اقتضاى اين امور را داشته است؛ وگرنه، مسئله مخالفت و بى‌اعتقادى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خليفه دوم و مسئله رجحان انتخاب نام‌هاى ارزشى و مناسب و بى‌تناسبى نام مخالفان با ارزش‌هاى مكتبى، هيچ‌كدام محل شك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نيز مى‌خوانيم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ديدم ايشان بالاى سر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گهواره بود، مدتى طولانى به طور آهسته چيزى مى‌گفت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بر مولاى خودت سلام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رفتم جلو 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كلام فصيح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نام دخترت را كه </w:t>
      </w:r>
    </w:p>
    <w:p>
      <w:pPr>
        <w:pStyle w:val="BookText"/>
        <w:rPr/>
      </w:pPr>
      <w:r>
        <w:rPr>
          <w:rFonts w:ascii="IRNazanin" w:hAnsi="IRNazanin" w:eastAsia="IRNazanin"/>
          <w:color w:val="111111"/>
          <w:sz w:val="28"/>
          <w:sz w:val="28"/>
          <w:szCs w:val="28"/>
          <w:rtl w:val="true"/>
          <w:lang w:bidi="fa-IR"/>
        </w:rPr>
        <w:t>ديروز نام‌گذارى كردى تغيير ده كه آن اسم را خدا دوست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دخترى برايم متولد شده بودكه نامش را حُميراء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كه دستور موسى را رعايت كن تا هدايت شوى؛ من نيز نام او را تغيير دادم</w:t>
      </w:r>
      <w:r>
        <w:rPr>
          <w:rFonts w:eastAsia="IRNazanin" w:cs="IRNazanin"/>
          <w:color w:val="111111"/>
          <w:sz w:val="28"/>
          <w:szCs w:val="28"/>
          <w:rtl w:val="true"/>
          <w:lang w:bidi="fa-IR"/>
        </w:rPr>
        <w:t xml:space="preserve">» .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شيطان وقتى مى‌شنود كسى به نام دشمنى از دشمنان ما صدا مى‌كند، خوشحال مى‌شود و به خود مى‌بالد</w:t>
      </w:r>
      <w:r>
        <w:rPr>
          <w:rFonts w:eastAsia="Amiri" w:cs="Amiri" w:ascii="Amiri" w:hAnsi="Amiri"/>
          <w:color w:val="111111"/>
          <w:sz w:val="28"/>
          <w:szCs w:val="28"/>
          <w:rtl w:val="true"/>
          <w:lang w:bidi="ar-SA"/>
        </w:rPr>
        <w:t xml:space="preserve">» .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اينها همگى مى‌فهماند كه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مصلحت هرگز نام مخالفان را انتخاب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اسامى شيعيان نيز كه در نام‌هاى راويان آنها جلوه‌گر است، نشان از اندك بودن استفاده از نام‌هاى مخالفان دارد؛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مشتمل بر </w:t>
      </w:r>
      <w:r>
        <w:rPr>
          <w:rFonts w:ascii="IRNazanin" w:hAnsi="IRNazanin" w:eastAsia="IRNazanin"/>
          <w:color w:val="111111"/>
          <w:sz w:val="28"/>
          <w:sz w:val="28"/>
          <w:szCs w:val="28"/>
          <w:lang w:bidi="fa-IR"/>
        </w:rPr>
        <w:t>١٢٣٨</w:t>
      </w:r>
      <w:r>
        <w:rPr>
          <w:rFonts w:ascii="IRNazanin" w:hAnsi="IRNazanin" w:eastAsia="IRNazanin"/>
          <w:color w:val="111111"/>
          <w:sz w:val="28"/>
          <w:sz w:val="28"/>
          <w:szCs w:val="28"/>
          <w:rtl w:val="true"/>
          <w:lang w:bidi="fa-IR"/>
        </w:rPr>
        <w:t xml:space="preserve"> نام است، دو نام عثمان و چهارده نام عُمر وجود دارد و چه بسا چون پدران آنها از شيعيان نبودند، اين نام را برگزيده‌اند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مصلحت‌انديشى و تقيه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 نام مخالفان آن است كه شخصى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از كوفه آمدم همسرم باردار بود، از خداوند بخواهيد فرزندش پسر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است، نامش را عُمر بگذار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به كوفه آمدم، ديدم برايم پسرى متولد شده است و نامش را على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سخن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كردم و نامش را عُمر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ديگر سخن كسى</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 در مورد رافضى‌بودن تو قبول نمى‌كنم</w:t>
      </w:r>
      <w:r>
        <w:rPr>
          <w:rFonts w:eastAsia="Amiri" w:cs="Amiri" w:ascii="Amiri" w:hAnsi="Amiri"/>
          <w:color w:val="111111"/>
          <w:sz w:val="28"/>
          <w:szCs w:val="28"/>
          <w:rtl w:val="true"/>
          <w:lang w:bidi="ar-SA"/>
        </w:rPr>
        <w:t xml:space="preserve">» .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به هر حال، ما گرچه توهين آن زن را به آن كودك و شخصيت‌هاى مورد احترام مسلمانان هرگز تأييد نمى‌كنيم؛ ولى يادآورى مى‌كنيم كه زمانى نيز شيعه را به جُرم داشتن نام على مى‌كشتند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حجر از دانشمندان اهل‌سنت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بنى‌اميه اگر مى‌شنيدند نوزادى نامش على است او را مى‌كشتند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نام رباح كه نام پسرش را على نهاده بود، وقتى متوجه خطر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عُلى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پسرش نيز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نمى‌كنم كسى را كه به من عَلى بگويد؛ من عُلى هستم</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همچنين شخصى به حجاج‌بن‌يوسف گفت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خانواده‌ام مرا عاق كرده‌اند و نامم را على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را تغيير ده و مقدارى نيز به من كمك كن كه نيازمندم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واسطه زيبايى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بى‌زارى از اسم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آوردى، نامت را فلان نهادم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منصبى به او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آنجا مشغول باش</w:t>
      </w:r>
      <w:r>
        <w:rPr>
          <w:rFonts w:eastAsia="IRNazanin" w:cs="IRNazanin"/>
          <w:color w:val="111111"/>
          <w:sz w:val="28"/>
          <w:szCs w:val="28"/>
          <w:rtl w:val="true"/>
          <w:lang w:bidi="fa-IR"/>
        </w:rPr>
        <w:t xml:space="preserve">» . </w:t>
      </w:r>
      <w:r>
        <w:rPr>
          <w:rStyle w:val="FootnoteAnchor"/>
          <w:rtl w:val="true"/>
        </w:rPr>
        <w:footnoteReference w:id="158"/>
      </w:r>
      <w:bookmarkStart w:id="272" w:name="pg1971_8446"/>
    </w:p>
    <w:p>
      <w:pPr>
        <w:pStyle w:val="Heading2"/>
        <w:numPr>
          <w:ilvl w:val="1"/>
          <w:numId w:val="1"/>
        </w:numPr>
        <w:rPr/>
      </w:pPr>
      <w:bookmarkStart w:id="273" w:name="__RefHeading___Toc3696555_3650668749"/>
      <w:bookmarkStart w:id="274" w:name="_Toc104"/>
      <w:bookmarkEnd w:id="272"/>
      <w:bookmarkEnd w:id="273"/>
      <w:r>
        <w:rPr/>
        <w:t>١۶</w:t>
      </w:r>
      <w:r>
        <w:rPr>
          <w:rtl w:val="true"/>
        </w:rPr>
        <w:t xml:space="preserve"> شيعه و امامت حضرت زين‌العابدين </w:t>
      </w:r>
      <w:r>
        <w:rPr>
          <w:rtl w:val="true"/>
        </w:rPr>
        <w:t>(</w:t>
      </w:r>
      <w:r>
        <w:rPr>
          <w:rtl w:val="true"/>
        </w:rPr>
        <w:t>ع</w:t>
      </w:r>
      <w:r>
        <w:rPr>
          <w:rtl w:val="true"/>
        </w:rPr>
        <w:t>)</w:t>
      </w:r>
      <w:bookmarkEnd w:id="274"/>
    </w:p>
    <w:p>
      <w:pPr>
        <w:pStyle w:val="Heading3"/>
        <w:numPr>
          <w:ilvl w:val="2"/>
          <w:numId w:val="1"/>
        </w:numPr>
        <w:rPr/>
      </w:pPr>
      <w:bookmarkStart w:id="275" w:name="__RefHeading___Toc3696557_3650668749"/>
      <w:bookmarkStart w:id="276" w:name="_Toc105"/>
      <w:bookmarkEnd w:id="275"/>
      <w:r>
        <w:rPr>
          <w:rtl w:val="true"/>
        </w:rPr>
        <w:t>اشاره</w:t>
      </w:r>
      <w:bookmarkEnd w:id="276"/>
    </w:p>
    <w:p>
      <w:pPr>
        <w:pStyle w:val="BookText"/>
        <w:rPr/>
      </w:pPr>
      <w:r>
        <w:rPr>
          <w:rFonts w:ascii="Amiri" w:hAnsi="Amiri" w:eastAsia="Amiri" w:cs="Amiri"/>
          <w:color w:val="111111"/>
          <w:sz w:val="28"/>
          <w:sz w:val="28"/>
          <w:szCs w:val="28"/>
          <w:rtl w:val="true"/>
          <w:lang w:bidi="ar-SA"/>
        </w:rPr>
        <w:t xml:space="preserve">نويسنده از صفحه </w:t>
      </w:r>
      <w:r>
        <w:rPr>
          <w:rFonts w:ascii="Amiri" w:hAnsi="Amiri" w:eastAsia="Amiri" w:cs="Amiri"/>
          <w:color w:val="111111"/>
          <w:sz w:val="28"/>
          <w:sz w:val="28"/>
          <w:szCs w:val="28"/>
          <w:lang w:bidi="ar-SA"/>
        </w:rPr>
        <w:t>٣۴</w:t>
      </w:r>
      <w:r>
        <w:rPr>
          <w:rFonts w:ascii="Amiri" w:hAnsi="Amiri" w:eastAsia="Amiri" w:cs="Amiri"/>
          <w:color w:val="111111"/>
          <w:sz w:val="28"/>
          <w:sz w:val="28"/>
          <w:szCs w:val="28"/>
          <w:rtl w:val="true"/>
          <w:lang w:bidi="ar-SA"/>
        </w:rPr>
        <w:t xml:space="preserve"> به بعد، مطالبى درباره اختلاف شيعه در مسئله امامت را بيان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شيعيان عصر ائمه آگاهى زيادى از امامان خود نداشتند و با هر حركتى، هماهنگ مى‌شدند؛ چنان‌كه با زيدبن‌على و نفس زكيه همراه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از حيات سياسى شيعه كناره‌گيرى كرده بود و رهبرى را به كسانى ديگر از ائمه سپرد و مشغول عبادت بود و در هر شبانه‌روز هزار ركعت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ايشان نقل شده است فقط مواعظ، دعا و بعضى از احكام شرعى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شيعه در آن وقت به زين العابدين به سبب علم و فضلش بود نه براى امامت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شيعيان نيز نتوانستند امامت او را ثابت كنند، اين خلأ را با چند معجزه و ستايش از او، جبران كردند</w:t>
      </w:r>
      <w:r>
        <w:rPr>
          <w:rFonts w:eastAsia="IRNazanin" w:cs="IRNazanin"/>
          <w:color w:val="111111"/>
          <w:sz w:val="28"/>
          <w:szCs w:val="28"/>
          <w:rtl w:val="true"/>
          <w:lang w:bidi="fa-IR"/>
        </w:rPr>
        <w:t>.</w:t>
      </w:r>
    </w:p>
    <w:p>
      <w:pPr>
        <w:pStyle w:val="Heading3"/>
        <w:numPr>
          <w:ilvl w:val="2"/>
          <w:numId w:val="1"/>
        </w:numPr>
        <w:rPr/>
      </w:pPr>
      <w:bookmarkStart w:id="277" w:name="__RefHeading___Toc3696559_3650668749"/>
      <w:bookmarkStart w:id="278" w:name="_Toc106"/>
      <w:bookmarkEnd w:id="277"/>
      <w:r>
        <w:rPr>
          <w:rtl w:val="true"/>
        </w:rPr>
        <w:t>پاسخ</w:t>
      </w:r>
      <w:bookmarkEnd w:id="278"/>
    </w:p>
    <w:p>
      <w:pPr>
        <w:pStyle w:val="Heading3"/>
        <w:numPr>
          <w:ilvl w:val="2"/>
          <w:numId w:val="1"/>
        </w:numPr>
        <w:rPr/>
      </w:pPr>
      <w:bookmarkStart w:id="279" w:name="__RefHeading___Toc3696561_3650668749"/>
      <w:bookmarkStart w:id="280" w:name="_Toc107"/>
      <w:bookmarkEnd w:id="279"/>
      <w:r>
        <w:rPr>
          <w:rtl w:val="true"/>
        </w:rPr>
        <w:t>شرايط وحشتناك دوران بنى‌اميّه براى شيعيان</w:t>
      </w:r>
      <w:bookmarkEnd w:id="28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بيشتر شيعيان، از ائمه خود آگاهى نداشتند و با هر حركتى هماهنگ مى‌شدند، سخنى بدون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سختى مثل دوران </w:t>
      </w:r>
    </w:p>
    <w:p>
      <w:pPr>
        <w:pStyle w:val="BookText"/>
        <w:rPr/>
      </w:pPr>
      <w:r>
        <w:rPr>
          <w:rFonts w:ascii="IRNazanin" w:hAnsi="IRNazanin" w:eastAsia="IRNazanin"/>
          <w:color w:val="111111"/>
          <w:sz w:val="28"/>
          <w:sz w:val="28"/>
          <w:szCs w:val="28"/>
          <w:rtl w:val="true"/>
          <w:lang w:bidi="fa-IR"/>
        </w:rPr>
        <w:t>بنى‌اميه، نشناختن امام امرى طبيعى است؛ زيرا بنى‌اميه در اوج قدرت و شقاوت نسبت به شيعه بوده، جنايت‌هاى حجاج، هشام بن عبدالملك، خالد قسرى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بى‌داد مى‌كرده، وسايل ارتباط جمعى، اندك و تقيه شديد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شيعه مسائل خود را در آن دوران هولناك سامان دهد، درحالى‌كه كانون شيعه كوفه بود و اين مركز چنان بر اثر بخشنامه‌ها و جنايت‌هاى معاويه و حاكمان آن، زير فشار قرار داشت كه اگر كسى متهم به دوستى با خاندان پيامبر بود، شكنجه مى‌شد و خانه‌اش را ويران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كوفه حتى در مخفى‌گاه‌ها از خدمتكار خانه واهمه داشتند و در هنگام صحبت، از يكديگر پيمان‌هاى سخت مى‌گرفتند؛ به‌ويژه هنگامى‌كه معاويه، زيادبن‌ابيه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جنايتكار سنگدلى كه به خوبى شيعيان را مى‌شناخت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امارت كوفه منصوب كرد، دست و پاهاى شيعيان را بريد، چشم‌هاى‌شان را كور كرد و بدن‌هاى‌شان را بر درخت‌ها به دار آويخت و چنان به نابودى شيعيان دست زد كه شيعيان از عراق گريختند و به اطراف پناه بردند تا جايى كه حتى يك عراقى در ميان آنها نماند</w:t>
      </w:r>
      <w:r>
        <w:rPr>
          <w:rFonts w:eastAsia="IRNazanin" w:cs="IRNazanin"/>
          <w:color w:val="111111"/>
          <w:sz w:val="28"/>
          <w:szCs w:val="28"/>
          <w:rtl w:val="true"/>
          <w:lang w:bidi="fa-IR"/>
        </w:rPr>
        <w:t xml:space="preserve">. </w:t>
      </w:r>
      <w:r>
        <w:rPr>
          <w:rStyle w:val="FootnoteAnchor"/>
          <w:rtl w:val="true"/>
        </w:rPr>
        <w:footnoteReference w:id="159"/>
      </w:r>
      <w:r>
        <w:rPr>
          <w:rFonts w:ascii="Amiri" w:hAnsi="Amiri" w:eastAsia="Amiri" w:cs="Amiri"/>
          <w:color w:val="111111"/>
          <w:sz w:val="28"/>
          <w:sz w:val="28"/>
          <w:szCs w:val="28"/>
          <w:rtl w:val="true"/>
          <w:lang w:bidi="ar-SA"/>
        </w:rPr>
        <w:t>آيا با وجود اين‌همه فشار و سختى، شيعيان مى‌توانستند حركت طبيعى خويش را داشته باشند؟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حجاج آن قدر وضع شيعه خطرناك بود كه اگر به كسى مى‌گفتند تو كافر هستى، بهتر بود تا بگويند شيعه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در حديثى آمده است كه از حال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ايشان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ما همچون بنى‌اسرائيل در ميان آل‌فرعون است؛ مردان ما را مى‌كُشند و زنان ما را به كنيزى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دشنام دادن به بزرگ و سرور ما، به دشمنان ما تقرب مى‌جويند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آنها حق ما را گرفته‌اند و هيچ حقى براى ما نمى‌شناسند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اصولاً شيعه تا زمان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تا زمان ضعف و زوال حكومت بنى‌اميه، مجال تبليغ نداشت و تمام عنايت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حفظ موجوديت 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پيروان خاندان عصمت و معتقدان به امامت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بيشتر آنها از بيشتر احكام دينى خود آگاه نبودند تا اينكه در زمان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بنى‌اميه و بنى‌عباس درگيرى شد و فرصتى پيش آمد تا اين دو امام بزرگ، به تبليغ مذهب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حالات و اعتقادات و شرايط آن زمان‌هاى سخت، هرگز بيانگر حقيقت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زيرا در آن زمان افراد زيادى مستضعف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مكه و مدينه بيست نفر نيست كه ما را دوست بدارد</w:t>
      </w:r>
      <w:r>
        <w:rPr>
          <w:rFonts w:eastAsia="IRNazanin" w:cs="IRNazanin"/>
          <w:color w:val="111111"/>
          <w:sz w:val="28"/>
          <w:szCs w:val="28"/>
          <w:rtl w:val="true"/>
          <w:lang w:bidi="fa-IR"/>
        </w:rPr>
        <w:t xml:space="preserve">» .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در نتيجه، اگر برخى از روى ضعف آگاهى، با برخى حركت‌ها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 بودند به سبب شرايط سخت و ظلم فراوان بوده است</w:t>
      </w:r>
      <w:r>
        <w:rPr>
          <w:rFonts w:eastAsia="IRNazanin" w:cs="IRNazanin"/>
          <w:color w:val="111111"/>
          <w:sz w:val="28"/>
          <w:szCs w:val="28"/>
          <w:rtl w:val="true"/>
          <w:lang w:bidi="fa-IR"/>
        </w:rPr>
        <w:t xml:space="preserve">. </w:t>
      </w:r>
      <w:bookmarkStart w:id="281" w:name="pg1971_8449"/>
    </w:p>
    <w:p>
      <w:pPr>
        <w:pStyle w:val="Heading3"/>
        <w:numPr>
          <w:ilvl w:val="2"/>
          <w:numId w:val="1"/>
        </w:numPr>
        <w:rPr/>
      </w:pPr>
      <w:bookmarkStart w:id="282" w:name="__RefHeading___Toc3696563_3650668749"/>
      <w:bookmarkStart w:id="283" w:name="_Toc108"/>
      <w:bookmarkEnd w:id="281"/>
      <w:bookmarkEnd w:id="282"/>
      <w:r>
        <w:rPr>
          <w:rtl w:val="true"/>
        </w:rPr>
        <w:t xml:space="preserve">تأييد قيام جناب زيد از جانب ائمه </w:t>
      </w:r>
      <w:r>
        <w:rPr>
          <w:rtl w:val="true"/>
        </w:rPr>
        <w:t>(</w:t>
      </w:r>
      <w:r>
        <w:rPr>
          <w:rtl w:val="true"/>
        </w:rPr>
        <w:t>عليهم‌السلام</w:t>
      </w:r>
      <w:r>
        <w:rPr>
          <w:rtl w:val="true"/>
        </w:rPr>
        <w:t>)</w:t>
      </w:r>
      <w:bookmarkEnd w:id="283"/>
    </w:p>
    <w:p>
      <w:pPr>
        <w:pStyle w:val="BookText"/>
        <w:rPr/>
      </w:pPr>
      <w:r>
        <w:rPr>
          <w:rFonts w:ascii="IRNazanin" w:hAnsi="IRNazanin" w:eastAsia="IRNazanin"/>
          <w:color w:val="111111"/>
          <w:sz w:val="28"/>
          <w:sz w:val="28"/>
          <w:szCs w:val="28"/>
          <w:rtl w:val="true"/>
          <w:lang w:bidi="fa-IR"/>
        </w:rPr>
        <w:t xml:space="preserve">در ضمن قرائنى وجود دارد كه بر درستى قيام زيد، از نظر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مى‌كند، زيرا او براى احقاق حق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سپردن امامت به ايشان قيام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جدش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رحمت كند عمويم زيد را، او مردم را به شخص مورد رضايت از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مى‌كرد؛ اگر پيروز مى‌شد حتماً به آنچه دعوت كرده بود وفا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قيام خود با من مشورت كرد و 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مى‌پسندى كه كشته به‌دار آويخته در محلّه كُناسه كوفه باشى، خود دانى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رفت،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به كسى كه صداى او را بشنود و به او پاسخ ندهد</w:t>
      </w:r>
      <w:r>
        <w:rPr>
          <w:rFonts w:eastAsia="IRNazanin" w:cs="IRNazanin"/>
          <w:color w:val="111111"/>
          <w:sz w:val="28"/>
          <w:szCs w:val="28"/>
          <w:rtl w:val="true"/>
          <w:lang w:bidi="fa-IR"/>
        </w:rPr>
        <w:t xml:space="preserve">» .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در ادامه روايت آمده است كه مأمون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مورد مدعى ناحق امامت، نرسيد آنچه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على ادعاى ناحق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پرهيزگارتر از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رضاى از آل‌محمد دعوت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وارد شده در مورد كسى است كه ادعا كند خداوند او را منصوب كرده است و مردم را به غير دين خدا دعوت كند و با نادانى، آنها را از راه خدا گمراه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زيد از كسانى بود كه مخاطب اين آيه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جاهِدُوا فِى اللَّهِ حَقَّ جِهادِهِ هُوَ اجْتَباكُمْ؛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آن‌گونه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سزاوار اوست جهاد كنيد، او شما را برگزيد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w:t>
      </w:r>
      <w:r>
        <w:rPr>
          <w:rFonts w:eastAsia="IRNazanin" w:cs="IRNazanin"/>
          <w:color w:val="111111"/>
          <w:sz w:val="28"/>
          <w:szCs w:val="28"/>
          <w:rtl w:val="true"/>
          <w:lang w:bidi="fa-IR"/>
        </w:rPr>
        <w:t xml:space="preserve">) </w:t>
      </w:r>
      <w:r>
        <w:rPr>
          <w:rStyle w:val="FootnoteAnchor"/>
          <w:rtl w:val="true"/>
        </w:rPr>
        <w:footnoteReference w:id="164"/>
      </w:r>
      <w:bookmarkStart w:id="284" w:name="pg1971_8450"/>
    </w:p>
    <w:p>
      <w:pPr>
        <w:pStyle w:val="BookText"/>
        <w:rPr/>
      </w:pPr>
      <w:bookmarkEnd w:id="284"/>
      <w:r>
        <w:rPr>
          <w:rFonts w:ascii="IRNazanin" w:hAnsi="IRNazanin" w:eastAsia="IRNazanin"/>
          <w:color w:val="111111"/>
          <w:sz w:val="28"/>
          <w:sz w:val="28"/>
          <w:szCs w:val="28"/>
          <w:rtl w:val="true"/>
          <w:lang w:bidi="fa-IR"/>
        </w:rPr>
        <w:t xml:space="preserve">همچنين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فضيل، عمويم زيد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 راه گلويم را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خدا سوگند او را كشتند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او را به دار آويختند؟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خدا سوگند كه او را به دار آويختند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 به گريستن و اشك‌هاى حضرت بر دو طرف صورت مثل دانه‌هاى مرواريد سرازير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فضيل، آيا با عمويم در جنگ با اهل شام حضور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نفر از آنها را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نفر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خون اينان ترديد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ترديد داشتم كه نمى‌كشتم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در آن خون‌ها شريك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عمويم زيد و اصحاب او از شهيدان بودند و با شهادت رفتند؛ همان‌گونه كه على بن ابى‌طالب و اصحاب او رفتند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بنابراين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زيد را تأييد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حضرت، قيام را واجب نمى‌دانست؛ زيرا مى‌دانست كه موفق نخواهد شد</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3696565_3650668749"/>
      <w:bookmarkStart w:id="286" w:name="_Toc109"/>
      <w:bookmarkEnd w:id="285"/>
      <w:r>
        <w:rPr>
          <w:rtl w:val="true"/>
        </w:rPr>
        <w:t xml:space="preserve">امامت حضرت سجاد </w:t>
      </w:r>
      <w:r>
        <w:rPr>
          <w:rtl w:val="true"/>
        </w:rPr>
        <w:t>(</w:t>
      </w:r>
      <w:r>
        <w:rPr>
          <w:rtl w:val="true"/>
        </w:rPr>
        <w:t>ع</w:t>
      </w:r>
      <w:r>
        <w:rPr>
          <w:rtl w:val="true"/>
        </w:rPr>
        <w:t>)</w:t>
      </w:r>
      <w:bookmarkEnd w:id="286"/>
    </w:p>
    <w:p>
      <w:pPr>
        <w:pStyle w:val="BookText"/>
        <w:rPr/>
      </w:pPr>
      <w:r>
        <w:rPr>
          <w:rFonts w:ascii="IRNazanin" w:hAnsi="IRNazanin" w:eastAsia="IRNazanin"/>
          <w:color w:val="111111"/>
          <w:sz w:val="28"/>
          <w:sz w:val="28"/>
          <w:szCs w:val="28"/>
          <w:rtl w:val="true"/>
          <w:lang w:bidi="fa-IR"/>
        </w:rPr>
        <w:t>اما اينكه نويسنده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زين‌العابدين خود را از امامت كنار كشيده بود، سخنى بسيار ضعيف و سست است و هيچ شاهدى نه در كلام نويسنده و نه ديگران بر اين ادعاى واهى اقامه نشده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شگفت‌آور آنكه نويسنده از كثرت عبادت حضرت، مى‌خواهد كناره‌گيرى </w:t>
      </w:r>
      <w:bookmarkStart w:id="287" w:name="pg1971_8451"/>
    </w:p>
    <w:p>
      <w:pPr>
        <w:pStyle w:val="BookText"/>
        <w:rPr/>
      </w:pPr>
      <w:bookmarkEnd w:id="287"/>
      <w:r>
        <w:rPr>
          <w:rFonts w:ascii="IRNazanin" w:hAnsi="IRNazanin" w:eastAsia="IRNazanin"/>
          <w:color w:val="111111"/>
          <w:sz w:val="28"/>
          <w:sz w:val="28"/>
          <w:szCs w:val="28"/>
          <w:rtl w:val="true"/>
          <w:lang w:bidi="fa-IR"/>
        </w:rPr>
        <w:t xml:space="preserve">حضرت را از امامت و سياست نتيجه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كثرت عبادت و دعا با امامت تنافى دارد؟ مگر آن‌همه ادعيه، مواعظ و عبادت‌هاى سنگين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نشده است؟ مگر دعاهاى حضرت سجاد، چه مقدار از دوران امامت </w:t>
      </w:r>
      <w:r>
        <w:rPr>
          <w:rFonts w:ascii="IRNazanin" w:hAnsi="IRNazanin" w:eastAsia="IRNazanin"/>
          <w:color w:val="111111"/>
          <w:sz w:val="28"/>
          <w:sz w:val="28"/>
          <w:szCs w:val="28"/>
          <w:lang w:bidi="fa-IR"/>
        </w:rPr>
        <w:t>٣۵</w:t>
      </w:r>
      <w:r>
        <w:rPr>
          <w:rFonts w:ascii="IRNazanin" w:hAnsi="IRNazanin" w:eastAsia="IRNazanin"/>
          <w:color w:val="111111"/>
          <w:sz w:val="28"/>
          <w:sz w:val="28"/>
          <w:szCs w:val="28"/>
          <w:rtl w:val="true"/>
          <w:lang w:bidi="fa-IR"/>
        </w:rPr>
        <w:t xml:space="preserve"> ساله را به خود اختصاص داده بود؟ اگر چنين باشد بايد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انبوه احاديث و حكمت‌ها از ايشان روايت شده نيز از مسائل سياسى و امامت كناره گرفته باشند؛ زيرا فرصتى براى اين‌كارها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دوران سخت بنى‌اميه كه مصلحت مكتب و فرمان الهى بر اقدام مخفيانه سياسى بوده است، تلاش براى حفظ شيعيان و آماده كردن شرايط علمى و معنوى براى تداوم مكتب به معناى كناره‌گيرى از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برخى از پژوهشگران اهل‌سنت، آن امام را حافظ تماميت تفكر شيعى با سپر تقيه مى‌دانند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اينكه انتظار داشته باشيم روايات فراوانى از آن امام بزرگوار در آن عصر خفقان بنى‌اميه به‌دست ما برسد، انتظارى واهى است و همين مقدار نيز كه به‌دست ما رسيده است، جاى شگفتى دارد؛ به‌ويژه صحيفه سجاديه كه سرشار از معارف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نمونه‌اى از فعاليت سياسى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تذكر به يكى از علماى بزرگ دربارى بنى‌اميه مى‌آوريم</w:t>
      </w:r>
      <w:r>
        <w:rPr>
          <w:rFonts w:eastAsia="IRNazanin" w:cs="IRNazanin"/>
          <w:color w:val="111111"/>
          <w:sz w:val="28"/>
          <w:szCs w:val="28"/>
          <w:rtl w:val="true"/>
          <w:lang w:bidi="fa-IR"/>
        </w:rPr>
        <w:t>:</w:t>
      </w:r>
    </w:p>
    <w:p>
      <w:pPr>
        <w:pStyle w:val="Heading3"/>
        <w:numPr>
          <w:ilvl w:val="2"/>
          <w:numId w:val="1"/>
        </w:numPr>
        <w:rPr/>
      </w:pPr>
      <w:bookmarkStart w:id="288" w:name="__RefHeading___Toc3696567_3650668749"/>
      <w:bookmarkStart w:id="289" w:name="_Toc110"/>
      <w:bookmarkEnd w:id="288"/>
      <w:r>
        <w:rPr>
          <w:rtl w:val="true"/>
        </w:rPr>
        <w:t xml:space="preserve">تذكر امام سجاد </w:t>
      </w:r>
      <w:r>
        <w:rPr>
          <w:rtl w:val="true"/>
        </w:rPr>
        <w:t>(</w:t>
      </w:r>
      <w:r>
        <w:rPr>
          <w:rtl w:val="true"/>
        </w:rPr>
        <w:t>ع</w:t>
      </w:r>
      <w:r>
        <w:rPr>
          <w:rtl w:val="true"/>
        </w:rPr>
        <w:t xml:space="preserve">) </w:t>
      </w:r>
      <w:r>
        <w:rPr>
          <w:rtl w:val="true"/>
        </w:rPr>
        <w:t>به محمد بن زُهرى عالم دربار بنى‌اميّه</w:t>
      </w:r>
      <w:bookmarkEnd w:id="28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از عوامل بنى‌اميه، معلم فرزندان هشام بن عبدالملك و مورد احترام اهل‌سنت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به شدت از كمك به </w:t>
      </w:r>
    </w:p>
    <w:p>
      <w:pPr>
        <w:pStyle w:val="BookText"/>
        <w:rPr/>
      </w:pPr>
      <w:r>
        <w:rPr>
          <w:rFonts w:ascii="Amiri" w:hAnsi="Amiri" w:eastAsia="Amiri" w:cs="Amiri"/>
          <w:color w:val="111111"/>
          <w:sz w:val="28"/>
          <w:sz w:val="28"/>
          <w:szCs w:val="28"/>
          <w:rtl w:val="true"/>
          <w:lang w:bidi="ar-SA"/>
        </w:rPr>
        <w:t>ستمكاران و توجيه اعمال زشت آنها برحذر داشت و فرمود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و تو را از فتنه‌ها كفايت كند و بر تو از آتش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حالى هستى كه هر كس آن را بداند، سزاوار است بر تو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نعمت‌هاى خداوند بر تو بسيار است؛ سلامتى و عُمر طولانى به تو داده و حجت‌ها و آنچه از كتابش بوده را به تو داده است، در دين خود، تو را فقيه و از سنت پيامبرش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آگاه كرد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بنگر چگونه‌اى آن هنگام كه در برابر خداوند قرار مى‌گيرى؛ از نعمت‌هايش بر تو مى‌پرسد كه چگونه رعايت كردى، از حجت‌هايش بر تو مى‌پرسد كه چگونه محقق گردانيدى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نپندار كه خداوند عذرت را بپذيرد و از تو با كوتاهى در اعمال، راضى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كتاب خود از علما پيمان گرفته است كه آن را براى مردم بيان كنند و كتمان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كتمان و سبك‌ترين چيزى كه به عهده گرفتى اين است كه انيس وحشت ستمگر شدى و با نزديك شدنت به او راه گمراهى را هموار كردى و به دعوتش پاسخ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فردا همراه خيانتكاران باشى و سؤال شوى از آنچه با كمك به ظلم از ستمكاران گرفتى؛ چيزى را گرفتى كه حق تو نيست و به كسى نزديك شدى كه حق را به صاحبش برنگردانده و باطلى را دور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دوست دانستى كه با خداوند معارضه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دعوت از تو، تو را مركز گردش آسياب ستم‌هاى خود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پلى براى عبور از مشكلات خويش و نردبانى براى گمراهى خويش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تو شك را بر علما وارد كرده </w:t>
      </w:r>
      <w:bookmarkStart w:id="290" w:name="pg1971_8453"/>
    </w:p>
    <w:p>
      <w:pPr>
        <w:pStyle w:val="BookText"/>
        <w:rPr/>
      </w:pPr>
      <w:bookmarkEnd w:id="290"/>
      <w:r>
        <w:rPr>
          <w:rFonts w:ascii="IRNazanin" w:hAnsi="IRNazanin" w:eastAsia="IRNazanin"/>
          <w:color w:val="111111"/>
          <w:sz w:val="28"/>
          <w:sz w:val="28"/>
          <w:szCs w:val="28"/>
          <w:rtl w:val="true"/>
          <w:lang w:bidi="fa-IR"/>
        </w:rPr>
        <w:t>ودل‌هاى نادانان را به دنبال خود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خصوصى‌ترين وزيران و قوى‌ترين كمك‌كارانشان كمتر از تو در توجيه فسادشان مؤثر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اندك است آنچه به تو دادند در مقابل آنچه از تو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اندك است آنچه براى تو آباد كردند در مقابل آنچه از تو خراب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بينديش؛ ديگرى به تو نمى‌انديشد و از نفس خودت حساب بكش همانند محاسبه كسى كه بازخواست خواهد شد</w:t>
      </w:r>
      <w:r>
        <w:rPr>
          <w:rFonts w:eastAsia="IRNazanin" w:cs="IRNazanin"/>
          <w:color w:val="111111"/>
          <w:sz w:val="28"/>
          <w:szCs w:val="28"/>
          <w:rtl w:val="true"/>
          <w:lang w:bidi="fa-IR"/>
        </w:rPr>
        <w:t xml:space="preserve">. . . . </w:t>
      </w:r>
      <w:r>
        <w:rPr>
          <w:rStyle w:val="FootnoteAnchor"/>
          <w:rtl w:val="true"/>
        </w:rPr>
        <w:footnoteReference w:id="167"/>
      </w:r>
    </w:p>
    <w:p>
      <w:pPr>
        <w:pStyle w:val="Heading3"/>
        <w:numPr>
          <w:ilvl w:val="2"/>
          <w:numId w:val="1"/>
        </w:numPr>
        <w:rPr/>
      </w:pPr>
      <w:bookmarkStart w:id="291" w:name="__RefHeading___Toc3696569_3650668749"/>
      <w:bookmarkStart w:id="292" w:name="_Toc111"/>
      <w:bookmarkEnd w:id="291"/>
      <w:r>
        <w:rPr>
          <w:rtl w:val="true"/>
        </w:rPr>
        <w:t xml:space="preserve">گوشه‌اى از ادلّه شيعه بر امامت حضرت زين‌العابدين </w:t>
      </w:r>
      <w:r>
        <w:rPr>
          <w:rtl w:val="true"/>
        </w:rPr>
        <w:t>(</w:t>
      </w:r>
      <w:r>
        <w:rPr>
          <w:rtl w:val="true"/>
        </w:rPr>
        <w:t>ع</w:t>
      </w:r>
      <w:r>
        <w:rPr>
          <w:rtl w:val="true"/>
        </w:rPr>
        <w:t>)</w:t>
      </w:r>
      <w:bookmarkEnd w:id="292"/>
    </w:p>
    <w:p>
      <w:pPr>
        <w:pStyle w:val="BookText"/>
        <w:rPr/>
      </w:pPr>
      <w:r>
        <w:rPr>
          <w:rFonts w:ascii="IRNazanin" w:hAnsi="IRNazanin" w:eastAsia="IRNazanin"/>
          <w:color w:val="111111"/>
          <w:sz w:val="28"/>
          <w:sz w:val="28"/>
          <w:szCs w:val="28"/>
          <w:rtl w:val="true"/>
          <w:lang w:bidi="fa-IR"/>
        </w:rPr>
        <w:t xml:space="preserve">اين ادعاى نويسنده كه شيعه معتقد به امامت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و دليلى بر امامت حضرت جز چند معجزه ندارد، از جهالت نويسنده است؛ زيرا شيعه در زمان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اختلاف درباره امامت ايشان نداشته است؛ به‌گونه‌اى كه ابوحاتم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متوفاي</w:t>
      </w:r>
      <w:r>
        <w:rPr>
          <w:rFonts w:ascii="IRNazanin" w:hAnsi="IRNazanin" w:eastAsia="IRNazanin"/>
          <w:color w:val="111111"/>
          <w:sz w:val="28"/>
          <w:sz w:val="28"/>
          <w:szCs w:val="28"/>
          <w:lang w:bidi="fa-IR"/>
        </w:rPr>
        <w:t>٣٢٢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شيعه پيش از ظهور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١٢١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يك‌سخن بودند و چون زيد كشته شد، بخشى به جعفربن‌محمد و به امامت او متمايل شدند</w:t>
      </w:r>
      <w:r>
        <w:rPr>
          <w:rFonts w:eastAsia="IRNazanin" w:cs="IRNazanin"/>
          <w:color w:val="111111"/>
          <w:sz w:val="28"/>
          <w:szCs w:val="28"/>
          <w:rtl w:val="true"/>
          <w:lang w:bidi="fa-IR"/>
        </w:rPr>
        <w:t xml:space="preserve">. . .» . </w:t>
      </w:r>
      <w:r>
        <w:rPr>
          <w:rStyle w:val="FootnoteAnchor"/>
          <w:rtl w:val="true"/>
        </w:rPr>
        <w:footnoteReference w:id="16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عمده‌ترين انشقاق در زمان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آوردند كه پيرو محمدبن‌حنفيه شدند، وگرنه همگى حتى جناب زيد بن على به امامت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بودند؛ زيرا انشقاق زيديّه بعد از خروج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همچنان‌كه در كلام </w:t>
      </w:r>
    </w:p>
    <w:p>
      <w:pPr>
        <w:pStyle w:val="BookText"/>
        <w:rPr/>
      </w:pPr>
      <w:r>
        <w:rPr>
          <w:rFonts w:ascii="IRNazanin" w:hAnsi="IRNazanin" w:eastAsia="IRNazanin"/>
          <w:color w:val="111111"/>
          <w:sz w:val="28"/>
          <w:sz w:val="28"/>
          <w:szCs w:val="28"/>
          <w:rtl w:val="true"/>
          <w:lang w:bidi="fa-IR"/>
        </w:rPr>
        <w:t>ابوحاتم رازى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دلايل امامت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آنچه نويسنده مدعى است، بسيار فراوان است و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پاره‌اى از آنها اشاره كرده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ايشان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جابر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و ايشان از جدش و ايشان نيز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و در آن خبر، نام‌هاى ائمه دوازده‌گانه به ترتيب ذكر شده است</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همچنان‌كه نام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 مكتوب از جانب خداوند آمده است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همچنين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حسين پدر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امامت وى را داد؛ آنجا كه چون مادر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بنابر مشهور از اسراى ايران و از دربار يزدگرد بود، به 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حفظ كن و به او نيكى نما كه براى تو بهترينِ اهل زمين را بعد تو خواهد آورد و اوست مادر اوصيا كه ذريه طاهره‌اند</w:t>
      </w:r>
      <w:r>
        <w:rPr>
          <w:rFonts w:eastAsia="IRNazanin" w:cs="IRNazanin"/>
          <w:color w:val="111111"/>
          <w:sz w:val="28"/>
          <w:szCs w:val="28"/>
          <w:rtl w:val="true"/>
          <w:lang w:bidi="fa-IR"/>
        </w:rPr>
        <w:t xml:space="preserve">» . </w:t>
      </w:r>
      <w:r>
        <w:rPr>
          <w:rStyle w:val="FootnoteAnchor"/>
          <w:rtl w:val="true"/>
        </w:rPr>
        <w:footnoteReference w:id="17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بزرگوارش حضرت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وقتى به طرف عراق حركت كرد، وصيّت وكتاب‌ها و امور ديگر را به ام‌سلمه همسر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بزرگ‌ترين فرزندم نزد شما آمد، اينها را به او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شهادت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ام‌سلمه </w:t>
      </w:r>
    </w:p>
    <w:p>
      <w:pPr>
        <w:pStyle w:val="BookText"/>
        <w:rPr/>
      </w:pPr>
      <w:r>
        <w:rPr>
          <w:rFonts w:ascii="IRNazanin" w:hAnsi="IRNazanin" w:eastAsia="IRNazanin"/>
          <w:color w:val="111111"/>
          <w:sz w:val="28"/>
          <w:sz w:val="28"/>
          <w:szCs w:val="28"/>
          <w:rtl w:val="true"/>
          <w:lang w:bidi="fa-IR"/>
        </w:rPr>
        <w:t xml:space="preserve">آمد و او نيز همه آنچه را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داده بود، به ايشان داد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مانند همان روايت را از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از طرف ديگر در روايات فراوانى،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دعاها و به ويژه آن‌گاه كه راويان، خود را بر ائمه عرضه كرده‌اند، يك‌يك ائمه از جمله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برشمرده‌اند كه اگر بنا بر تفصيل بود آن را ذكر مى‌كرديم؛ در روايتى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پيشواى مسلمانان، حجت خداوند بر جهانيان، سرور مؤمنان، رهبر سفيدرويان و مولاى مؤمنانيم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اهل زمين، امان هستيم آن‌گونه كه ستاره‌ها امان اهل آسمان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از ما كسى در زمين نبود، زمين اهلش را فرو مى‌برد و از زمانى كه خداوند زمين را خلق كرده، خالى از حجت خدا نبوده است؛ يا ظاهر و مشهور است يا پنهان و غايب و تا روز قيامت هم زمين از حجت خدا خالى نخواهد بود وگرنه خداوند عبادت نمى‌شد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در روايت ابوخالد كابلى است كه او از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پيشوايان بعد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اولوالامر كه خداوند آنها را پيشوايان مردم قرار داده و اطاعت آنها را بر مردم واجب كرده، اميرالمؤمنين على بن ابى‌طالب است، سپس به ما رسيده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راوى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و حجت بعد از شما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نام يك يك ائمه را تا امام دوازدهم برشمرد</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روايت ديگرى وقتى ابوخالد از 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پيشوايان بعد از شما چند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هشت نفر؛ زيرا ائمه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هستند به عدد اسباط، سه نفر از گذشته‌ها و منم چهارمين و هشت نفر از فرزندان من</w:t>
      </w:r>
      <w:r>
        <w:rPr>
          <w:rFonts w:eastAsia="IRNazanin" w:cs="IRNazanin"/>
          <w:color w:val="111111"/>
          <w:sz w:val="28"/>
          <w:szCs w:val="28"/>
          <w:rtl w:val="true"/>
          <w:lang w:bidi="fa-IR"/>
        </w:rPr>
        <w:t xml:space="preserve">» .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 از جمله‌اين ادلّه، اشعار بلند فرزدق است كه در جريان معروفِ برخورد با هشام و تجاهل هشام از شناسايى على‌بن‌الحسين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طواف و احترام مردم از امام، روى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جريان، فرزدق اشعارى بالبداهه سرود كه در تاريخ ثبت است</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در آن اشعار به پيشوايى و برترى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وى تصريح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روايات شيعه بر امامت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 والبيه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كردن سنگريزه‌هاست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علامت امامت قرار داد كه وى تا زمان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و اين علامت را دريافت كرد</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روايات، احتجاج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عموى خويش محمدبن حنفيه است كه مدعى امامت بود و به پيشنهاد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به نزد حجرالاسود بردند تا آن سنگ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حنفيه تعجب </w:t>
      </w:r>
      <w:bookmarkStart w:id="293" w:name="pg1971_8457"/>
    </w:p>
    <w:p>
      <w:pPr>
        <w:pStyle w:val="BookText"/>
        <w:rPr/>
      </w:pPr>
      <w:bookmarkEnd w:id="293"/>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سنگى را كه جماد است داور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امامى كه جماد با او سخن نگويد امام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نزد حجرالاسود رفتند و از آن سنگ خواستند كه شهادت دهد؛ آن سنگ نيز به كلام فصيح بر امامت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 محمد حنفيه نيز پذيرفت</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موارد بسيار ديگرى وجود دارد كه ذكر همه آنها سبب طولانى شدن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با اين‌همه روايات، باز مى‌توان گفت كه شيعه بر اثبات امامت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دليلى جز ادعاى چند معجزه ندارد؟ </w:t>
      </w:r>
      <w:r>
        <w:rPr>
          <w:rFonts w:eastAsia="IRNazanin" w:cs="IRNazanin"/>
          <w:color w:val="111111"/>
          <w:sz w:val="28"/>
          <w:szCs w:val="28"/>
          <w:rtl w:val="true"/>
          <w:lang w:bidi="fa-IR"/>
        </w:rPr>
        <w:t>!</w:t>
      </w:r>
    </w:p>
    <w:p>
      <w:pPr>
        <w:pStyle w:val="Heading3"/>
        <w:numPr>
          <w:ilvl w:val="2"/>
          <w:numId w:val="1"/>
        </w:numPr>
        <w:rPr/>
      </w:pPr>
      <w:bookmarkStart w:id="294" w:name="__RefHeading___Toc3696571_3650668749"/>
      <w:bookmarkStart w:id="295" w:name="_Toc112"/>
      <w:bookmarkEnd w:id="294"/>
      <w:r>
        <w:rPr>
          <w:rtl w:val="true"/>
        </w:rPr>
        <w:t xml:space="preserve">اعتراف شخصيت‌هاى معروف به برترى حضرت على بن الحسين </w:t>
      </w:r>
      <w:r>
        <w:rPr>
          <w:rtl w:val="true"/>
        </w:rPr>
        <w:t>(</w:t>
      </w:r>
      <w:r>
        <w:rPr>
          <w:rtl w:val="true"/>
        </w:rPr>
        <w:t>عليهماالسلام</w:t>
      </w:r>
      <w:r>
        <w:rPr>
          <w:rtl w:val="true"/>
        </w:rPr>
        <w:t>)</w:t>
      </w:r>
      <w:bookmarkEnd w:id="295"/>
    </w:p>
    <w:p>
      <w:pPr>
        <w:pStyle w:val="BookText"/>
        <w:rPr/>
      </w:pPr>
      <w:r>
        <w:rPr>
          <w:rFonts w:ascii="IRNazanin" w:hAnsi="IRNazanin" w:eastAsia="IRNazanin"/>
          <w:color w:val="111111"/>
          <w:sz w:val="28"/>
          <w:sz w:val="28"/>
          <w:szCs w:val="28"/>
          <w:rtl w:val="true"/>
          <w:lang w:bidi="fa-IR"/>
        </w:rPr>
        <w:t xml:space="preserve">گذشته از همه اينها، برترى علمى، دينى، اخلاقى و عرفانى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محكمى بر امامت آن حضرت است؛ زيرا به حكم عقل و بنابر نظر علماى شيعه،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همه مردم برتر باشد و مسلم است كه هيچ‌كس در زمان آن حضرت در رتبه ايشان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پاره‌اى از سخنان عالمانى اشاره مى‌كنيم كه مورد اعتماد اهل سنت هستند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مسلم 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عالم حجاز و شام كه از مكتب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منحرف بوده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هيچ كس را فقيه‌تر از او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اهل بيت افضل از على بن الحسين نيافتم</w:t>
      </w:r>
      <w:r>
        <w:rPr>
          <w:rFonts w:eastAsia="IRNazanin" w:cs="IRNazanin"/>
          <w:color w:val="111111"/>
          <w:sz w:val="28"/>
          <w:szCs w:val="28"/>
          <w:rtl w:val="true"/>
          <w:lang w:bidi="fa-IR"/>
        </w:rPr>
        <w:t xml:space="preserve">» . </w:t>
      </w:r>
      <w:r>
        <w:rPr>
          <w:rStyle w:val="FootnoteAnchor"/>
          <w:rtl w:val="true"/>
        </w:rPr>
        <w:footnoteReference w:id="180"/>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سعيد بن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فقهاى مدينه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تابعان، عالم‌تر از زين‌العابدين نيست</w:t>
      </w:r>
      <w:r>
        <w:rPr>
          <w:rFonts w:eastAsia="IRNazanin" w:cs="IRNazanin"/>
          <w:color w:val="111111"/>
          <w:sz w:val="28"/>
          <w:szCs w:val="28"/>
          <w:rtl w:val="true"/>
          <w:lang w:bidi="fa-IR"/>
        </w:rPr>
        <w:t xml:space="preserve">» . </w:t>
      </w:r>
      <w:r>
        <w:rPr>
          <w:rStyle w:val="FootnoteAnchor"/>
          <w:rtl w:val="true"/>
        </w:rPr>
        <w:footnoteReference w:id="181"/>
      </w:r>
      <w:r>
        <w:rPr>
          <w:rFonts w:ascii="IRNazanin" w:hAnsi="IRNazanin" w:eastAsia="IRNazanin"/>
          <w:color w:val="111111"/>
          <w:sz w:val="28"/>
          <w:sz w:val="28"/>
          <w:szCs w:val="28"/>
          <w:rtl w:val="true"/>
          <w:lang w:bidi="fa-IR"/>
        </w:rPr>
        <w:t>همچنين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هرگز كسى را برتر از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او را نديدم مگر آنكه خودم را دشمن داشتم</w:t>
      </w:r>
      <w:r>
        <w:rPr>
          <w:rFonts w:eastAsia="IRNazanin" w:cs="IRNazanin"/>
          <w:color w:val="111111"/>
          <w:sz w:val="28"/>
          <w:szCs w:val="28"/>
          <w:rtl w:val="true"/>
          <w:lang w:bidi="fa-IR"/>
        </w:rPr>
        <w:t xml:space="preserve">» . </w:t>
      </w:r>
      <w:r>
        <w:rPr>
          <w:rStyle w:val="FootnoteAnchor"/>
          <w:rtl w:val="true"/>
        </w:rPr>
        <w:footnoteReference w:id="182"/>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بن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فقهاى مدينه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اهل قبله هرگز با مثل على بن الحسين ننشستم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على بن الحسين در فهم و حفظ نديدم</w:t>
      </w:r>
      <w:r>
        <w:rPr>
          <w:rFonts w:eastAsia="IRNazanin" w:cs="IRNazanin"/>
          <w:color w:val="111111"/>
          <w:sz w:val="28"/>
          <w:szCs w:val="28"/>
          <w:rtl w:val="true"/>
          <w:lang w:bidi="fa-IR"/>
        </w:rPr>
        <w:t xml:space="preserve">» . </w:t>
      </w:r>
      <w:r>
        <w:rPr>
          <w:rStyle w:val="FootnoteAnchor"/>
          <w:rtl w:val="true"/>
        </w:rPr>
        <w:footnoteReference w:id="183"/>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حمّاد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فقهاى بصره و بزرگان مسلمانان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على‌بن الحسين برترين هاشمى است كه ملاقات كرده‌ام</w:t>
      </w:r>
      <w:r>
        <w:rPr>
          <w:rFonts w:eastAsia="IRNazanin" w:cs="IRNazanin"/>
          <w:color w:val="111111"/>
          <w:sz w:val="28"/>
          <w:szCs w:val="28"/>
          <w:rtl w:val="true"/>
          <w:lang w:bidi="fa-IR"/>
        </w:rPr>
        <w:t xml:space="preserve">» . </w:t>
      </w:r>
      <w:r>
        <w:rPr>
          <w:rStyle w:val="FootnoteAnchor"/>
          <w:rtl w:val="true"/>
        </w:rPr>
        <w:footnoteReference w:id="184"/>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يحيى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تابعان و مورد اعتماد اهل سنت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على‌بن الحسين شنيدم و او برترين هاشمى است كه ديده‌ام</w:t>
      </w:r>
      <w:r>
        <w:rPr>
          <w:rFonts w:eastAsia="IRNazanin" w:cs="IRNazanin"/>
          <w:color w:val="111111"/>
          <w:sz w:val="28"/>
          <w:szCs w:val="28"/>
          <w:rtl w:val="true"/>
          <w:lang w:bidi="fa-IR"/>
        </w:rPr>
        <w:t xml:space="preserve">» .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عظمت حضرت به گونه‌اى بود كه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از فضل، علم، دين و ورع آن‌قدر داده‌اند كه به هيچ‌كس نداده‌اند، مگر به گذشتگان از شما</w:t>
      </w:r>
      <w:r>
        <w:rPr>
          <w:rFonts w:eastAsia="IRNazanin" w:cs="IRNazanin"/>
          <w:color w:val="111111"/>
          <w:sz w:val="28"/>
          <w:szCs w:val="28"/>
          <w:rtl w:val="true"/>
          <w:lang w:bidi="fa-IR"/>
        </w:rPr>
        <w:t xml:space="preserve">» .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و سرانجام، 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متعصب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داراى جلالتى</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عجيب بود و به خدا سوگند كه شايسته آن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آن سيادت، </w:t>
      </w:r>
      <w:bookmarkStart w:id="296" w:name="pg1971_8459"/>
    </w:p>
    <w:p>
      <w:pPr>
        <w:pStyle w:val="BookText"/>
        <w:rPr/>
      </w:pPr>
      <w:bookmarkEnd w:id="296"/>
      <w:r>
        <w:rPr>
          <w:rFonts w:ascii="Amiri" w:hAnsi="Amiri" w:eastAsia="Amiri" w:cs="Amiri"/>
          <w:color w:val="111111"/>
          <w:sz w:val="28"/>
          <w:sz w:val="28"/>
          <w:szCs w:val="28"/>
          <w:rtl w:val="true"/>
          <w:lang w:bidi="ar-SA"/>
        </w:rPr>
        <w:t>علم، معنويت و عقل كاملى كه داشت شايسته امامت عُظما بود</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آيا هنوز هم دليل امامت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ذكر چند معجزه ادعايى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معجزه و امور خارق‌العاده‌اى كه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است نيز خود در كنار نصوص و ادله امامت ايشان، دليل قاطع بر امامت ايشان است؛ امرى كه ذكر موارد آن، بحث را طولانى مى‌گرداند و براى اطلاع از آنها، بهتر است به كتب شيعه،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كتاب بحارالانوار نزديك به پنجاه جريان حكايت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شايسته توجه است چون معجزه يا كرامت از ويژگى‌هاى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برخى از مخالفان نيز سعى در تضعيف اين‌گونه امور كرده‌اند تا ضعف خود را جبران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آوردن معجزه و كرامت، بهترين دليل براى اثبات امامت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همچنان‌كه بهترين دليل بر نبوت انبيا بوده است</w:t>
      </w:r>
      <w:r>
        <w:rPr>
          <w:rFonts w:eastAsia="IRNazanin" w:cs="IRNazanin"/>
          <w:color w:val="111111"/>
          <w:sz w:val="28"/>
          <w:szCs w:val="28"/>
          <w:rtl w:val="true"/>
          <w:lang w:bidi="fa-IR"/>
        </w:rPr>
        <w:t>.</w:t>
      </w:r>
    </w:p>
    <w:p>
      <w:pPr>
        <w:pStyle w:val="Heading3"/>
        <w:numPr>
          <w:ilvl w:val="2"/>
          <w:numId w:val="1"/>
        </w:numPr>
        <w:rPr/>
      </w:pPr>
      <w:bookmarkStart w:id="297" w:name="__RefHeading___Toc3696573_3650668749"/>
      <w:bookmarkStart w:id="298" w:name="_Toc113"/>
      <w:bookmarkEnd w:id="297"/>
      <w:r>
        <w:rPr>
          <w:rtl w:val="true"/>
        </w:rPr>
        <w:t xml:space="preserve">توجه امام زين‌العابدين </w:t>
      </w:r>
      <w:r>
        <w:rPr>
          <w:rtl w:val="true"/>
        </w:rPr>
        <w:t>(</w:t>
      </w:r>
      <w:r>
        <w:rPr>
          <w:rtl w:val="true"/>
        </w:rPr>
        <w:t>ع</w:t>
      </w:r>
      <w:r>
        <w:rPr>
          <w:rtl w:val="true"/>
        </w:rPr>
        <w:t xml:space="preserve">) </w:t>
      </w:r>
      <w:r>
        <w:rPr>
          <w:rtl w:val="true"/>
        </w:rPr>
        <w:t>به دستور خداوند و شرايط خاص</w:t>
      </w:r>
      <w:bookmarkEnd w:id="29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علت نپرداختن حضرت به قيام يا سخنرانى عليه حاكمان بنى‌اميه صرف‌نظر از اجراى دستور خداوند وضعيت آن زمان اقتضاى چنين اقدامى را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راه جهاد علمى و عملى به ترويج دين پرداخت و هنگام ضرورت اقدام لازم را هم مى‌كرد؛ قيام مختار، نمونه </w:t>
      </w:r>
    </w:p>
    <w:p>
      <w:pPr>
        <w:pStyle w:val="BookText"/>
        <w:rPr/>
      </w:pPr>
      <w:r>
        <w:rPr>
          <w:rFonts w:ascii="IRNazanin" w:hAnsi="IRNazanin" w:eastAsia="IRNazanin"/>
          <w:color w:val="111111"/>
          <w:sz w:val="28"/>
          <w:sz w:val="28"/>
          <w:szCs w:val="28"/>
          <w:rtl w:val="true"/>
          <w:lang w:bidi="fa-IR"/>
        </w:rPr>
        <w:t>تاريخى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مختار درباره قيامش به محمدبن حنفيه و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 و كسب تكليف كرد،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صريح تأييد نكرد؛ ولى محمدبن‌حنفيه به اصحاب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برخيزيد تا نزد امام من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چون نزد حضرت آمدند و جريان را گفتند، حضرت به عموى خود جمله عجيبى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اَنَّ عَبْداً زَنَجيّاً تَعَصَّبَ لَنَا اَهْلَ الْبَيْتِ لَوَجَبَ عَلَى النّاسِ مُؤازِرَته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بنده‌اى از زَنج براى ما اهل بيت حركت كند، بر مردم واجب است او را كمك كنند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متولّى آن قرار دادم، هر چه خواهى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جمعيت حاضر از نزد ايشان بيرون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زين‌العابدين و محمدبن‌حنفيه به ما اجازه دادند</w:t>
      </w:r>
      <w:r>
        <w:rPr>
          <w:rFonts w:eastAsia="IRNazanin" w:cs="IRNazanin"/>
          <w:color w:val="111111"/>
          <w:sz w:val="28"/>
          <w:szCs w:val="28"/>
          <w:rtl w:val="true"/>
          <w:lang w:bidi="fa-IR"/>
        </w:rPr>
        <w:t xml:space="preserve">» . </w:t>
      </w:r>
      <w:r>
        <w:rPr>
          <w:rStyle w:val="FootnoteAnchor"/>
          <w:rtl w:val="true"/>
        </w:rPr>
        <w:footnoteReference w:id="189"/>
      </w:r>
      <w:r>
        <w:rPr>
          <w:rFonts w:ascii="IRNazanin" w:hAnsi="IRNazanin" w:eastAsia="IRNazanin"/>
          <w:color w:val="111111"/>
          <w:sz w:val="28"/>
          <w:sz w:val="28"/>
          <w:szCs w:val="28"/>
          <w:rtl w:val="true"/>
          <w:lang w:bidi="fa-IR"/>
        </w:rPr>
        <w:t>همين مسئله سبب شركت شيعه در قيام مختار و پيروزى 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نيز از ديدن دو سر بريده ابن زياد و عمربن‌سعد خوشحال شد و سجده شكر به‌جا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 خدا را كه انتقام مرا از دشمنانم گرفت؛ خدا به مختار جزاى خير دهد</w:t>
      </w:r>
      <w:r>
        <w:rPr>
          <w:rFonts w:eastAsia="IRNazanin" w:cs="IRNazanin"/>
          <w:color w:val="111111"/>
          <w:sz w:val="28"/>
          <w:szCs w:val="28"/>
          <w:rtl w:val="true"/>
          <w:lang w:bidi="fa-IR"/>
        </w:rPr>
        <w:t xml:space="preserve">» . </w:t>
      </w:r>
      <w:r>
        <w:rPr>
          <w:rStyle w:val="FootnoteAnchor"/>
          <w:rtl w:val="true"/>
        </w:rPr>
        <w:footnoteReference w:id="190"/>
      </w:r>
      <w:bookmarkStart w:id="299" w:name="pg1971_8461"/>
    </w:p>
    <w:p>
      <w:pPr>
        <w:pStyle w:val="Heading2"/>
        <w:numPr>
          <w:ilvl w:val="1"/>
          <w:numId w:val="1"/>
        </w:numPr>
        <w:rPr/>
      </w:pPr>
      <w:bookmarkStart w:id="300" w:name="__RefHeading___Toc3696575_3650668749"/>
      <w:bookmarkStart w:id="301" w:name="_Toc114"/>
      <w:bookmarkEnd w:id="299"/>
      <w:bookmarkEnd w:id="300"/>
      <w:r>
        <w:rPr/>
        <w:t>١٧</w:t>
      </w:r>
      <w:r>
        <w:rPr>
          <w:rtl w:val="true"/>
        </w:rPr>
        <w:t xml:space="preserve"> زيد بن على و مسئله امامت پدر خويش</w:t>
      </w:r>
      <w:bookmarkEnd w:id="301"/>
    </w:p>
    <w:p>
      <w:pPr>
        <w:pStyle w:val="Heading3"/>
        <w:numPr>
          <w:ilvl w:val="2"/>
          <w:numId w:val="1"/>
        </w:numPr>
        <w:rPr/>
      </w:pPr>
      <w:bookmarkStart w:id="302" w:name="__RefHeading___Toc3696577_3650668749"/>
      <w:bookmarkStart w:id="303" w:name="_Toc115"/>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٣۵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٣۶</w:t>
      </w:r>
      <w:r>
        <w:rPr>
          <w:rFonts w:ascii="IRNazanin" w:hAnsi="IRNazanin" w:eastAsia="IRNazanin"/>
          <w:color w:val="111111"/>
          <w:sz w:val="28"/>
          <w:sz w:val="28"/>
          <w:szCs w:val="28"/>
          <w:rtl w:val="true"/>
          <w:lang w:bidi="fa-IR"/>
        </w:rPr>
        <w:t xml:space="preserve"> مدعى است كه زيدبن‌على‌بن‌حسين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امامت پدر خويش بى‌اطلاع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جريان مكالمه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را نقل مى‌كند كه زيد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آن‌قدر با من مهربان بود كه لقمه داغ را سرد مى‌كرد و در دهانم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فكر نيفتاد مرا از جهنم نجات دهد و از امامت خودش باخبر سازد، ولى تو را آگاه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در جواب با ذكر خواب يوسف و نهى حضرت يعقوب از گفتن خواب به برادران به سبب حسادت آنها، به زيد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مى‌ترسيد اگر بگويد و قبول نكنى، جهنمى شوى و از سر دلسوزى به تو نگفت</w:t>
      </w:r>
      <w:r>
        <w:rPr>
          <w:rFonts w:eastAsia="IRNazanin" w:cs="IRNazanin"/>
          <w:color w:val="111111"/>
          <w:sz w:val="28"/>
          <w:szCs w:val="28"/>
          <w:rtl w:val="true"/>
          <w:lang w:bidi="fa-IR"/>
        </w:rPr>
        <w:t>. . .» .</w:t>
      </w:r>
    </w:p>
    <w:p>
      <w:pPr>
        <w:pStyle w:val="Heading3"/>
        <w:numPr>
          <w:ilvl w:val="2"/>
          <w:numId w:val="1"/>
        </w:numPr>
        <w:rPr/>
      </w:pPr>
      <w:bookmarkStart w:id="304" w:name="__RefHeading___Toc3696579_3650668749"/>
      <w:bookmarkStart w:id="305" w:name="_Toc116"/>
      <w:bookmarkEnd w:id="304"/>
      <w:r>
        <w:rPr>
          <w:rtl w:val="true"/>
        </w:rPr>
        <w:t>پاسخ</w:t>
      </w:r>
      <w:bookmarkEnd w:id="30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قضاوت گزارش‌هاى تاريخى، نياز به بررسى همه‌جانبه دارد و با مشاهده يك نقل، نمى‌توان قضاوت دقيقى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گوناگونى درباره جناب زيد بن على وجود دارد كه روايت فوق يكى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افزون بر ضعف سند، يك راوى ضعيف و دو نفر مجهول </w:t>
      </w:r>
    </w:p>
    <w:p>
      <w:pPr>
        <w:pStyle w:val="BookText"/>
        <w:rPr/>
      </w:pPr>
      <w:r>
        <w:rPr>
          <w:rFonts w:ascii="IRNazanin" w:hAnsi="IRNazanin" w:eastAsia="IRNazanin"/>
          <w:color w:val="111111"/>
          <w:sz w:val="28"/>
          <w:sz w:val="28"/>
          <w:szCs w:val="28"/>
          <w:rtl w:val="true"/>
          <w:lang w:bidi="fa-IR"/>
        </w:rPr>
        <w:t xml:space="preserve">دارد </w:t>
      </w:r>
      <w:r>
        <w:rPr>
          <w:rStyle w:val="FootnoteAnchor"/>
          <w:rtl w:val="true"/>
        </w:rPr>
        <w:footnoteReference w:id="191"/>
      </w:r>
      <w:r>
        <w:rPr>
          <w:rFonts w:ascii="IRNazanin" w:hAnsi="IRNazanin" w:eastAsia="IRNazanin"/>
          <w:color w:val="111111"/>
          <w:sz w:val="28"/>
          <w:sz w:val="28"/>
          <w:szCs w:val="28"/>
          <w:rtl w:val="true"/>
          <w:lang w:bidi="fa-IR"/>
        </w:rPr>
        <w:t xml:space="preserve">و با روايات ديگرى معارض است كه به اعتقاد او به امامت پدرش و حتى امامت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عمويم زيد، اگر پيروز مى‌شد وفا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به رضاى آل محمد دعوت مى‌كرد و منم آن رضا</w:t>
      </w:r>
      <w:r>
        <w:rPr>
          <w:rFonts w:eastAsia="IRNazanin" w:cs="IRNazanin"/>
          <w:color w:val="111111"/>
          <w:sz w:val="28"/>
          <w:szCs w:val="28"/>
          <w:rtl w:val="true"/>
          <w:lang w:bidi="fa-IR"/>
        </w:rPr>
        <w:t xml:space="preserve">» .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فرزندش يحيى نيز به همين امر تصريح مى‌كرد كه پدرم امام نبود و او عاقل‌تر از آن بود كه چيزى را ادعا كند كه حق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شما را به رضاى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مى‌كنم و مقصودش پسرعمويم جعفر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اوست 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او داناترين بنى‌هاشم است</w:t>
      </w:r>
      <w:r>
        <w:rPr>
          <w:rFonts w:eastAsia="IRNazanin" w:cs="IRNazanin"/>
          <w:color w:val="111111"/>
          <w:sz w:val="28"/>
          <w:szCs w:val="28"/>
          <w:rtl w:val="true"/>
          <w:lang w:bidi="fa-IR"/>
        </w:rPr>
        <w:t xml:space="preserve">» . </w:t>
      </w:r>
      <w:r>
        <w:rPr>
          <w:rStyle w:val="FootnoteAnchor"/>
          <w:rtl w:val="true"/>
        </w:rPr>
        <w:footnoteReference w:id="193"/>
      </w:r>
      <w:r>
        <w:rPr>
          <w:rFonts w:ascii="IRNazanin" w:hAnsi="IRNazanin" w:eastAsia="IRNazanin"/>
          <w:color w:val="111111"/>
          <w:sz w:val="28"/>
          <w:sz w:val="28"/>
          <w:szCs w:val="28"/>
          <w:rtl w:val="true"/>
          <w:lang w:bidi="fa-IR"/>
        </w:rPr>
        <w:t>و در روايتى ديگر، جناب زيد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جَعْفَر اِمامُنَا فى الْحَلالِ وَالْحَرامِ </w:t>
      </w:r>
      <w:r>
        <w:rPr>
          <w:rFonts w:eastAsia="Amiri" w:cs="Amiri" w:ascii="Amiri" w:hAnsi="Amiri"/>
          <w:color w:val="111111"/>
          <w:sz w:val="28"/>
          <w:szCs w:val="28"/>
          <w:rtl w:val="true"/>
          <w:lang w:bidi="ar-SA"/>
        </w:rPr>
        <w:t xml:space="preserve">» .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 در روايتى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در هر زمانى، به مردى از ما اهل‌بيت، بر خلق احتجاج مى‌كند و حجت زمان ما، برادرزاده‌ام جعفربن‌محمد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نشود هر كه از او پيروى كند و هدايت نيابد هر كه با او مخالفت كند</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 يحيى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پدرم درباره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دوازده نفرند؛ چهار نفر از گذشتگان و هشت نفر از باقيمانده‌ها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ببر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آنها كه 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و حسن و حسين و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باقيمانده‌ها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باقر و بعد از او جعفرصادق و بعد از او پسرش موسى و سپس پسرش على و بعد از او پسرش محمد و بعد از او پسرش على و بعد از او پسرش حسن و بعد از او پسرش مهدى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 آيا تو از آنها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ولى من از عترت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نام‌هاى ايشان را از كجا دانستى؟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عهدى است كه از جانب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شده است</w:t>
      </w:r>
      <w:r>
        <w:rPr>
          <w:rFonts w:eastAsia="IRNazanin" w:cs="IRNazanin"/>
          <w:color w:val="111111"/>
          <w:sz w:val="28"/>
          <w:szCs w:val="28"/>
          <w:rtl w:val="true"/>
          <w:lang w:bidi="fa-IR"/>
        </w:rPr>
        <w:t xml:space="preserve">» .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آيا با وجود اين همه تصريح به اعتقاد ايشان به حق امامت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مى‌توان به آن روايت قبلى اعتماد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روايت ادعا شده صحيح باشد، ممكن است آن را به سبب مصالحى بيان كرده باشد؛ از جمله حفظ موقعيت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مبادا ديگران قيام را منسوب به ايشان نموده و در نتيجه براى ايشان مشكلاتى ايجاد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به‌هرحال عظمت جناب زيدبن‌على در علم، عمل و تقوا كه روايات فراوانى بر آن دلالت دارد و تجليل از وى و قيامش و اينكه شهداى همراه او مثل شهداى همراه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كه در روايات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همگى از عقيده و شناخت وى از امام زمان خويش نشان دارد؛ بنابراين وجود برخى روايات، اگر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ثابت باشد، مى‌تواند به سبب موقعيت خاص او در قيام ضد حكومت </w:t>
      </w:r>
    </w:p>
    <w:p>
      <w:pPr>
        <w:pStyle w:val="BookText"/>
        <w:rPr/>
      </w:pPr>
      <w:r>
        <w:rPr>
          <w:rFonts w:ascii="IRNazanin" w:hAnsi="IRNazanin" w:eastAsia="IRNazanin"/>
          <w:color w:val="111111"/>
          <w:sz w:val="28"/>
          <w:sz w:val="28"/>
          <w:szCs w:val="28"/>
          <w:rtl w:val="true"/>
          <w:lang w:bidi="fa-IR"/>
        </w:rPr>
        <w:t>اموى صادر شده باشد كه هرگز دليلى بر نشناختن امام زمان خويش نيست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هم كه همراه او قيام كردند، گرچه عده‌اى وى را امام مى‌پنداشتند، ولى همگى چنين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وقتى مردى در حضور زيد از سليمان بن خالد پرسيد كه درباره زيد چه مى‌گويى، او برتر است يا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يك روز جعفر، برتر است از تمام دنياى زيد</w:t>
      </w:r>
      <w:r>
        <w:rPr>
          <w:rFonts w:eastAsia="IRNazanin" w:cs="IRNazanin"/>
          <w:color w:val="111111"/>
          <w:sz w:val="28"/>
          <w:szCs w:val="28"/>
          <w:rtl w:val="true"/>
          <w:lang w:bidi="fa-IR"/>
        </w:rPr>
        <w:t xml:space="preserve">» . </w:t>
      </w:r>
      <w:r>
        <w:rPr>
          <w:rStyle w:val="FootnoteAnchor"/>
          <w:rtl w:val="true"/>
        </w:rPr>
        <w:footnoteReference w:id="197"/>
      </w:r>
      <w:bookmarkStart w:id="306" w:name="pg1971_8465"/>
    </w:p>
    <w:p>
      <w:pPr>
        <w:pStyle w:val="Heading2"/>
        <w:numPr>
          <w:ilvl w:val="1"/>
          <w:numId w:val="1"/>
        </w:numPr>
        <w:rPr/>
      </w:pPr>
      <w:bookmarkStart w:id="307" w:name="__RefHeading___Toc3696581_3650668749"/>
      <w:bookmarkStart w:id="308" w:name="_Toc117"/>
      <w:bookmarkEnd w:id="306"/>
      <w:bookmarkEnd w:id="307"/>
      <w:r>
        <w:rPr/>
        <w:t>١٨</w:t>
      </w:r>
      <w:r>
        <w:rPr>
          <w:rtl w:val="true"/>
        </w:rPr>
        <w:t xml:space="preserve"> وظيفه مسلمانان در باره شناخت جانشين امام</w:t>
      </w:r>
      <w:bookmarkEnd w:id="308"/>
    </w:p>
    <w:p>
      <w:pPr>
        <w:pStyle w:val="Heading3"/>
        <w:numPr>
          <w:ilvl w:val="2"/>
          <w:numId w:val="1"/>
        </w:numPr>
        <w:rPr/>
      </w:pPr>
      <w:bookmarkStart w:id="309" w:name="__RefHeading___Toc3696583_3650668749"/>
      <w:bookmarkStart w:id="310" w:name="_Toc118"/>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٣٧</w:t>
      </w:r>
      <w:r>
        <w:rPr>
          <w:rFonts w:ascii="IRNazanin" w:hAnsi="IRNazanin" w:eastAsia="IRNazanin"/>
          <w:color w:val="111111"/>
          <w:sz w:val="28"/>
          <w:sz w:val="28"/>
          <w:szCs w:val="28"/>
          <w:rtl w:val="true"/>
          <w:lang w:bidi="fa-IR"/>
        </w:rPr>
        <w:t xml:space="preserve"> مى‌نويسد كه احاديث زيادى به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ممكن است شيعه امام را نشناسد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احاديث، موضعى را بيان مى‌كند كه شيعه بايد در آن شرايط اتخاذ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بيانى با عقيده شيعه در مسئله امامت مغاير است؛ زيرا شيعه امامت را منصب الهى دانسته و شناخت دوازده امام را لازم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نويسنده چهار روايت در اين زمينه نقل مى‌كند</w:t>
      </w:r>
      <w:r>
        <w:rPr>
          <w:rFonts w:eastAsia="IRNazanin" w:cs="IRNazanin"/>
          <w:color w:val="111111"/>
          <w:sz w:val="28"/>
          <w:szCs w:val="28"/>
          <w:rtl w:val="true"/>
          <w:lang w:bidi="fa-IR"/>
        </w:rPr>
        <w:t>.</w:t>
      </w:r>
    </w:p>
    <w:p>
      <w:pPr>
        <w:pStyle w:val="Heading3"/>
        <w:numPr>
          <w:ilvl w:val="2"/>
          <w:numId w:val="1"/>
        </w:numPr>
        <w:rPr/>
      </w:pPr>
      <w:bookmarkStart w:id="311" w:name="__RefHeading___Toc3696585_3650668749"/>
      <w:bookmarkStart w:id="312" w:name="_Toc119"/>
      <w:bookmarkEnd w:id="311"/>
      <w:r>
        <w:rPr>
          <w:rtl w:val="true"/>
        </w:rPr>
        <w:t>پاسخ</w:t>
      </w:r>
      <w:bookmarkEnd w:id="312"/>
    </w:p>
    <w:p>
      <w:pPr>
        <w:pStyle w:val="BookText"/>
        <w:rPr/>
      </w:pPr>
      <w:r>
        <w:rPr>
          <w:rFonts w:ascii="IRNazanin" w:hAnsi="IRNazanin" w:eastAsia="IRNazanin"/>
          <w:color w:val="111111"/>
          <w:sz w:val="28"/>
          <w:sz w:val="28"/>
          <w:szCs w:val="28"/>
          <w:rtl w:val="true"/>
          <w:lang w:bidi="fa-IR"/>
        </w:rPr>
        <w:t>اگر منظور اين است كه شيعه معتقد است، هر مسلمانى بايد به امامان دوازده‌گانه معتقد باشد، هرچند هنوز امامت‌شان آغاز نشده باشد، ادعاى ناصحيحى است؛ زيرا آنچه واجب است شناخت امام زمان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كسى‌كه در عصر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شناخت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ائمه بعد از ايشان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دوازده امام را تفصيلاً يا اجمالاً شنيد، بايد ملتزم 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در مسئله امامت معتقد است كه مسلمانان بايد امام زمان خود را بشناسند و هر كس كه امام زمان خود را نشناسد و از دنيا برود به مرگ </w:t>
      </w:r>
    </w:p>
    <w:p>
      <w:pPr>
        <w:pStyle w:val="BookText"/>
        <w:rPr/>
      </w:pPr>
      <w:r>
        <w:rPr>
          <w:rFonts w:ascii="IRNazanin" w:hAnsi="IRNazanin" w:eastAsia="IRNazanin"/>
          <w:color w:val="111111"/>
          <w:sz w:val="28"/>
          <w:sz w:val="28"/>
          <w:szCs w:val="28"/>
          <w:rtl w:val="true"/>
          <w:lang w:bidi="fa-IR"/>
        </w:rPr>
        <w:t>جاهليت از دنيا رفته و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احاديث فراوانى آمده است كه اهل سنت نيز آن را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براساس روايت اگر در شرايطى شناخت امام براى او ممكن نباشد، مثل زمانى كه امام قبلى از دنيا برود و شناخت امام بعدى به هجرت كردن به مدينه و بررسى نياز داشته باشد، همچنان‌كه در دوران سخت بنى‌اميه و بنى‌عباس، معمولاً معرفى آشكار امام بعدى پرخطر بوده است و شيعيان با فرستادن نماينده، از راه پرسش و پاسخ، ديدن دلايل و معجزات و گرفتن اخبار و نصوص از امام بعدى آگاهى يافته و معتقد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در اين موارد ضمن تأكيد بر شناخت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شيعه را در زمان تحقيق، معذور دانسته و همين‌كه اجمالاً به امامت كسى معتقد باشد كه امام قبلى او را معرفى كرده، كافى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عقل و شرع نيز همين است و رواياتى را كه نويسنده آورده است نيز دلالت بر همين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اين سؤال كه اگر براى امام اتفاقى افتاد، مردم چه كنند،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آن‌گونه باشند كه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كردند كه مفاد آن، لزوم كوچ كردن عده‌اى براى فهم دين است تا مردم را آگاه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آيه نفر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١٢٢</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از هر گروهى از آنان، طايفه‌اى كوچ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طايفه‌اى در مدينه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و احكام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يابند </w:t>
      </w:r>
    </w:p>
    <w:p>
      <w:pPr>
        <w:pStyle w:val="BookText"/>
        <w:rPr/>
      </w:pPr>
      <w:r>
        <w:rPr>
          <w:rFonts w:ascii="IRNazanin" w:hAnsi="IRNazanin" w:eastAsia="IRNazanin"/>
          <w:color w:val="111111"/>
          <w:sz w:val="28"/>
          <w:sz w:val="28"/>
          <w:szCs w:val="28"/>
          <w:rtl w:val="true"/>
          <w:lang w:bidi="fa-IR"/>
        </w:rPr>
        <w:t xml:space="preserve">وبه هنگام بازگشت به سوى قوم خود، آنها را بيم دهند؟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و خوددارى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جويندگانى كه در ايام تحقيق منتظر خبر هستند را معذور و كسانى را كه در ميان راه بميرند مصداق آيه صد سوره نساء دانسته است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يُهاجِرْ فِي سَبِيلِ اللَّهِ يَجِدْ فِي الْأَرْضِ مُراغَماً كَثِيراً وَ سَعَةً وَ مَنْ يَخْرُجْ مِنْ بَيْتِهِ مُهاجِراً إِلَى اللَّهِ وَ رَسُولِهِ ثُمَّ يُدْرِكْهُ الْمَوْتُ فَقَدْ وَقَعَ أَجْرُهُ عَلَى اللَّهِ وَ كانَ اللَّهُ غَفُوراً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وهر كسى كه در راه خدا هجرت كند، مناطق امن فراوان و امكانات وسيعى در زمين مى‌يابد و هر كس از خانه خود به عنوان مهاجرت به سوى خدا و پيامبر او، خارج شود سپس مرگش فرا رسد، پاداش او بر خداست و خدا آمرزنده و مهربان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اينها همه به مقتضاى حكم عقل و شرع است كه با اعتقادات شيعه منافات ندارد</w:t>
      </w:r>
      <w:r>
        <w:rPr>
          <w:rFonts w:eastAsia="Amiri" w:cs="Amiri" w:ascii="Amiri" w:hAnsi="Amiri"/>
          <w:color w:val="111111"/>
          <w:sz w:val="28"/>
          <w:szCs w:val="28"/>
          <w:rtl w:val="true"/>
          <w:lang w:bidi="ar-SA"/>
        </w:rPr>
        <w:t xml:space="preserve">. </w:t>
      </w:r>
      <w:bookmarkStart w:id="313" w:name="pg1971_8468"/>
    </w:p>
    <w:p>
      <w:pPr>
        <w:pStyle w:val="Heading2"/>
        <w:numPr>
          <w:ilvl w:val="1"/>
          <w:numId w:val="1"/>
        </w:numPr>
        <w:rPr/>
      </w:pPr>
      <w:bookmarkStart w:id="314" w:name="__RefHeading___Toc3696587_3650668749"/>
      <w:bookmarkStart w:id="315" w:name="_Toc120"/>
      <w:bookmarkEnd w:id="313"/>
      <w:bookmarkEnd w:id="314"/>
      <w:r>
        <w:rPr/>
        <w:t>١٩</w:t>
      </w:r>
      <w:r>
        <w:rPr>
          <w:rtl w:val="true"/>
        </w:rPr>
        <w:t xml:space="preserve"> اطلاع كامل ائمه اطهار از جانشين خويش</w:t>
      </w:r>
      <w:bookmarkEnd w:id="315"/>
    </w:p>
    <w:p>
      <w:pPr>
        <w:pStyle w:val="Heading3"/>
        <w:numPr>
          <w:ilvl w:val="2"/>
          <w:numId w:val="1"/>
        </w:numPr>
        <w:rPr/>
      </w:pPr>
      <w:bookmarkStart w:id="316" w:name="__RefHeading___Toc3696589_3650668749"/>
      <w:bookmarkStart w:id="317" w:name="_Toc121"/>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۴٠</w:t>
      </w:r>
      <w:r>
        <w:rPr>
          <w:rFonts w:ascii="IRNazanin" w:hAnsi="IRNazanin" w:eastAsia="IRNazanin"/>
          <w:color w:val="111111"/>
          <w:sz w:val="28"/>
          <w:sz w:val="28"/>
          <w:szCs w:val="28"/>
          <w:rtl w:val="true"/>
          <w:lang w:bidi="fa-IR"/>
        </w:rPr>
        <w:t xml:space="preserve"> مى‌گويد، روايات زيادى به اين مطب اشاره مى‌كند كه خود امامان از امامت خود يا امام بعدى خبر نداشتند، مگر زمانى كه مرگشان نزديك مى‌شد؛ چه رسد به شيعه كه بعد از وفات هر امامى دچار حيرت و اختلاف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روايتى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به اين مضمون كه هيچ امامى نمى‌ميرد مگر آنكه خداوند به او خبر مى‌دهد، چه كسى را جانشين خود كند</w:t>
      </w:r>
      <w:r>
        <w:rPr>
          <w:rFonts w:eastAsia="IRNazanin" w:cs="IRNazanin"/>
          <w:color w:val="111111"/>
          <w:sz w:val="28"/>
          <w:szCs w:val="28"/>
          <w:rtl w:val="true"/>
          <w:lang w:bidi="fa-IR"/>
        </w:rPr>
        <w:t>.</w:t>
      </w:r>
    </w:p>
    <w:p>
      <w:pPr>
        <w:pStyle w:val="Heading3"/>
        <w:numPr>
          <w:ilvl w:val="2"/>
          <w:numId w:val="1"/>
        </w:numPr>
        <w:rPr/>
      </w:pPr>
      <w:bookmarkStart w:id="318" w:name="__RefHeading___Toc3696591_3650668749"/>
      <w:bookmarkStart w:id="319" w:name="_Toc122"/>
      <w:bookmarkEnd w:id="318"/>
      <w:r>
        <w:rPr>
          <w:rtl w:val="true"/>
        </w:rPr>
        <w:t>پاسخ</w:t>
      </w:r>
      <w:bookmarkEnd w:id="319"/>
    </w:p>
    <w:p>
      <w:pPr>
        <w:pStyle w:val="BookText"/>
        <w:rPr/>
      </w:pPr>
      <w:r>
        <w:rPr>
          <w:rFonts w:ascii="IRNazanin" w:hAnsi="IRNazanin" w:eastAsia="IRNazanin"/>
          <w:color w:val="111111"/>
          <w:sz w:val="28"/>
          <w:sz w:val="28"/>
          <w:szCs w:val="28"/>
          <w:rtl w:val="true"/>
          <w:lang w:bidi="fa-IR"/>
        </w:rPr>
        <w:t>اى كاش يك روايت نقل مى‌شد كه مضمونش اين باشد كه امامى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بعد از خود را نمى‌شناسم يا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كه امامت به من مى‌رسد تا تأكيدى بر ادعاى نويسنده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مسئله از دو جهت درخور بررسى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امام به جانشين خود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جانشين امام به جانشينى خود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علم امام به جانشين خود اولاً، دليل عقلى نداريم كه امام بايد از ابتداى امامتش جانشين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ندانستن هم هيچ ضربه‌اى </w:t>
      </w:r>
    </w:p>
    <w:p>
      <w:pPr>
        <w:pStyle w:val="BookText"/>
        <w:rPr/>
      </w:pPr>
      <w:r>
        <w:rPr>
          <w:rFonts w:ascii="IRNazanin" w:hAnsi="IRNazanin" w:eastAsia="IRNazanin"/>
          <w:color w:val="111111"/>
          <w:sz w:val="28"/>
          <w:sz w:val="28"/>
          <w:szCs w:val="28"/>
          <w:rtl w:val="true"/>
          <w:lang w:bidi="fa-IR"/>
        </w:rPr>
        <w:t>به امامت وى نمى‌زند در صورتى‌كه خداوند اراده كرده باشد در وقت معينى او را از جانشينش آگاه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روايات فراوانى دلالت مى‌كند كه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سال‌ها قبل از رحلت يا از ابتداى امامت يا حتى قبل از امامتش جانشين خود را مى‌شناسد؛ مثلاً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نطفه‌اى را كه امام بعدى از آن خواهد بود، مى‌شناسد</w:t>
      </w:r>
      <w:r>
        <w:rPr>
          <w:rFonts w:eastAsia="Amiri" w:cs="Amiri" w:ascii="Amiri" w:hAnsi="Amiri"/>
          <w:color w:val="111111"/>
          <w:sz w:val="28"/>
          <w:szCs w:val="28"/>
          <w:rtl w:val="true"/>
          <w:lang w:bidi="ar-SA"/>
        </w:rPr>
        <w:t xml:space="preserve">» . </w:t>
      </w:r>
      <w:r>
        <w:rPr>
          <w:rStyle w:val="FootnoteAnchor"/>
          <w:rtl w:val="true"/>
        </w:rPr>
        <w:footnoteReference w:id="198"/>
      </w:r>
      <w:r>
        <w:rPr>
          <w:rFonts w:ascii="IRNazanin" w:hAnsi="IRNazanin" w:eastAsia="IRNazanin"/>
          <w:color w:val="111111"/>
          <w:sz w:val="28"/>
          <w:sz w:val="28"/>
          <w:szCs w:val="28"/>
          <w:rtl w:val="true"/>
          <w:lang w:bidi="fa-IR"/>
        </w:rPr>
        <w:t>مى‌دانيم گاهى تولد امام بعدى حتى قبل از امامت امام قبل است، يعنى امام، قبل از امامت، نه تنها امامت خود، بلكه امامت جانشين خود را نيز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مطلب رواياتى است كه درباره تولد مهدى موعود در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فراوانى از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 كه وقتى راوى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جانشينش مى‌پرسد،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بعدى را معرفى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ادله امامت، همين تصريح امام قبلى است كه پيشتر نمونه‌هايى را ذكر كرديم؛ از جمله روايتى 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موسى بن جعفر را كه در گهواره بود، امام بعد از خود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امام به جانشين خود جاهل باشد، درحالى‌كه نام تمام جانشينان در نوشته‌اى از جانب خداوند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و هر امام اين نوشته را به جانشين خود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روايات ديگرى هستند كه نام‌ائمه دوازده‌گانه يا بعضى از ايشان در آنها آمده است؛ مثل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روايت كرده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امام معصوم كه تمامى علوم امام قبلى را به ارث مى‌برد </w:t>
      </w:r>
    </w:p>
    <w:p>
      <w:pPr>
        <w:pStyle w:val="BookText"/>
        <w:rPr/>
      </w:pPr>
      <w:r>
        <w:rPr>
          <w:rFonts w:ascii="IRNazanin" w:hAnsi="IRNazanin" w:eastAsia="IRNazanin"/>
          <w:color w:val="111111"/>
          <w:sz w:val="28"/>
          <w:sz w:val="28"/>
          <w:szCs w:val="28"/>
          <w:rtl w:val="true"/>
          <w:lang w:bidi="fa-IR"/>
        </w:rPr>
        <w:t xml:space="preserve">از آن بى‌خبر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رواياتى كه بيانگر كيفيت انعقاد نطفه امام و ولادت ايشان است در كتاب اصول كافى و ديگر كتاب‌ها توجه كند، يقين مى‌كند كه امام از جانشين خويش اطلاع كامل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آمده است كه نزد ائمه ديوانى است كه نام شيعيان در آن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در يكى از آن روايات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عمويم بودم كه وى نزد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ديد حضرت به نوشته‌هايى نگاه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نوشته‌ها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ديوان شيعيان 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مى‌دهيد نامم را پيدا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نمى‌توانم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برادرزاده‌ام جلوى در خانه است؛ اجازه مى‌دهيد بيايد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و نگاه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نام خودم را ديدم و گفتم به خداى كعبه كه اين نام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پس من چه؟ پنج يا شش اسم كه گذشتم نام او را ديدم</w:t>
      </w:r>
      <w:r>
        <w:rPr>
          <w:rFonts w:eastAsia="IRNazanin" w:cs="IRNazanin"/>
          <w:color w:val="111111"/>
          <w:sz w:val="28"/>
          <w:szCs w:val="28"/>
          <w:rtl w:val="true"/>
          <w:lang w:bidi="fa-IR"/>
        </w:rPr>
        <w:t xml:space="preserve">. . .» .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آيا مى‌شود امام نام شيعيان خود را بداند، ولى نام امام بعد از خود را نداند؟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روايات متعدد آمده است كه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هيچ پيامبر يا وصى يا فرمانروايى نيست مگر اينكه در كتابى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نام محمدبن‌عبدالله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حسن از فرزندان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مدّعى امامت و قيام عليه منصور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نيست</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 xml:space="preserve">: </w:t>
      </w:r>
      <w:bookmarkStart w:id="320" w:name="pg1971_8471"/>
    </w:p>
    <w:p>
      <w:pPr>
        <w:pStyle w:val="BookText"/>
        <w:rPr/>
      </w:pPr>
      <w:bookmarkEnd w:id="320"/>
      <w:r>
        <w:rPr>
          <w:rFonts w:ascii="IRNazanin" w:hAnsi="IRNazanin" w:eastAsia="IRNazanin"/>
          <w:color w:val="111111"/>
          <w:sz w:val="28"/>
          <w:sz w:val="28"/>
          <w:szCs w:val="28"/>
          <w:rtl w:val="true"/>
          <w:lang w:bidi="fa-IR"/>
        </w:rPr>
        <w:t xml:space="preserve">محمد بن عبدالله بن حسن نزد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سلام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دلش به حال او سوخت و اشكش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 عرض كردم كه به گونه‌اى خاص با او رفتار كرديد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به حالش سوخت؛ زيرا ادعايى دارد كه براى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كتاب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خلفاى اين امت يا از فرمانروايان نديدم</w:t>
      </w:r>
      <w:r>
        <w:rPr>
          <w:rFonts w:eastAsia="IRNazanin" w:cs="IRNazanin"/>
          <w:color w:val="111111"/>
          <w:sz w:val="28"/>
          <w:szCs w:val="28"/>
          <w:rtl w:val="true"/>
          <w:lang w:bidi="fa-IR"/>
        </w:rPr>
        <w:t xml:space="preserve">» .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همچنين روايات فراوان ديگرى وجود دارد كه بر شناخت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جانشين خود دلالت مى‌كند</w:t>
      </w:r>
      <w:r>
        <w:rPr>
          <w:rFonts w:eastAsia="IRNazanin" w:cs="IRNazanin"/>
          <w:color w:val="111111"/>
          <w:sz w:val="28"/>
          <w:szCs w:val="28"/>
          <w:rtl w:val="true"/>
          <w:lang w:bidi="fa-IR"/>
        </w:rPr>
        <w:t>.</w:t>
      </w:r>
    </w:p>
    <w:p>
      <w:pPr>
        <w:pStyle w:val="Heading3"/>
        <w:numPr>
          <w:ilvl w:val="2"/>
          <w:numId w:val="1"/>
        </w:numPr>
        <w:rPr/>
      </w:pPr>
      <w:bookmarkStart w:id="321" w:name="__RefHeading___Toc3696593_3650668749"/>
      <w:bookmarkStart w:id="322" w:name="_Toc123"/>
      <w:bookmarkEnd w:id="321"/>
      <w:r>
        <w:rPr>
          <w:rtl w:val="true"/>
        </w:rPr>
        <w:t>پاسخ به روايات مخالف</w:t>
      </w:r>
      <w:bookmarkEnd w:id="322"/>
    </w:p>
    <w:p>
      <w:pPr>
        <w:pStyle w:val="BookText"/>
        <w:rPr/>
      </w:pPr>
      <w:r>
        <w:rPr>
          <w:rFonts w:ascii="IRNazanin" w:hAnsi="IRNazanin" w:eastAsia="IRNazanin"/>
          <w:color w:val="111111"/>
          <w:sz w:val="28"/>
          <w:sz w:val="28"/>
          <w:szCs w:val="28"/>
          <w:rtl w:val="true"/>
          <w:lang w:bidi="fa-IR"/>
        </w:rPr>
        <w:t>گويا مقصود نويسنده از رواياتى كه بر بى‌خبرى امام از جانشين خود تا هنگام مرگ دلالت مى‌كند، رواياتى است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عالمى از ما از دنيا نمى‌رود تا اينكه خداوند او را آگاه مى‌كند كه به چه كسى وصيت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نويسنده از اين روايات، چنين استنباط كرده كه معرفت امام به جانشين خود در اواخر عمر و هنگام رحلت است، درحالى‌كه جمله مذكور جز اين را نمى‌رساند كه امام، قبل از مرگ قطعاً جانشين خود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حديث به زمانِ آگاهى دلالت ندارد درست مثل آنكه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از دنيا نرفت مگر اينكه وصيت‌نامه‌اش را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جمله زمان نوشتن وصيت‌نامه را نشان نمى‌دهد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لَحن روايت مى‌رساند كه اين آگاهى مى‌تواند تا اواخر عُمر تأخير افتد؛ ولى هرگز ظهور در اين ندارد كه حتماً تا آخر عُمر ناآگاه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شايد علت مبهم بودن روايت اين باشد كه امام مى‌خواهد هرگونه ناآگاهى به جانشين خود را نفى كند نه آنكه زمان آگاهى را بيان كند؛ به سبب ملاحظه ظرفيت راوى يا كسانى كه از او خواهند شنيد؛ زيرا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مى‌كرد كه از ابتدا جانشين خود را مى‌شناسد، به حضرت در معرفى امام اصرار مى‌كردند و چه بسا گفتن نام او صلاح نبوده است؛ خواه براى حفظ جان جانشين خويش باشد يا جلوگيرى از ايجاد كدورت ميان فرزندان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مصالح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يك شخص فهميده و منصف، هرگز از آن همه ادلّه محكم به سبب يك عبارت مبهم دست برنمى‌دارد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حديثى كه نويسنده به آن تمسك كرده، از لحاظ سندى ضعيف است؛ زيرا در آن حسن بن على بن منصور از كلثوم از عبدالرحمان خزار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بحارالانوار، حسن از على بن منصور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حسن يا حسن‌بن على بن منصور و على بن منصور و كلثوم و عبدالرحمان خزار راويانى ناشناسند؛ بنابراين سند روايت به شدت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ضعف سند، متن روايت هم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اسماعيل بن‌ابراهيم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كوچكى داشت كه به او علاقه‌مند بود و مى‌خواست كه او جانشينش باشد؛ اما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اسماعيل وصى تو فلانى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رحلت اسماعيل فرارسيد، وصى او نيز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مرگ تو فرا رسيد چنان كن كه من كردم</w:t>
      </w:r>
      <w:r>
        <w:rPr>
          <w:rFonts w:eastAsia="IRNazanin" w:cs="IRNazanin"/>
          <w:color w:val="111111"/>
          <w:sz w:val="28"/>
          <w:szCs w:val="28"/>
          <w:rtl w:val="true"/>
          <w:lang w:bidi="fa-IR"/>
        </w:rPr>
        <w:t xml:space="preserve">» . </w:t>
      </w:r>
      <w:r>
        <w:rPr>
          <w:rStyle w:val="FootnoteAnchor"/>
          <w:rtl w:val="true"/>
        </w:rPr>
        <w:footnoteReference w:id="20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هيچ امامى نمى‌ميرد، مگر آنكه خداوند به او خبر مى‌دهد چه كسى </w:t>
      </w:r>
    </w:p>
    <w:p>
      <w:pPr>
        <w:pStyle w:val="BookText"/>
        <w:rPr/>
      </w:pPr>
      <w:r>
        <w:rPr>
          <w:rFonts w:ascii="IRNazanin" w:hAnsi="IRNazanin" w:eastAsia="IRNazanin"/>
          <w:color w:val="111111"/>
          <w:sz w:val="28"/>
          <w:sz w:val="28"/>
          <w:szCs w:val="28"/>
          <w:rtl w:val="true"/>
          <w:lang w:bidi="fa-IR"/>
        </w:rPr>
        <w:t>را جانشين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روايت هم جز اين نيست كه تعيين امام به دست امام نيست، بلكه خداوند هر كس را كه خواهد معين مى‌كند و قبل از رحلت هر امامى به او خبر مى‌دهد كه به چه كسى وصيت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روايات فراوان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 مى‌كنيد امر امامت به دست ماست كه هر كجا خواهيم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عهدى است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نفر تا به صاحبش برسد</w:t>
      </w:r>
      <w:r>
        <w:rPr>
          <w:rFonts w:eastAsia="IRNazanin" w:cs="IRNazanin"/>
          <w:color w:val="111111"/>
          <w:sz w:val="28"/>
          <w:szCs w:val="28"/>
          <w:rtl w:val="true"/>
          <w:lang w:bidi="fa-IR"/>
        </w:rPr>
        <w:t xml:space="preserve">» . </w:t>
      </w:r>
      <w:r>
        <w:rPr>
          <w:rStyle w:val="FootnoteAnchor"/>
          <w:rtl w:val="true"/>
        </w:rPr>
        <w:footnoteReference w:id="203"/>
      </w:r>
      <w:r>
        <w:rPr>
          <w:rFonts w:ascii="Amiri" w:hAnsi="Amiri" w:eastAsia="Amiri" w:cs="Amiri"/>
          <w:color w:val="111111"/>
          <w:sz w:val="28"/>
          <w:sz w:val="28"/>
          <w:szCs w:val="28"/>
          <w:rtl w:val="true"/>
          <w:lang w:bidi="ar-SA"/>
        </w:rPr>
        <w:t xml:space="preserve">در برخى روايات نيز آمده كه نام امامان از عهد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به يك بيان شده است</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اين احاديث نيز شاهدى است كه هر يك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تعيين شده‌اند و هر امام با عهد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را به امام بعد از خود مى‌رساند و احاديث بر زمان آگاهى امام نيز هيچ دلالتى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علم جانشين امام به جانشينى خود و اينكه امام، قبل از امامتش نداند كه امام خواهد شد هر چند از نظر عقلى محال نيست، امّا به دلايل نقلى منتفى است؛ زيرا بنابر روايات نيز،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خود را قبل از امام شدن مى‌دانسته‌اند؛ مثل روايت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الْحُسَيْنُ اِمامانِ قامَا اَوْ 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ميان مسلمانان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روايات فراوانى وجود دارد كه در آنها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خود را به اصحاب معرفى مى‌كردند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پذيرفتنى نيست كه راويان متعددى، احاديثى مثل حديث لوح و ديگر احاديثى كه نام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 را ديده باشند، اما جانشين امام آنها را نشنيده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زمان اين علم مى‌تواند متفاوت باشد</w:t>
      </w:r>
      <w:r>
        <w:rPr>
          <w:rFonts w:eastAsia="IRNazanin" w:cs="IRNazanin"/>
          <w:color w:val="111111"/>
          <w:sz w:val="28"/>
          <w:szCs w:val="28"/>
          <w:rtl w:val="true"/>
          <w:lang w:bidi="fa-IR"/>
        </w:rPr>
        <w:t xml:space="preserve">. </w:t>
      </w:r>
      <w:bookmarkStart w:id="323" w:name="pg1971_8474"/>
    </w:p>
    <w:p>
      <w:pPr>
        <w:pStyle w:val="Heading2"/>
        <w:numPr>
          <w:ilvl w:val="1"/>
          <w:numId w:val="1"/>
        </w:numPr>
        <w:rPr/>
      </w:pPr>
      <w:bookmarkStart w:id="324" w:name="__RefHeading___Toc3696595_3650668749"/>
      <w:bookmarkStart w:id="325" w:name="_Toc124"/>
      <w:bookmarkEnd w:id="323"/>
      <w:bookmarkEnd w:id="324"/>
      <w:r>
        <w:rPr/>
        <w:t>٢٠</w:t>
      </w:r>
      <w:r>
        <w:rPr>
          <w:rtl w:val="true"/>
        </w:rPr>
        <w:t xml:space="preserve"> سرگردانى شيعيان</w:t>
      </w:r>
      <w:bookmarkEnd w:id="325"/>
    </w:p>
    <w:p>
      <w:pPr>
        <w:pStyle w:val="Heading3"/>
        <w:numPr>
          <w:ilvl w:val="2"/>
          <w:numId w:val="1"/>
        </w:numPr>
        <w:rPr/>
      </w:pPr>
      <w:bookmarkStart w:id="326" w:name="__RefHeading___Toc3696597_3650668749"/>
      <w:bookmarkStart w:id="327" w:name="_Toc125"/>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۴٠</w:t>
      </w:r>
      <w:r>
        <w:rPr>
          <w:rFonts w:ascii="IRNazanin" w:hAnsi="IRNazanin" w:eastAsia="IRNazanin"/>
          <w:color w:val="111111"/>
          <w:sz w:val="28"/>
          <w:sz w:val="28"/>
          <w:szCs w:val="28"/>
          <w:rtl w:val="true"/>
          <w:lang w:bidi="fa-IR"/>
        </w:rPr>
        <w:t xml:space="preserve"> ادعا مى‌كند كه شيعيان بعد از هر امامى دچار سرگردانى و اختلاف مى‌شدند</w:t>
      </w:r>
      <w:r>
        <w:rPr>
          <w:rFonts w:eastAsia="IRNazanin" w:cs="IRNazanin"/>
          <w:color w:val="111111"/>
          <w:sz w:val="28"/>
          <w:szCs w:val="28"/>
          <w:rtl w:val="true"/>
          <w:lang w:bidi="fa-IR"/>
        </w:rPr>
        <w:t>.</w:t>
      </w:r>
    </w:p>
    <w:p>
      <w:pPr>
        <w:pStyle w:val="Heading3"/>
        <w:numPr>
          <w:ilvl w:val="2"/>
          <w:numId w:val="1"/>
        </w:numPr>
        <w:rPr/>
      </w:pPr>
      <w:bookmarkStart w:id="328" w:name="__RefHeading___Toc3696599_3650668749"/>
      <w:bookmarkStart w:id="329" w:name="_Toc126"/>
      <w:bookmarkEnd w:id="328"/>
      <w:r>
        <w:rPr>
          <w:rtl w:val="true"/>
        </w:rPr>
        <w:t>پاسخ</w:t>
      </w:r>
      <w:bookmarkEnd w:id="32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در مورد برخى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باشد؛ زيرا احاديثى كه ائمه دوازده‌گانه را با نامشان معرفى مى‌كند، نزد شيعيان مشهور نبوده و علت آن هم شدت تقيه و شرايط نامناسب آن دوران بوده است كه انتشار نام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به خطر افتادن آنها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برخى راويان به كنيه يا تعبيرهاى ديگرى،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مى‌كردند 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شيعيان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نيست در زمان بنى‌اميه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است كه دو نفر از زيديه نزد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ميان شما امامى هست كه اطاعتش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مورد اعتماد از جانب شما به ما خبر دادند كه شما چنين مى‌گويى و نام عده‌اى را بردند و گفتند كه اينان مردانى پارسا و خردمندند و دروغ نمى‌گويند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چنين </w:t>
      </w:r>
      <w:bookmarkStart w:id="330" w:name="pg1971_8475"/>
    </w:p>
    <w:p>
      <w:pPr>
        <w:pStyle w:val="BookText"/>
        <w:rPr/>
      </w:pPr>
      <w:bookmarkEnd w:id="330"/>
      <w:r>
        <w:rPr>
          <w:rFonts w:ascii="IRNazanin" w:hAnsi="IRNazanin" w:eastAsia="IRNazanin"/>
          <w:color w:val="111111"/>
          <w:sz w:val="28"/>
          <w:sz w:val="28"/>
          <w:szCs w:val="28"/>
          <w:rtl w:val="true"/>
          <w:lang w:bidi="fa-IR"/>
        </w:rPr>
        <w:t>دستورى به آنها نداده‌ام و آن دو چون خشم حضرت را ديدند رفتند</w:t>
      </w:r>
      <w:r>
        <w:rPr>
          <w:rFonts w:eastAsia="IRNazanin" w:cs="IRNazanin"/>
          <w:color w:val="111111"/>
          <w:sz w:val="28"/>
          <w:szCs w:val="28"/>
          <w:rtl w:val="true"/>
          <w:lang w:bidi="fa-IR"/>
        </w:rPr>
        <w:t xml:space="preserve">. . .» .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مى‌بينيم شرايط چنان ناهنجار بوده است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دستور معرفى خود را نداده است</w:t>
      </w:r>
      <w:r>
        <w:rPr>
          <w:rFonts w:eastAsia="IRNazanin" w:cs="IRNazanin"/>
          <w:color w:val="111111"/>
          <w:sz w:val="28"/>
          <w:szCs w:val="28"/>
          <w:rtl w:val="true"/>
          <w:lang w:bidi="fa-IR"/>
        </w:rPr>
        <w:t>.</w:t>
      </w:r>
    </w:p>
    <w:p>
      <w:pPr>
        <w:pStyle w:val="Heading3"/>
        <w:numPr>
          <w:ilvl w:val="2"/>
          <w:numId w:val="1"/>
        </w:numPr>
        <w:rPr/>
      </w:pPr>
      <w:bookmarkStart w:id="331" w:name="__RefHeading___Toc3696601_3650668749"/>
      <w:bookmarkStart w:id="332" w:name="_Toc127"/>
      <w:bookmarkEnd w:id="331"/>
      <w:r>
        <w:rPr>
          <w:rtl w:val="true"/>
        </w:rPr>
        <w:t>پيمان رازدارى</w:t>
      </w:r>
      <w:bookmarkEnd w:id="332"/>
    </w:p>
    <w:p>
      <w:pPr>
        <w:pStyle w:val="BookText"/>
        <w:rPr/>
      </w:pPr>
      <w:r>
        <w:rPr>
          <w:rFonts w:ascii="IRNazanin" w:hAnsi="IRNazanin" w:eastAsia="IRNazanin"/>
          <w:color w:val="111111"/>
          <w:sz w:val="28"/>
          <w:sz w:val="28"/>
          <w:szCs w:val="28"/>
          <w:rtl w:val="true"/>
          <w:lang w:bidi="fa-IR"/>
        </w:rPr>
        <w:t xml:space="preserve">شاهد ديگر جريان شك و حيرت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كوچه بوديم كه ناگهان مردى كه او را نمى‌شناختم به من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ترسيدم از جاسوس‌هاى منصور باشد؛ زيرا او در مدينه جاسوس‌هايى گماشته بود كه ببينند مردم بعد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را مى‌پذيرند، تا او را گردن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ترسيدم اين مرد 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دور شو كه من بر خود و بر تو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با من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تا هلاك نشوى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از من فاصله زيادى گرفت و من دنبال آن مرد رفتم و فكر مى‌كردم كه نمى‌توانم از دست او رها شوم و تن به مرگ داده بودم تا مرا به در خانه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خانه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وارد شدم و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بدون آنكه سؤالى كرده باشم،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من، به سوى من، نه مرجئه، نه قدريه، نه معتزله، نه خوارج و نه زيديه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ادامه با آنكه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جمله، خود را به اشاره معرفى</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كرده بود، هشام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333" w:name="pg1971_8476"/>
    </w:p>
    <w:p>
      <w:pPr>
        <w:pStyle w:val="BookText"/>
        <w:rPr/>
      </w:pPr>
      <w:bookmarkEnd w:id="3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تو را هدايت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مى‌گويد،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فدايت شوم، شماييد؟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را نمى‌گويم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خودم گفتم درست نپرسيدم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 آيا بر شما امامى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هيبت و عظمتى از وى در دلم افتاد كه جز خدا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بپرسم همچنان‌كه از پدرت مى‌پرسيدم؟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 تا با خبر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فاش مكن وگرنه سر بريدن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سؤالى پرسيدم و ديدم دريايى بى‌كران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پدرت، حيران و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جريان امامت شما را با وجود اين پيمان رازدارى به آنها بگويم و به‌سوى شما دعوت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كدام كه فهميده است برسان و از او پيمان رازدارى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فاش كند سر بريدن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با دست به حلق خويش اشاره كرد</w:t>
      </w:r>
      <w:r>
        <w:rPr>
          <w:rFonts w:eastAsia="IRNazanin" w:cs="IRNazanin"/>
          <w:color w:val="111111"/>
          <w:sz w:val="28"/>
          <w:szCs w:val="28"/>
          <w:rtl w:val="true"/>
          <w:lang w:bidi="fa-IR"/>
        </w:rPr>
        <w:t xml:space="preserve">. . . .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ادامه روايت است كه مردم همگى حضرت را رفته رفته شناختند مگر گروه عمار</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مى‌بينيم كه حضرت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رعايت جان شيعيان، صلاح نمى‌داند خود را معرفى كند؛ هر چند شيعيان براى مدتى از شناخت امام خويش محروم شوند كه البته معذورند</w:t>
      </w:r>
      <w:r>
        <w:rPr>
          <w:rFonts w:eastAsia="IRNazanin" w:cs="IRNazanin"/>
          <w:color w:val="111111"/>
          <w:sz w:val="28"/>
          <w:szCs w:val="28"/>
          <w:rtl w:val="true"/>
          <w:lang w:bidi="fa-IR"/>
        </w:rPr>
        <w:t>.</w:t>
      </w:r>
    </w:p>
    <w:p>
      <w:pPr>
        <w:pStyle w:val="Heading3"/>
        <w:numPr>
          <w:ilvl w:val="2"/>
          <w:numId w:val="1"/>
        </w:numPr>
        <w:rPr/>
      </w:pPr>
      <w:bookmarkStart w:id="334" w:name="__RefHeading___Toc3696603_3650668749"/>
      <w:bookmarkStart w:id="335" w:name="_Toc128"/>
      <w:bookmarkEnd w:id="334"/>
      <w:r>
        <w:rPr>
          <w:rtl w:val="true"/>
        </w:rPr>
        <w:t>نه سلام و نه اشاره</w:t>
      </w:r>
      <w:bookmarkEnd w:id="33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دوران امامت 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اوضاع به‌گونه‌اى بود كه حضرت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هيچ‌كس به من سلام نكند و با دست و </w:t>
      </w:r>
    </w:p>
    <w:p>
      <w:pPr>
        <w:pStyle w:val="BookText"/>
        <w:rPr/>
      </w:pPr>
      <w:r>
        <w:rPr>
          <w:rFonts w:ascii="IRNazanin" w:hAnsi="IRNazanin" w:eastAsia="IRNazanin"/>
          <w:color w:val="111111"/>
          <w:sz w:val="28"/>
          <w:sz w:val="28"/>
          <w:szCs w:val="28"/>
          <w:rtl w:val="true"/>
          <w:lang w:bidi="fa-IR"/>
        </w:rPr>
        <w:t>چشم اشاره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جان خودتان در امان نيستيد</w:t>
      </w:r>
      <w:r>
        <w:rPr>
          <w:rFonts w:eastAsia="IRNazanin" w:cs="IRNazanin"/>
          <w:color w:val="111111"/>
          <w:sz w:val="28"/>
          <w:szCs w:val="28"/>
          <w:rtl w:val="true"/>
          <w:lang w:bidi="fa-IR"/>
        </w:rPr>
        <w:t xml:space="preserve">» .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در اين وضعيت سخت، طبيعى است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دوازده‌گانه و به‌ويژه نام جانشين خود را بيان نكنند تا به شيعيان هجوم نياورند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فشار و سختى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همچنان‌كه گذشت، وظيفه مردم تحقيق است، به‌گونه‌اى كه موجب صدمه به شيعه يا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وگرنه با وجود مانع، معذورند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پيش‌بينى شرايط، احكام آن را بيان كردند؛ يعنى حكم زمانى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نمى‌شناسند، ضمن آنكه تلاش براى شناخت امام، ضرورى است، راه شناخت امام، نص، كرامات، علم و امور ديگر است و اگر در اين فاصله بميرند، معذورند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آمده است كه شخصى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دنيا برود آيا مى‌شود كه مردم، امام بعدى را نشناسند؟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مردم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ديگر شهرها هر كدام به مقدار توان آنها</w:t>
      </w:r>
      <w:r>
        <w:rPr>
          <w:rFonts w:eastAsia="IRNazanin" w:cs="IRNazanin"/>
          <w:color w:val="111111"/>
          <w:sz w:val="28"/>
          <w:szCs w:val="28"/>
          <w:rtl w:val="true"/>
          <w:lang w:bidi="fa-IR"/>
        </w:rPr>
        <w:t xml:space="preserve">» . </w:t>
      </w:r>
      <w:r>
        <w:rPr>
          <w:rStyle w:val="FootnoteAnchor"/>
          <w:rtl w:val="true"/>
        </w:rPr>
        <w:footnoteReference w:id="20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اگرچه از روايات و تاريخ استفاده مى‌شود كه بسيارى از شيعيان در برخى از دوران‌ها، جانشين امام را به اسم نمى‌شناختند و بعد از رحلت امام قبلى، مدتى به تحقيق مى‌پرداختند، ولى اين به معناى اعتقاد نداشتن همه شيعيان به ائمه دوازده‌گانه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معناى وجود موانع از انتشار نام ائمه است كه البته به هيچ يك از اصول شيعه صدمه‌اى نمى‌زند</w:t>
      </w:r>
      <w:r>
        <w:rPr>
          <w:rFonts w:eastAsia="IRNazanin" w:cs="IRNazanin"/>
          <w:color w:val="111111"/>
          <w:sz w:val="28"/>
          <w:szCs w:val="28"/>
          <w:rtl w:val="true"/>
          <w:lang w:bidi="fa-IR"/>
        </w:rPr>
        <w:t xml:space="preserve">. </w:t>
      </w:r>
      <w:bookmarkStart w:id="336" w:name="pg1971_8478"/>
    </w:p>
    <w:p>
      <w:pPr>
        <w:pStyle w:val="Heading2"/>
        <w:numPr>
          <w:ilvl w:val="1"/>
          <w:numId w:val="1"/>
        </w:numPr>
        <w:rPr/>
      </w:pPr>
      <w:bookmarkStart w:id="337" w:name="__RefHeading___Toc3696605_3650668749"/>
      <w:bookmarkStart w:id="338" w:name="_Toc129"/>
      <w:bookmarkEnd w:id="336"/>
      <w:bookmarkEnd w:id="337"/>
      <w:r>
        <w:rPr/>
        <w:t>٢١</w:t>
      </w:r>
      <w:r>
        <w:rPr>
          <w:rtl w:val="true"/>
        </w:rPr>
        <w:t xml:space="preserve"> زراره و امامت موسى بن جعفر </w:t>
      </w:r>
      <w:r>
        <w:rPr>
          <w:rtl w:val="true"/>
        </w:rPr>
        <w:t>(</w:t>
      </w:r>
      <w:r>
        <w:rPr>
          <w:rtl w:val="true"/>
        </w:rPr>
        <w:t>ع</w:t>
      </w:r>
      <w:r>
        <w:rPr>
          <w:rtl w:val="true"/>
        </w:rPr>
        <w:t>)</w:t>
      </w:r>
      <w:bookmarkEnd w:id="338"/>
    </w:p>
    <w:p>
      <w:pPr>
        <w:pStyle w:val="Heading3"/>
        <w:numPr>
          <w:ilvl w:val="2"/>
          <w:numId w:val="1"/>
        </w:numPr>
        <w:rPr/>
      </w:pPr>
      <w:bookmarkStart w:id="339" w:name="__RefHeading___Toc3696607_3650668749"/>
      <w:bookmarkStart w:id="340" w:name="_Toc130"/>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۴٢</w:t>
      </w:r>
      <w:r>
        <w:rPr>
          <w:rFonts w:ascii="IRNazanin" w:hAnsi="IRNazanin" w:eastAsia="IRNazanin"/>
          <w:color w:val="111111"/>
          <w:sz w:val="28"/>
          <w:sz w:val="28"/>
          <w:szCs w:val="28"/>
          <w:rtl w:val="true"/>
          <w:lang w:bidi="fa-IR"/>
        </w:rPr>
        <w:t xml:space="preserve"> گفته است كه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ياران بزرگ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نمى‌دانست امام بعد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و پسرش را براى تحقيق به كوفه فرستاد؛ اما مرگش فرا رسيد و قرآن را بر سينه گذارد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من از كسى پيروى مى‌كنم كه اين قرآن امامت او را ثابت كرده است</w:t>
      </w:r>
      <w:r>
        <w:rPr>
          <w:rFonts w:eastAsia="IRNazanin" w:cs="IRNazanin"/>
          <w:color w:val="111111"/>
          <w:sz w:val="28"/>
          <w:szCs w:val="28"/>
          <w:rtl w:val="true"/>
          <w:lang w:bidi="fa-IR"/>
        </w:rPr>
        <w:t>» .</w:t>
      </w:r>
    </w:p>
    <w:p>
      <w:pPr>
        <w:pStyle w:val="Heading3"/>
        <w:numPr>
          <w:ilvl w:val="2"/>
          <w:numId w:val="1"/>
        </w:numPr>
        <w:rPr/>
      </w:pPr>
      <w:bookmarkStart w:id="341" w:name="__RefHeading___Toc3696609_3650668749"/>
      <w:bookmarkStart w:id="342" w:name="_Toc131"/>
      <w:bookmarkEnd w:id="341"/>
      <w:r>
        <w:rPr>
          <w:rtl w:val="true"/>
        </w:rPr>
        <w:t>پاسخ</w:t>
      </w:r>
      <w:bookmarkEnd w:id="342"/>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ناآگاهى زراره و امثال او از امام بعدى كه اهل كوفه بودند و به مدينه رفت و آمد داشتند، مشكلى را ايجاد نمى‌كند؛ زيرا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شرايط سخت، صلاح نمى‌دانست اين مسئله را بازگو كند؛ همچنان‌كه در روايت هشام آمد، و ديديم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شهرهاى دور را به تناسب مسيرشان از شناخت امام معذور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هرگز به معناى اعتقاد نداشتن به امامت امام معرفى شده از جانب خداوند نيست، بلكه به معناى امكان نشناختن شخص امام حاضر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درباره زراره مختلف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برخى روايات اين است كه زراره، خدمت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رسيده و به امامت حضرت </w:t>
      </w:r>
    </w:p>
    <w:p>
      <w:pPr>
        <w:pStyle w:val="BookText"/>
        <w:rPr/>
      </w:pPr>
      <w:r>
        <w:rPr>
          <w:rFonts w:ascii="IRNazanin" w:hAnsi="IRNazanin" w:eastAsia="IRNazanin"/>
          <w:color w:val="111111"/>
          <w:sz w:val="28"/>
          <w:sz w:val="28"/>
          <w:szCs w:val="28"/>
          <w:rtl w:val="true"/>
          <w:lang w:bidi="fa-IR"/>
        </w:rPr>
        <w:t>معتقد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حديث هشام بن سالم كه بيان كرديم، هشام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زراره و ابوبصير را ملاقات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نزد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سخنش را شنيدند، سؤال كردند و به امامت او يقين كردند و سپس مردم، گروه‌گروه محضر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محضرش آمد به امامت او يقين كرد، مگر گروه عمار ساباطى</w:t>
      </w:r>
      <w:r>
        <w:rPr>
          <w:rFonts w:eastAsia="IRNazanin" w:cs="IRNazanin"/>
          <w:color w:val="111111"/>
          <w:sz w:val="28"/>
          <w:szCs w:val="28"/>
          <w:rtl w:val="true"/>
          <w:lang w:bidi="fa-IR"/>
        </w:rPr>
        <w:t xml:space="preserve">. . .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مؤيد اين مسئله اين است كه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را از اصحاب امام‌كاظم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 كه در روايت كردن او از حضرت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نجاشى و شيخ طوسى وفات زراره را دو سال بعد از رحلت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١۴٨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كرده‌اند بنابراين، اين شبهه بسيار بعيد است؛ زيرا عبدالله افطح كه مدعى امامت بود، هفتاد روز بعد از رحلت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و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چگونه ممكن است زراره به امامت حضرت معتقد نباشد و فرزندش كه براى تحقيق رفته است در اين مدت برنگشته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اين امور، حتى فرستادن فرزندش براى تحقيق نيز دلالت نمى‌كند كه وى امامت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نمى‌دانسته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محمد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او گويد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زراره حق پدرت را 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چرا پسرش را براى بررسى جانشين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زراره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را مى‌شناخت و مى‌دانست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پسرش را به اين سبب فرستاد تا از پدرم بپرسد كه آيا جايز است تقيه را بردارد و امر او را اظهار كند؟ چون تأخير كرد و از زراره خواستند كه نظر خود را در مورد پدرم بگويد، او نمى‌خواست بدون دستور پدرم اقدام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قرآن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من كسى است كه اين قرآن، امامت او را از فرزندان جعفربن‌محمد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كند</w:t>
      </w:r>
      <w:r>
        <w:rPr>
          <w:rFonts w:eastAsia="IRNazanin" w:cs="IRNazanin"/>
          <w:color w:val="111111"/>
          <w:sz w:val="28"/>
          <w:szCs w:val="28"/>
          <w:rtl w:val="true"/>
          <w:lang w:bidi="fa-IR"/>
        </w:rPr>
        <w:t xml:space="preserve">» .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مى‌بينيم كه اين روايات با گزارش‌هايى كه ديگران داده‌اند، متفاوت است؛ بنابراين مسئله زراره به گونه‌اى نيست كه به طور قطع گفته شود او از جانشينى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بى‌خبر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بدون شناختن امامت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دنيا رفته باشد، موجب نقص زراره نيست؛ زيرا او تلاش خود را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العظمى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روايات كه دلالت بر معرفت نداشتن زراره نسبت به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مى‌كند، دليل بر نقص زراره نيست؛ زيرا بر هر مكلفى واجب است كه امام زمان خود را بشناسد و شناخت امام بعدى، در زمان امام فعلى، واجب نيست و چون امام زمانش از دنيا رفت، بايد از امام موجود تحقيق كند و اگر در زمان تحقيق از دنيا برود، </w:t>
      </w:r>
      <w:bookmarkStart w:id="343" w:name="pg1971_8481"/>
    </w:p>
    <w:p>
      <w:pPr>
        <w:pStyle w:val="BookText"/>
        <w:rPr/>
      </w:pPr>
      <w:bookmarkEnd w:id="343"/>
      <w:r>
        <w:rPr>
          <w:rFonts w:ascii="IRNazanin" w:hAnsi="IRNazanin" w:eastAsia="IRNazanin"/>
          <w:color w:val="111111"/>
          <w:sz w:val="28"/>
          <w:sz w:val="28"/>
          <w:szCs w:val="28"/>
          <w:rtl w:val="true"/>
          <w:lang w:bidi="fa-IR"/>
        </w:rPr>
        <w:t>معذور است و كافى است كه قبول كند امامت هر كسى را كه خداوند امام قرار داده است؛ هر چند شخص امام را نشناسد و زراره چنين بود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مى‌بينيم كه اگر معرفى و انتشار نام امام سبب زحمت براى شيعه و امام حاضر و جانشين او شود، نيازى به معرفى او در سطح عمومى نيست، بلكه بهترين روش آن است كه براى افراد خاص بيان شود تا هنگام نياز مسئله را براى ديگران روشن كنند</w:t>
      </w:r>
      <w:r>
        <w:rPr>
          <w:rFonts w:eastAsia="IRNazanin" w:cs="IRNazanin"/>
          <w:color w:val="111111"/>
          <w:sz w:val="28"/>
          <w:szCs w:val="28"/>
          <w:rtl w:val="true"/>
          <w:lang w:bidi="fa-IR"/>
        </w:rPr>
        <w:t>.</w:t>
      </w:r>
    </w:p>
    <w:p>
      <w:pPr>
        <w:pStyle w:val="Heading3"/>
        <w:numPr>
          <w:ilvl w:val="2"/>
          <w:numId w:val="1"/>
        </w:numPr>
        <w:rPr/>
      </w:pPr>
      <w:bookmarkStart w:id="344" w:name="__RefHeading___Toc3696611_3650668749"/>
      <w:bookmarkStart w:id="345" w:name="_Toc132"/>
      <w:bookmarkEnd w:id="344"/>
      <w:r>
        <w:rPr>
          <w:rtl w:val="true"/>
        </w:rPr>
        <w:t>تأثير جمع‌آورى روايات بر باورهاى شيعه در دوران‌متأخر</w:t>
      </w:r>
      <w:bookmarkEnd w:id="34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بعيد نيست كه شيعه در قرن اول و دوم به سبب شرايط خاص، مانند پراكندگى، نداشتن امكان تبليغ گسترده و مشكل ارتباطات، نتواند به برخى از مسائلى كه امروزه جزء واضحات شده است، آگاهى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بسيارى از روايات و ادله در كتاب‌ها جمع‌آورى شده و مورد بحث و تحقيق قرار گرفته است و چه بسا در يك مسئله ده‌ها روايت وجود دارد كه آن را واضح مى‌كند؛ اما در زمان ائمه‌اطهار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در هر عصرى به طور محدود و در دست عده‌اى از راويان و در شهرهاى مختلف بوده است و مردم عصر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امامى، تنها روايات آن امام را به نحو پراكنده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انتظار نمى‌رود آنها مثل ما باشند كه روايات بسيارى را در دسترس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سبب، واضح نبودن مسئله‌اى از مسائل عقيدتى در زمان برخى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دليل بر نادرستى آن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اصرارى بر انتشار نام ائمه دوازده‌گانه نداشتند و حتى در مقابل اصرار برخى بر معرفى جانشين خويش آن را بيان نمى‌كردند، بلكه كارى را انجام مى‌دادند كه براى حفظ امام و شيعه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گاهى سبب حيرت نيز مى‌شد؛ مثلاً حضرت‌كاظم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ابوعمار كه بر معرفى امام بعد از حضرت اصرار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فلان پسرم وصيت كردم و پسران ديگرم را با او شريك گرداندم؛ ولى در باطن تنها به او وصيت كردم و حضرت به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 </w:t>
      </w:r>
      <w:r>
        <w:rPr>
          <w:rStyle w:val="FootnoteAnchor"/>
          <w:rtl w:val="true"/>
        </w:rPr>
        <w:footnoteReference w:id="21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وصى خود را اين چند نفر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منصور دوانيقى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حميده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افطح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ديگرشان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كار براى حفاظت از جان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زيرا منصور به والى مدينه نامه نوشت كه اگر حضرت به شخص خاصى وصيت كرده است، او را گردن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مدينه در جواب نوشت كه ايشان به پنج نفر وصيت كرده است و نام آن پنج نفر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 ديدن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را نمى‌توان كشت</w:t>
      </w:r>
      <w:r>
        <w:rPr>
          <w:rFonts w:eastAsia="IRNazanin" w:cs="IRNazanin"/>
          <w:color w:val="111111"/>
          <w:sz w:val="28"/>
          <w:szCs w:val="28"/>
          <w:rtl w:val="true"/>
          <w:lang w:bidi="fa-IR"/>
        </w:rPr>
        <w:t xml:space="preserve">» . </w:t>
      </w:r>
      <w:r>
        <w:rPr>
          <w:rStyle w:val="FootnoteAnchor"/>
          <w:rtl w:val="true"/>
        </w:rPr>
        <w:footnoteReference w:id="213"/>
      </w:r>
      <w:bookmarkStart w:id="346" w:name="pg1971_8483"/>
    </w:p>
    <w:p>
      <w:pPr>
        <w:pStyle w:val="Heading2"/>
        <w:numPr>
          <w:ilvl w:val="1"/>
          <w:numId w:val="1"/>
        </w:numPr>
        <w:rPr/>
      </w:pPr>
      <w:bookmarkStart w:id="347" w:name="__RefHeading___Toc3696613_3650668749"/>
      <w:bookmarkStart w:id="348" w:name="_Toc133"/>
      <w:bookmarkEnd w:id="346"/>
      <w:bookmarkEnd w:id="347"/>
      <w:r>
        <w:rPr/>
        <w:t>٢٢</w:t>
      </w:r>
      <w:r>
        <w:rPr>
          <w:rtl w:val="true"/>
        </w:rPr>
        <w:t xml:space="preserve"> سنت الهى در امتحان امت</w:t>
      </w:r>
      <w:bookmarkEnd w:id="348"/>
    </w:p>
    <w:p>
      <w:pPr>
        <w:pStyle w:val="Heading3"/>
        <w:numPr>
          <w:ilvl w:val="2"/>
          <w:numId w:val="1"/>
        </w:numPr>
        <w:rPr/>
      </w:pPr>
      <w:bookmarkStart w:id="349" w:name="__RefHeading___Toc3696615_3650668749"/>
      <w:bookmarkStart w:id="350" w:name="_Toc134"/>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به انحراف عده‌اى از شيعيان، بعد از شهادت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مى‌كند كه آنان در آن‌زمان مى‌گفتند كه امام از زندان فرار كرده و غايب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بحران‌ها نزديك بود مسئله امامت را به خطر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امام‌كاظم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پيچيده و مبهم بود به طورى كه بسيارى از شاگردان و فرزندان و يارانش قضيه را دقيق نمى‌دانستند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نويسنده عده‌اى را به صورت كلماتى درهم و نامفهوم كه ممكن است غلطچاپى باشد، از اصحاب حضرت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مى‌برد</w:t>
      </w:r>
      <w:r>
        <w:rPr>
          <w:rFonts w:eastAsia="IRNazanin" w:cs="IRNazanin"/>
          <w:color w:val="111111"/>
          <w:sz w:val="28"/>
          <w:szCs w:val="28"/>
          <w:rtl w:val="true"/>
          <w:lang w:bidi="fa-IR"/>
        </w:rPr>
        <w:t>.</w:t>
      </w:r>
    </w:p>
    <w:p>
      <w:pPr>
        <w:pStyle w:val="Heading3"/>
        <w:numPr>
          <w:ilvl w:val="2"/>
          <w:numId w:val="1"/>
        </w:numPr>
        <w:rPr/>
      </w:pPr>
      <w:bookmarkStart w:id="351" w:name="__RefHeading___Toc3696617_3650668749"/>
      <w:bookmarkStart w:id="352" w:name="_Toc135"/>
      <w:bookmarkEnd w:id="351"/>
      <w:r>
        <w:rPr>
          <w:rtl w:val="true"/>
        </w:rPr>
        <w:t>پاسخ</w:t>
      </w:r>
      <w:bookmarkEnd w:id="35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ترديد و اشتباه عده‌اى از شيعيان، بعد از شهادت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طبيعى است؛ زيرا با تبعيد حضرت از مدينه به بغداد و با سال‌ها پنهان نگه‌داشتن ايشان، مردم به وكلاى حضرت مراجعه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برخى از اين وكلا،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بطائنى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فريب شيطان را خوردند و به سبب اموال فراوانى كه در دست آنها بود، خيانت كردند؛ زيرا اگر به امامت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مى‌كردند، بايد آن اموال را به </w:t>
      </w:r>
    </w:p>
    <w:p>
      <w:pPr>
        <w:pStyle w:val="BookText"/>
        <w:rPr/>
      </w:pPr>
      <w:r>
        <w:rPr>
          <w:rFonts w:ascii="IRNazanin" w:hAnsi="IRNazanin" w:eastAsia="IRNazanin"/>
          <w:color w:val="111111"/>
          <w:sz w:val="28"/>
          <w:sz w:val="28"/>
          <w:szCs w:val="28"/>
          <w:rtl w:val="true"/>
          <w:lang w:bidi="fa-IR"/>
        </w:rPr>
        <w:t xml:space="preserve">حضرت مى‌دادند؛ در نتيجه مدعى شدند كه حضرت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او همان امام موعود است و عده‌اى از شيعه و حتى خواص را با جعل احاديثى فريب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فضاى خفقان دوران هارون‌الرشيد سوءاستفاده كردند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تا پنج سال، يعنى تا زمان برافتادن برامكه نتوانست امامت خويش را براى عموم بيان كند؛ ولى سرانجام با تلاش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 حضرت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ظاهر و واقفيه روز به روز ضعيف‌تر شد تا اينكه در مدت زمان اندكى نابود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اين‌گونه دگرگونى‌ها در مكتبى كه حاكمان زمان، پيوسته به معتقدانش هجوم مى‌آوردند و رهبرانش هم به شديدترين سختى‌ها، مانند تبعيد و زندان دچار مى‌گشته، امرى طبيعى است، بلكه اين سنت الهى براى امتحان مردم است تا پيروان حق از باطل جدا شوند؛ ازاين‌رو گاهى اين‌گونه شبهات، زمينه‌اى است تا همه مردم امتحان گردند؛ مانند اختلاف امت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غيبت ايشان يا اختلاف امت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عروج وى يا اختلاف امت اسلامى در امامت و خلافت بعد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حتى منجر به هجوم به خانه اميرالمؤمنين و تهديد به آتش و سوزاندن آن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اختلافاتى كه در زمان عثمان رخ داد و به كشته شدن او و دو دستگى شديد ميان مسلمانان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همين‌طور اختلاف امت بعد از خلافت ظاهرى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جنگ‌ها و كدورت‌هاى پيش آمده در آن دوران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مسئله اختلاف ميان اصحاب، مسئله جديدى نيست تا در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نقص در امر امامت گردد يا اصل امامت را زير سؤال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عده‌اى جاه‌طلب و دنيادوست با سوءاستفاده از موقعيت خويش و با بيان ادعاهاى فريبنده، مردم را به گمراهى مى‌كشانند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اين‌گونه افراد نيز بنا به شرايط خاص، متفاوت بوده است</w:t>
      </w:r>
      <w:r>
        <w:rPr>
          <w:rFonts w:eastAsia="IRNazanin" w:cs="IRNazanin"/>
          <w:color w:val="111111"/>
          <w:sz w:val="28"/>
          <w:szCs w:val="28"/>
          <w:rtl w:val="true"/>
          <w:lang w:bidi="fa-IR"/>
        </w:rPr>
        <w:t xml:space="preserve">. </w:t>
      </w:r>
      <w:bookmarkStart w:id="353" w:name="pg1971_8486"/>
    </w:p>
    <w:p>
      <w:pPr>
        <w:pStyle w:val="Heading2"/>
        <w:numPr>
          <w:ilvl w:val="1"/>
          <w:numId w:val="1"/>
        </w:numPr>
        <w:rPr/>
      </w:pPr>
      <w:bookmarkStart w:id="354" w:name="__RefHeading___Toc3696619_3650668749"/>
      <w:bookmarkStart w:id="355" w:name="_Toc136"/>
      <w:bookmarkEnd w:id="353"/>
      <w:bookmarkEnd w:id="354"/>
      <w:r>
        <w:rPr/>
        <w:t>٢٣</w:t>
      </w:r>
      <w:r>
        <w:rPr>
          <w:rtl w:val="true"/>
        </w:rPr>
        <w:t xml:space="preserve"> شبهات واقفيه در باره امامت حضرت رضا </w:t>
      </w:r>
      <w:r>
        <w:rPr>
          <w:rtl w:val="true"/>
        </w:rPr>
        <w:t>(</w:t>
      </w:r>
      <w:r>
        <w:rPr>
          <w:rtl w:val="true"/>
        </w:rPr>
        <w:t>ع</w:t>
      </w:r>
      <w:r>
        <w:rPr>
          <w:rtl w:val="true"/>
        </w:rPr>
        <w:t>)</w:t>
      </w:r>
      <w:bookmarkEnd w:id="355"/>
    </w:p>
    <w:p>
      <w:pPr>
        <w:pStyle w:val="Heading3"/>
        <w:numPr>
          <w:ilvl w:val="2"/>
          <w:numId w:val="1"/>
        </w:numPr>
        <w:rPr/>
      </w:pPr>
      <w:bookmarkStart w:id="356" w:name="__RefHeading___Toc3696621_3650668749"/>
      <w:bookmarkStart w:id="357" w:name="_Toc137"/>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به اختلاف شيعه، بعد از شهادت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مى‌كند و علت اين امر را چند چيز ذكر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زيادى كه از مهدويت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نزد شيعه شايع است كه امام را جز امام غسل نمى‌دهد؛ چگونه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مدينه بود، پدرش را در بغداد غُسل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مرگ پدرش باخبر شد؟ آيا فاصله‌اى افتاده است يا نه؟</w:t>
      </w:r>
    </w:p>
    <w:p>
      <w:pPr>
        <w:pStyle w:val="Heading3"/>
        <w:numPr>
          <w:ilvl w:val="2"/>
          <w:numId w:val="1"/>
        </w:numPr>
        <w:rPr/>
      </w:pPr>
      <w:bookmarkStart w:id="358" w:name="__RefHeading___Toc3696623_3650668749"/>
      <w:bookmarkStart w:id="359" w:name="_Toc138"/>
      <w:bookmarkEnd w:id="358"/>
      <w:r>
        <w:rPr>
          <w:rtl w:val="true"/>
        </w:rPr>
        <w:t>پاسخ</w:t>
      </w:r>
      <w:bookmarkEnd w:id="359"/>
    </w:p>
    <w:p>
      <w:pPr>
        <w:pStyle w:val="Heading3"/>
        <w:numPr>
          <w:ilvl w:val="2"/>
          <w:numId w:val="1"/>
        </w:numPr>
        <w:rPr/>
      </w:pPr>
      <w:bookmarkStart w:id="360" w:name="__RefHeading___Toc3696625_3650668749"/>
      <w:bookmarkStart w:id="361" w:name="_Toc139"/>
      <w:bookmarkEnd w:id="360"/>
      <w:r>
        <w:rPr>
          <w:rtl w:val="true"/>
        </w:rPr>
        <w:t xml:space="preserve">روايات مهدويت حضرت كاظم </w:t>
      </w:r>
      <w:r>
        <w:rPr>
          <w:rtl w:val="true"/>
        </w:rPr>
        <w:t>(</w:t>
      </w:r>
      <w:r>
        <w:rPr>
          <w:rtl w:val="true"/>
        </w:rPr>
        <w:t>ع</w:t>
      </w:r>
      <w:r>
        <w:rPr>
          <w:rtl w:val="true"/>
        </w:rPr>
        <w:t xml:space="preserve">) </w:t>
      </w:r>
      <w:r>
        <w:rPr>
          <w:rtl w:val="true"/>
        </w:rPr>
        <w:t>و پاسخ آن</w:t>
      </w:r>
      <w:bookmarkEnd w:id="36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امورى كه نويسنده ذكر كرد از شبهاتى است كه واقفيه و مخالفان، هزار سال پيش مطرح كردند و در كتاب‌هاى شيعه به آن پرداخته شده و پاسخ آن نيز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شبهات تنها ممكن است براى عده‌اى ناآگاه، جذاب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رواياتى كه از مهدويت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دارد، بايد گفت كه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برخى از </w:t>
      </w:r>
      <w:bookmarkStart w:id="362" w:name="pg1971_8487"/>
    </w:p>
    <w:p>
      <w:pPr>
        <w:pStyle w:val="BookText"/>
        <w:rPr/>
      </w:pPr>
      <w:bookmarkEnd w:id="362"/>
      <w:r>
        <w:rPr>
          <w:rFonts w:ascii="IRNazanin" w:hAnsi="IRNazanin" w:eastAsia="IRNazanin"/>
          <w:color w:val="111111"/>
          <w:sz w:val="28"/>
          <w:sz w:val="28"/>
          <w:szCs w:val="28"/>
          <w:rtl w:val="true"/>
          <w:lang w:bidi="fa-IR"/>
        </w:rPr>
        <w:t>آنها اشاره كرده و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ساختگى يا مبهم و همراه با سوءتفسير است كه سران واقفيه براى توجيه مكتب خود به آنها تمسك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مى‌شود كه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موعود باشد با آنكه روايات فراوانى در كتب شيعه دلالت مى‌كنند كه ائمه دين دوازده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ائمه قبل 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همين را تأييد كرده‌اند؛ حتى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نُه نفر از اولاد وى امامند و نهمين آنها مهدى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روايات در كتاب‌هاى اهل سنت نيز موجود است</w:t>
      </w:r>
      <w:r>
        <w:rPr>
          <w:rFonts w:eastAsia="IRNazanin" w:cs="IRNazanin"/>
          <w:color w:val="111111"/>
          <w:sz w:val="28"/>
          <w:szCs w:val="28"/>
          <w:rtl w:val="true"/>
          <w:lang w:bidi="fa-IR"/>
        </w:rPr>
        <w:t>.</w:t>
      </w:r>
    </w:p>
    <w:p>
      <w:pPr>
        <w:pStyle w:val="Heading3"/>
        <w:numPr>
          <w:ilvl w:val="2"/>
          <w:numId w:val="1"/>
        </w:numPr>
        <w:rPr/>
      </w:pPr>
      <w:bookmarkStart w:id="363" w:name="__RefHeading___Toc3696627_3650668749"/>
      <w:bookmarkStart w:id="364" w:name="_Toc140"/>
      <w:bookmarkEnd w:id="363"/>
      <w:r>
        <w:rPr>
          <w:rtl w:val="true"/>
        </w:rPr>
        <w:t>غسل دادن امام</w:t>
      </w:r>
      <w:bookmarkEnd w:id="364"/>
    </w:p>
    <w:p>
      <w:pPr>
        <w:pStyle w:val="BookText"/>
        <w:rPr/>
      </w:pPr>
      <w:r>
        <w:rPr>
          <w:rFonts w:ascii="IRNazanin" w:hAnsi="IRNazanin" w:eastAsia="IRNazanin"/>
          <w:color w:val="111111"/>
          <w:sz w:val="28"/>
          <w:sz w:val="28"/>
          <w:szCs w:val="28"/>
          <w:rtl w:val="true"/>
          <w:lang w:bidi="fa-IR"/>
        </w:rPr>
        <w:t xml:space="preserve">اما شبهه واقفيه و اينكه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بود بايد پدر را غُسل مى‌داد با آنكه پدر بزرگوارش در بغداد به شهادت رسيد و حضرت در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 شبهه را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واقفيه در همان زمان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امروز نيز امثال نويسنده، همان را شبهه مطرح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عده‌اى از آنها كه براى بحث نزد حضرت آمدند و همين شبهه را مطرح كردند،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امر بعد از او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دست عبيدالله‌بن‌زياد زندانى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بطائنى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به‌گونه‌اى كه آنها نفهميدند خارج شد و متولى كار پدر گرديد و برگشت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هركه به على‌بن‌الحسين قدرت داد كه به كربلا رود و متولى امر </w:t>
      </w:r>
      <w:bookmarkStart w:id="365" w:name="pg1971_8488"/>
    </w:p>
    <w:p>
      <w:pPr>
        <w:pStyle w:val="BookText"/>
        <w:rPr/>
      </w:pPr>
      <w:bookmarkEnd w:id="365"/>
      <w:r>
        <w:rPr>
          <w:rFonts w:ascii="IRNazanin" w:hAnsi="IRNazanin" w:eastAsia="IRNazanin"/>
          <w:color w:val="111111"/>
          <w:sz w:val="28"/>
          <w:sz w:val="28"/>
          <w:szCs w:val="28"/>
          <w:rtl w:val="true"/>
          <w:lang w:bidi="fa-IR"/>
        </w:rPr>
        <w:t>پدر شود، صاحب اين امر را نيز كه در حبس و اسارت نبود، توان مى‌دهد كه به بغداد رود و متولى امر پدر شود و برگردد</w:t>
      </w:r>
      <w:r>
        <w:rPr>
          <w:rFonts w:eastAsia="IRNazanin" w:cs="IRNazanin"/>
          <w:color w:val="111111"/>
          <w:sz w:val="28"/>
          <w:szCs w:val="28"/>
          <w:rtl w:val="true"/>
          <w:lang w:bidi="fa-IR"/>
        </w:rPr>
        <w:t xml:space="preserve">. . . .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در روايتى كه خواهد آمد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وفات حضرت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انتظار خانواده به منزل نيامد و فردايش به منزل برگشت و از همسر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ام‌احمد، امانتى را كه نشان از رحلت حضرت داشت مطالبه كرد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اين روايت مى‌فهماند 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براى انجام كارهاى پدر به بغداد رفته و ايشان را غسل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كارها از امام عجيب نيست؛ همچنان‌كه در برخى روايات آمده است كه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خداحافظى با پدر و انجام غُسل ايشان از مدينه به طوس آمد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اما اينكه شيعيان از اين مسئله بى‌اطلاع بودند، امرى عادى است و نيازى به آگاهى از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عده‌اى از شيعيان، مثل عده‌اى از مسلمانان امروز كه به جاى تسليم در مورد احكام الهى، تحت تأثير شبهات قرار مى‌گيرند، تحت تأثير شبهه چگونگى غسل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فاصله بسيار، قرار گرفتند كه بعداً هدايت شدند</w:t>
      </w:r>
      <w:r>
        <w:rPr>
          <w:rFonts w:eastAsia="IRNazanin" w:cs="IRNazanin"/>
          <w:color w:val="111111"/>
          <w:sz w:val="28"/>
          <w:szCs w:val="28"/>
          <w:rtl w:val="true"/>
          <w:lang w:bidi="fa-IR"/>
        </w:rPr>
        <w:t>.</w:t>
      </w:r>
    </w:p>
    <w:p>
      <w:pPr>
        <w:pStyle w:val="Heading3"/>
        <w:numPr>
          <w:ilvl w:val="2"/>
          <w:numId w:val="1"/>
        </w:numPr>
        <w:rPr/>
      </w:pPr>
      <w:bookmarkStart w:id="366" w:name="__RefHeading___Toc3696629_3650668749"/>
      <w:bookmarkStart w:id="367" w:name="_Toc141"/>
      <w:bookmarkEnd w:id="366"/>
      <w:r>
        <w:rPr>
          <w:rtl w:val="true"/>
        </w:rPr>
        <w:t>چگونگى آگاهى امام از رحلت امام قبلى با وجود دورى از او</w:t>
      </w:r>
      <w:bookmarkEnd w:id="36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اينكه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مرگ پدر باخبر شد و آيا فاصله‌اى افتاده است يا نه؟ </w:t>
      </w:r>
      <w:bookmarkStart w:id="368" w:name="pg1971_8489"/>
    </w:p>
    <w:p>
      <w:pPr>
        <w:pStyle w:val="Heading3"/>
        <w:numPr>
          <w:ilvl w:val="2"/>
          <w:numId w:val="1"/>
        </w:numPr>
        <w:rPr/>
      </w:pPr>
      <w:bookmarkStart w:id="369" w:name="__RefHeading___Toc3696631_3650668749"/>
      <w:bookmarkStart w:id="370" w:name="_Toc142"/>
      <w:bookmarkEnd w:id="368"/>
      <w:bookmarkEnd w:id="369"/>
      <w:r>
        <w:rPr>
          <w:rtl w:val="true"/>
        </w:rPr>
        <w:t>پاسخ</w:t>
      </w:r>
      <w:bookmarkEnd w:id="370"/>
    </w:p>
    <w:p>
      <w:pPr>
        <w:pStyle w:val="BookText"/>
        <w:rPr/>
      </w:pPr>
      <w:r>
        <w:rPr>
          <w:rFonts w:ascii="IRNazanin" w:hAnsi="IRNazanin" w:eastAsia="IRNazanin"/>
          <w:color w:val="111111"/>
          <w:sz w:val="28"/>
          <w:sz w:val="28"/>
          <w:szCs w:val="28"/>
          <w:rtl w:val="true"/>
          <w:lang w:bidi="fa-IR"/>
        </w:rPr>
        <w:t xml:space="preserve">كسانى كه معناى امامت را آن‌گونه مى‌دانند كه شيعه معتقد است، هرگز برايشان اين سؤال مطرح نيست؛ زيرا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الهى مى‌تواند از حوادث جهان آگاه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متعال ايشان را از رحلت پدر آگاه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واقفيه و بعضى شيعيان اين مسئله را در همان زمان حضرت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چند امام مطرح كردند؛ زيرا امام رضا، امام جواد و حضرت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 پدران خود از ايشان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پاسخ زيبايى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است كه حضرت‌جواد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خواندن نوشته‌اى بود كه ناگاه آن را انداخت و پريشان‌حال برخاست و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پدرم از دنيا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دانستيد؟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 و عظمتى بى‌سابقه بر من رخ داد</w:t>
      </w:r>
      <w:r>
        <w:rPr>
          <w:rFonts w:eastAsia="IRNazanin" w:cs="IRNazanin"/>
          <w:color w:val="111111"/>
          <w:sz w:val="28"/>
          <w:szCs w:val="28"/>
          <w:rtl w:val="true"/>
          <w:lang w:bidi="fa-IR"/>
        </w:rPr>
        <w:t xml:space="preserve">» .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همچنين روزى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به خدمتكارش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فاميل بگوييد آماده عزا و ماتم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بهترين اهل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مدتى خبر شهادت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رسيد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در روايت است كه حضرت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روز كه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رفت،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فهميديد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حالت تواضع و ذلتى براى خدا در </w:t>
      </w:r>
    </w:p>
    <w:p>
      <w:pPr>
        <w:pStyle w:val="BookText"/>
        <w:rPr/>
      </w:pPr>
      <w:r>
        <w:rPr>
          <w:rFonts w:ascii="Amiri" w:hAnsi="Amiri" w:eastAsia="Amiri" w:cs="Amiri"/>
          <w:color w:val="111111"/>
          <w:sz w:val="28"/>
          <w:sz w:val="28"/>
          <w:szCs w:val="28"/>
          <w:rtl w:val="true"/>
          <w:lang w:bidi="ar-SA"/>
        </w:rPr>
        <w:t>من حاصل شد كه سابقه نداشته است</w:t>
      </w:r>
      <w:r>
        <w:rPr>
          <w:rFonts w:eastAsia="Amiri" w:cs="Amiri" w:ascii="Amiri" w:hAnsi="Amiri"/>
          <w:color w:val="111111"/>
          <w:sz w:val="28"/>
          <w:szCs w:val="28"/>
          <w:rtl w:val="true"/>
          <w:lang w:bidi="ar-SA"/>
        </w:rPr>
        <w:t xml:space="preserve">» .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گويا آنچه در روايات آمده اشاره به همين حالت است كه امام بعدى از علم امام قبلى در آخرين دقيقه‌اى كه از حيات وى باقى است، آگاه مى‌شود؛ </w:t>
      </w:r>
      <w:r>
        <w:rPr>
          <w:rStyle w:val="FootnoteAnchor"/>
          <w:rtl w:val="true"/>
        </w:rPr>
        <w:footnoteReference w:id="220"/>
      </w:r>
      <w:r>
        <w:rPr>
          <w:rFonts w:ascii="IRNazanin" w:hAnsi="IRNazanin" w:eastAsia="IRNazanin"/>
          <w:color w:val="111111"/>
          <w:sz w:val="28"/>
          <w:sz w:val="28"/>
          <w:szCs w:val="28"/>
          <w:rtl w:val="true"/>
          <w:lang w:bidi="fa-IR"/>
        </w:rPr>
        <w:t xml:space="preserve">ازاين‌رو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چه وقت مى‌فهمد كه امام شده است؟ آيا همان وقتى كه امام قبلى از دنيا مى‌رود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مى‌ماند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رحلت او برسد؟ مثل زمانى كه حضرت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از دنيا رفت و شما اينجا بوديد؟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رحلت امام قبل، آن را مى‌فهمد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او الهام مى‌كند</w:t>
      </w:r>
      <w:r>
        <w:rPr>
          <w:rFonts w:eastAsia="IRNazanin" w:cs="IRNazanin"/>
          <w:color w:val="111111"/>
          <w:sz w:val="28"/>
          <w:szCs w:val="28"/>
          <w:rtl w:val="true"/>
          <w:lang w:bidi="fa-IR"/>
        </w:rPr>
        <w:t xml:space="preserve">» . </w:t>
      </w:r>
      <w:r>
        <w:rPr>
          <w:rStyle w:val="FootnoteAnchor"/>
          <w:rtl w:val="true"/>
        </w:rPr>
        <w:footnoteReference w:id="22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شما روايت كرده‌اند كه شما خبر رحلت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سخن سعيد فهميده‌ايد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از آمدن وى مى‌دانستم</w:t>
      </w:r>
      <w:r>
        <w:rPr>
          <w:rFonts w:eastAsia="IRNazanin" w:cs="IRNazanin"/>
          <w:color w:val="111111"/>
          <w:sz w:val="28"/>
          <w:szCs w:val="28"/>
          <w:rtl w:val="true"/>
          <w:lang w:bidi="fa-IR"/>
        </w:rPr>
        <w:t xml:space="preserve">» . </w:t>
      </w:r>
      <w:r>
        <w:rPr>
          <w:rStyle w:val="FootnoteAnchor"/>
          <w:rtl w:val="true"/>
        </w:rPr>
        <w:footnoteReference w:id="222"/>
      </w:r>
      <w:bookmarkStart w:id="371" w:name="pg1971_8491"/>
    </w:p>
    <w:p>
      <w:pPr>
        <w:pStyle w:val="Heading2"/>
        <w:numPr>
          <w:ilvl w:val="1"/>
          <w:numId w:val="1"/>
        </w:numPr>
        <w:rPr/>
      </w:pPr>
      <w:bookmarkStart w:id="372" w:name="__RefHeading___Toc3696633_3650668749"/>
      <w:bookmarkStart w:id="373" w:name="_Toc143"/>
      <w:bookmarkEnd w:id="371"/>
      <w:bookmarkEnd w:id="372"/>
      <w:r>
        <w:rPr/>
        <w:t>٢۴</w:t>
      </w:r>
      <w:r>
        <w:rPr>
          <w:rtl w:val="true"/>
        </w:rPr>
        <w:t xml:space="preserve"> شبهه مبهم بودن امامت امام رضا </w:t>
      </w:r>
      <w:r>
        <w:rPr>
          <w:rtl w:val="true"/>
        </w:rPr>
        <w:t>(</w:t>
      </w:r>
      <w:r>
        <w:rPr>
          <w:rtl w:val="true"/>
        </w:rPr>
        <w:t>ع</w:t>
      </w:r>
      <w:r>
        <w:rPr>
          <w:rtl w:val="true"/>
        </w:rPr>
        <w:t xml:space="preserve">) </w:t>
      </w:r>
      <w:r>
        <w:rPr>
          <w:rtl w:val="true"/>
        </w:rPr>
        <w:t>نزد خانواده پدر</w:t>
      </w:r>
      <w:bookmarkEnd w:id="373"/>
    </w:p>
    <w:p>
      <w:pPr>
        <w:pStyle w:val="Heading3"/>
        <w:numPr>
          <w:ilvl w:val="2"/>
          <w:numId w:val="1"/>
        </w:numPr>
        <w:rPr/>
      </w:pPr>
      <w:bookmarkStart w:id="374" w:name="__RefHeading___Toc3696635_3650668749"/>
      <w:bookmarkStart w:id="375" w:name="_Toc144"/>
      <w:bookmarkEnd w:id="374"/>
      <w:r>
        <w:rPr>
          <w:rtl w:val="true"/>
        </w:rPr>
        <w:t>اشاره</w:t>
      </w:r>
      <w:bookmarkEnd w:id="375"/>
    </w:p>
    <w:p>
      <w:pPr>
        <w:pStyle w:val="BookText"/>
        <w:rPr/>
      </w:pPr>
      <w:r>
        <w:rPr>
          <w:rFonts w:ascii="Amiri" w:hAnsi="Amiri" w:eastAsia="Amiri" w:cs="Amiri"/>
          <w:color w:val="111111"/>
          <w:sz w:val="28"/>
          <w:sz w:val="28"/>
          <w:szCs w:val="28"/>
          <w:rtl w:val="true"/>
          <w:lang w:bidi="ar-SA"/>
        </w:rPr>
        <w:t xml:space="preserve">در صفحه </w:t>
      </w:r>
      <w:r>
        <w:rPr>
          <w:rFonts w:ascii="Amiri" w:hAnsi="Amiri" w:eastAsia="Amiri" w:cs="Amiri"/>
          <w:color w:val="111111"/>
          <w:sz w:val="28"/>
          <w:sz w:val="28"/>
          <w:szCs w:val="28"/>
          <w:lang w:bidi="ar-SA"/>
        </w:rPr>
        <w:t>۴٧</w:t>
      </w:r>
      <w:r>
        <w:rPr>
          <w:rFonts w:ascii="Amiri" w:hAnsi="Amiri" w:eastAsia="Amiri" w:cs="Amiri"/>
          <w:color w:val="111111"/>
          <w:sz w:val="28"/>
          <w:sz w:val="28"/>
          <w:szCs w:val="28"/>
          <w:rtl w:val="true"/>
          <w:lang w:bidi="ar-SA"/>
        </w:rPr>
        <w:t xml:space="preserve"> كتاب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منصوص بودن امامت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تنها براى عموم شيعيان نامعلوم بود، بلكه براساس تاريخ براى فرزندان امام كاظم و همسرش ام‌احمد نيز نامشخص بود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براى بيان بى‌اطلاعى همسر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فقط به دادن آدرس از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صفحات </w:t>
      </w:r>
      <w:r>
        <w:rPr>
          <w:rFonts w:ascii="IRNazanin" w:hAnsi="IRNazanin" w:eastAsia="IRNazanin"/>
          <w:color w:val="111111"/>
          <w:sz w:val="28"/>
          <w:sz w:val="28"/>
          <w:szCs w:val="28"/>
          <w:lang w:bidi="fa-IR"/>
        </w:rPr>
        <w:t>٣٨١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٣٨٢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مى‌كند و در مورد فرزندان حضرت اظهار مى‌كند كه يكى از روايات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شيعيان در مدينه با شنيدن خبر رحلت امام كاظم، جلوى خانه ام‌احمد جمع شدند و با احمد پسر امام كاظم بيعت كردند و او را امام دانستند و او نيز از آنها بيعت گرفت</w:t>
      </w:r>
      <w:r>
        <w:rPr>
          <w:rFonts w:eastAsia="IRNazanin" w:cs="IRNazanin"/>
          <w:color w:val="111111"/>
          <w:sz w:val="28"/>
          <w:szCs w:val="28"/>
          <w:rtl w:val="true"/>
          <w:lang w:bidi="fa-IR"/>
        </w:rPr>
        <w:t xml:space="preserve">» . </w:t>
      </w:r>
      <w:r>
        <w:rPr>
          <w:rStyle w:val="FootnoteAnchor"/>
          <w:rtl w:val="true"/>
        </w:rPr>
        <w:footnoteReference w:id="223"/>
      </w:r>
    </w:p>
    <w:p>
      <w:pPr>
        <w:pStyle w:val="Heading3"/>
        <w:numPr>
          <w:ilvl w:val="2"/>
          <w:numId w:val="1"/>
        </w:numPr>
        <w:rPr/>
      </w:pPr>
      <w:bookmarkStart w:id="376" w:name="__RefHeading___Toc3696637_3650668749"/>
      <w:bookmarkStart w:id="377" w:name="_Toc145"/>
      <w:bookmarkEnd w:id="376"/>
      <w:r>
        <w:rPr>
          <w:rtl w:val="true"/>
        </w:rPr>
        <w:t>پاسخ</w:t>
      </w:r>
      <w:bookmarkEnd w:id="377"/>
    </w:p>
    <w:p>
      <w:pPr>
        <w:pStyle w:val="BookText"/>
        <w:rPr/>
      </w:pPr>
      <w:r>
        <w:rPr>
          <w:rFonts w:ascii="IRNazanin" w:hAnsi="IRNazanin" w:eastAsia="IRNazanin"/>
          <w:color w:val="111111"/>
          <w:sz w:val="28"/>
          <w:sz w:val="28"/>
          <w:szCs w:val="28"/>
          <w:rtl w:val="true"/>
          <w:lang w:bidi="fa-IR"/>
        </w:rPr>
        <w:t xml:space="preserve">آنچه در روايت مربوط به همسر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اين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تبعيد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كرد كه هر شب كنار در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شب‌ها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نيامد كه باعث نگرانى خانواده ايشان نيز شد؛ روز بعد، حضرت آمد و به ام‌احمد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حضرت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امانتى را كه پدرم به شما سپرده بود،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فريادى زد و بر صورت خويش كوبيد و گريبان چاك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سرورم از دنيا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امانت‌ها را كه مقدارى پول و يك زنبيل بود به حضرت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خودش اين‌گونه قرار گذارد كه اين امانت نزد تو باشد و كسى را بر آن آگاه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يكى از فرزندانم آن را از تو مطالبه كرد، به او بده و بدان كه از دنيا رفته‌ام</w:t>
      </w:r>
      <w:r>
        <w:rPr>
          <w:rFonts w:eastAsia="IRNazanin" w:cs="IRNazanin"/>
          <w:color w:val="111111"/>
          <w:sz w:val="28"/>
          <w:szCs w:val="28"/>
          <w:rtl w:val="true"/>
          <w:lang w:bidi="fa-IR"/>
        </w:rPr>
        <w:t xml:space="preserve">. . .» .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در اين روايت جمله‌اى نيست كه بر معرفت نداشتن ام‌احمد بر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كند، فقط به وقت رحلت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برگرداندن امانت، نه وصاياى امامت،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ام‌احمد نيز با مطالبه اين امانت از رحلت حضرت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بيعت شيعيان با يكى از فرزندان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احمد، بايد گفت هرچند اين جمله در برخى كتب آمده است؛ </w:t>
      </w:r>
      <w:r>
        <w:rPr>
          <w:rStyle w:val="FootnoteAnchor"/>
          <w:rtl w:val="true"/>
        </w:rPr>
        <w:footnoteReference w:id="225"/>
      </w:r>
      <w:r>
        <w:rPr>
          <w:rFonts w:ascii="IRNazanin" w:hAnsi="IRNazanin" w:eastAsia="IRNazanin"/>
          <w:color w:val="111111"/>
          <w:sz w:val="28"/>
          <w:sz w:val="28"/>
          <w:szCs w:val="28"/>
          <w:rtl w:val="true"/>
          <w:lang w:bidi="fa-IR"/>
        </w:rPr>
        <w:t xml:space="preserve">ولى با توجه به جلالت اين بزرگوار بسيار بعيد است و اگر هم باشد، مثل ديگر موارد است كه عده‌اى از روى ناآگاهى به اين كار اقدام كرده‌اند؛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اصولاًانحراف فرزندان اولياى خدا، دليل بر شبهه در امامت جانشين ايشان يا حتى آگاهى نداشتن آنها از سخن پدر در مورد جانشين او نيست</w:t>
      </w:r>
      <w:r>
        <w:rPr>
          <w:rFonts w:eastAsia="IRNazanin" w:cs="IRNazanin"/>
          <w:color w:val="111111"/>
          <w:sz w:val="28"/>
          <w:szCs w:val="28"/>
          <w:rtl w:val="true"/>
          <w:lang w:bidi="fa-IR"/>
        </w:rPr>
        <w:t xml:space="preserve">. </w:t>
      </w:r>
      <w:bookmarkStart w:id="378" w:name="pg1971_8493"/>
    </w:p>
    <w:p>
      <w:pPr>
        <w:pStyle w:val="Heading2"/>
        <w:numPr>
          <w:ilvl w:val="1"/>
          <w:numId w:val="1"/>
        </w:numPr>
        <w:rPr/>
      </w:pPr>
      <w:bookmarkStart w:id="379" w:name="__RefHeading___Toc3696639_3650668749"/>
      <w:bookmarkStart w:id="380" w:name="_Toc146"/>
      <w:bookmarkEnd w:id="378"/>
      <w:bookmarkEnd w:id="379"/>
      <w:r>
        <w:rPr/>
        <w:t>٢۵</w:t>
      </w:r>
      <w:r>
        <w:rPr>
          <w:rtl w:val="true"/>
        </w:rPr>
        <w:t xml:space="preserve"> بحران و تفرقه در مورد امامت حضرت جواد </w:t>
      </w:r>
      <w:r>
        <w:rPr>
          <w:rtl w:val="true"/>
        </w:rPr>
        <w:t>(</w:t>
      </w:r>
      <w:r>
        <w:rPr>
          <w:rtl w:val="true"/>
        </w:rPr>
        <w:t>ع</w:t>
      </w:r>
      <w:r>
        <w:rPr>
          <w:rtl w:val="true"/>
        </w:rPr>
        <w:t>)</w:t>
      </w:r>
      <w:bookmarkEnd w:id="380"/>
    </w:p>
    <w:p>
      <w:pPr>
        <w:pStyle w:val="Heading3"/>
        <w:numPr>
          <w:ilvl w:val="2"/>
          <w:numId w:val="1"/>
        </w:numPr>
        <w:rPr/>
      </w:pPr>
      <w:bookmarkStart w:id="381" w:name="__RefHeading___Toc3696641_3650668749"/>
      <w:bookmarkStart w:id="382" w:name="_Toc147"/>
      <w:bookmarkEnd w:id="381"/>
      <w:r>
        <w:rPr>
          <w:rtl w:val="true"/>
        </w:rPr>
        <w:t>اشاره</w:t>
      </w:r>
      <w:bookmarkEnd w:id="382"/>
    </w:p>
    <w:p>
      <w:pPr>
        <w:pStyle w:val="BookText"/>
        <w:rPr/>
      </w:pP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۴٨</w:t>
      </w:r>
      <w:r>
        <w:rPr>
          <w:rFonts w:ascii="IRNazanin" w:hAnsi="IRNazanin" w:eastAsia="IRNazanin"/>
          <w:color w:val="111111"/>
          <w:sz w:val="28"/>
          <w:sz w:val="28"/>
          <w:szCs w:val="28"/>
          <w:rtl w:val="true"/>
          <w:lang w:bidi="fa-IR"/>
        </w:rPr>
        <w:t xml:space="preserve"> مى‌گويد كه خردسال بودن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رحلت پدر، بحران تازه‌اى بين اماميه ايجاد كرد و مسئله رسيدن مقام امامت از پدر به پسر را زير سؤال برد؛ زيرا معقول نبود كه خداوند خردسالى را براى رهبرى مسلمانان تعيين كند كه حتى حق تصرف در اموال خودش را ندارد و از نظر شرعى مكلف نيست و فرصت آموختن علم از پدرش را نداشته است؛ زيرا پدرش از او در سن چهار سالگى در مدينه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سبب شد كه شيعه بعد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گروه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عقيده واقفيه گرايش پيدا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برادر حضرت رضا، يعنى احمد بن موسى را جانشين امام رضا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زيدى مذهب بود و به همراه ابوالسرايا در كوفه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عالم و پرهيزكار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محمد بن قاسم از نوادگان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كوفه بود، انتخاب كردند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پذيرفتند</w:t>
      </w:r>
      <w:r>
        <w:rPr>
          <w:rFonts w:eastAsia="IRNazanin" w:cs="IRNazanin"/>
          <w:color w:val="111111"/>
          <w:sz w:val="28"/>
          <w:szCs w:val="28"/>
          <w:rtl w:val="true"/>
          <w:lang w:bidi="fa-IR"/>
        </w:rPr>
        <w:t xml:space="preserve">. </w:t>
      </w:r>
      <w:bookmarkStart w:id="383" w:name="pg1971_8494"/>
    </w:p>
    <w:p>
      <w:pPr>
        <w:pStyle w:val="Heading3"/>
        <w:numPr>
          <w:ilvl w:val="2"/>
          <w:numId w:val="1"/>
        </w:numPr>
        <w:rPr/>
      </w:pPr>
      <w:bookmarkStart w:id="384" w:name="__RefHeading___Toc3696643_3650668749"/>
      <w:bookmarkStart w:id="385" w:name="_Toc148"/>
      <w:bookmarkEnd w:id="383"/>
      <w:bookmarkEnd w:id="384"/>
      <w:r>
        <w:rPr>
          <w:rtl w:val="true"/>
        </w:rPr>
        <w:t>پاسخ</w:t>
      </w:r>
      <w:bookmarkEnd w:id="385"/>
    </w:p>
    <w:p>
      <w:pPr>
        <w:pStyle w:val="Heading3"/>
        <w:numPr>
          <w:ilvl w:val="2"/>
          <w:numId w:val="1"/>
        </w:numPr>
        <w:rPr/>
      </w:pPr>
      <w:bookmarkStart w:id="386" w:name="__RefHeading___Toc3696645_3650668749"/>
      <w:bookmarkStart w:id="387" w:name="_Toc149"/>
      <w:bookmarkEnd w:id="386"/>
      <w:r>
        <w:rPr>
          <w:rtl w:val="true"/>
        </w:rPr>
        <w:t>امام خردسال، شگفت‌انگيز و مظهر قدرت الهى</w:t>
      </w:r>
      <w:bookmarkEnd w:id="387"/>
    </w:p>
    <w:p>
      <w:pPr>
        <w:pStyle w:val="BookText"/>
        <w:rPr/>
      </w:pPr>
      <w:r>
        <w:rPr>
          <w:rFonts w:ascii="IRNazanin" w:hAnsi="IRNazanin" w:eastAsia="IRNazanin"/>
          <w:color w:val="111111"/>
          <w:sz w:val="28"/>
          <w:sz w:val="28"/>
          <w:szCs w:val="28"/>
          <w:rtl w:val="true"/>
          <w:lang w:bidi="fa-IR"/>
        </w:rPr>
        <w:t xml:space="preserve">طبيعى است كه خردسال بودن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بروز مشكلات و اختلافات در جامعه شيعه گردد؛ زيرا امرى كم‌سابقه در ميان مردم اتفاق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تعبيرهاى سبك نويسنده در اينكه حضرت، حق تصرف در اموال خود را نداشت و پدرش او را در سن چهار سالگى در مدينه رها كرد، نشان از بى‌ادبى نويسنده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بزرگانى از اهل سنت به حضرت‌رضا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ديده احترام مى‌نگرند و از عظمت و شخصيت ايشان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آن، حق تصرف نداشتن طفل هفت يا نُه ساله در صورتى است كه امام نباشد، وگرنه كسى‌كه امام جامعه است و بر همه اموال و نفوس ولايت دارد، چگونه حق تصرف در اموال خودش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آموختن علم را از پدرش نداشته، جهالتى مضاعف بر نادانى‌هاى نويسنده است؛ زيرا اگر اين جمله را براى مخالفان شيعه مى‌گويد كه براى شيعه مفيد نيست و مخالفان نيز اعتقادى به امامت حضرت ندارند و اگر براى شيعه و در ردّ عقيده آنها مى‌گويد، بايد گفت كه شيعه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يادگيرى متعارف از جانب پدر نيست، بلكه قسمتى از طريق الهام و قسمتى نيز از طريق اشارات و تعليم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غيرعادى از جانب پدر است كه هيچ كدام نياز به فرصت زمانى ندارد و در لحظه‌اى مى‌تواند محقق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حتى مأمون عباسى نيز به اين مسئله اعتراف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چنين آمده است كه وى هنگام تزويج دخترش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محمد بن على را انتخاب كردم؛ زيرا با اين سن كم بر همه اهل فضل و علم برترى دارد و از اين جهت اعجوبه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اطرافيان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سنّش كم است و دانش كافى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دانشمند شود، سپس هر چه خواهى انجام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 شما بهتر 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خاندانى است كه خداوند آنها را تعليم داده و همواره پدران او در علم دين و ادب از مردم بى‌نياز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او را امتحان كنيد تا برايتان واضح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پذيرفتند و همگى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اكثم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قاضى‌القضاة بود، خواستند تا از آن نوجوان سؤالى كند كه از جواب عاجز باشد و جوايز نفيسى نيز به او وعده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جلسه‌اى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يحيى‌بن‌اكثم به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مى‌دهى از شما سؤالى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مى‌گويى درباره شخصى كه در حال احرام شكار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 كشته است يا بيرون آن؟ مى‌دانسته يا جاهل بوده است؟ عمداً كشته است يا از روى خطا؟ اين شخص آزاد است يا عبد؟ بچه است يا بزرگ؟ بار اول اوست يا تكرار كرده است؟ آن حيوانى كه كشته، پرنده است يا غير آن؟ شكار كوچك است يا بزرگ؟ اصرار دارد بر اين كار يا پشيمان است؟ شب كشته است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روز؟ اِحرامش در عمره بوده يا در حج؟ </w:t>
      </w:r>
    </w:p>
    <w:p>
      <w:pPr>
        <w:pStyle w:val="BookText"/>
        <w:rPr/>
      </w:pPr>
      <w:r>
        <w:rPr>
          <w:rFonts w:ascii="IRNazanin" w:hAnsi="IRNazanin" w:eastAsia="IRNazanin"/>
          <w:color w:val="111111"/>
          <w:sz w:val="28"/>
          <w:sz w:val="28"/>
          <w:szCs w:val="28"/>
          <w:rtl w:val="true"/>
          <w:lang w:bidi="fa-IR"/>
        </w:rPr>
        <w:t>يحيى بن اكثم متحير شد و درماندگى در صورتش آشكار گشت و زبانش به لكنت افتاد، به‌گونه‌اى كه اهل مجلس فهميدند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بر اين نعمت و توفيقى كه من در درستى انتخاب داشتم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آنها روى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الآن پى برديد به آنچه انكار 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مراسم ازدواج را برگزار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همه رفتند و عده‌اى از خواص ماندند، مأمون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 اگر صلاح مى‌دانيد احكام هر يك از آنچه در مورد شكار در حال احرام را شرح داديد، بيان كنيد تا ما نيز بدانيم و بهره‌مند شويم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احكام هر نوع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مأمون از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مسئله‌اى را از يحيى‌بن‌اكثم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يحيى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هرگونه كه ميل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را بدانم مى‌گويم، وگرنه از شما استفاده مى‌كنم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بدانم در مورد مردى كه اول روز به زنى نگاه كرد، درحالى‌كه بر او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روز بالا آمد بر او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عصر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عشا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نصف شب حرام و در طلوع فجر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زنى است و براى چه بر آن مرد حلال و دوباره حرام مى‌شد؟</w:t>
      </w:r>
    </w:p>
    <w:p>
      <w:pPr>
        <w:pStyle w:val="BookText"/>
        <w:rPr/>
      </w:pPr>
      <w:r>
        <w:rPr>
          <w:rFonts w:ascii="IRNazanin" w:hAnsi="IRNazanin" w:eastAsia="IRNazanin"/>
          <w:color w:val="111111"/>
          <w:sz w:val="28"/>
          <w:sz w:val="28"/>
          <w:szCs w:val="28"/>
          <w:rtl w:val="true"/>
          <w:lang w:bidi="fa-IR"/>
        </w:rPr>
        <w:t>يحيى بن اكثم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سؤال را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مى‌دانيد پاسخ آن را بفرما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پاسخ دادند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حضرت را شيخ‌مفيد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مأمون كه </w:t>
      </w:r>
    </w:p>
    <w:p>
      <w:pPr>
        <w:pStyle w:val="BookText"/>
        <w:rPr/>
      </w:pPr>
      <w:r>
        <w:rPr>
          <w:rFonts w:ascii="IRNazanin" w:hAnsi="IRNazanin" w:eastAsia="IRNazanin"/>
          <w:color w:val="111111"/>
          <w:sz w:val="28"/>
          <w:sz w:val="28"/>
          <w:szCs w:val="28"/>
          <w:rtl w:val="true"/>
          <w:lang w:bidi="fa-IR"/>
        </w:rPr>
        <w:t>شگفت‌زده شده بود به حاضران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ميان شما كسى هست اين‌چنين به اين مسئله جواب دهد؟ يا مسئله پيشين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به خدا سوگند،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مى‌داند در آنچه مى‌انديشد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خانواده در ميان مردم همچنان‌كه مى‌بينيد به علم و فضل و كمال برگزيده شده‌اند و كودكى ايشان، مانع از كمالشان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نمى‌دانيد كه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خود را از على بن ابى‌طالب شروع كرد و هيچ‌كس را در سن او دعوت نكرد درحالى‌كه او ده ساله بود كه اسلام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كمتر از شش سال داشتند با حضرت بيعت كردند و با كودكى جز اين دو بيعت نكرد؟ آيا اكنون نفهميديد آنچه را خداوند به اين گروه اختصاص داده است؟ اينان نسلى‌اند كه برخى همانند برخى ديگرند و درباره آخرين آنها جارى است آنچه درباره نخستين آنهاست</w:t>
      </w:r>
      <w:r>
        <w:rPr>
          <w:rFonts w:eastAsia="IRNazanin" w:cs="IRNazanin"/>
          <w:color w:val="111111"/>
          <w:sz w:val="28"/>
          <w:szCs w:val="28"/>
          <w:rtl w:val="true"/>
          <w:lang w:bidi="fa-IR"/>
        </w:rPr>
        <w:t xml:space="preserve">. . . . </w:t>
      </w:r>
      <w:r>
        <w:rPr>
          <w:rStyle w:val="FootnoteAnchor"/>
          <w:rtl w:val="true"/>
        </w:rPr>
        <w:footnoteReference w:id="22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شبهه واقفيه در مورد كودكى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گذشته در كتاب‌هاى شيعه آمده است؛ مثلاً سعد بن عبدالله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٣٠١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والفرق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ذكر كرده و خودش هم به خوبى جواب داده است كه امر پيامبران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ديگران فرق دارد و براى ايشان سن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حضرت نوح در پانصد سالگى و حضرت عيسى در گهواره پيامبر شد</w:t>
      </w:r>
      <w:r>
        <w:rPr>
          <w:rFonts w:eastAsia="IRNazanin" w:cs="IRNazanin"/>
          <w:color w:val="111111"/>
          <w:sz w:val="28"/>
          <w:szCs w:val="28"/>
          <w:rtl w:val="true"/>
          <w:lang w:bidi="fa-IR"/>
        </w:rPr>
        <w:t xml:space="preserve">. </w:t>
      </w:r>
      <w:r>
        <w:rPr>
          <w:rStyle w:val="FootnoteAnchor"/>
          <w:rtl w:val="true"/>
        </w:rPr>
        <w:footnoteReference w:id="228"/>
      </w:r>
      <w:bookmarkStart w:id="388" w:name="pg1971_8498"/>
    </w:p>
    <w:p>
      <w:pPr>
        <w:pStyle w:val="Heading3"/>
        <w:numPr>
          <w:ilvl w:val="2"/>
          <w:numId w:val="1"/>
        </w:numPr>
        <w:rPr/>
      </w:pPr>
      <w:bookmarkStart w:id="389" w:name="__RefHeading___Toc3696647_3650668749"/>
      <w:bookmarkStart w:id="390" w:name="_Toc150"/>
      <w:bookmarkEnd w:id="388"/>
      <w:bookmarkEnd w:id="389"/>
      <w:r>
        <w:rPr>
          <w:rtl w:val="true"/>
        </w:rPr>
        <w:t xml:space="preserve">نظر شيعه درباره امامت </w:t>
      </w:r>
      <w:r>
        <w:rPr>
          <w:rtl w:val="true"/>
        </w:rPr>
        <w:t>«</w:t>
      </w:r>
      <w:r>
        <w:rPr>
          <w:rtl w:val="true"/>
        </w:rPr>
        <w:t>محمد بن قاسم</w:t>
      </w:r>
      <w:r>
        <w:rPr>
          <w:rtl w:val="true"/>
        </w:rPr>
        <w:t>»</w:t>
      </w:r>
      <w:bookmarkEnd w:id="390"/>
    </w:p>
    <w:p>
      <w:pPr>
        <w:pStyle w:val="BookText"/>
        <w:rPr/>
      </w:pPr>
      <w:r>
        <w:rPr>
          <w:rFonts w:ascii="IRNazanin" w:hAnsi="IRNazanin" w:eastAsia="IRNazanin"/>
          <w:color w:val="111111"/>
          <w:sz w:val="28"/>
          <w:sz w:val="28"/>
          <w:szCs w:val="28"/>
          <w:rtl w:val="true"/>
          <w:lang w:bidi="fa-IR"/>
        </w:rPr>
        <w:t xml:space="preserve">اما درباره گرايش شيعه به محمد بن قاسم از نوادگان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گفت كه در تاريخ از قيام او، پيوستن بسيارى از شيعيان مَرو به او، قيام ديگرش در طالقان، زندانى شدنش در بغداد نزد معتصم و اختلاف در سرانجام وى سخن گفته‌اند كه مشروح آن را ابوالفرج اصفهانى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قاسم بن على‌بن عمر بن على بن حسين بن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گفته است كه محمد بن قاسم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 جاروديه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هم‌عقيده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داستان نيز سخنى از بيعت شيعه با وى بعد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سخن از قيام و بيعت مردم با وى است، بلكه در آنجا آمده است كه وقتى مردم از وى سخنانى شنيدند كه موافق مذهب معتزله بود، اهل كوفه از وى كناره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جريان قيام وى آمده است كه شيعيان مرو، او را در قلعه‌اى نفوذ ناپذير پناه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مى‌دانيم كه شيعه در آن زمان داراى معناى عامى بوده است كه بر زيديه، اسماعيليه و ديگر فرقه‌هاى پيرو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اطلاق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دليلى نيافتيم كه بيعت‌كنندگان با محمدبن‌قاسم، همان پيروان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كه با وى براى جانشينى بيعت كرده‌اند تا اينان را يكى از فرقه‌هاى انشعابى بعد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و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چنين فرقه‌اى نام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مذكور از كهن‌ترين كتاب‌هاى فرقه‌نگارى شيعه و مؤلف آن سعد بن عبدالله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٣٠١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ماهيت چنين قيام‌هايى نيز بيشتر با عقيده زيديه هماهنگ است كه بيعت و خروج را با هر كسى كه قيام كند، واجب مى‌دانستند</w:t>
      </w:r>
      <w:r>
        <w:rPr>
          <w:rFonts w:eastAsia="IRNazanin" w:cs="IRNazanin"/>
          <w:color w:val="111111"/>
          <w:sz w:val="28"/>
          <w:szCs w:val="28"/>
          <w:rtl w:val="true"/>
          <w:lang w:bidi="fa-IR"/>
        </w:rPr>
        <w:t xml:space="preserve">. </w:t>
      </w:r>
      <w:bookmarkStart w:id="391" w:name="pg1971_8499"/>
    </w:p>
    <w:p>
      <w:pPr>
        <w:pStyle w:val="Heading2"/>
        <w:numPr>
          <w:ilvl w:val="1"/>
          <w:numId w:val="1"/>
        </w:numPr>
        <w:rPr/>
      </w:pPr>
      <w:bookmarkStart w:id="392" w:name="__RefHeading___Toc3696649_3650668749"/>
      <w:bookmarkStart w:id="393" w:name="_Toc151"/>
      <w:bookmarkEnd w:id="391"/>
      <w:bookmarkEnd w:id="392"/>
      <w:r>
        <w:rPr/>
        <w:t>٢۶</w:t>
      </w:r>
      <w:r>
        <w:rPr>
          <w:rtl w:val="true"/>
        </w:rPr>
        <w:t xml:space="preserve"> بيعت با احمد بن موسى </w:t>
      </w:r>
      <w:r>
        <w:rPr>
          <w:rtl w:val="true"/>
        </w:rPr>
        <w:t>(</w:t>
      </w:r>
      <w:r>
        <w:rPr>
          <w:rtl w:val="true"/>
        </w:rPr>
        <w:t>عليهماالسلام</w:t>
      </w:r>
      <w:r>
        <w:rPr>
          <w:rtl w:val="true"/>
        </w:rPr>
        <w:t>)</w:t>
      </w:r>
      <w:bookmarkEnd w:id="393"/>
    </w:p>
    <w:p>
      <w:pPr>
        <w:pStyle w:val="Heading3"/>
        <w:numPr>
          <w:ilvl w:val="2"/>
          <w:numId w:val="1"/>
        </w:numPr>
        <w:rPr/>
      </w:pPr>
      <w:bookmarkStart w:id="394" w:name="__RefHeading___Toc3696651_3650668749"/>
      <w:bookmarkStart w:id="395" w:name="_Toc152"/>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۴٨</w:t>
      </w:r>
      <w:r>
        <w:rPr>
          <w:rFonts w:ascii="IRNazanin" w:hAnsi="IRNazanin" w:eastAsia="IRNazanin"/>
          <w:color w:val="111111"/>
          <w:sz w:val="28"/>
          <w:sz w:val="28"/>
          <w:szCs w:val="28"/>
          <w:rtl w:val="true"/>
          <w:lang w:bidi="fa-IR"/>
        </w:rPr>
        <w:t xml:space="preserve"> كتاب آورده است گروهى كه دوباره به وقف برگشتند، گروهى مجهول‌اند كه تعدادشان معلوم نيست و از آنها جز نامشان اثرى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 و در جريان‌ها و حوادث تاريخى از آنها اثرى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نويسنده سبب بيعت عده‌اى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حضرت‌رضا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توجيه نشدن آنان از سن كم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و همچنين مدعى است كه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را گمان او در وصيت كردن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امامت دانسته است</w:t>
      </w:r>
      <w:r>
        <w:rPr>
          <w:rFonts w:eastAsia="IRNazanin" w:cs="IRNazanin"/>
          <w:color w:val="111111"/>
          <w:sz w:val="28"/>
          <w:szCs w:val="28"/>
          <w:rtl w:val="true"/>
          <w:lang w:bidi="fa-IR"/>
        </w:rPr>
        <w:t xml:space="preserve">. </w:t>
      </w:r>
      <w:r>
        <w:rPr>
          <w:rStyle w:val="FootnoteAnchor"/>
          <w:rtl w:val="true"/>
        </w:rPr>
        <w:footnoteReference w:id="229"/>
      </w:r>
    </w:p>
    <w:p>
      <w:pPr>
        <w:pStyle w:val="Heading3"/>
        <w:numPr>
          <w:ilvl w:val="2"/>
          <w:numId w:val="1"/>
        </w:numPr>
        <w:rPr/>
      </w:pPr>
      <w:bookmarkStart w:id="396" w:name="__RefHeading___Toc3696653_3650668749"/>
      <w:bookmarkStart w:id="397" w:name="_Toc153"/>
      <w:bookmarkEnd w:id="396"/>
      <w:r>
        <w:rPr>
          <w:rtl w:val="true"/>
        </w:rPr>
        <w:t>پاسخ</w:t>
      </w:r>
      <w:bookmarkEnd w:id="39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 نويسنده بسيار مشكوك است؛ زيرا او در يك صفحه قبل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يكى از روايات شيعيان آمده است كه بعد از انتشار خبر رحلت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شيعيان با احمدبن‌موسى بيعت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چطور مى‌شودكه دوباره شيعيان بعد از رحلت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وى بيعت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گروه دوم، از عقيده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برگشته باشند و </w:t>
      </w:r>
    </w:p>
    <w:p>
      <w:pPr>
        <w:pStyle w:val="BookText"/>
        <w:rPr/>
      </w:pPr>
      <w:r>
        <w:rPr>
          <w:rFonts w:ascii="IRNazanin" w:hAnsi="IRNazanin" w:eastAsia="IRNazanin"/>
          <w:color w:val="111111"/>
          <w:sz w:val="28"/>
          <w:sz w:val="28"/>
          <w:szCs w:val="28"/>
          <w:rtl w:val="true"/>
          <w:lang w:bidi="fa-IR"/>
        </w:rPr>
        <w:t xml:space="preserve">به گروه اول ملحق شده باشند كه با توجيه ذكر شده در كلام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با توجه به بزرگى مقام احمد بن موسى بعيد است كه پس از دعوت براى برادرش، باز مردم را به سوى خويش فرابخواند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مطابق آنچه نويسنده آورده، احمد بن موسى، زيدى مسلك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بسيار بعيد است كه اماميه، چنين شخصى را امام بداند، مگر آنكه برخى، همراه شدن عده‌اى از شيعيان را با وى در خروج ابوالسرايا، علامت رهبرى وى دانسته و آنان را يك فرقه شناخته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جريان خروج وى همراه ابوالسرايا كه از زيديه بوده است، اين احتمال را ضعيف مى‌سازد كه اماميه او را جانشين امام انتخاب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اثبات اين نَقل‌ها، فقط بر انحراف برخى شيعيان دلالت مى‌كند كه به علت شرايط ويژه آن زمان، دورى از امام خود و فشارهاى وارد شده بر آنها به برخى قيام‌ها ملحق مى‌شدند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آن است كه روايت مربوط به خروج احمد بن موسى با ابوالسرايا و زيدى بودن وى و اعتقاد به امامت ايشان از نظر سندى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آمده است كه دو نفر به نام ابراهيم 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ابوسمال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حضرت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نزد احمدبن موسى رفت‌وآمد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ابوالسرايا، سرى بن منصور شيبانى، در سال </w:t>
      </w:r>
      <w:r>
        <w:rPr>
          <w:rFonts w:ascii="IRNazanin" w:hAnsi="IRNazanin" w:eastAsia="IRNazanin"/>
          <w:color w:val="111111"/>
          <w:sz w:val="28"/>
          <w:sz w:val="28"/>
          <w:szCs w:val="28"/>
          <w:lang w:bidi="fa-IR"/>
        </w:rPr>
        <w:t>١٩٩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خروج كرد، احمدبن موسى نيز با او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به اين سبب از عقيده به او برگشتند و مدعى شدند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است</w:t>
      </w:r>
      <w:r>
        <w:rPr>
          <w:rFonts w:eastAsia="Amiri" w:cs="Amiri" w:ascii="Amiri" w:hAnsi="Amiri"/>
          <w:color w:val="111111"/>
          <w:sz w:val="28"/>
          <w:szCs w:val="28"/>
          <w:rtl w:val="true"/>
          <w:lang w:bidi="ar-SA"/>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در حقيقت اين روايت ضعيف، منشأ درست شدن اين فرقه و ادعاى زيدى بودن و خروج وى با ابوالسرايا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زيدى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بزرگوار تجليل كرده است و با يك روايت ضعيف نمى‌توان بزرگان را متهم كرد</w:t>
      </w:r>
      <w:r>
        <w:rPr>
          <w:rFonts w:eastAsia="IRNazanin" w:cs="IRNazanin"/>
          <w:color w:val="111111"/>
          <w:sz w:val="28"/>
          <w:szCs w:val="28"/>
          <w:rtl w:val="true"/>
          <w:lang w:bidi="fa-IR"/>
        </w:rPr>
        <w:t xml:space="preserve">. </w:t>
      </w:r>
      <w:bookmarkStart w:id="398" w:name="pg1971_8502"/>
    </w:p>
    <w:p>
      <w:pPr>
        <w:pStyle w:val="Heading2"/>
        <w:numPr>
          <w:ilvl w:val="1"/>
          <w:numId w:val="1"/>
        </w:numPr>
        <w:rPr/>
      </w:pPr>
      <w:bookmarkStart w:id="399" w:name="__RefHeading___Toc3696655_3650668749"/>
      <w:bookmarkStart w:id="400" w:name="_Toc154"/>
      <w:bookmarkEnd w:id="398"/>
      <w:bookmarkEnd w:id="399"/>
      <w:r>
        <w:rPr/>
        <w:t>٢٧</w:t>
      </w:r>
      <w:r>
        <w:rPr>
          <w:rtl w:val="true"/>
        </w:rPr>
        <w:t xml:space="preserve"> شيعه و امامت حضرت هادى </w:t>
      </w:r>
      <w:r>
        <w:rPr>
          <w:rtl w:val="true"/>
        </w:rPr>
        <w:t>(</w:t>
      </w:r>
      <w:r>
        <w:rPr>
          <w:rtl w:val="true"/>
        </w:rPr>
        <w:t>ع</w:t>
      </w:r>
      <w:r>
        <w:rPr>
          <w:rtl w:val="true"/>
        </w:rPr>
        <w:t>)</w:t>
      </w:r>
      <w:bookmarkEnd w:id="400"/>
    </w:p>
    <w:p>
      <w:pPr>
        <w:pStyle w:val="Heading3"/>
        <w:numPr>
          <w:ilvl w:val="2"/>
          <w:numId w:val="1"/>
        </w:numPr>
        <w:rPr/>
      </w:pPr>
      <w:bookmarkStart w:id="401" w:name="__RefHeading___Toc3696657_3650668749"/>
      <w:bookmarkStart w:id="402" w:name="_Toc155"/>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۴٩</w:t>
      </w:r>
      <w:r>
        <w:rPr>
          <w:rFonts w:ascii="IRNazanin" w:hAnsi="IRNazanin" w:eastAsia="IRNazanin"/>
          <w:color w:val="111111"/>
          <w:sz w:val="28"/>
          <w:sz w:val="28"/>
          <w:szCs w:val="28"/>
          <w:rtl w:val="true"/>
          <w:lang w:bidi="fa-IR"/>
        </w:rPr>
        <w:t xml:space="preserve"> مى‌نويسد كه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وفات پدرش كودكى هفت 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وصيت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و بردگان حفاظت كند و هرگاه حضرت هادى به سن بلوغ رسيد، آنها را به او تحويل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ابى‌خالد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بر آن گواه گرفت</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همين امر موجب سؤال شيعه شد كه وقتى حضرت‌هادى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پدرش، چون كودك است، نمى‌تواند از اموال و املاك پدر حفاظت كند، چه كسى در اين مدت امام خواهد بود و چگونه خردسالى مى‌تواند امام باشد؟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در ادامه مى‌نويسد كه بزرگان شيعه، امام جديد را نمى‌شناختند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درباره امامت گفت‌وگو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فردى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پنهانى وصيت كرده كه بعد از او پسرش هادى امام است</w:t>
      </w:r>
      <w:r>
        <w:rPr>
          <w:rFonts w:eastAsia="IRNazanin" w:cs="IRNazanin"/>
          <w:color w:val="111111"/>
          <w:sz w:val="28"/>
          <w:szCs w:val="28"/>
          <w:rtl w:val="true"/>
          <w:lang w:bidi="fa-IR"/>
        </w:rPr>
        <w:t xml:space="preserve">» . </w:t>
      </w:r>
      <w:r>
        <w:rPr>
          <w:rStyle w:val="FootnoteAnchor"/>
          <w:rtl w:val="true"/>
        </w:rPr>
        <w:footnoteReference w:id="232"/>
      </w:r>
      <w:r>
        <w:rPr>
          <w:rFonts w:ascii="IRNazanin" w:hAnsi="IRNazanin" w:eastAsia="IRNazanin"/>
          <w:color w:val="111111"/>
          <w:sz w:val="28"/>
          <w:sz w:val="28"/>
          <w:szCs w:val="28"/>
          <w:rtl w:val="true"/>
          <w:lang w:bidi="fa-IR"/>
        </w:rPr>
        <w:t xml:space="preserve">همين امر سبب شد تا پيروان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 شوند؛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گروهى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دانستند</w:t>
      </w:r>
      <w:r>
        <w:rPr>
          <w:rFonts w:eastAsia="IRNazanin" w:cs="IRNazanin"/>
          <w:color w:val="111111"/>
          <w:sz w:val="28"/>
          <w:szCs w:val="28"/>
          <w:rtl w:val="true"/>
          <w:lang w:bidi="fa-IR"/>
        </w:rPr>
        <w:t xml:space="preserve">. </w:t>
      </w:r>
      <w:r>
        <w:rPr>
          <w:rStyle w:val="FootnoteAnchor"/>
          <w:rtl w:val="true"/>
        </w:rPr>
        <w:footnoteReference w:id="233"/>
      </w:r>
      <w:bookmarkStart w:id="403" w:name="pg1971_8503"/>
    </w:p>
    <w:p>
      <w:pPr>
        <w:pStyle w:val="Heading3"/>
        <w:numPr>
          <w:ilvl w:val="2"/>
          <w:numId w:val="1"/>
        </w:numPr>
        <w:rPr/>
      </w:pPr>
      <w:bookmarkStart w:id="404" w:name="__RefHeading___Toc3696659_3650668749"/>
      <w:bookmarkStart w:id="405" w:name="_Toc156"/>
      <w:bookmarkEnd w:id="403"/>
      <w:bookmarkEnd w:id="404"/>
      <w:r>
        <w:rPr>
          <w:rtl w:val="true"/>
        </w:rPr>
        <w:t>پاسخ</w:t>
      </w:r>
      <w:bookmarkEnd w:id="405"/>
    </w:p>
    <w:p>
      <w:pPr>
        <w:pStyle w:val="BookText"/>
        <w:rPr/>
      </w:pP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امامت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اماميه بر امامت حضرت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اتفاق‌نظر داشتند و هيچ‌كس جز ايشان ادعاى امامت نكرد تا مسئله مشتبه شود و همين سبب مى‌شودكه نيازى به ذكر تفصيلى نصوص نباشد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سعد بن عبدالله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٣٠١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امامت ايشان ثابت مانده بودند، همگى به امامت پسر و وصى ايشان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معتقد شدند، مگر چند نفر اندك كه به امامت برادرش موسى بن محمد گرايش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اينان نيز اندكى بعد به امامت على بن محمد برگشتند؛ زيرا موسى آنها را تكذيب كرد و از هر كه به امامت وى معتقد شد، بيزارى جست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مى‌بينيم كلمات شيخ مفيد و اشعرى، مخالف آن چيزى است كه نويسنده ادعا كرده است كه شيعه در مورد امامت حضرت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متحير شده‌و اختلاف كرده‌اند</w:t>
      </w:r>
      <w:r>
        <w:rPr>
          <w:rFonts w:eastAsia="IRNazanin" w:cs="IRNazanin"/>
          <w:color w:val="111111"/>
          <w:sz w:val="28"/>
          <w:szCs w:val="28"/>
          <w:rtl w:val="true"/>
          <w:lang w:bidi="fa-IR"/>
        </w:rPr>
        <w:t>.</w:t>
      </w:r>
    </w:p>
    <w:p>
      <w:pPr>
        <w:pStyle w:val="Heading3"/>
        <w:numPr>
          <w:ilvl w:val="2"/>
          <w:numId w:val="1"/>
        </w:numPr>
        <w:rPr/>
      </w:pPr>
      <w:bookmarkStart w:id="406" w:name="__RefHeading___Toc3696661_3650668749"/>
      <w:bookmarkStart w:id="407" w:name="_Toc157"/>
      <w:bookmarkEnd w:id="406"/>
      <w:r>
        <w:rPr>
          <w:rtl w:val="true"/>
        </w:rPr>
        <w:t>آگاهى بزرگان شيعه از امام جديد</w:t>
      </w:r>
      <w:bookmarkEnd w:id="407"/>
    </w:p>
    <w:p>
      <w:pPr>
        <w:pStyle w:val="Heading3"/>
        <w:numPr>
          <w:ilvl w:val="2"/>
          <w:numId w:val="1"/>
        </w:numPr>
        <w:rPr/>
      </w:pPr>
      <w:bookmarkStart w:id="408" w:name="__RefHeading___Toc3696663_3650668749"/>
      <w:bookmarkStart w:id="409" w:name="_Toc158"/>
      <w:bookmarkEnd w:id="408"/>
      <w:r>
        <w:rPr>
          <w:rtl w:val="true"/>
        </w:rPr>
        <w:t>پاسخ</w:t>
      </w:r>
      <w:bookmarkEnd w:id="40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روايت كلينى آمده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نماينده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 داد كه 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دنيا مى‌روم و امر امامت به فرزندم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و او بعد از من همان حقى را دارد كه من بعد از پدرم بر شما داشتم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محمد بن‌عيسى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سخنان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صبح فردا، موضوع گفته شده را در ده ورقه نوشت، مُهر كرد و به ده نفر از بزرگان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قبل از آنكه آن را از شما مطالبه كنم از دنيا رفتم، آن را باز كنيد و از مضمون آن آگاه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منزل بيرون نرفته بوديم كه چهارصد نفر به وسيله من به امامت حضرت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بزرگان طايفه اماميه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اعتماد امام رضا، امام‌جواد و امام‌هادى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جمع شدند و در مورد اين امر با هم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محمدبن فرج به پدرم نامه نوشت و او را از آن جلسه آگاه ساخت و نوشت كه اگر بيم انتشار خبر نبود با ديگران نزد وى مى‌آمد و درخواست كرد كه پدرم نزد ايشان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پدرم نزد آنها رفت،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در اين امر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روايت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بيشتر آنان شك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كسانى كه نامه‌ها دستشان بود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نامه‌ها را بياوريد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 را آوردند و من نيز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آنچه من به آن مأمور شده‌ام و احمد بن محمد بن عيسى نيز به آن شهادت داد؛ البته بعد از اظهار يك تعصب 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آنكه همگى به امامت حضرت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كردند</w:t>
      </w:r>
      <w:r>
        <w:rPr>
          <w:rFonts w:eastAsia="IRNazanin" w:cs="IRNazanin"/>
          <w:color w:val="111111"/>
          <w:sz w:val="28"/>
          <w:szCs w:val="28"/>
          <w:rtl w:val="true"/>
          <w:lang w:bidi="fa-IR"/>
        </w:rPr>
        <w:t xml:space="preserve">. </w:t>
      </w:r>
      <w:r>
        <w:rPr>
          <w:rStyle w:val="FootnoteAnchor"/>
          <w:rtl w:val="true"/>
        </w:rPr>
        <w:footnoteReference w:id="236"/>
      </w:r>
      <w:bookmarkStart w:id="410" w:name="pg1971_8505"/>
    </w:p>
    <w:p>
      <w:pPr>
        <w:pStyle w:val="BookText"/>
        <w:rPr/>
      </w:pPr>
      <w:bookmarkEnd w:id="410"/>
      <w:r>
        <w:rPr>
          <w:rFonts w:ascii="IRNazanin" w:hAnsi="IRNazanin" w:eastAsia="IRNazanin"/>
          <w:color w:val="111111"/>
          <w:sz w:val="28"/>
          <w:sz w:val="28"/>
          <w:szCs w:val="28"/>
          <w:rtl w:val="true"/>
          <w:lang w:bidi="fa-IR"/>
        </w:rPr>
        <w:t xml:space="preserve">مى‌بينيم كه در اينجا هرگز سخن از گرايش به موسى مبرقع نيست و شيعيان به آسانى به امامت حضرت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روايات فراوانى به امامت آن حضرت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سبب اوضاع سخت بعد از شهادت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پراكندگى شيعه و شدت تقيه، طبيعى است كه امامت حضرت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شيعيان واضح نباشد؛ همچنان‌كه امامت حضرت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بسيارى از اصحاب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رسيدن گزارش‌هاى پى‌درپى، دلايل، كرامات و فضايل امام كاظم و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گفتيم كه انتشار نيافتن نام ائمه دوازده‌گانه براى حفظ جان امام و شيعيان و ديگر مصالح الهى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آگاهى نيافتن بر نام ائمه مشكلى را در مباحث امامت ايجاد نمى‌كرده جز ترديد براى نزد برخى كه آن هم با تحقيق برطرف مى‌شده است</w:t>
      </w:r>
      <w:r>
        <w:rPr>
          <w:rFonts w:eastAsia="IRNazanin" w:cs="IRNazanin"/>
          <w:color w:val="111111"/>
          <w:sz w:val="28"/>
          <w:szCs w:val="28"/>
          <w:rtl w:val="true"/>
          <w:lang w:bidi="fa-IR"/>
        </w:rPr>
        <w:t>.</w:t>
      </w:r>
    </w:p>
    <w:p>
      <w:pPr>
        <w:pStyle w:val="Heading3"/>
        <w:numPr>
          <w:ilvl w:val="2"/>
          <w:numId w:val="1"/>
        </w:numPr>
        <w:rPr/>
      </w:pPr>
      <w:bookmarkStart w:id="411" w:name="__RefHeading___Toc3696665_3650668749"/>
      <w:bookmarkStart w:id="412" w:name="_Toc159"/>
      <w:bookmarkEnd w:id="411"/>
      <w:r>
        <w:rPr>
          <w:rtl w:val="true"/>
        </w:rPr>
        <w:t xml:space="preserve">وصيت امام جواد </w:t>
      </w:r>
      <w:r>
        <w:rPr>
          <w:rtl w:val="true"/>
        </w:rPr>
        <w:t>(</w:t>
      </w:r>
      <w:r>
        <w:rPr>
          <w:rtl w:val="true"/>
        </w:rPr>
        <w:t>ع</w:t>
      </w:r>
      <w:r>
        <w:rPr>
          <w:rtl w:val="true"/>
        </w:rPr>
        <w:t xml:space="preserve">) </w:t>
      </w:r>
      <w:r>
        <w:rPr>
          <w:rtl w:val="true"/>
        </w:rPr>
        <w:t>و تدبير هوشمندانه ايشان</w:t>
      </w:r>
      <w:bookmarkEnd w:id="412"/>
    </w:p>
    <w:p>
      <w:pPr>
        <w:pStyle w:val="BookText"/>
        <w:rPr/>
      </w:pPr>
      <w:r>
        <w:rPr>
          <w:rFonts w:ascii="IRNazanin" w:hAnsi="IRNazanin" w:eastAsia="IRNazanin"/>
          <w:color w:val="111111"/>
          <w:sz w:val="28"/>
          <w:sz w:val="28"/>
          <w:szCs w:val="28"/>
          <w:rtl w:val="true"/>
          <w:lang w:bidi="fa-IR"/>
        </w:rPr>
        <w:t xml:space="preserve">اما جريان وصيت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حفاظت از اموال تا هنگام بلوغ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تدبير سياسى براى انحراف دشمنان از توجه به حضرت‌هادى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همچنان‌كه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پنج نفر وصيت كرد و يكى از آنها را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تا جان وى محفوظ بماند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در واقع آنچه نويسنده نوشته است كه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 امر باعث سؤال و ترديد شيعه شد، برداشت شخصى نويسنده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وگرنه در هيچ روايتى نيامده كه شيعه از اين وصيت، چنين ترديدى كرده 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بزرگان شيعه ترديد كنند درحالى‌كه تاريخ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سيره امامان، به‌ويژه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تقيه و رعايت ظاهر دارد و شيعه با اين روش به خوبى آشنا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بزرگان شيعه به عظمت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جانب خداوند منصوب است، آگاه بوده‌اند؛ به‌ويژه ياران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امامت حضرت را در كودكى با چشم خود 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هرگز با اين‌گونه امور به ترديد نمى‌افتادند، مگر گروه‌هاى غافل و ناآگاه كه در هر زمان و در هر طايفه‌اى هستند</w:t>
      </w:r>
      <w:r>
        <w:rPr>
          <w:rFonts w:eastAsia="IRNazanin" w:cs="IRNazanin"/>
          <w:color w:val="111111"/>
          <w:sz w:val="28"/>
          <w:szCs w:val="28"/>
          <w:rtl w:val="true"/>
          <w:lang w:bidi="fa-IR"/>
        </w:rPr>
        <w:t xml:space="preserve">. </w:t>
      </w:r>
      <w:bookmarkStart w:id="413" w:name="pg1971_8507"/>
    </w:p>
    <w:p>
      <w:pPr>
        <w:pStyle w:val="Heading2"/>
        <w:numPr>
          <w:ilvl w:val="1"/>
          <w:numId w:val="1"/>
        </w:numPr>
        <w:rPr/>
      </w:pPr>
      <w:bookmarkStart w:id="414" w:name="__RefHeading___Toc3696667_3650668749"/>
      <w:bookmarkStart w:id="415" w:name="_Toc160"/>
      <w:bookmarkEnd w:id="413"/>
      <w:bookmarkEnd w:id="414"/>
      <w:r>
        <w:rPr/>
        <w:t>٢٨</w:t>
      </w:r>
      <w:r>
        <w:rPr>
          <w:rtl w:val="true"/>
        </w:rPr>
        <w:t xml:space="preserve"> امامت حضرت عسكرى </w:t>
      </w:r>
      <w:r>
        <w:rPr>
          <w:rtl w:val="true"/>
        </w:rPr>
        <w:t>(</w:t>
      </w:r>
      <w:r>
        <w:rPr>
          <w:rtl w:val="true"/>
        </w:rPr>
        <w:t>ع</w:t>
      </w:r>
      <w:r>
        <w:rPr>
          <w:rtl w:val="true"/>
        </w:rPr>
        <w:t xml:space="preserve">) </w:t>
      </w:r>
      <w:r>
        <w:rPr>
          <w:rtl w:val="true"/>
        </w:rPr>
        <w:t>و مسئله بَدا</w:t>
      </w:r>
      <w:bookmarkEnd w:id="415"/>
    </w:p>
    <w:p>
      <w:pPr>
        <w:pStyle w:val="Heading3"/>
        <w:numPr>
          <w:ilvl w:val="2"/>
          <w:numId w:val="1"/>
        </w:numPr>
        <w:rPr/>
      </w:pPr>
      <w:bookmarkStart w:id="416" w:name="__RefHeading___Toc3696669_3650668749"/>
      <w:bookmarkStart w:id="417" w:name="_Toc161"/>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۵١</w:t>
      </w:r>
      <w:r>
        <w:rPr>
          <w:rFonts w:ascii="IRNazanin" w:hAnsi="IRNazanin" w:eastAsia="IRNazanin"/>
          <w:color w:val="111111"/>
          <w:sz w:val="28"/>
          <w:sz w:val="28"/>
          <w:szCs w:val="28"/>
          <w:rtl w:val="true"/>
          <w:lang w:bidi="fa-IR"/>
        </w:rPr>
        <w:t xml:space="preserve"> اشاره مى‌كند كه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جانشينى‌اش، ابتدا پسرش محمد را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او در زمان حضرت وفات كرد، پسر ديگرش حسن عسكرى را امام بعد از خود تعيين كرد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 كن كه درباره تو امر تازه‌اى پديد آمده است</w:t>
      </w:r>
      <w:r>
        <w:rPr>
          <w:rFonts w:eastAsia="IRNazanin" w:cs="IRNazanin"/>
          <w:color w:val="111111"/>
          <w:sz w:val="28"/>
          <w:szCs w:val="28"/>
          <w:rtl w:val="true"/>
          <w:lang w:bidi="fa-IR"/>
        </w:rPr>
        <w:t xml:space="preserve">» .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نويسنده سپس روايتى را نقل مى‌كند به همان مضمون كه امام‌هادى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ابوهاشم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ابوجعفر امرى براى خدا آشكار شد و ابومحمد را به جاى او قرار داد؛ چنان‌كه اسماعيل را ابوعبدالله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خدا امرى در مورد اسماعيل آشكار شد</w:t>
      </w:r>
      <w:r>
        <w:rPr>
          <w:rFonts w:eastAsia="IRNazanin" w:cs="IRNazanin"/>
          <w:color w:val="111111"/>
          <w:sz w:val="28"/>
          <w:szCs w:val="28"/>
          <w:rtl w:val="true"/>
          <w:lang w:bidi="fa-IR"/>
        </w:rPr>
        <w:t xml:space="preserve">. . . .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سپس نويسنده اضافه مى‌كند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از پيروان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پسرش را نپذيرفتند و گفتند كه او زنده و غايب است؛ همچنان‌كه اسماعيليه وفات اسماعيل پسر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نپذيرفتند</w:t>
      </w:r>
      <w:r>
        <w:rPr>
          <w:rFonts w:eastAsia="IRNazanin" w:cs="IRNazanin"/>
          <w:color w:val="111111"/>
          <w:sz w:val="28"/>
          <w:szCs w:val="28"/>
          <w:rtl w:val="true"/>
          <w:lang w:bidi="fa-IR"/>
        </w:rPr>
        <w:t xml:space="preserve">. </w:t>
      </w:r>
      <w:bookmarkStart w:id="418" w:name="pg1971_8508"/>
    </w:p>
    <w:p>
      <w:pPr>
        <w:pStyle w:val="Heading3"/>
        <w:numPr>
          <w:ilvl w:val="2"/>
          <w:numId w:val="1"/>
        </w:numPr>
        <w:rPr/>
      </w:pPr>
      <w:bookmarkStart w:id="419" w:name="__RefHeading___Toc3696671_3650668749"/>
      <w:bookmarkStart w:id="420" w:name="_Toc162"/>
      <w:bookmarkEnd w:id="418"/>
      <w:bookmarkEnd w:id="419"/>
      <w:r>
        <w:rPr>
          <w:rtl w:val="true"/>
        </w:rPr>
        <w:t>پاسخ</w:t>
      </w:r>
      <w:bookmarkEnd w:id="420"/>
    </w:p>
    <w:p>
      <w:pPr>
        <w:pStyle w:val="BookText"/>
        <w:rPr/>
      </w:pPr>
      <w:r>
        <w:rPr>
          <w:rFonts w:ascii="IRNazanin" w:hAnsi="IRNazanin" w:eastAsia="IRNazanin"/>
          <w:color w:val="111111"/>
          <w:sz w:val="28"/>
          <w:sz w:val="28"/>
          <w:szCs w:val="28"/>
          <w:rtl w:val="true"/>
          <w:lang w:bidi="fa-IR"/>
        </w:rPr>
        <w:t>آنچه نويسنده به آن پرداخته مسئله‌اى است كه قرن‌ها پيش، شيخ مفيد، شيخ طوسى و بزرگان شيعه پاسخ آن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ادعا كرده است كه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جانشينى خود، ابتدا پسرش محمد را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او در زمان حضرت وفات كرد، حضرت عسكرى را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اين‌گونه‌ادعاها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مدعيان مى‌خواهيم كه روايتى را دراين‌باره بياورند كه حضرت‌هادى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فرزندش محمد را نصب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نمى‌توانند نه روايتى بياورند و نه تواترى كه به آن اعتماد كنند؛ زيرا اين گروه از راويان آن‌قدر اندك هستند كه اگر همه آنها هم خبر دهند، به تواتر نمى‌رسد و همين در باطل بودن ادعاى آنها كافى 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آنها نه تنها بر مدّعاى خود دليلى ندارند، بلكه به خلاف ادعايشان حضرت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است كه محمد امام نيست و فرزندش حسن،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كافى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عمر نوفلى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حياط منزلشان بودم كه محمد پسر حضرت از كنار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 او صاحب ما بعد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صاحب شما بعد از من، حسن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Style w:val="FootnoteAnchor"/>
          <w:rtl w:val="true"/>
        </w:rPr>
        <w:footnoteReference w:id="24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جمله‌اى كه نويسنده به آن تمسك كرده از متشابهات است؛ </w:t>
      </w:r>
      <w:bookmarkStart w:id="421" w:name="pg1971_8509"/>
    </w:p>
    <w:p>
      <w:pPr>
        <w:pStyle w:val="BookText"/>
        <w:rPr/>
      </w:pPr>
      <w:bookmarkEnd w:id="421"/>
      <w:r>
        <w:rPr>
          <w:rFonts w:ascii="IRNazanin" w:hAnsi="IRNazanin" w:eastAsia="IRNazanin"/>
          <w:color w:val="111111"/>
          <w:sz w:val="28"/>
          <w:sz w:val="28"/>
          <w:szCs w:val="28"/>
          <w:rtl w:val="true"/>
          <w:lang w:bidi="fa-IR"/>
        </w:rPr>
        <w:t>همچون متشابهات قرآنى كه افراد بيماردل به آنها تمسك مى‌كنند تا به خواسته نارواى خويش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برخلاف تصريح بزرگان شيعه و اعتقاد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بدا، اصرار دارد آن را بدون توضيح، به‌گونه‌اى ترجمه كند كه نزد شيعه ناهنجار جلوه كند</w:t>
      </w:r>
      <w:r>
        <w:rPr>
          <w:rFonts w:eastAsia="IRNazanin" w:cs="IRNazanin"/>
          <w:color w:val="111111"/>
          <w:sz w:val="28"/>
          <w:szCs w:val="28"/>
          <w:rtl w:val="true"/>
          <w:lang w:bidi="fa-IR"/>
        </w:rPr>
        <w:t>.</w:t>
      </w:r>
    </w:p>
    <w:p>
      <w:pPr>
        <w:pStyle w:val="Heading3"/>
        <w:numPr>
          <w:ilvl w:val="2"/>
          <w:numId w:val="1"/>
        </w:numPr>
        <w:rPr/>
      </w:pPr>
      <w:bookmarkStart w:id="422" w:name="__RefHeading___Toc3696673_3650668749"/>
      <w:bookmarkStart w:id="423" w:name="_Toc163"/>
      <w:bookmarkEnd w:id="422"/>
      <w:r>
        <w:rPr>
          <w:rtl w:val="true"/>
        </w:rPr>
        <w:t>توضيح جريان بَدا و معناى صحيح آن</w:t>
      </w:r>
      <w:bookmarkEnd w:id="423"/>
    </w:p>
    <w:p>
      <w:pPr>
        <w:pStyle w:val="BookText"/>
        <w:rPr/>
      </w:pPr>
      <w:r>
        <w:rPr>
          <w:rFonts w:ascii="IRNazanin" w:hAnsi="IRNazanin" w:eastAsia="IRNazanin"/>
          <w:color w:val="111111"/>
          <w:sz w:val="28"/>
          <w:sz w:val="28"/>
          <w:szCs w:val="28"/>
          <w:rtl w:val="true"/>
          <w:lang w:bidi="fa-IR"/>
        </w:rPr>
        <w:t xml:space="preserve">اصل مسئله اين است كه حضرت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چهار پسر بودند كه گويا بزرگ‌ترين آنها محمد بوده و سپس حضرت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محمد فرزند بزرگ‌تر و فردى جليل‌القدر و مورد احترام پدر بود، شيعيان فكر كردند وى جانشين حضرت خواهد بود؛ به‌ويژه كه برخى حتى از ديگر فرزندان حضرت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سبب تبعيد و محاصره حضرت آگاهى نداشتند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است كه وقتى </w:t>
      </w:r>
      <w:r>
        <w:rPr>
          <w:rFonts w:ascii="IRNazanin" w:hAnsi="IRNazanin" w:eastAsia="IRNazanin"/>
          <w:color w:val="111111"/>
          <w:sz w:val="28"/>
          <w:sz w:val="28"/>
          <w:szCs w:val="28"/>
          <w:lang w:bidi="fa-IR"/>
        </w:rPr>
        <w:t>١۵٠</w:t>
      </w:r>
      <w:r>
        <w:rPr>
          <w:rFonts w:ascii="IRNazanin" w:hAnsi="IRNazanin" w:eastAsia="IRNazanin"/>
          <w:color w:val="111111"/>
          <w:sz w:val="28"/>
          <w:sz w:val="28"/>
          <w:szCs w:val="28"/>
          <w:rtl w:val="true"/>
          <w:lang w:bidi="fa-IR"/>
        </w:rPr>
        <w:t xml:space="preserve"> نفر از خاندان بنى‌هاشم، ابوطالب و قريش و عده ديگرى از مردم در روز وفات محمد پسر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تعزيت نزد حضرت آمده بودند، حضرت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امام‌هادى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ديدند كه با گريبانى چاك‌داده آمد و در سمت راست پدر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نمى‌شناختيم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بعد از ساعتى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را شكر كن كه درباره تو امرى پديد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جوان گريست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العالمين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پرسيديم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حسن پسر امام هادى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آن وقت به نظر ما جواني</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ساله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وى را شناختيم و فهميديم كه حضرت او را به امامت معرفى كرده و </w:t>
      </w:r>
    </w:p>
    <w:p>
      <w:pPr>
        <w:pStyle w:val="BookText"/>
        <w:rPr/>
      </w:pPr>
      <w:r>
        <w:rPr>
          <w:rFonts w:ascii="IRNazanin" w:hAnsi="IRNazanin" w:eastAsia="IRNazanin"/>
          <w:color w:val="111111"/>
          <w:sz w:val="28"/>
          <w:sz w:val="28"/>
          <w:szCs w:val="28"/>
          <w:rtl w:val="true"/>
          <w:lang w:bidi="fa-IR"/>
        </w:rPr>
        <w:t>جاى خود قرار داده است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اين امور سبب شد كه مردم، بدون آنكه حضرت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تصريحى به امامت پسرش محمد بكند، فكر كنند امام است و چون محمد در زمان پدر از دنيا رفت، معلوم شد كه آن فكر اشتباه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از اين جريان، يعنى ظاهر شدن حقيقتى كه مردم خلاف آن را مى‌دانسته‌اند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مى‌كند؛ ولى مخالفان همانند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 آشكار شد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مى‌كنند كه لازمه‌اش جهل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مانند همين شبهه و با همين تعبير و بلكه پررنگ‌تر از آن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مسئله حقى است كه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كه نويسنده نخواسته است آن را بفهمد، مطرح كرده‌است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روايت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فوت پسر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هادى بودم و با خود فكر مى‌كردم كه گويا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زمان، مثل حضرت موسى بن‌جعفر و اسماعيل فرزندان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قصه هر دو يكى است؛ زيرا اميد بود ابومحمد بعد از ابوجعفر به امامت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قبل از آنكه من حرفى بزنم، حضرت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اى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ابوجعفر، براى ابومحمد چيزى را ظاهر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كرد كه قبلاً آشكار و شناخته شده نبود؛ همچنان‌كه بعد از موت </w:t>
      </w:r>
      <w:bookmarkStart w:id="424" w:name="pg1971_8511"/>
    </w:p>
    <w:p>
      <w:pPr>
        <w:pStyle w:val="BookText"/>
        <w:rPr/>
      </w:pPr>
      <w:bookmarkEnd w:id="424"/>
      <w:r>
        <w:rPr>
          <w:rFonts w:ascii="IRNazanin" w:hAnsi="IRNazanin" w:eastAsia="IRNazanin"/>
          <w:color w:val="111111"/>
          <w:sz w:val="28"/>
          <w:sz w:val="28"/>
          <w:szCs w:val="28"/>
          <w:rtl w:val="true"/>
          <w:lang w:bidi="fa-IR"/>
        </w:rPr>
        <w:t xml:space="preserve">اسماعيل، براى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كرد، آنچه حال او را روشن كرد و اين همان‌گونه است كه در خاطر تو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اهل باطل را خوش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پسرم ابومحمد جانشين من است، هر چه مردم نياز دارند نزد او و ابزار امامت با اوست</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پيش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لله فى محمد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 درباره محمد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باره اسماعيل ظاهر شد، معنايش اين است كه بعد از مرگ محمد، ظاهر شد كه خداوند او را امام قرار نداده بود؛ همچنان‌كه در مورد اسماعيل چنان شد، نه آنكه خداوند بر امامت وى تصريح كرده باشد، سپس منصرف شود و ديگرى را امام كند؛ زيرا اين كار براى خداوند كه عالم به عواقب امور است، صحيح نيست</w:t>
      </w:r>
      <w:r>
        <w:rPr>
          <w:rFonts w:eastAsia="IRNazanin" w:cs="IRNazanin"/>
          <w:color w:val="111111"/>
          <w:sz w:val="28"/>
          <w:szCs w:val="28"/>
          <w:rtl w:val="true"/>
          <w:lang w:bidi="fa-IR"/>
        </w:rPr>
        <w:t xml:space="preserve">. </w:t>
      </w:r>
      <w:r>
        <w:rPr>
          <w:rStyle w:val="FootnoteAnchor"/>
          <w:rtl w:val="true"/>
        </w:rPr>
        <w:footnoteReference w:id="244"/>
      </w:r>
    </w:p>
    <w:p>
      <w:pPr>
        <w:pStyle w:val="Heading3"/>
        <w:numPr>
          <w:ilvl w:val="2"/>
          <w:numId w:val="1"/>
        </w:numPr>
        <w:rPr/>
      </w:pPr>
      <w:bookmarkStart w:id="425" w:name="__RefHeading___Toc3696675_3650668749"/>
      <w:bookmarkStart w:id="426" w:name="_Toc164"/>
      <w:bookmarkEnd w:id="425"/>
      <w:r>
        <w:rPr>
          <w:rtl w:val="true"/>
        </w:rPr>
        <w:t xml:space="preserve">امام حسن عسكرى </w:t>
      </w:r>
      <w:r>
        <w:rPr>
          <w:rtl w:val="true"/>
        </w:rPr>
        <w:t>(</w:t>
      </w:r>
      <w:r>
        <w:rPr>
          <w:rtl w:val="true"/>
        </w:rPr>
        <w:t>ع</w:t>
      </w:r>
      <w:r>
        <w:rPr>
          <w:rtl w:val="true"/>
        </w:rPr>
        <w:t xml:space="preserve">) </w:t>
      </w:r>
      <w:r>
        <w:rPr>
          <w:rtl w:val="true"/>
        </w:rPr>
        <w:t xml:space="preserve">فرزند بزرگ امام هادى </w:t>
      </w:r>
      <w:r>
        <w:rPr>
          <w:rtl w:val="true"/>
        </w:rPr>
        <w:t>(</w:t>
      </w:r>
      <w:r>
        <w:rPr>
          <w:rtl w:val="true"/>
        </w:rPr>
        <w:t>ع</w:t>
      </w:r>
      <w:r>
        <w:rPr>
          <w:rtl w:val="true"/>
        </w:rPr>
        <w:t>)</w:t>
      </w:r>
      <w:bookmarkEnd w:id="426"/>
    </w:p>
    <w:p>
      <w:pPr>
        <w:pStyle w:val="BookText"/>
        <w:rPr/>
      </w:pPr>
      <w:r>
        <w:rPr>
          <w:rFonts w:ascii="IRNazanin" w:hAnsi="IRNazanin" w:eastAsia="IRNazanin"/>
          <w:color w:val="111111"/>
          <w:sz w:val="28"/>
          <w:sz w:val="28"/>
          <w:szCs w:val="28"/>
          <w:rtl w:val="true"/>
          <w:lang w:bidi="fa-IR"/>
        </w:rPr>
        <w:t xml:space="preserve">گذشته از اينها، از برخى روايات به‌دست مى‌آيد كه 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بزرگ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فهفكى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نامه‌اى به من نوشت كه پسرم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غريزه خيرخواه‌ترين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آل‌محمد و از نظر برهان، معتبرترين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w:t>
      </w:r>
    </w:p>
    <w:p>
      <w:pPr>
        <w:pStyle w:val="BookText"/>
        <w:rPr/>
      </w:pPr>
      <w:r>
        <w:rPr>
          <w:rFonts w:ascii="IRNazanin" w:hAnsi="IRNazanin" w:eastAsia="IRNazanin"/>
          <w:color w:val="111111"/>
          <w:sz w:val="28"/>
          <w:sz w:val="28"/>
          <w:szCs w:val="28"/>
          <w:rtl w:val="true"/>
          <w:lang w:bidi="fa-IR"/>
        </w:rPr>
        <w:t>بزرگ‌تر و جانشين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امامت و احكام آن به او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من مى‌پرسيدى، از او بپرس كه تمام آنچه مردم به آن نيازمندند نزد اوست</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يا در روايت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عمرو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حضرت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زنده بود و من گمان داشتم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فرزندانت را امام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هيچ‌كس را تا دستور من برسد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از حضرت پرسيدم كه اين امر در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امر در فرزند بزرگ‌من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بود</w:t>
      </w:r>
      <w:r>
        <w:rPr>
          <w:rFonts w:eastAsia="IRNazanin" w:cs="IRNazanin"/>
          <w:color w:val="111111"/>
          <w:sz w:val="28"/>
          <w:szCs w:val="28"/>
          <w:rtl w:val="true"/>
          <w:lang w:bidi="fa-IR"/>
        </w:rPr>
        <w:t xml:space="preserve">» .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در حديث ديگرى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كه به امام‌هادى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پيش آمدى شد به چه كسى رجوع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من براى بزرگ‌ترين فرزند من است</w:t>
      </w:r>
      <w:r>
        <w:rPr>
          <w:rFonts w:eastAsia="IRNazanin" w:cs="IRNazanin"/>
          <w:color w:val="111111"/>
          <w:sz w:val="28"/>
          <w:szCs w:val="28"/>
          <w:rtl w:val="true"/>
          <w:lang w:bidi="fa-IR"/>
        </w:rPr>
        <w:t xml:space="preserve">» .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با توجه به ذيل دو روايت فوق اين فرزند بزرگ‌تر همان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گرايش عده‌اى به امامت محمد، فرزند حضرت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حوادث جزئى است كه عده‌اى نادان، حتى در برابر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ايستادگى مى‌كردند و معلوم نيست كه تعدادشان به عدد انگشتان دست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برسد تا در خور ذكر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فرقه‌نويسان‌كه غرضشان نوشتن فرقه‌هاست، معمولاً از اين افراد نام مى‌برند تا كتابشان كامل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نام بردن فرقه‌اى دلالت بر بسيار بودن آنها نمى‌كند؛ همچنان‌كه در زمان ما گاهى از حزب و فرقه‌اى اسم مى‌برند كه بعد از تحقيق معلوم مى‌شود از سرنشينان يك ماشين نيز كمترند</w:t>
      </w:r>
      <w:r>
        <w:rPr>
          <w:rFonts w:eastAsia="IRNazanin" w:cs="IRNazanin"/>
          <w:color w:val="111111"/>
          <w:sz w:val="28"/>
          <w:szCs w:val="28"/>
          <w:rtl w:val="true"/>
          <w:lang w:bidi="fa-IR"/>
        </w:rPr>
        <w:t xml:space="preserve">. </w:t>
      </w:r>
      <w:bookmarkStart w:id="427" w:name="pg1971_8514"/>
    </w:p>
    <w:p>
      <w:pPr>
        <w:pStyle w:val="Heading2"/>
        <w:numPr>
          <w:ilvl w:val="1"/>
          <w:numId w:val="1"/>
        </w:numPr>
        <w:rPr/>
      </w:pPr>
      <w:bookmarkStart w:id="428" w:name="__RefHeading___Toc3696677_3650668749"/>
      <w:bookmarkStart w:id="429" w:name="_Toc165"/>
      <w:bookmarkEnd w:id="427"/>
      <w:bookmarkEnd w:id="428"/>
      <w:r>
        <w:rPr/>
        <w:t>٢٩</w:t>
      </w:r>
      <w:r>
        <w:rPr>
          <w:rtl w:val="true"/>
        </w:rPr>
        <w:t xml:space="preserve"> جانشين حضرت عسكرى </w:t>
      </w:r>
      <w:r>
        <w:rPr>
          <w:rtl w:val="true"/>
        </w:rPr>
        <w:t>(</w:t>
      </w:r>
      <w:r>
        <w:rPr>
          <w:rtl w:val="true"/>
        </w:rPr>
        <w:t>ع</w:t>
      </w:r>
      <w:r>
        <w:rPr>
          <w:rtl w:val="true"/>
        </w:rPr>
        <w:t>)</w:t>
      </w:r>
      <w:bookmarkEnd w:id="429"/>
    </w:p>
    <w:p>
      <w:pPr>
        <w:pStyle w:val="Heading3"/>
        <w:numPr>
          <w:ilvl w:val="2"/>
          <w:numId w:val="1"/>
        </w:numPr>
        <w:rPr/>
      </w:pPr>
      <w:bookmarkStart w:id="430" w:name="__RefHeading___Toc3696679_3650668749"/>
      <w:bookmarkStart w:id="431" w:name="_Toc166"/>
      <w:bookmarkEnd w:id="430"/>
      <w:r>
        <w:rPr>
          <w:rtl w:val="true"/>
        </w:rPr>
        <w:t>اشاره</w:t>
      </w:r>
      <w:bookmarkEnd w:id="431"/>
    </w:p>
    <w:p>
      <w:pPr>
        <w:pStyle w:val="BookText"/>
        <w:rPr/>
      </w:pPr>
      <w:r>
        <w:rPr>
          <w:rFonts w:ascii="Amiri" w:hAnsi="Amiri" w:eastAsia="Amiri" w:cs="Amiri"/>
          <w:color w:val="111111"/>
          <w:sz w:val="28"/>
          <w:sz w:val="28"/>
          <w:szCs w:val="28"/>
          <w:rtl w:val="true"/>
          <w:lang w:bidi="ar-SA"/>
        </w:rPr>
        <w:t xml:space="preserve">نويسنده در صفحه </w:t>
      </w:r>
      <w:r>
        <w:rPr>
          <w:rFonts w:ascii="Amiri" w:hAnsi="Amiri" w:eastAsia="Amiri" w:cs="Amiri"/>
          <w:color w:val="111111"/>
          <w:sz w:val="28"/>
          <w:sz w:val="28"/>
          <w:szCs w:val="28"/>
          <w:lang w:bidi="ar-SA"/>
        </w:rPr>
        <w:t>۵٢</w:t>
      </w:r>
      <w:r>
        <w:rPr>
          <w:rFonts w:ascii="Amiri" w:hAnsi="Amiri" w:eastAsia="Amiri" w:cs="Amiri"/>
          <w:color w:val="111111"/>
          <w:sz w:val="28"/>
          <w:sz w:val="28"/>
          <w:szCs w:val="28"/>
          <w:rtl w:val="true"/>
          <w:lang w:bidi="ar-SA"/>
        </w:rPr>
        <w:t xml:space="preserve">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وفات حسن عسكرى در سامرا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٢۶٠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آنكه جانشينى داشته باشد، بحران سختى را ميان اماميه كه به ضرورت استمرار امامت اعتقاد دارند، ايجاد كرد</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3696681_3650668749"/>
      <w:bookmarkStart w:id="433" w:name="_Toc167"/>
      <w:bookmarkEnd w:id="432"/>
      <w:r>
        <w:rPr>
          <w:rtl w:val="true"/>
        </w:rPr>
        <w:t>پاسخ</w:t>
      </w:r>
      <w:bookmarkEnd w:id="433"/>
    </w:p>
    <w:p>
      <w:pPr>
        <w:pStyle w:val="BookText"/>
        <w:rPr/>
      </w:pPr>
      <w:r>
        <w:rPr>
          <w:rFonts w:ascii="IRNazanin" w:hAnsi="IRNazanin" w:eastAsia="IRNazanin"/>
          <w:color w:val="111111"/>
          <w:sz w:val="28"/>
          <w:sz w:val="28"/>
          <w:szCs w:val="28"/>
          <w:rtl w:val="true"/>
          <w:lang w:bidi="fa-IR"/>
        </w:rPr>
        <w:t xml:space="preserve">اگر ادعا بدون دليل پذيرفتنى باشد، حق با نويسنده است؛ زيرا او بدون هيچ دليلى ادعا مى‌كند كه 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براساس اين ادعاى باطل، بحران ميان اماميه را مطرح مى‌كند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نداشته باشد، درحالى‌كه روايات فراوانى برخلاف آن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سال قبل از رحلت حضرت عسكرى، نامه‌اى درباره تعيين جانشين ايشان به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قبل از شهادت نيز پيامى رسيد كه از جانشين حضرت خبر مى‌داد</w:t>
      </w:r>
      <w:r>
        <w:rPr>
          <w:rFonts w:eastAsia="IRNazanin" w:cs="IRNazanin"/>
          <w:color w:val="111111"/>
          <w:sz w:val="28"/>
          <w:szCs w:val="28"/>
          <w:rtl w:val="true"/>
          <w:lang w:bidi="fa-IR"/>
        </w:rPr>
        <w:t xml:space="preserve">» . </w:t>
      </w:r>
      <w:r>
        <w:rPr>
          <w:rStyle w:val="FootnoteAnchor"/>
          <w:rtl w:val="true"/>
        </w:rPr>
        <w:footnoteReference w:id="248"/>
      </w:r>
      <w:r>
        <w:rPr>
          <w:rFonts w:ascii="IRNazanin" w:hAnsi="IRNazanin" w:eastAsia="IRNazanin"/>
          <w:color w:val="111111"/>
          <w:sz w:val="28"/>
          <w:sz w:val="28"/>
          <w:szCs w:val="28"/>
          <w:rtl w:val="true"/>
          <w:lang w:bidi="fa-IR"/>
        </w:rPr>
        <w:t>راوى ديگرى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را به من نشان داد و فرمود كه </w:t>
      </w:r>
    </w:p>
    <w:p>
      <w:pPr>
        <w:pStyle w:val="BookText"/>
        <w:rPr/>
      </w:pPr>
      <w:r>
        <w:rPr>
          <w:rFonts w:ascii="Amiri" w:hAnsi="Amiri" w:eastAsia="Amiri" w:cs="Amiri"/>
          <w:color w:val="111111"/>
          <w:sz w:val="28"/>
          <w:sz w:val="28"/>
          <w:szCs w:val="28"/>
          <w:rtl w:val="true"/>
          <w:lang w:bidi="ar-SA"/>
        </w:rPr>
        <w:t>اين صاحب شما بعد از من است</w:t>
      </w:r>
      <w:r>
        <w:rPr>
          <w:rFonts w:eastAsia="Amiri" w:cs="Amiri" w:ascii="Amiri" w:hAnsi="Amiri"/>
          <w:color w:val="111111"/>
          <w:sz w:val="28"/>
          <w:szCs w:val="28"/>
          <w:rtl w:val="true"/>
          <w:lang w:bidi="ar-SA"/>
        </w:rPr>
        <w:t xml:space="preserve">» .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در روايت است كه حضرت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جانشين من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نسبت به جانشين بعد از اين جانشين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او را نمى‌بينيد و براى شما بردن نام او روا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او را ياد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حجّت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 .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ده‌ها مورد ديگر، اعم از روايات رسيده از امامان قبلى، گفته‌هاى نوّاب و آنهايى كه در زمان حيات پدر يا بعد از آن خدمت حضرت رسيده‌اند، همگى گواه بر جانشينى آن حضرت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اين‌همه، نويسنده ناآگاه و بى‌پروا، ادعا مى‌كند كه 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جانشين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نويسنده پيرو جعفر كذاب است كه همين ادعا را داشت</w:t>
      </w:r>
      <w:r>
        <w:rPr>
          <w:rFonts w:eastAsia="IRNazanin" w:cs="IRNazanin"/>
          <w:color w:val="111111"/>
          <w:sz w:val="28"/>
          <w:szCs w:val="28"/>
          <w:rtl w:val="true"/>
          <w:lang w:bidi="fa-IR"/>
        </w:rPr>
        <w:t xml:space="preserve">! </w:t>
      </w:r>
      <w:bookmarkStart w:id="434" w:name="pg1971_8516"/>
    </w:p>
    <w:p>
      <w:pPr>
        <w:pStyle w:val="Heading2"/>
        <w:numPr>
          <w:ilvl w:val="1"/>
          <w:numId w:val="1"/>
        </w:numPr>
        <w:rPr/>
      </w:pPr>
      <w:bookmarkStart w:id="435" w:name="__RefHeading___Toc3696683_3650668749"/>
      <w:bookmarkStart w:id="436" w:name="_Toc168"/>
      <w:bookmarkEnd w:id="434"/>
      <w:bookmarkEnd w:id="435"/>
      <w:r>
        <w:rPr/>
        <w:t>٣٠</w:t>
      </w:r>
      <w:r>
        <w:rPr>
          <w:rtl w:val="true"/>
        </w:rPr>
        <w:t xml:space="preserve"> فرقه‌هاى ناچيز در مقابل اكثريت اماميه</w:t>
      </w:r>
      <w:bookmarkEnd w:id="436"/>
    </w:p>
    <w:p>
      <w:pPr>
        <w:pStyle w:val="Heading3"/>
        <w:numPr>
          <w:ilvl w:val="2"/>
          <w:numId w:val="1"/>
        </w:numPr>
        <w:rPr/>
      </w:pPr>
      <w:bookmarkStart w:id="437" w:name="__RefHeading___Toc3696685_3650668749"/>
      <w:bookmarkStart w:id="438" w:name="_Toc169"/>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۵٢</w:t>
      </w:r>
      <w:r>
        <w:rPr>
          <w:rFonts w:ascii="IRNazanin" w:hAnsi="IRNazanin" w:eastAsia="IRNazanin"/>
          <w:color w:val="111111"/>
          <w:sz w:val="28"/>
          <w:sz w:val="28"/>
          <w:szCs w:val="28"/>
          <w:rtl w:val="true"/>
          <w:lang w:bidi="fa-IR"/>
        </w:rPr>
        <w:t xml:space="preserve"> از برخى از قدماى اماميه، مثل قمى، نوبختى و ديگران نقل مى‌كند كه شيعه بعد از 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چهارده گروه تقسيم شده‌اند</w:t>
      </w:r>
      <w:r>
        <w:rPr>
          <w:rFonts w:eastAsia="IRNazanin" w:cs="IRNazanin"/>
          <w:color w:val="111111"/>
          <w:sz w:val="28"/>
          <w:szCs w:val="28"/>
          <w:rtl w:val="true"/>
          <w:lang w:bidi="fa-IR"/>
        </w:rPr>
        <w:t>.</w:t>
      </w:r>
    </w:p>
    <w:p>
      <w:pPr>
        <w:pStyle w:val="Heading3"/>
        <w:numPr>
          <w:ilvl w:val="2"/>
          <w:numId w:val="1"/>
        </w:numPr>
        <w:rPr/>
      </w:pPr>
      <w:bookmarkStart w:id="439" w:name="__RefHeading___Toc3696687_3650668749"/>
      <w:bookmarkStart w:id="440" w:name="_Toc170"/>
      <w:bookmarkEnd w:id="439"/>
      <w:r>
        <w:rPr>
          <w:rtl w:val="true"/>
        </w:rPr>
        <w:t>پاسخ</w:t>
      </w:r>
      <w:bookmarkEnd w:id="440"/>
    </w:p>
    <w:p>
      <w:pPr>
        <w:pStyle w:val="BookText"/>
        <w:rPr/>
      </w:pPr>
      <w:r>
        <w:rPr>
          <w:rFonts w:ascii="IRNazanin" w:hAnsi="IRNazanin" w:eastAsia="IRNazanin"/>
          <w:color w:val="111111"/>
          <w:sz w:val="28"/>
          <w:sz w:val="28"/>
          <w:szCs w:val="28"/>
          <w:rtl w:val="true"/>
          <w:lang w:bidi="fa-IR"/>
        </w:rPr>
        <w:t>اگر بر فرض بپذيريم كه چنين گروه‌هايى وجود داشته‌اند، تعداد پيروانشان بسيار كم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اثبات اين فرقه‌ها معمولاً مستند به سعد بن عبدالله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٣٠١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نوبختى است كه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نوبختى نقل كرده است </w:t>
      </w:r>
      <w:r>
        <w:rPr>
          <w:rStyle w:val="FootnoteAnchor"/>
          <w:rtl w:val="true"/>
        </w:rPr>
        <w:footnoteReference w:id="251"/>
      </w:r>
      <w:r>
        <w:rPr>
          <w:rFonts w:ascii="IRNazanin" w:hAnsi="IRNazanin" w:eastAsia="IRNazanin"/>
          <w:color w:val="111111"/>
          <w:sz w:val="28"/>
          <w:sz w:val="28"/>
          <w:szCs w:val="28"/>
          <w:rtl w:val="true"/>
          <w:lang w:bidi="fa-IR"/>
        </w:rPr>
        <w:t>و گزارش نوبختى مثل بسيارى از فرقه‌نويسان، سندهاى قابل اعتمادى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٣٧٣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يعنى </w:t>
      </w:r>
      <w:r>
        <w:rPr>
          <w:rFonts w:ascii="IRNazanin" w:hAnsi="IRNazanin" w:eastAsia="IRNazanin"/>
          <w:color w:val="111111"/>
          <w:sz w:val="28"/>
          <w:sz w:val="28"/>
          <w:szCs w:val="28"/>
          <w:lang w:bidi="fa-IR"/>
        </w:rPr>
        <w:t>١١٣</w:t>
      </w:r>
      <w:r>
        <w:rPr>
          <w:rFonts w:ascii="IRNazanin" w:hAnsi="IRNazanin" w:eastAsia="IRNazanin"/>
          <w:color w:val="111111"/>
          <w:sz w:val="28"/>
          <w:sz w:val="28"/>
          <w:szCs w:val="28"/>
          <w:rtl w:val="true"/>
          <w:lang w:bidi="fa-IR"/>
        </w:rPr>
        <w:t xml:space="preserve"> سال بعد از رحلت 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هيچ‌كدام از اين گروه‌ها جز فرقه اماميه اثناعشريه باقى نمانده‌اند و از نظر جمعيت، علم و همچنين تعداد متكلمان، صالحان و عابدان، فقها، اُدبا و شعرا، فرقه اماميه در ميان فرقه‌هاى شيعه، </w:t>
      </w:r>
    </w:p>
    <w:p>
      <w:pPr>
        <w:pStyle w:val="BookText"/>
        <w:rPr/>
      </w:pPr>
      <w:r>
        <w:rPr>
          <w:rFonts w:ascii="IRNazanin" w:hAnsi="IRNazanin" w:eastAsia="IRNazanin"/>
          <w:color w:val="111111"/>
          <w:sz w:val="28"/>
          <w:sz w:val="28"/>
          <w:szCs w:val="28"/>
          <w:rtl w:val="true"/>
          <w:lang w:bidi="fa-IR"/>
        </w:rPr>
        <w:t>بيشتر و برترند؛ ولى ديگر فرقه‌ها منقرض شدند و كسى يا سخنى از آنها باقى نمانده است؛ جز اخبار و سخنان بيهوده‌اى كه ثابت نيست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اگر به تعداد شيعيان و پراكندگى آنان در سراسر سرزمين‌هاى اسلامى آن روز، از مصر، آفريقا، حجاز، يمن، كوفه، خراسان، رى، قم و ديگر شهرها همچنين به نابودشدن اين چهارده گروه در فاصله حدود صد سال توجه كنيم به اندك بودن و ضعف منطق آنان مقابل اكثريت شيعه پى‌مى‌بريم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اوايل پيروزى انقلاب اسلامى نيز گروه‌هاى بسيارى با نام‌هاى گوناگون تشكيل شدند، درحالى‌كه نيروى اندكى داشتند و بعد از مدتى، همه آنها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زياد بودن گروه‌ها و فرقه‌ها هرگز دليل بر اختلاف عميق در يك مكتب يا كشور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طرفداران يك فكر انحرافى، به سبب در دست داشتن امكانات، از سر و صداى فراوانى برخوردارند؛ اما در واقع، اندكى بيش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بودن گروه‌ها گاهى مثل زياد بودن برخى كشورهاى كوچك است كه گرچه در شمارش بسيارند، اما گاهى مقدار جمعيت آنها روى‌هم به مقدار يك استان كشور بزرگ نمى‌شود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ازاين‌رو زياد بودن گروه‌ها و فرقه‌ها در طول تاريخ تشيع، نتوانست به پيشرفت شيعه صدمه‌اى جدى وارد كند و به اذن خداوند، مذهب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همه مشكلات و كارشكنى‌ها، پرصلابت به پيش </w:t>
      </w:r>
    </w:p>
    <w:p>
      <w:pPr>
        <w:pStyle w:val="BookText"/>
        <w:rPr/>
      </w:pPr>
      <w:r>
        <w:rPr>
          <w:rFonts w:ascii="IRNazanin" w:hAnsi="IRNazanin" w:eastAsia="IRNazanin"/>
          <w:color w:val="111111"/>
          <w:sz w:val="28"/>
          <w:sz w:val="28"/>
          <w:szCs w:val="28"/>
          <w:rtl w:val="true"/>
          <w:lang w:bidi="fa-IR"/>
        </w:rPr>
        <w:t>رفت؛ تا اكنون كه چون خورشيد در آسمان اسلام مى‌درخشد و صدها ميليون نفر در سراسر عالم به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امروز، احياى معنويت و ارزش‌هاى دينى را مديون انقلاب اسلامى ايران به رهبرى بزرگ‌مرد تاريخ اسلام،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اهل سنت، توسعه اسلام را مرهون خليفه دوم مى‌دانند، امروز نيز نفوذ معنوى اسلام مرهون نايب حجة بن الحسن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ابرمردى از فرزندان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جهان را هوشيار و بيدار كرده است</w:t>
      </w:r>
      <w:r>
        <w:rPr>
          <w:rFonts w:eastAsia="IRNazanin" w:cs="IRNazanin"/>
          <w:color w:val="111111"/>
          <w:sz w:val="28"/>
          <w:szCs w:val="28"/>
          <w:rtl w:val="true"/>
          <w:lang w:bidi="fa-IR"/>
        </w:rPr>
        <w:t xml:space="preserve">. </w:t>
      </w:r>
      <w:bookmarkStart w:id="441" w:name="pg1971_8519"/>
    </w:p>
    <w:p>
      <w:pPr>
        <w:pStyle w:val="Heading2"/>
        <w:numPr>
          <w:ilvl w:val="1"/>
          <w:numId w:val="1"/>
        </w:numPr>
        <w:rPr/>
      </w:pPr>
      <w:bookmarkStart w:id="442" w:name="__RefHeading___Toc3696689_3650668749"/>
      <w:bookmarkStart w:id="443" w:name="_Toc171"/>
      <w:bookmarkEnd w:id="441"/>
      <w:bookmarkEnd w:id="442"/>
      <w:r>
        <w:rPr/>
        <w:t>٣١</w:t>
      </w:r>
      <w:r>
        <w:rPr>
          <w:rtl w:val="true"/>
        </w:rPr>
        <w:t xml:space="preserve"> امام زمان، حقيقت انكارناپذير جامعه بشرى</w:t>
      </w:r>
      <w:bookmarkEnd w:id="443"/>
    </w:p>
    <w:p>
      <w:pPr>
        <w:pStyle w:val="Heading3"/>
        <w:numPr>
          <w:ilvl w:val="2"/>
          <w:numId w:val="1"/>
        </w:numPr>
        <w:rPr/>
      </w:pPr>
      <w:bookmarkStart w:id="444" w:name="__RefHeading___Toc3696691_3650668749"/>
      <w:bookmarkStart w:id="445" w:name="_Toc172"/>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۵٣</w:t>
      </w:r>
      <w:r>
        <w:rPr>
          <w:rFonts w:ascii="IRNazanin" w:hAnsi="IRNazanin" w:eastAsia="IRNazanin"/>
          <w:color w:val="111111"/>
          <w:sz w:val="28"/>
          <w:sz w:val="28"/>
          <w:szCs w:val="28"/>
          <w:rtl w:val="true"/>
          <w:lang w:bidi="fa-IR"/>
        </w:rPr>
        <w:t xml:space="preserve"> ايمان به ظهور حضرت مهدى در آخرالزمان و اينكه او از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فرزندان فاطمه است را از اعتقادات شيعه و سنى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نويسنده وجود حضرت را در اين زمان انكار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شخصيتى خيالى و غير واقعى است</w:t>
      </w:r>
      <w:r>
        <w:rPr>
          <w:rFonts w:eastAsia="IRNazanin" w:cs="IRNazanin"/>
          <w:color w:val="111111"/>
          <w:sz w:val="28"/>
          <w:szCs w:val="28"/>
          <w:rtl w:val="true"/>
          <w:lang w:bidi="fa-IR"/>
        </w:rPr>
        <w:t>» .</w:t>
      </w:r>
    </w:p>
    <w:p>
      <w:pPr>
        <w:pStyle w:val="Heading3"/>
        <w:numPr>
          <w:ilvl w:val="2"/>
          <w:numId w:val="1"/>
        </w:numPr>
        <w:rPr/>
      </w:pPr>
      <w:bookmarkStart w:id="446" w:name="__RefHeading___Toc3696693_3650668749"/>
      <w:bookmarkStart w:id="447" w:name="_Toc173"/>
      <w:bookmarkEnd w:id="446"/>
      <w:r>
        <w:rPr>
          <w:rtl w:val="true"/>
        </w:rPr>
        <w:t>پاسخ</w:t>
      </w:r>
      <w:bookmarkEnd w:id="44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اين بار نيز تنها به شايعه‌پراكنى و ادعاى بدون دليل پرداخته و هيچ‌گونه سندى بر انكار خود ارائه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وجود احاديث قطعى و متواتر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همچنين تصريح به نام حضرت در رواياتى كه نام ائمه دوازده‌گانه آمده است و رواياتى كه در مورد شخص حضرت و جانشينى ايشان وارد شده است كه برخى را قبلاً ذكر كرديم، نيازى به اثبات وجود حضرت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براى توضيح بيشتر مى‌گوييم كه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١٧٧</w:t>
      </w:r>
      <w:r>
        <w:rPr>
          <w:rFonts w:ascii="IRNazanin" w:hAnsi="IRNazanin" w:eastAsia="IRNazanin"/>
          <w:color w:val="111111"/>
          <w:sz w:val="28"/>
          <w:sz w:val="28"/>
          <w:szCs w:val="28"/>
          <w:rtl w:val="true"/>
          <w:lang w:bidi="fa-IR"/>
        </w:rPr>
        <w:t xml:space="preserve"> حديث نقل كرده كه </w:t>
      </w:r>
      <w:r>
        <w:rPr>
          <w:rFonts w:ascii="IRNazanin" w:hAnsi="IRNazanin" w:eastAsia="IRNazanin"/>
          <w:color w:val="111111"/>
          <w:sz w:val="28"/>
          <w:sz w:val="28"/>
          <w:szCs w:val="28"/>
          <w:lang w:bidi="fa-IR"/>
        </w:rPr>
        <w:t>٣٧</w:t>
      </w:r>
      <w:r>
        <w:rPr>
          <w:rFonts w:ascii="IRNazanin" w:hAnsi="IRNazanin" w:eastAsia="IRNazanin"/>
          <w:color w:val="111111"/>
          <w:sz w:val="28"/>
          <w:sz w:val="28"/>
          <w:szCs w:val="28"/>
          <w:rtl w:val="true"/>
          <w:lang w:bidi="fa-IR"/>
        </w:rPr>
        <w:t xml:space="preserve"> حديث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۵٧</w:t>
      </w:r>
      <w:r>
        <w:rPr>
          <w:rFonts w:ascii="IRNazanin" w:hAnsi="IRNazanin" w:eastAsia="IRNazanin"/>
          <w:color w:val="111111"/>
          <w:sz w:val="28"/>
          <w:sz w:val="28"/>
          <w:szCs w:val="28"/>
          <w:rtl w:val="true"/>
          <w:lang w:bidi="fa-IR"/>
        </w:rPr>
        <w:t xml:space="preserve"> حديث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بقيه از ساير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روايات اين است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نفرند و دوازدهمين آنها، قائم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448" w:name="pg1971_8520"/>
    </w:p>
    <w:p>
      <w:pPr>
        <w:pStyle w:val="BookText"/>
        <w:rPr/>
      </w:pPr>
      <w:bookmarkEnd w:id="448"/>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راشد و هدايت شده و معصوم از فرزندان تو يازده نفرند؛ تو اولين آنهايى و آخرين آنها همنام من است كه خروج مى‌كند و زمين را از عدالت پُر مى‌كند؛ همچنان‌كه از ظلم و ستم پر شده است</w:t>
      </w:r>
      <w:r>
        <w:rPr>
          <w:rFonts w:eastAsia="IRNazanin" w:cs="IRNazanin"/>
          <w:color w:val="111111"/>
          <w:sz w:val="28"/>
          <w:szCs w:val="28"/>
          <w:rtl w:val="true"/>
          <w:lang w:bidi="fa-IR"/>
        </w:rPr>
        <w:t xml:space="preserve">. . . . </w:t>
      </w:r>
      <w:r>
        <w:rPr>
          <w:rStyle w:val="FootnoteAnchor"/>
          <w:rtl w:val="true"/>
        </w:rPr>
        <w:footnoteReference w:id="253"/>
      </w:r>
    </w:p>
    <w:p>
      <w:pPr>
        <w:pStyle w:val="Heading3"/>
        <w:numPr>
          <w:ilvl w:val="2"/>
          <w:numId w:val="1"/>
        </w:numPr>
        <w:rPr/>
      </w:pPr>
      <w:bookmarkStart w:id="449" w:name="__RefHeading___Toc3696695_3650668749"/>
      <w:bookmarkStart w:id="450" w:name="_Toc174"/>
      <w:bookmarkEnd w:id="449"/>
      <w:r>
        <w:rPr>
          <w:rtl w:val="true"/>
        </w:rPr>
        <w:t>اعتراف برخى از علماى اهل سنت</w:t>
      </w:r>
      <w:bookmarkEnd w:id="450"/>
    </w:p>
    <w:p>
      <w:pPr>
        <w:pStyle w:val="BookText"/>
        <w:rPr/>
      </w:pPr>
      <w:r>
        <w:rPr>
          <w:rFonts w:ascii="IRNazanin" w:hAnsi="IRNazanin" w:eastAsia="IRNazanin"/>
          <w:color w:val="111111"/>
          <w:sz w:val="28"/>
          <w:sz w:val="28"/>
          <w:szCs w:val="28"/>
          <w:rtl w:val="true"/>
          <w:lang w:bidi="fa-IR"/>
        </w:rPr>
        <w:t xml:space="preserve">علماى اهل سنت نيز بر ولادت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 فى النص على الائمه الاثني عشر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متجاوز از </w:t>
      </w:r>
      <w:r>
        <w:rPr>
          <w:rFonts w:ascii="IRNazanin" w:hAnsi="IRNazanin" w:eastAsia="IRNazanin"/>
          <w:color w:val="111111"/>
          <w:sz w:val="28"/>
          <w:sz w:val="28"/>
          <w:szCs w:val="28"/>
          <w:lang w:bidi="fa-IR"/>
        </w:rPr>
        <w:t>٣۴٠</w:t>
      </w:r>
      <w:r>
        <w:rPr>
          <w:rFonts w:ascii="IRNazanin" w:hAnsi="IRNazanin" w:eastAsia="IRNazanin"/>
          <w:color w:val="111111"/>
          <w:sz w:val="28"/>
          <w:sz w:val="28"/>
          <w:szCs w:val="28"/>
          <w:rtl w:val="true"/>
          <w:lang w:bidi="fa-IR"/>
        </w:rPr>
        <w:t xml:space="preserve"> حديث از شيعه و سنى در مورد ائمه دوازده‌گانه ذكر كرده كه نام دوازده امام در بسيارى از آنها ذكر شده است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طلحه شافعى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۵۶٢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نَسب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الخالص بن على المتوكل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همه امامان شيعه را مى‌شمرد تا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المهدى الحجة الخلف الصالح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 . </w:t>
      </w:r>
      <w:r>
        <w:rPr>
          <w:rStyle w:val="FootnoteAnchor"/>
          <w:rtl w:val="true"/>
        </w:rPr>
        <w:footnoteReference w:id="255"/>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جوزى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گفتن نَسَب حضرت مهدى، محمد بن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اميرالمؤمنين،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كنيه ايشان ابوعبدالله و ابوالقاسم، اوست همان جانشين حجت، صاحب‌الزمان القائم و المنتظر و التالى و اوست آخرين امامان</w:t>
      </w:r>
      <w:r>
        <w:rPr>
          <w:rFonts w:eastAsia="IRNazanin" w:cs="IRNazanin"/>
          <w:color w:val="111111"/>
          <w:sz w:val="28"/>
          <w:szCs w:val="28"/>
          <w:rtl w:val="true"/>
          <w:lang w:bidi="fa-IR"/>
        </w:rPr>
        <w:t xml:space="preserve">» . </w:t>
      </w:r>
      <w:r>
        <w:rPr>
          <w:rStyle w:val="FootnoteAnchor"/>
          <w:rtl w:val="true"/>
        </w:rPr>
        <w:footnoteReference w:id="25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ascii="Amiri" w:hAnsi="Amiri" w:eastAsia="Amiri" w:cs="Amiri"/>
          <w:color w:val="111111"/>
          <w:sz w:val="28"/>
          <w:sz w:val="28"/>
          <w:szCs w:val="28"/>
          <w:lang w:bidi="ar-SA"/>
        </w:rPr>
        <w:t>۶٨١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نسب حضرت حجت را </w:t>
      </w:r>
    </w:p>
    <w:p>
      <w:pPr>
        <w:pStyle w:val="BookText"/>
        <w:rPr/>
      </w:pPr>
      <w:r>
        <w:rPr>
          <w:rFonts w:ascii="Amiri" w:hAnsi="Amiri" w:eastAsia="Amiri" w:cs="Amiri"/>
          <w:color w:val="111111"/>
          <w:sz w:val="28"/>
          <w:sz w:val="28"/>
          <w:szCs w:val="28"/>
          <w:rtl w:val="true"/>
          <w:lang w:bidi="ar-SA"/>
        </w:rPr>
        <w:t>ابوالقاسم محمد بن الحسن العسكرى بن على الهادى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مى‌كند كه ولادتش در روز جمعه، نيمه شعبان سال </w:t>
      </w:r>
      <w:r>
        <w:rPr>
          <w:rFonts w:ascii="Amiri" w:hAnsi="Amiri" w:eastAsia="Amiri" w:cs="Amiri"/>
          <w:color w:val="111111"/>
          <w:sz w:val="28"/>
          <w:sz w:val="28"/>
          <w:szCs w:val="28"/>
          <w:lang w:bidi="ar-SA"/>
        </w:rPr>
        <w:t>٢۵۵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واقع شد</w:t>
      </w:r>
      <w:r>
        <w:rPr>
          <w:rFonts w:eastAsia="Amiri" w:cs="Amiri" w:ascii="Amiri" w:hAnsi="Amiri"/>
          <w:color w:val="111111"/>
          <w:sz w:val="28"/>
          <w:szCs w:val="28"/>
          <w:rtl w:val="true"/>
          <w:lang w:bidi="ar-SA"/>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ذهبى، عالم علم رجال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سال، يعنى سال </w:t>
      </w:r>
      <w:r>
        <w:rPr>
          <w:rFonts w:ascii="Amiri" w:hAnsi="Amiri" w:eastAsia="Amiri" w:cs="Amiri"/>
          <w:color w:val="111111"/>
          <w:sz w:val="28"/>
          <w:sz w:val="28"/>
          <w:szCs w:val="28"/>
          <w:lang w:bidi="ar-SA"/>
        </w:rPr>
        <w:t>٢۵۶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محمد بن الحسن بن على الهادى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متولد شد كه رافضه او را خلف حجت دانسته و به مهدى منتظر و صاحب الزمان ملقب كرده‌اند و او آخرين دوازده نفر است</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همچنين شعرانى نقل مى‌كند كه محى الدين بن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۶٣٨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عرفاى اهل‌سنت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مهدى كه زمين را از عدل و داد پر مى‌كند از عترت رسول‌الله و از فرزندان فاطمه و جدش حسين بن على ابن ابى‌طالب و پدرش حسن عسكرى، پسر امام على نقى است</w:t>
      </w:r>
      <w:r>
        <w:rPr>
          <w:rFonts w:eastAsia="IRNazanin" w:cs="IRNazanin"/>
          <w:color w:val="111111"/>
          <w:sz w:val="28"/>
          <w:szCs w:val="28"/>
          <w:rtl w:val="true"/>
          <w:lang w:bidi="fa-IR"/>
        </w:rPr>
        <w:t xml:space="preserve">» .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على شافعى يافعى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٧۶٨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شريف، ابومحمد الحسن بن على بن محمد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اعتقاد شيعه يكى از ائمه اثنا عشريه و پدر آن منتظر در نزد ايشان است</w:t>
      </w:r>
      <w:r>
        <w:rPr>
          <w:rFonts w:eastAsia="IRNazanin" w:cs="IRNazanin"/>
          <w:color w:val="111111"/>
          <w:sz w:val="28"/>
          <w:szCs w:val="28"/>
          <w:rtl w:val="true"/>
          <w:lang w:bidi="fa-IR"/>
        </w:rPr>
        <w:t xml:space="preserve">. . .» . </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عسكرى غير از پسرش ابوالقاسم محمد الحجة</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فرزندى نداشت و عمر او هنگام وفات پدرش پنج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خداوند </w:t>
      </w:r>
    </w:p>
    <w:p>
      <w:pPr>
        <w:pStyle w:val="BookText"/>
        <w:rPr/>
      </w:pPr>
      <w:r>
        <w:rPr>
          <w:rFonts w:ascii="Amiri" w:hAnsi="Amiri" w:eastAsia="Amiri" w:cs="Amiri"/>
          <w:color w:val="111111"/>
          <w:sz w:val="28"/>
          <w:sz w:val="28"/>
          <w:szCs w:val="28"/>
          <w:rtl w:val="true"/>
          <w:lang w:bidi="ar-SA"/>
        </w:rPr>
        <w:t>حكمت را به او داد و قائم منتظر ناميده مى‌شود</w:t>
      </w:r>
      <w:r>
        <w:rPr>
          <w:rFonts w:eastAsia="Amiri" w:cs="Amiri" w:ascii="Amiri" w:hAnsi="Amiri"/>
          <w:color w:val="111111"/>
          <w:sz w:val="28"/>
          <w:szCs w:val="28"/>
          <w:rtl w:val="true"/>
          <w:lang w:bidi="ar-SA"/>
        </w:rPr>
        <w:t xml:space="preserve">. . .» . </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نفر از علماى اهل سنت را مى‌شمارد كه همگى به ولادت امام مهدى فرزند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اين علما، عده‌اى از علماى انساب نيز هستند،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عبدالله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غيبت صغرى،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نسّابه معروف در قرن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جمال‌الدين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ابن عنبه و ديگران</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انبوه قرائن در مورد ولادت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منصفى را به اعتراف وادار مى‌كند؛ قرائنى مثل روايت ائمه دوازده‌گانه، روايات 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شاهدان ولادت پنج بانويى كه در امر زايمان كمك كردند و همچنين آنهايى كه او را نزد پدر مشاهده كردند يا آنهايى كه در عصر غيبت صغرا و كبرا خدمت حضرت رسيدند، علماى انساب و ديگر علماى اهل سنت و شيعه كه به اين امر اعتراف كرده‌اند</w:t>
      </w:r>
      <w:r>
        <w:rPr>
          <w:rFonts w:eastAsia="IRNazanin" w:cs="IRNazanin"/>
          <w:color w:val="111111"/>
          <w:sz w:val="28"/>
          <w:szCs w:val="28"/>
          <w:rtl w:val="true"/>
          <w:lang w:bidi="fa-IR"/>
        </w:rPr>
        <w:t xml:space="preserve">. </w:t>
      </w:r>
      <w:bookmarkStart w:id="451" w:name="pg1971_8523"/>
    </w:p>
    <w:p>
      <w:pPr>
        <w:pStyle w:val="Heading2"/>
        <w:numPr>
          <w:ilvl w:val="1"/>
          <w:numId w:val="1"/>
        </w:numPr>
        <w:rPr/>
      </w:pPr>
      <w:bookmarkStart w:id="452" w:name="__RefHeading___Toc3696697_3650668749"/>
      <w:bookmarkStart w:id="453" w:name="_Toc175"/>
      <w:bookmarkEnd w:id="451"/>
      <w:bookmarkEnd w:id="452"/>
      <w:r>
        <w:rPr/>
        <w:t>٣٢</w:t>
      </w:r>
      <w:r>
        <w:rPr>
          <w:rtl w:val="true"/>
        </w:rPr>
        <w:t xml:space="preserve"> لقب امام زمان و بهانه‌اى بى‌ثمر</w:t>
      </w:r>
      <w:bookmarkEnd w:id="453"/>
    </w:p>
    <w:p>
      <w:pPr>
        <w:pStyle w:val="Heading3"/>
        <w:numPr>
          <w:ilvl w:val="2"/>
          <w:numId w:val="1"/>
        </w:numPr>
        <w:rPr/>
      </w:pPr>
      <w:bookmarkStart w:id="454" w:name="__RefHeading___Toc3696699_3650668749"/>
      <w:bookmarkStart w:id="455" w:name="_Toc176"/>
      <w:bookmarkEnd w:id="454"/>
      <w:r>
        <w:rPr>
          <w:rtl w:val="true"/>
        </w:rPr>
        <w:t>اشاره</w:t>
      </w:r>
      <w:bookmarkEnd w:id="455"/>
    </w:p>
    <w:p>
      <w:pPr>
        <w:pStyle w:val="BookText"/>
        <w:rPr/>
      </w:pP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۵٣</w:t>
      </w:r>
      <w:r>
        <w:rPr>
          <w:rFonts w:ascii="IRNazanin" w:hAnsi="IRNazanin" w:eastAsia="IRNazanin"/>
          <w:color w:val="111111"/>
          <w:sz w:val="28"/>
          <w:sz w:val="28"/>
          <w:szCs w:val="28"/>
          <w:rtl w:val="true"/>
          <w:lang w:bidi="fa-IR"/>
        </w:rPr>
        <w:t xml:space="preserve">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نورى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از القاب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نويسنده با آه و ناله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مصيبت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كه امام ما، خسرو مجوس ناميده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مجوسى‌ها چه ربطى با صاحب‌الزمان دارند؟ </w:t>
      </w:r>
      <w:r>
        <w:rPr>
          <w:rFonts w:eastAsia="IRNazanin" w:cs="IRNazanin"/>
          <w:color w:val="111111"/>
          <w:sz w:val="28"/>
          <w:szCs w:val="28"/>
          <w:rtl w:val="true"/>
          <w:lang w:bidi="fa-IR"/>
        </w:rPr>
        <w:t>!» .</w:t>
      </w:r>
    </w:p>
    <w:p>
      <w:pPr>
        <w:pStyle w:val="Heading3"/>
        <w:numPr>
          <w:ilvl w:val="2"/>
          <w:numId w:val="1"/>
        </w:numPr>
        <w:rPr/>
      </w:pPr>
      <w:bookmarkStart w:id="456" w:name="__RefHeading___Toc3696701_3650668749"/>
      <w:bookmarkStart w:id="457" w:name="_Toc177"/>
      <w:bookmarkEnd w:id="456"/>
      <w:r>
        <w:rPr>
          <w:rtl w:val="true"/>
        </w:rPr>
        <w:t>پاسخ</w:t>
      </w:r>
      <w:bookmarkEnd w:id="457"/>
    </w:p>
    <w:p>
      <w:pPr>
        <w:pStyle w:val="BookText"/>
        <w:rPr/>
      </w:pPr>
      <w:r>
        <w:rPr>
          <w:rFonts w:ascii="IRNazanin" w:hAnsi="IRNazanin" w:eastAsia="IRNazanin"/>
          <w:color w:val="111111"/>
          <w:sz w:val="28"/>
          <w:sz w:val="28"/>
          <w:szCs w:val="28"/>
          <w:rtl w:val="true"/>
          <w:lang w:bidi="fa-IR"/>
        </w:rPr>
        <w:t xml:space="preserve">حاجى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بيان اسامى آن حضرت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كه اين نام آن حضرت در كتاب جاويدان خسرو مجوس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نورى درصدد جمع كردن همه القاب حضرت در كتاب‌هاى گوناگون است، نه آنكه خودش به آنها معتقد 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ابتدا لقب خسرو را از آن دو كتاب و بعد خسرو مجوس را از كتاب جاويدان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وى نيز مبهم است؛ زيرا احتمال دارد خسرو مجوس پسوند نام كتاب باشد؛ يعنى كتابى كه نام آن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جاويدان خسرو 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هرگز در ميان شيعه معروف نبوده است؛ نه در عرب و نه در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ايرانيان حضرت را با كلمه خسرو نمى‌شناسند تا چه رسد به خسرو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نام در كتابى آن هم بدون سند، بر عقيده شيعه دلالت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كتب اهل‌سنت، از مطاعن و امور زشت منسوب به خلفاى راشد يا فقهاى اربعه مطالب بسيارى ذكر شده است؛ اما اهل سنت به آن‌ملتزم نيستند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اسم صحت داشته باشد، احتمال دارد كه مجوسى‌ها حضرت را با اين نام، منجى خود دانسته و معرفى كرده‌اند؛ يعنى اين نام حضرت در كتاب‌هاى مجوس و زرتشت بوده است همچنان‌كه در ديگر اديان نيز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در زبان فارسى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صاحب مملكت وسيع </w:t>
      </w:r>
      <w:r>
        <w:rPr>
          <w:rStyle w:val="FootnoteAnchor"/>
          <w:rtl w:val="true"/>
        </w:rPr>
        <w:footnoteReference w:id="263"/>
      </w:r>
      <w:r>
        <w:rPr>
          <w:rFonts w:ascii="IRNazanin" w:hAnsi="IRNazanin" w:eastAsia="IRNazanin"/>
          <w:color w:val="111111"/>
          <w:sz w:val="28"/>
          <w:sz w:val="28"/>
          <w:szCs w:val="28"/>
          <w:rtl w:val="true"/>
          <w:lang w:bidi="fa-IR"/>
        </w:rPr>
        <w:t>، معنا مى‌شود كه حضرت مهدى نيز داراى چنين اوصافى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شماره‌هاى </w:t>
      </w:r>
      <w:r>
        <w:rPr>
          <w:rFonts w:ascii="IRNazanin" w:hAnsi="IRNazanin" w:eastAsia="IRNazanin"/>
          <w:color w:val="111111"/>
          <w:sz w:val="28"/>
          <w:sz w:val="28"/>
          <w:szCs w:val="28"/>
          <w:lang w:bidi="fa-IR"/>
        </w:rPr>
        <w:t>۵٩،۶٠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١٣٣</w:t>
      </w:r>
      <w:r>
        <w:rPr>
          <w:rFonts w:ascii="IRNazanin" w:hAnsi="IRNazanin" w:eastAsia="IRNazanin"/>
          <w:color w:val="111111"/>
          <w:sz w:val="28"/>
          <w:sz w:val="28"/>
          <w:szCs w:val="28"/>
          <w:rtl w:val="true"/>
          <w:lang w:bidi="fa-IR"/>
        </w:rPr>
        <w:t xml:space="preserve"> به ترتيب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زندافريس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 ايزد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احتمال، ديگر براى بدگمانى دليلى وجود ندارد، مگر براى دل‌هاى منحرف</w:t>
      </w:r>
      <w:r>
        <w:rPr>
          <w:rFonts w:eastAsia="IRNazanin" w:cs="IRNazanin"/>
          <w:color w:val="111111"/>
          <w:sz w:val="28"/>
          <w:szCs w:val="28"/>
          <w:rtl w:val="true"/>
          <w:lang w:bidi="fa-IR"/>
        </w:rPr>
        <w:t xml:space="preserve">. </w:t>
      </w:r>
      <w:bookmarkStart w:id="458" w:name="pg1971_8525"/>
    </w:p>
    <w:p>
      <w:pPr>
        <w:pStyle w:val="Heading2"/>
        <w:numPr>
          <w:ilvl w:val="1"/>
          <w:numId w:val="1"/>
        </w:numPr>
        <w:rPr/>
      </w:pPr>
      <w:bookmarkStart w:id="459" w:name="__RefHeading___Toc3696703_3650668749"/>
      <w:bookmarkStart w:id="460" w:name="_Toc178"/>
      <w:bookmarkEnd w:id="458"/>
      <w:bookmarkEnd w:id="459"/>
      <w:r>
        <w:rPr/>
        <w:t>٣٣</w:t>
      </w:r>
      <w:r>
        <w:rPr>
          <w:rtl w:val="true"/>
        </w:rPr>
        <w:t xml:space="preserve"> امام زمان منتقم خون مظلومان</w:t>
      </w:r>
      <w:bookmarkEnd w:id="460"/>
    </w:p>
    <w:p>
      <w:pPr>
        <w:pStyle w:val="Heading3"/>
        <w:numPr>
          <w:ilvl w:val="2"/>
          <w:numId w:val="1"/>
        </w:numPr>
        <w:rPr/>
      </w:pPr>
      <w:bookmarkStart w:id="461" w:name="__RefHeading___Toc3696705_3650668749"/>
      <w:bookmarkStart w:id="462" w:name="_Toc179"/>
      <w:bookmarkEnd w:id="461"/>
      <w:r>
        <w:rPr>
          <w:rtl w:val="true"/>
        </w:rPr>
        <w:t>اشاره</w:t>
      </w:r>
      <w:bookmarkEnd w:id="462"/>
    </w:p>
    <w:p>
      <w:pPr>
        <w:pStyle w:val="BookText"/>
        <w:rPr/>
      </w:pP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و در ادامه مطلب قبل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صاحب‌الزمان مى‌آيد تا از دشمنان اهل بيت و در رأس آنها از ابوبكر و عمر انتقام بگيرد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اين‌گونه ياد گرفته بوديم كه عمر بن خطاب همان خليفه‌اى است كه ايران در دوران او فتح شد و اسلام وارد ايران شد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من اين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از دشمنان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مى‌دادم</w:t>
      </w:r>
      <w:r>
        <w:rPr>
          <w:rFonts w:eastAsia="IRNazanin" w:cs="IRNazanin"/>
          <w:color w:val="111111"/>
          <w:sz w:val="28"/>
          <w:szCs w:val="28"/>
          <w:rtl w:val="true"/>
          <w:lang w:bidi="fa-IR"/>
        </w:rPr>
        <w:t>.</w:t>
      </w:r>
    </w:p>
    <w:p>
      <w:pPr>
        <w:pStyle w:val="Heading3"/>
        <w:numPr>
          <w:ilvl w:val="2"/>
          <w:numId w:val="1"/>
        </w:numPr>
        <w:rPr/>
      </w:pPr>
      <w:bookmarkStart w:id="463" w:name="__RefHeading___Toc3696707_3650668749"/>
      <w:bookmarkStart w:id="464" w:name="_Toc180"/>
      <w:bookmarkEnd w:id="463"/>
      <w:r>
        <w:rPr>
          <w:rtl w:val="true"/>
        </w:rPr>
        <w:t>پاسخ</w:t>
      </w:r>
      <w:bookmarkEnd w:id="464"/>
    </w:p>
    <w:p>
      <w:pPr>
        <w:pStyle w:val="BookText"/>
        <w:rPr/>
      </w:pPr>
      <w:r>
        <w:rPr>
          <w:rFonts w:ascii="Amiri" w:hAnsi="Amiri" w:eastAsia="Amiri" w:cs="Amiri"/>
          <w:color w:val="111111"/>
          <w:sz w:val="28"/>
          <w:sz w:val="28"/>
          <w:szCs w:val="28"/>
          <w:rtl w:val="true"/>
          <w:lang w:bidi="ar-SA"/>
        </w:rPr>
        <w:t xml:space="preserve">انتقام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دشمنان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امرى مقبول و معقول است؛ زيرا او براى ايجاد عدالت و انتقام از خون‌مظلومان آمده است كه در روايات هم به آن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ارتباط دادن اين مسئله به لقب صاحب الزمان كه حتماً مقصود همان لقب خسرو مجوس است، اتهامى بيش نيست و ناشى از غرض‌ورزى نويسنده است؛ زيرا شيعه نه از آن‌لقب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دارد و نه ارتباطى بين آن لقب با جريان انتقام حضرت از ظالمان، برقرار كرده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ايران به دست خليفه دوم نيز با انتقام مذكور ارتباطى ندارد؛ مگر </w:t>
      </w:r>
    </w:p>
    <w:p>
      <w:pPr>
        <w:pStyle w:val="BookText"/>
        <w:rPr/>
      </w:pPr>
      <w:r>
        <w:rPr>
          <w:rFonts w:ascii="IRNazanin" w:hAnsi="IRNazanin" w:eastAsia="IRNazanin"/>
          <w:color w:val="111111"/>
          <w:sz w:val="28"/>
          <w:sz w:val="28"/>
          <w:szCs w:val="28"/>
          <w:rtl w:val="true"/>
          <w:lang w:bidi="fa-IR"/>
        </w:rPr>
        <w:t>نزد برخى نژادپرستان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به اسلام معتقدند و هرگز آن را با مسئله ملى‌گرايى درهم نمى‌آميزند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تمام حب و بغض خويش را متوجه ارزش‌هاى دينى مى‌كنند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شگفتا كه مخالفت شيعه با شيخين، مخالفت با اسلام و امرى نژاد پرستانه تلقى مى‌گردد، اما طرفدارى شيعه در طول تاريخ از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آن‌همه قيام و تحمل سختى در راه عقيده، طرفدارى از اسلام تلقى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شيخين، مظهر اسلامند، ولى حضرت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اسلام نيستند؟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لَكُمْ كَيْفَ تَحْكُمُونَ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مى‌شود؟ چگونه داورى مى‌كنيد؟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 xml:space="preserve">) </w:t>
      </w:r>
      <w:bookmarkStart w:id="465" w:name="pg1971_8527"/>
    </w:p>
    <w:p>
      <w:pPr>
        <w:pStyle w:val="Heading2"/>
        <w:numPr>
          <w:ilvl w:val="1"/>
          <w:numId w:val="1"/>
        </w:numPr>
        <w:rPr/>
      </w:pPr>
      <w:bookmarkStart w:id="466" w:name="__RefHeading___Toc3696709_3650668749"/>
      <w:bookmarkStart w:id="467" w:name="_Toc181"/>
      <w:bookmarkEnd w:id="465"/>
      <w:bookmarkEnd w:id="466"/>
      <w:r>
        <w:rPr/>
        <w:t>٣۴</w:t>
      </w:r>
      <w:r>
        <w:rPr>
          <w:rtl w:val="true"/>
        </w:rPr>
        <w:t xml:space="preserve"> حديث يزدگرد، دستاويزى ضعيف</w:t>
      </w:r>
      <w:bookmarkEnd w:id="467"/>
    </w:p>
    <w:p>
      <w:pPr>
        <w:pStyle w:val="Heading3"/>
        <w:numPr>
          <w:ilvl w:val="2"/>
          <w:numId w:val="1"/>
        </w:numPr>
        <w:rPr/>
      </w:pPr>
      <w:bookmarkStart w:id="468" w:name="__RefHeading___Toc3696711_3650668749"/>
      <w:bookmarkStart w:id="469" w:name="_Toc182"/>
      <w:bookmarkEnd w:id="468"/>
      <w:r>
        <w:rPr>
          <w:rtl w:val="true"/>
        </w:rPr>
        <w:t>اشاره</w:t>
      </w:r>
      <w:bookmarkEnd w:id="469"/>
    </w:p>
    <w:p>
      <w:pPr>
        <w:pStyle w:val="BookText"/>
        <w:rPr/>
      </w:pP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جريانى را از بحارالانوار، جلد </w:t>
      </w:r>
      <w:r>
        <w:rPr>
          <w:rFonts w:ascii="IRNazanin" w:hAnsi="IRNazanin" w:eastAsia="IRNazanin"/>
          <w:color w:val="111111"/>
          <w:sz w:val="28"/>
          <w:sz w:val="28"/>
          <w:szCs w:val="28"/>
          <w:lang w:bidi="fa-IR"/>
        </w:rPr>
        <w:t>۵١</w:t>
      </w:r>
      <w:r>
        <w:rPr>
          <w:rFonts w:ascii="IRNazanin" w:hAnsi="IRNazanin" w:eastAsia="IRNazanin"/>
          <w:color w:val="111111"/>
          <w:sz w:val="28"/>
          <w:sz w:val="28"/>
          <w:szCs w:val="28"/>
          <w:rtl w:val="true"/>
          <w:lang w:bidi="fa-IR"/>
        </w:rPr>
        <w:t xml:space="preserve">، صفحۀ </w:t>
      </w:r>
      <w:r>
        <w:rPr>
          <w:rFonts w:ascii="IRNazanin" w:hAnsi="IRNazanin" w:eastAsia="IRNazanin"/>
          <w:color w:val="111111"/>
          <w:sz w:val="28"/>
          <w:sz w:val="28"/>
          <w:szCs w:val="28"/>
          <w:lang w:bidi="fa-IR"/>
        </w:rPr>
        <w:t>١۶٣</w:t>
      </w:r>
      <w:r>
        <w:rPr>
          <w:rFonts w:ascii="IRNazanin" w:hAnsi="IRNazanin" w:eastAsia="IRNazanin"/>
          <w:color w:val="111111"/>
          <w:sz w:val="28"/>
          <w:sz w:val="28"/>
          <w:szCs w:val="28"/>
          <w:rtl w:val="true"/>
          <w:lang w:bidi="fa-IR"/>
        </w:rPr>
        <w:t xml:space="preserve"> نقل مى‌كند كه يزدگرد هنگام شكست از سپاه اسلام و فرار از مدائن، كنار ايوان 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اى ايوان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جدا مى‌شوم و با مردى از فرزندانم كه زمانش نرسيده به تو باز خواهم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ديلمى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مقصود وى پرسيد،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الزمان فرزند ششم من از نوادگان يزدگرد است و فرزند او به شمار مى‌رود</w:t>
      </w:r>
      <w:r>
        <w:rPr>
          <w:rFonts w:eastAsia="IRNazanin" w:cs="IRNazanin"/>
          <w:color w:val="111111"/>
          <w:sz w:val="28"/>
          <w:szCs w:val="28"/>
          <w:rtl w:val="true"/>
          <w:lang w:bidi="fa-IR"/>
        </w:rPr>
        <w:t>» .</w:t>
      </w:r>
    </w:p>
    <w:p>
      <w:pPr>
        <w:pStyle w:val="Heading3"/>
        <w:numPr>
          <w:ilvl w:val="2"/>
          <w:numId w:val="1"/>
        </w:numPr>
        <w:rPr/>
      </w:pPr>
      <w:bookmarkStart w:id="470" w:name="__RefHeading___Toc3696713_3650668749"/>
      <w:bookmarkStart w:id="471" w:name="_Toc183"/>
      <w:bookmarkEnd w:id="470"/>
      <w:r>
        <w:rPr>
          <w:rtl w:val="true"/>
        </w:rPr>
        <w:t>پاسخ</w:t>
      </w:r>
      <w:bookmarkEnd w:id="471"/>
    </w:p>
    <w:p>
      <w:pPr>
        <w:pStyle w:val="BookText"/>
        <w:rPr/>
      </w:pPr>
      <w:r>
        <w:rPr>
          <w:rFonts w:ascii="Amiri" w:hAnsi="Amiri" w:eastAsia="Amiri" w:cs="Amiri"/>
          <w:color w:val="111111"/>
          <w:sz w:val="28"/>
          <w:sz w:val="28"/>
          <w:szCs w:val="28"/>
          <w:rtl w:val="true"/>
          <w:lang w:bidi="ar-SA"/>
        </w:rPr>
        <w:t xml:space="preserve">اين حديث را علامه مجلسى در بحارالانوار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سلسله سند ذكر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احمد بن محمد بن عبدالله بن عياش جوهرى عن الحسين بن على بن سفيان البزوفرى عن محمد بن على بن الحسن البوشنجانى عن ابيه عن محمد بن سليمان عن ابيه عن النوشجان بن البودمردان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وى جريان را حكايت كرده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در آن روايت،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يا مردى از فرزندانم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شده است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ضعيف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مؤلف كتاب </w:t>
      </w:r>
    </w:p>
    <w:p>
      <w:pPr>
        <w:pStyle w:val="BookText"/>
        <w:rPr/>
      </w:pPr>
      <w:r>
        <w:rPr>
          <w:rFonts w:ascii="IRNazanin" w:hAnsi="IRNazanin" w:eastAsia="IRNazanin"/>
          <w:color w:val="111111"/>
          <w:sz w:val="28"/>
          <w:sz w:val="28"/>
          <w:szCs w:val="28"/>
          <w:rtl w:val="true"/>
          <w:lang w:bidi="fa-IR"/>
        </w:rPr>
        <w:t>مقتضب‌الاثر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ديدم و دوست من و پدرم بود و از او بسيار شنيدم و ديدم كه شيوخ ما وى را تضعيف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از وى چيزى روايت نكردم و از او اجتناب كردم</w:t>
      </w:r>
      <w:r>
        <w:rPr>
          <w:rFonts w:eastAsia="IRNazanin" w:cs="IRNazanin"/>
          <w:color w:val="111111"/>
          <w:sz w:val="28"/>
          <w:szCs w:val="28"/>
          <w:rtl w:val="true"/>
          <w:lang w:bidi="fa-IR"/>
        </w:rPr>
        <w:t xml:space="preserve">» . </w:t>
      </w:r>
      <w:r>
        <w:rPr>
          <w:rStyle w:val="FootnoteAnchor"/>
          <w:rtl w:val="true"/>
        </w:rPr>
        <w:footnoteReference w:id="264"/>
      </w:r>
      <w:r>
        <w:rPr>
          <w:rFonts w:ascii="IRNazanin" w:hAnsi="IRNazanin" w:eastAsia="IRNazanin"/>
          <w:color w:val="111111"/>
          <w:sz w:val="28"/>
          <w:sz w:val="28"/>
          <w:szCs w:val="28"/>
          <w:rtl w:val="true"/>
          <w:lang w:bidi="fa-IR"/>
        </w:rPr>
        <w:t>به هر حال امر او مضطرب است و نجاشى او را به اختلال در آخر عُمر متهم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على بن حسن بوشنجانى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هر دو مجهولند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سليمان ديلمى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جداً ضعيف است و در هيچ امرى درخور اعتماد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در حديث ضعيف است و از نظر مذهب نيز غلوّ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شايسته توجه نيست</w:t>
      </w:r>
      <w:r>
        <w:rPr>
          <w:rFonts w:eastAsia="IRNazanin" w:cs="IRNazanin"/>
          <w:color w:val="111111"/>
          <w:sz w:val="28"/>
          <w:szCs w:val="28"/>
          <w:rtl w:val="true"/>
          <w:lang w:bidi="fa-IR"/>
        </w:rPr>
        <w:t xml:space="preserve">» . </w:t>
      </w:r>
      <w:r>
        <w:rPr>
          <w:rStyle w:val="FootnoteAnchor"/>
          <w:rtl w:val="true"/>
        </w:rPr>
        <w:footnoteReference w:id="265"/>
      </w:r>
      <w:r>
        <w:rPr>
          <w:rFonts w:ascii="IRNazanin" w:hAnsi="IRNazanin" w:eastAsia="IRNazanin"/>
          <w:color w:val="111111"/>
          <w:sz w:val="28"/>
          <w:sz w:val="28"/>
          <w:szCs w:val="28"/>
          <w:rtl w:val="true"/>
          <w:lang w:bidi="fa-IR"/>
        </w:rPr>
        <w:t xml:space="preserve">اما نجاشى درباره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عبدالله الديلمى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طعن زده شده و گفته شده است كه غالى و كذّاب است و همچنين پسرش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كه آن دو به تنهايى نقل كنند شايسته عمل نيست</w:t>
      </w:r>
      <w:r>
        <w:rPr>
          <w:rFonts w:eastAsia="IRNazanin" w:cs="IRNazanin"/>
          <w:color w:val="111111"/>
          <w:sz w:val="28"/>
          <w:szCs w:val="28"/>
          <w:rtl w:val="true"/>
          <w:lang w:bidi="fa-IR"/>
        </w:rPr>
        <w:t xml:space="preserve">» .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فكر مى‌كنم هر خواننده‌اى تصديق مى‌كند كه روايتى با اين سند، هرگز درخور استناد در هيچ مسئله‌اى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نويسنده مذكور به اين‌گونه روايات تمسك مى‌كند كه نه سند دارد، نه در ميان شيعه معروف است و نه كسى به آن ملتزم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با چنين روايتى به شيعه اعتراض مى‌كند و آن را مبناى اتهام و سوءظن خويش قرار مى‌دهد و بدتر از همه آن را انحراف از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مى‌شمارد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حديث، احتمال دارد كه يزدگرد خودش يا از </w:t>
      </w:r>
    </w:p>
    <w:p>
      <w:pPr>
        <w:pStyle w:val="BookText"/>
        <w:rPr/>
      </w:pPr>
      <w:r>
        <w:rPr>
          <w:rFonts w:ascii="IRNazanin" w:hAnsi="IRNazanin" w:eastAsia="IRNazanin"/>
          <w:color w:val="111111"/>
          <w:sz w:val="28"/>
          <w:sz w:val="28"/>
          <w:szCs w:val="28"/>
          <w:rtl w:val="true"/>
          <w:lang w:bidi="fa-IR"/>
        </w:rPr>
        <w:t>طريق علماى كشورش از آمدن منجى در آخرالزمان و اينكه وى از نسل اوست باخبر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چگونگى آن و اينكه وى از امت اسلامى است بى‌خبر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خبر را بر جريان خويش تطبيق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مقصود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فرض صدور خبر، اين باشد كه وى از اصل جريان به صورت مبهم اطلاع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اشتباه كرده كه آن را با شكست خودش از مسلمانان مرتبط دانسته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نه شيعه و نه هيچ منصفى از لقب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روايت ضعيف، نتيجه نمى‌گيرد كه شيعه معتقد باشد، صاحب‌الزمان فرزند يزگرد، انتقام پدران فارس خود را از مسلمانانى كه فارس را فتح كرده‌اند، خواهد گرفت؛ همچنان‌كه نويسنده مغرض نوشته است</w:t>
      </w:r>
      <w:r>
        <w:rPr>
          <w:rFonts w:eastAsia="IRNazanin" w:cs="IRNazanin"/>
          <w:color w:val="111111"/>
          <w:sz w:val="28"/>
          <w:szCs w:val="28"/>
          <w:rtl w:val="true"/>
          <w:lang w:bidi="fa-IR"/>
        </w:rPr>
        <w:t xml:space="preserve">! </w:t>
      </w:r>
      <w:bookmarkStart w:id="472" w:name="pg1971_8530"/>
    </w:p>
    <w:p>
      <w:pPr>
        <w:pStyle w:val="Heading2"/>
        <w:numPr>
          <w:ilvl w:val="1"/>
          <w:numId w:val="1"/>
        </w:numPr>
        <w:rPr/>
      </w:pPr>
      <w:bookmarkStart w:id="473" w:name="__RefHeading___Toc3696715_3650668749"/>
      <w:bookmarkStart w:id="474" w:name="_Toc184"/>
      <w:bookmarkEnd w:id="472"/>
      <w:bookmarkEnd w:id="473"/>
      <w:r>
        <w:rPr/>
        <w:t>٣۵</w:t>
      </w:r>
      <w:r>
        <w:rPr>
          <w:rtl w:val="true"/>
        </w:rPr>
        <w:t xml:space="preserve"> امام زمان و اعراب زمان ظهور</w:t>
      </w:r>
      <w:bookmarkEnd w:id="474"/>
    </w:p>
    <w:p>
      <w:pPr>
        <w:pStyle w:val="Heading3"/>
        <w:numPr>
          <w:ilvl w:val="2"/>
          <w:numId w:val="1"/>
        </w:numPr>
        <w:rPr/>
      </w:pPr>
      <w:bookmarkStart w:id="475" w:name="__RefHeading___Toc3696717_3650668749"/>
      <w:bookmarkStart w:id="476" w:name="_Toc185"/>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روايتى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امام زمان ظهور كند با عرب و قريش، جز با شمشير رفتار نخواهد كرد و عرب و قريش نيز جز شمشير از او چيزى دريافت نمى‌كنند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نويسنده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اين همه كينه با عرب و به‌ويژه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به صراحت مى‌گويند كه امام زمان هفتاد قبيله از قبايل عرب را از بين مى‌برد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تذكر مى‌دهد كه اين روايات را بايد با لقب خسرو مجوس و شكست يزدگرد جدّ صاحب الزمان مرتبط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حقايقى در مذهب شيعه هستند كه چون صاعقه بر سر هر عاقلى فرود مى‌آيند</w:t>
      </w:r>
      <w:r>
        <w:rPr>
          <w:rFonts w:eastAsia="IRNazanin" w:cs="IRNazanin"/>
          <w:color w:val="111111"/>
          <w:sz w:val="28"/>
          <w:szCs w:val="28"/>
          <w:rtl w:val="true"/>
          <w:lang w:bidi="fa-IR"/>
        </w:rPr>
        <w:t>» .</w:t>
      </w:r>
    </w:p>
    <w:p>
      <w:pPr>
        <w:pStyle w:val="Heading3"/>
        <w:numPr>
          <w:ilvl w:val="2"/>
          <w:numId w:val="1"/>
        </w:numPr>
        <w:rPr/>
      </w:pPr>
      <w:bookmarkStart w:id="477" w:name="__RefHeading___Toc3696719_3650668749"/>
      <w:bookmarkStart w:id="478" w:name="_Toc186"/>
      <w:bookmarkEnd w:id="477"/>
      <w:r>
        <w:rPr>
          <w:rtl w:val="true"/>
        </w:rPr>
        <w:t>پاسخ</w:t>
      </w:r>
      <w:bookmarkEnd w:id="47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واضحات نزد همه‌مسلمانان و بلكه همه‌جهانيان است كه هر گروهى داراى افراد نيك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در عرب و عجم نيز مسلمان و كافر، منافق و فاسق وجود دارد و عرب بودن يا عجم بودن، هرگز در درگاه الهى امتياز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گرامى‌ترين شما نزد خداوند، باتقواترين شماست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تاريخى </w:t>
      </w:r>
    </w:p>
    <w:p>
      <w:pPr>
        <w:pStyle w:val="BookText"/>
        <w:rPr/>
      </w:pPr>
      <w:r>
        <w:rPr>
          <w:rFonts w:ascii="IRNazanin" w:hAnsi="IRNazanin" w:eastAsia="IRNazanin"/>
          <w:color w:val="111111"/>
          <w:sz w:val="28"/>
          <w:sz w:val="28"/>
          <w:szCs w:val="28"/>
          <w:rtl w:val="true"/>
          <w:lang w:bidi="fa-IR"/>
        </w:rPr>
        <w:t>نيز، هر كدام از دو طايفه داراى خصلت‌هاى منفى و مثبت، خواه قبل از اسلام يا بعد از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اهل سنت بزرگانى از عجم هستند كه عظمت آنها نزد اهل سنت جزء مسلّمات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خراسان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نيشابورى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اهل سجستان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سنن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شهرهاى قديم ايران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 قزوينى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تاريخ و اهل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شمال ايران و بسيارى از علماى درجه اول اهل سنت كه از عجمند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اجراى عدالت مى‌آيد و جهان را از عدل پُر مى‌كند، همچنان‌كه از ستم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در زمان ظهور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برخورد عرب و قريش با حضرت، همانند برخوردى باشد كه عرب و قريش با پدران او انجام دادند، امام زمان بايد با اين معاندان چه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اعراب، عترت طاهره و پيروان آنها را كشتند و خاندانشان را اسير و تبعيد كردند و زندان‌ها را از اولاد پيامبر و پيروان آنها پُركردند و چه جنايت‌ها و شكنجه‌هايى كه بر آنها وارد نكردند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فكر مى‌كنيد كه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گروه تكفيرى از وهابيون چه بايد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دستشان به جنايت عليه مسلمانان، اعم از شيعه و سنى و تخريب مقدسات آنها آلوده است و تسليم حكم الهى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جز همان كارى كه جدش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كرد و معاندان را با شمشير سركوب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چه نسبتى ميان عرب و اهل سنت است؟ مگر </w:t>
      </w:r>
    </w:p>
    <w:p>
      <w:pPr>
        <w:pStyle w:val="BookText"/>
        <w:rPr/>
      </w:pPr>
      <w:r>
        <w:rPr>
          <w:rFonts w:ascii="IRNazanin" w:hAnsi="IRNazanin" w:eastAsia="IRNazanin"/>
          <w:color w:val="111111"/>
          <w:sz w:val="28"/>
          <w:sz w:val="28"/>
          <w:szCs w:val="28"/>
          <w:rtl w:val="true"/>
          <w:lang w:bidi="fa-IR"/>
        </w:rPr>
        <w:t xml:space="preserve">اهل سنت در عرب خلاصه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معاندان عرب را سركوب مى‌كند آيا عرب شيعه، كافر و مستضعف ندارد؟ چرا سركوب معاندان عرب را بر مسئله نژادپرستى حمل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هر كه را معاند حق باشد سركوب مى‌كند؛ خواه عرب باشد يا عجم، شيعه يا غير شيعه، مسلمان يا غير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اين هنگام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مى‌كند و سبب عقوبت خدا و غضب او بر بندگان مى‌گردد؛ زيرا خداوند از بندگانش انتقام نمى‌گيرد، مگر بعد از آنكه حجتش را انكار كنند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اين احتمال بعيد نيست كه گروه‌هاى فراوانى از عرب، به سبب انحراف‌هاى عقيدتى يا سياسى، همچنان‌كه امروز نيز شاهد هستيم، با حضرت به مخالفت برخيزند و حضرت نيز با آنها مقابله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عرب در زمان ظهور، همان سخنى را تكرار كند كه خليفه دوم در انكار خلافت اميرالمؤمنين اظهار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كراهت داشت كه نبوت و خلافت در يك خاندان باشد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چگونه برخورد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است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قائم ظهور مى‌كند، گروهى بر او خروج مى‌كنند و كتاب خدا را عليه حضرت تأويل مى‌كنند و با او مى‌جنگند</w:t>
      </w:r>
      <w:r>
        <w:rPr>
          <w:rFonts w:eastAsia="IRNazanin" w:cs="IRNazanin"/>
          <w:color w:val="111111"/>
          <w:sz w:val="28"/>
          <w:szCs w:val="28"/>
          <w:rtl w:val="true"/>
          <w:lang w:bidi="fa-IR"/>
        </w:rPr>
        <w:t xml:space="preserve">» .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بنابراين چون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است و كوفه نيز محل</w:t>
      </w:r>
    </w:p>
    <w:p>
      <w:pPr>
        <w:pStyle w:val="BookText"/>
        <w:rPr/>
      </w:pPr>
      <w:r>
        <w:rPr>
          <w:rFonts w:ascii="Amiri" w:hAnsi="Amiri" w:eastAsia="Amiri" w:cs="Amiri"/>
          <w:color w:val="111111"/>
          <w:sz w:val="28"/>
          <w:sz w:val="28"/>
          <w:szCs w:val="28"/>
          <w:rtl w:val="true"/>
          <w:lang w:bidi="ar-SA"/>
        </w:rPr>
        <w:t>حكومتش خواهد بود، با مخالفت اهالى اين مناطق كه بيشتر عرب</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هستند </w:t>
      </w:r>
    </w:p>
    <w:p>
      <w:pPr>
        <w:pStyle w:val="BookText"/>
        <w:rPr/>
      </w:pPr>
      <w:r>
        <w:rPr>
          <w:rFonts w:ascii="IRNazanin" w:hAnsi="IRNazanin" w:eastAsia="IRNazanin"/>
          <w:color w:val="111111"/>
          <w:sz w:val="28"/>
          <w:sz w:val="28"/>
          <w:szCs w:val="28"/>
          <w:rtl w:val="true"/>
          <w:lang w:bidi="fa-IR"/>
        </w:rPr>
        <w:t>روبه‌رو مى‌شود كه حضرت نيز با آنان مقابله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مقابله حضرت، به سبب عرب بودن نيست، بلكه به سبب دشمنى و مخالفت با دين خدا بعد از اتمام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در روايت آمده است كه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قائم ما قيام كند، از دروغ‌گويان شيعه شروع مى‌كند و آنها را مى‌كشد</w:t>
      </w:r>
      <w:r>
        <w:rPr>
          <w:rFonts w:eastAsia="IRNazanin" w:cs="IRNazanin"/>
          <w:color w:val="111111"/>
          <w:sz w:val="28"/>
          <w:szCs w:val="28"/>
          <w:rtl w:val="true"/>
          <w:lang w:bidi="fa-IR"/>
        </w:rPr>
        <w:t xml:space="preserve">» .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به هر حال، مقابله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معاندان است و نام اعراب در روايات نيز به سبب دشمنى بسيارى از آنها در گذشته و آينده با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همچنان‌كه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أَسْتَعْدِيكَ عَلَى قُرَيْشٍ وَ مَنْ أَعَانَهُم</w:t>
      </w:r>
      <w:r>
        <w:rPr>
          <w:rFonts w:eastAsia="Amiri" w:cs="Amiri" w:ascii="Amiri" w:hAnsi="Amiri"/>
          <w:color w:val="111111"/>
          <w:sz w:val="28"/>
          <w:szCs w:val="28"/>
          <w:rtl w:val="true"/>
          <w:lang w:bidi="ar-SA"/>
        </w:rPr>
        <w:t xml:space="preserve">. . . .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بار خدايا از قريش و از تمامى آنها كه ياريشان كردند به پيشگاه تو شكايت مى‌كنم؛ زيرا قريش پيوند خويشاوندى مرا قطع كردند و مقام و منزلت بزرگ مرا كوچك شمردند و در غصب حق من با يكديگر هم داستان شدند</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و يا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با قريش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كافر بودند با آنها جنگيدم و هم‌اكنون كه فريب خورده‌اند با آنها مبارزه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با آنها زندگى مى‌كردم و امروز نيز گرفتار آنهايم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از ما انتقام نمى‌گيرد جز به آن علت كه خداوند ما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ميان آنان برگزيد و گرامى داشت</w:t>
      </w:r>
      <w:r>
        <w:rPr>
          <w:rFonts w:eastAsia="IRNazanin" w:cs="IRNazanin"/>
          <w:color w:val="111111"/>
          <w:sz w:val="28"/>
          <w:szCs w:val="28"/>
          <w:rtl w:val="true"/>
          <w:lang w:bidi="fa-IR"/>
        </w:rPr>
        <w:t xml:space="preserve">. . . .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از همه اين امور كه بگذريم، آيا مقابله حضرت با اعراب، لقب خسرومجوس و جريان يزدگرد از حقايق مذهب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مسائل مهجورى است كه كمتر شيعه‌اى آن را شنيده تا چه رسد به آن ملتزم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گوينده‌اى آن را نقل كند، هر شيعه به حكم اعتقاد راسخ اسلامى خويش مى‌داند كه مراد از عرب، معاندان از آنهاست نه اينكه خصوصيت نژادى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نويسنده به علت ضعف بينش، هر چه را شنيده يا دشمنان به او تلقين كرده، جزء اصول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و با ارتباط آن مطالب ضعيف به يكديگر، به نظر خودش از سرى مهم پرده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تاريخ اسلام و مقايسه مردم عرب و عجم مى‌توان گفت كه تواضع عجم و تعصب نژادى بسيارى از اعراب، انكارناپذير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دوستى عجم 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خونخواهى كردن آنها از دشمنان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همت والاى عجم در پذيرش حقايق دين و ترويج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آيه </w:t>
      </w:r>
      <w:r>
        <w:rPr>
          <w:rFonts w:ascii="IRNazanin" w:hAnsi="IRNazanin" w:eastAsia="IRNazanin"/>
          <w:color w:val="111111"/>
          <w:sz w:val="28"/>
          <w:sz w:val="28"/>
          <w:szCs w:val="28"/>
          <w:lang w:bidi="fa-IR"/>
        </w:rPr>
        <w:t>١٩٨</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١٩٩</w:t>
      </w:r>
      <w:r>
        <w:rPr>
          <w:rFonts w:ascii="IRNazanin" w:hAnsi="IRNazanin" w:eastAsia="IRNazanin"/>
          <w:color w:val="111111"/>
          <w:sz w:val="28"/>
          <w:sz w:val="28"/>
          <w:szCs w:val="28"/>
          <w:rtl w:val="true"/>
          <w:lang w:bidi="fa-IR"/>
        </w:rPr>
        <w:t xml:space="preserve"> سوره 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نَزَّلْناهُ عَلى بَعْضِ الْأَعْجَمِينَ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 عَلَيْهِمْ ما كانُوا بِهِ مُؤْمِنِينَ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قرآن‌بر عجم نازل مى‌شد، عرب به آن ايمان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 عرب نازل شد و عجم به آن ايمان آورد</w:t>
      </w:r>
      <w:r>
        <w:rPr>
          <w:rFonts w:eastAsia="IRNazanin" w:cs="IRNazanin"/>
          <w:color w:val="111111"/>
          <w:sz w:val="28"/>
          <w:szCs w:val="28"/>
          <w:rtl w:val="true"/>
          <w:lang w:bidi="fa-IR"/>
        </w:rPr>
        <w:t xml:space="preserve">. . .» </w:t>
      </w:r>
      <w:r>
        <w:rPr>
          <w:rStyle w:val="FootnoteAnchor"/>
          <w:rtl w:val="true"/>
        </w:rPr>
        <w:footnoteReference w:id="273"/>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از دسترس</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ستاره ثريا باشد، مردانى از فارس به آن دست پيدا مى‌كنند</w:t>
      </w:r>
      <w:r>
        <w:rPr>
          <w:rFonts w:eastAsia="IRNazanin" w:cs="IRNazanin"/>
          <w:color w:val="111111"/>
          <w:sz w:val="28"/>
          <w:szCs w:val="28"/>
          <w:rtl w:val="true"/>
          <w:lang w:bidi="fa-IR"/>
        </w:rPr>
        <w:t xml:space="preserve">» . </w:t>
      </w:r>
      <w:r>
        <w:rPr>
          <w:rStyle w:val="FootnoteAnchor"/>
          <w:rtl w:val="true"/>
        </w:rPr>
        <w:footnoteReference w:id="274"/>
      </w:r>
      <w:bookmarkStart w:id="479" w:name="pg1971_8535"/>
    </w:p>
    <w:p>
      <w:pPr>
        <w:pStyle w:val="Heading2"/>
        <w:numPr>
          <w:ilvl w:val="1"/>
          <w:numId w:val="1"/>
        </w:numPr>
        <w:rPr/>
      </w:pPr>
      <w:bookmarkStart w:id="480" w:name="__RefHeading___Toc3696721_3650668749"/>
      <w:bookmarkStart w:id="481" w:name="_Toc187"/>
      <w:bookmarkEnd w:id="479"/>
      <w:bookmarkEnd w:id="480"/>
      <w:r>
        <w:rPr/>
        <w:t>٣۶</w:t>
      </w:r>
      <w:r>
        <w:rPr>
          <w:rtl w:val="true"/>
        </w:rPr>
        <w:t xml:space="preserve"> داستان مادر حضرت حجت و دستاويزى ديگر</w:t>
      </w:r>
      <w:bookmarkEnd w:id="481"/>
    </w:p>
    <w:p>
      <w:pPr>
        <w:pStyle w:val="Heading3"/>
        <w:numPr>
          <w:ilvl w:val="2"/>
          <w:numId w:val="1"/>
        </w:numPr>
        <w:rPr/>
      </w:pPr>
      <w:bookmarkStart w:id="482" w:name="__RefHeading___Toc3696723_3650668749"/>
      <w:bookmarkStart w:id="483" w:name="_Toc188"/>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۵٧</w:t>
      </w:r>
      <w:r>
        <w:rPr>
          <w:rFonts w:ascii="IRNazanin" w:hAnsi="IRNazanin" w:eastAsia="IRNazanin"/>
          <w:color w:val="111111"/>
          <w:sz w:val="28"/>
          <w:sz w:val="28"/>
          <w:szCs w:val="28"/>
          <w:rtl w:val="true"/>
          <w:lang w:bidi="fa-IR"/>
        </w:rPr>
        <w:t xml:space="preserve"> داستان مادر حضرت حجت، جناب نرجس خاتون را تعريف مى‌كند كه او كنيز بوده است و مأمور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ايشان او را 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خودش را اين‌گونه معرفى كرده است كه ملكه،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قيصر، پادشاه روم و مادرم از فرزندان جانشين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بن حمّون بن صفارات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جناب نرجس تعريف كرده است كه پدربزرگش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مى‌خواسته او را به ازدواج برادرزاده‌اش دربياورد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ديده است كه همراه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فاطمه زهرا، مريم عمران و هزاران زن بهشتى براى خواستگارى او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خواب به او گفته است كه در جنگ قيصر با مسلمانان اسير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داستان مادر صاحب الزمان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داستانى كه براى فيلم سينمايى خوب است؛ نه براى مسلمانى كه قرآن برايش آمده است تا عقل او را از خرافات رها نمايد</w:t>
      </w:r>
      <w:r>
        <w:rPr>
          <w:rFonts w:eastAsia="IRNazanin" w:cs="IRNazanin"/>
          <w:color w:val="111111"/>
          <w:sz w:val="28"/>
          <w:szCs w:val="28"/>
          <w:rtl w:val="true"/>
          <w:lang w:bidi="fa-IR"/>
        </w:rPr>
        <w:t>» .</w:t>
      </w:r>
    </w:p>
    <w:p>
      <w:pPr>
        <w:pStyle w:val="Heading3"/>
        <w:numPr>
          <w:ilvl w:val="2"/>
          <w:numId w:val="1"/>
        </w:numPr>
        <w:rPr/>
      </w:pPr>
      <w:bookmarkStart w:id="484" w:name="__RefHeading___Toc3696725_3650668749"/>
      <w:bookmarkStart w:id="485" w:name="_Toc189"/>
      <w:bookmarkEnd w:id="484"/>
      <w:r>
        <w:rPr>
          <w:rtl w:val="true"/>
        </w:rPr>
        <w:t>پاسخ</w:t>
      </w:r>
      <w:bookmarkEnd w:id="48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نويسنده آن است كه آنچه در كودكى شنيده، مسئله‌اى قطعى و عقيدتى تلقى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نقل جريان‌ها و احاديث، </w:t>
      </w:r>
    </w:p>
    <w:p>
      <w:pPr>
        <w:pStyle w:val="BookText"/>
        <w:rPr/>
      </w:pPr>
      <w:r>
        <w:rPr>
          <w:rFonts w:ascii="IRNazanin" w:hAnsi="IRNazanin" w:eastAsia="IRNazanin"/>
          <w:color w:val="111111"/>
          <w:sz w:val="28"/>
          <w:sz w:val="28"/>
          <w:szCs w:val="28"/>
          <w:rtl w:val="true"/>
          <w:lang w:bidi="fa-IR"/>
        </w:rPr>
        <w:t>يك مسئله‌و تحقيق درباره درستى آن، مسئله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احاديث و حكايات همانند مواد خامند كه نياز به دقت و بررسى همه جانبه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نويسنده به صرف شنيدن، آن را جزء اصول عقايد مى‌پندارد و بدون هيچ دليلى و فقط به سبب استبعاد يا ادعاى خرافه، آن را رد مى‌كند؛ يعنى نه اعتقاد او بر پايه صحيح است و نه انكار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حادثه‌اى نامتعارف به‌خواست خداوند اتفاق افتد، آيا بايد آن را خرافه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داستان حضرت عيسى و تولد او از حضرت مريم و اينكه وى بدون شوهر باردار شد و حضرت عيسى در گهواره به نبوت خويش و پاكى مادر شهادت داد را بايد خرافه بدانيم؛ زيرا جريان حضرت مريم به مراتب شگفت‌انگيزتر از جريان مادر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آن‌همه معجزات و جريان‌هاى عجيب قرآن، از جمله، داستان‌هاى شگفت‌انگيز حضرت سليمان، اعم از خدمت جن، سخن با حيواناتى مثل مورچه، پيغام‌برى هدهد، آوردن تخت ملكه سبا، سوار شدن خود و اطرافيان بر باد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 مى‌توان به فيلم سينمايى تشبيه كرد و باطل نمود؟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داستان ربطى به اعتقادات اصولى مذهب شيعه ندارد؟ آيا كسى گفته است كه اعتقاد به كيفيت انتخاب مادر حضرت حجت و چگونگى ولادت ايشان، واجب است و انكار آن، انكار حضرت است؟ اگر مسلمانى، مرتد شود و دليل كفر خود را برخى داستان‌هاى شگفت‌انگيز درباره ولادت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مسلمانان بداند، آيا عُذرش پذيرفتنى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انبوه روايات ضعيف درباره انبيا در كتاب‌هاى تفسيرى و تاريخى ذكر نشده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حقيقت آن است كه اينها بهانه‌اى براى توجيه انديشه بيمار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مذكور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سند آمده است كه جماعة عن ابى‌المفضل الشيبانى عن محمد بن بحر بن سهل الشيبانى از بشر بن سليمان برده‌فروش كه از اولاد ابوايوب انصارى و طرفدار امام هادى و امام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همسايه آن دو در سامراء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ابوالمفضل شيبانى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محمد بن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نجاشى و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 او را از جماعتى از اصحاب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بحر بن سهل شيبانى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ابوالحسين شيبانى دهنى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توثيق ندارد،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غالى دانسته است؛ هرچند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از متكلمان و عالم به اخبار و فقيه شمرده، ولى فرموده متهم به غلوّ است</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اگر هم او نباشد كه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 و گويا فقط در همين روايت از او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معجم‌الرجال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روايتى كه صدوق از وى درباره مادر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امام‌عسكرى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فرموده است كه شما مورد اعتماد ما هستيد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در سند روايت عده‌اى افراد مجهول هستند، گذشته از آنكه روايت از خود اوست و وثاقت شخص را با روايت خود او نمى‌توان ثابت كرد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اين روايت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سند آورده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بن محمد بن حاتم عن احمد بن عيسى الوشاء عن </w:t>
      </w:r>
    </w:p>
    <w:p>
      <w:pPr>
        <w:pStyle w:val="BookText"/>
        <w:rPr/>
      </w:pPr>
      <w:r>
        <w:rPr>
          <w:rFonts w:ascii="IRNazanin" w:hAnsi="IRNazanin" w:eastAsia="IRNazanin"/>
          <w:color w:val="111111"/>
          <w:sz w:val="28"/>
          <w:sz w:val="28"/>
          <w:szCs w:val="28"/>
          <w:rtl w:val="true"/>
          <w:lang w:bidi="fa-IR"/>
        </w:rPr>
        <w:t>احمد بن طاهر القمى عن ابى‌الحسين محمد بن يحيى الشيبانى عن بشربن سليمان 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محمد بن على بن محمد بن حاتم، توثيقى نرسيده است و شيخ و نجاشى و ديگر رجال نيز درباره او سخنى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حديث از او دارد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كرده است و گفته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موردى نيز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يعنى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رضى‌الله‌عنه</w:t>
      </w:r>
      <w:r>
        <w:rPr>
          <w:rFonts w:eastAsia="IRNazanin" w:cs="IRNazanin"/>
          <w:color w:val="111111"/>
          <w:sz w:val="28"/>
          <w:szCs w:val="28"/>
          <w:rtl w:val="true"/>
          <w:lang w:bidi="fa-IR"/>
        </w:rPr>
        <w:t xml:space="preserve">» . </w:t>
      </w:r>
      <w:r>
        <w:rPr>
          <w:rStyle w:val="FootnoteAnchor"/>
          <w:rtl w:val="true"/>
        </w:rPr>
        <w:footnoteReference w:id="277"/>
      </w:r>
      <w:r>
        <w:rPr>
          <w:rFonts w:ascii="IRNazanin" w:hAnsi="IRNazanin" w:eastAsia="IRNazanin"/>
          <w:color w:val="111111"/>
          <w:sz w:val="28"/>
          <w:sz w:val="28"/>
          <w:szCs w:val="28"/>
          <w:rtl w:val="true"/>
          <w:lang w:bidi="fa-IR"/>
        </w:rPr>
        <w:t>اما چهار نفر بعدى همگى مجهول و ناشناخته‌اند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داستان ضعيف است و در هيچ حكمى در خور استناد نيست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بازگو كردن اين‌گونه اخبار مانعى ندارد؛ اخبار كه با هيچ مسئله عقيدتى، اخلاقى و فقهى تنافى ندارد و احتمال صحت آن هم چندان دور از ذهن هم نيست اما نبايد اين جريان را از مسائل قطعى شيعه دانست</w:t>
      </w:r>
      <w:r>
        <w:rPr>
          <w:rFonts w:eastAsia="IRNazanin" w:cs="IRNazanin"/>
          <w:color w:val="111111"/>
          <w:sz w:val="28"/>
          <w:szCs w:val="28"/>
          <w:rtl w:val="true"/>
          <w:lang w:bidi="fa-IR"/>
        </w:rPr>
        <w:t xml:space="preserve">. </w:t>
      </w:r>
      <w:bookmarkStart w:id="486" w:name="pg1971_8539"/>
    </w:p>
    <w:p>
      <w:pPr>
        <w:pStyle w:val="Heading2"/>
        <w:numPr>
          <w:ilvl w:val="1"/>
          <w:numId w:val="1"/>
        </w:numPr>
        <w:rPr/>
      </w:pPr>
      <w:bookmarkStart w:id="487" w:name="__RefHeading___Toc3696727_3650668749"/>
      <w:bookmarkStart w:id="488" w:name="_Toc190"/>
      <w:bookmarkEnd w:id="486"/>
      <w:bookmarkEnd w:id="487"/>
      <w:r>
        <w:rPr/>
        <w:t>٣٧</w:t>
      </w:r>
      <w:r>
        <w:rPr>
          <w:rtl w:val="true"/>
        </w:rPr>
        <w:t xml:space="preserve"> روايتى بسيار ضعيف و دستاويزى ديگر</w:t>
      </w:r>
      <w:bookmarkEnd w:id="488"/>
    </w:p>
    <w:p>
      <w:pPr>
        <w:pStyle w:val="Heading3"/>
        <w:numPr>
          <w:ilvl w:val="2"/>
          <w:numId w:val="1"/>
        </w:numPr>
        <w:rPr/>
      </w:pPr>
      <w:bookmarkStart w:id="489" w:name="__RefHeading___Toc3696729_3650668749"/>
      <w:bookmarkStart w:id="490" w:name="_Toc191"/>
      <w:bookmarkEnd w:id="489"/>
      <w:r>
        <w:rPr>
          <w:rtl w:val="true"/>
        </w:rPr>
        <w:t>اشاره</w:t>
      </w:r>
      <w:bookmarkEnd w:id="490"/>
    </w:p>
    <w:p>
      <w:pPr>
        <w:pStyle w:val="BookText"/>
        <w:rPr/>
      </w:pPr>
      <w:r>
        <w:rPr>
          <w:rFonts w:ascii="Amiri" w:hAnsi="Amiri" w:eastAsia="Amiri" w:cs="Amiri"/>
          <w:color w:val="111111"/>
          <w:sz w:val="28"/>
          <w:sz w:val="28"/>
          <w:szCs w:val="28"/>
          <w:rtl w:val="true"/>
          <w:lang w:bidi="ar-SA"/>
        </w:rPr>
        <w:t xml:space="preserve">نويسنده در صفحه </w:t>
      </w:r>
      <w:r>
        <w:rPr>
          <w:rFonts w:ascii="Amiri" w:hAnsi="Amiri" w:eastAsia="Amiri" w:cs="Amiri"/>
          <w:color w:val="111111"/>
          <w:sz w:val="28"/>
          <w:sz w:val="28"/>
          <w:szCs w:val="28"/>
          <w:lang w:bidi="ar-SA"/>
        </w:rPr>
        <w:t>٩۵</w:t>
      </w:r>
      <w:r>
        <w:rPr>
          <w:rFonts w:ascii="Amiri" w:hAnsi="Amiri" w:eastAsia="Amiri" w:cs="Amiri"/>
          <w:color w:val="111111"/>
          <w:sz w:val="28"/>
          <w:sz w:val="28"/>
          <w:szCs w:val="28"/>
          <w:rtl w:val="true"/>
          <w:lang w:bidi="ar-SA"/>
        </w:rPr>
        <w:t xml:space="preserve">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است كه ما اوصيا در شكم مادر قرار نمى‌گيريم، بلكه در پهلوى مادران خود هستيم و از رحم مادر بيرون نمى‌آييم، بلكه از ران راست مادرانمان بيرون مى‌آييم؛ چون ما نور خداييم كه چرك و آلودگى به آن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نويسنده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پيامبران از رحم مادرانشان متولد مى‌شوند، ولى اوصيا چنين نيستند؛ چون پاك و منزه‌اند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دين چنين سخنى را مى‌پسندد</w:t>
      </w:r>
      <w:r>
        <w:rPr>
          <w:rFonts w:eastAsia="IRNazanin" w:cs="IRNazanin"/>
          <w:color w:val="111111"/>
          <w:sz w:val="28"/>
          <w:szCs w:val="28"/>
          <w:rtl w:val="true"/>
          <w:lang w:bidi="fa-IR"/>
        </w:rPr>
        <w:t>.</w:t>
      </w:r>
    </w:p>
    <w:p>
      <w:pPr>
        <w:pStyle w:val="Heading3"/>
        <w:numPr>
          <w:ilvl w:val="2"/>
          <w:numId w:val="1"/>
        </w:numPr>
        <w:rPr/>
      </w:pPr>
      <w:bookmarkStart w:id="491" w:name="__RefHeading___Toc3696731_3650668749"/>
      <w:bookmarkStart w:id="492" w:name="_Toc192"/>
      <w:bookmarkEnd w:id="491"/>
      <w:r>
        <w:rPr>
          <w:rtl w:val="true"/>
        </w:rPr>
        <w:t>پاسخ</w:t>
      </w:r>
      <w:bookmarkEnd w:id="49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 مذكور را علامه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Style w:val="FootnoteAnchor"/>
          <w:rtl w:val="true"/>
        </w:rPr>
        <w:footnoteReference w:id="278"/>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ابتداى روايت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برخى از نوشته‌هاى اصحاب، روايتى را به اين صورت ديدم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در ادامه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الحسين بن حمدان مى‌گويد كه يكى از مشايخ مورد اعتماد به من خبر داد از حكيمه دختر امام‌جواد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سپس جريان ولادت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مى‌كند </w:t>
      </w:r>
    </w:p>
    <w:p>
      <w:pPr>
        <w:pStyle w:val="BookText"/>
        <w:rPr/>
      </w:pPr>
      <w:r>
        <w:rPr>
          <w:rFonts w:ascii="IRNazanin" w:hAnsi="IRNazanin" w:eastAsia="IRNazanin"/>
          <w:color w:val="111111"/>
          <w:sz w:val="28"/>
          <w:sz w:val="28"/>
          <w:szCs w:val="28"/>
          <w:rtl w:val="true"/>
          <w:lang w:bidi="fa-IR"/>
        </w:rPr>
        <w:t>تا آنجا كه حكيمه خاتون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نرجس دقت كردم؛ ولى اثرى از باردارى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به 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آن مضمون را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از نظر سند به شدت ضعيف است؛ زيرا علامه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كتاب و نويسنده‌اش را نقل نمى‌كند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فهميده مى‌شود كه از كتاب‌هاى شناخته شده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سند روايت ولادت حضرت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حسين‌بن‌حمدان شروع شده است كه معلوم نيست آيا صاحب كتاب مستقيماً از او روايت مى‌كند يا با واسطه؟</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حمدان ظاهراً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نجاشى درباره 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فاسد المذهب بود</w:t>
      </w:r>
      <w:r>
        <w:rPr>
          <w:rFonts w:eastAsia="IRNazanin" w:cs="IRNazanin"/>
          <w:color w:val="111111"/>
          <w:sz w:val="28"/>
          <w:szCs w:val="28"/>
          <w:rtl w:val="true"/>
          <w:lang w:bidi="fa-IR"/>
        </w:rPr>
        <w:t xml:space="preserve">» .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راوى بعدى 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حسين بن حمدان او را ثقه مى‌داند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علت معتبر نبودن حسين بن حمدان، معتبر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نكته تنها در اين روايت ديده مى‌شود، درحالى‌كه‌صدوق در كمال‌الدين با دو سند و دو متن كوتاه و مفصل، جريان ولادت حضرت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زبان حكيمه خاتون نقل مى‌كند و حتى در آن آمده است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عسكرى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نرجس اثر باردارى نمى‌بينم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نرجس است نه از ديگرى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برخاستم و نرجس را بررسى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اثر باردارى در او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نزد حضرت عسكرى رفتم و قضيه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w:t>
      </w:r>
    </w:p>
    <w:p>
      <w:pPr>
        <w:pStyle w:val="BookText"/>
        <w:rPr/>
      </w:pPr>
      <w:r>
        <w:rPr>
          <w:rFonts w:ascii="IRNazanin" w:hAnsi="IRNazanin" w:eastAsia="IRNazanin"/>
          <w:color w:val="111111"/>
          <w:sz w:val="28"/>
          <w:sz w:val="28"/>
          <w:szCs w:val="28"/>
          <w:rtl w:val="true"/>
          <w:lang w:bidi="fa-IR"/>
        </w:rPr>
        <w:t xml:space="preserve">هنگام طلوع فجر شود، اثر باردارى برايت ظاهر مى‌شود؛ زيرا مَثَل او مَثَل مادر موسى است كه اثر باردارى او ظاهر نشد و هيچ‌كس تا هنگام ولادت نفهميد؛ زيرا فرعون، شكم زن‌هاى باردار را پاره مى‌كرد تا موسى را پيدا كند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مى‌بينيم كه در اين روايت سخن از مخفى بودن باردارى است نه آنچه در روايت حسين بن حمدان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ولادت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مفصل و به چند سند از حكيمه خاتون نقل كرده است؛ اما از آن مسئله خرافى خبرى نيست و ما اين مسئله را در هيچ روايت ديگرى از روايات متعددى كه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Style w:val="FootnoteAnchor"/>
          <w:rtl w:val="true"/>
        </w:rPr>
        <w:footnoteReference w:id="281"/>
      </w:r>
      <w:r>
        <w:rPr>
          <w:rFonts w:ascii="Amiri" w:hAnsi="Amiri" w:eastAsia="Amiri" w:cs="Amiri"/>
          <w:color w:val="111111"/>
          <w:sz w:val="28"/>
          <w:sz w:val="28"/>
          <w:szCs w:val="28"/>
          <w:rtl w:val="true"/>
          <w:lang w:bidi="ar-SA"/>
        </w:rPr>
        <w:t>در احوال ولادت و انعقاد نطفه آورده است، نيافتيم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نظر مى‌رسد كه روايت مذكور از تصحيفات برخى غاليان باشد؛ همچنان‌كه بررسى كتاب حسين بن حمدان خصيبى، يعنى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بيشتر رويدادهايى كه در آن‌نقل شده داراى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تصرف‌هاى بسيار نادر و تحريف‌كننده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كسى به اين روايت ضعيف ملتزم نيست و درصورت پذيرفتن آن، بايد توجيه شود؛ مثل برخى روايات ديگر كه در كتاب‌هاى فريقين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روايت‌ها تنها در كتاب‌هايى ذكر مى‌شود كه غرضشان جمع‌آورى روايات است تا از نظر محققان دور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اين‌گونه روايات نمى‌تواند سبب اعتراض به حقيقتى روشن و بزرگ،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همچون ولادت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 xml:space="preserve">. </w:t>
      </w:r>
      <w:bookmarkStart w:id="493" w:name="pg1971_8542"/>
    </w:p>
    <w:p>
      <w:pPr>
        <w:pStyle w:val="Heading2"/>
        <w:numPr>
          <w:ilvl w:val="1"/>
          <w:numId w:val="1"/>
        </w:numPr>
        <w:rPr/>
      </w:pPr>
      <w:bookmarkStart w:id="494" w:name="__RefHeading___Toc3696733_3650668749"/>
      <w:bookmarkStart w:id="495" w:name="_Toc193"/>
      <w:bookmarkEnd w:id="493"/>
      <w:bookmarkEnd w:id="494"/>
      <w:r>
        <w:rPr/>
        <w:t>٣٨</w:t>
      </w:r>
      <w:r>
        <w:rPr>
          <w:rtl w:val="true"/>
        </w:rPr>
        <w:t xml:space="preserve"> عجايب ولادت حضرت حجت و انكار بى‌دليل</w:t>
      </w:r>
      <w:bookmarkEnd w:id="495"/>
    </w:p>
    <w:p>
      <w:pPr>
        <w:pStyle w:val="Heading3"/>
        <w:numPr>
          <w:ilvl w:val="2"/>
          <w:numId w:val="1"/>
        </w:numPr>
        <w:rPr/>
      </w:pPr>
      <w:bookmarkStart w:id="496" w:name="__RefHeading___Toc3696735_3650668749"/>
      <w:bookmarkStart w:id="497" w:name="_Toc194"/>
      <w:bookmarkEnd w:id="496"/>
      <w:r>
        <w:rPr>
          <w:rtl w:val="true"/>
        </w:rPr>
        <w:t>اشاره</w:t>
      </w:r>
      <w:bookmarkEnd w:id="497"/>
    </w:p>
    <w:p>
      <w:pPr>
        <w:pStyle w:val="BookText"/>
        <w:rPr/>
      </w:pP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۵٩</w:t>
      </w:r>
      <w:r>
        <w:rPr>
          <w:rFonts w:ascii="IRNazanin" w:hAnsi="IRNazanin" w:eastAsia="IRNazanin"/>
          <w:color w:val="111111"/>
          <w:sz w:val="28"/>
          <w:sz w:val="28"/>
          <w:szCs w:val="28"/>
          <w:rtl w:val="true"/>
          <w:lang w:bidi="fa-IR"/>
        </w:rPr>
        <w:t xml:space="preserve"> آورده است كه روايات در مورد ولادت صاحب‌الزمان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 نور درخشانى از او خارج شد كه تمام افق آسمان را دربرگرفت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سفيدى از آسمان پايين مى‌آمدند و بال‌هاى خود را بر سر و صورت و بدن او مى‌كشيدند و آن‌گاه ابومحمد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او را آورد، وى را در آغوش گرفت و ديد كه همه كارهاى او انجام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ختنه شده و نافش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پاكيزه است و بر بازوى راست او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الْحَقُّ وَ زَهَقَ الْباطِلُ إِنَّ الْباطِلَ كانَ زَهُوقاً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98" w:name="__RefHeading___Toc3696737_3650668749"/>
      <w:bookmarkStart w:id="499" w:name="_Toc195"/>
      <w:bookmarkEnd w:id="498"/>
      <w:r>
        <w:rPr>
          <w:rtl w:val="true"/>
        </w:rPr>
        <w:t>پاسخ</w:t>
      </w:r>
      <w:bookmarkEnd w:id="499"/>
    </w:p>
    <w:p>
      <w:pPr>
        <w:pStyle w:val="BookText"/>
        <w:rPr/>
      </w:pPr>
      <w:r>
        <w:rPr>
          <w:rFonts w:ascii="IRNazanin" w:hAnsi="IRNazanin" w:eastAsia="IRNazanin"/>
          <w:color w:val="111111"/>
          <w:sz w:val="28"/>
          <w:sz w:val="28"/>
          <w:szCs w:val="28"/>
          <w:rtl w:val="true"/>
          <w:lang w:bidi="fa-IR"/>
        </w:rPr>
        <w:t>معلوم نيست كجاى اين جريان مورد اشكال و اعتراض نويسنده است؟ آيا او فكر كرده است كه از ولادت امثال خودش سخن مى‌گويد كه با شنيدن وقايع ولادت امام معصوم تعجب مى‌كند؟ بله، مشكل امثال نويسنده آن است كه نگاه آنها به امام معصوم همانند نگاه به يك</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رييس‌جمهور يا پادشاه يا افراد عادى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فضايل و مناقب </w:t>
      </w:r>
    </w:p>
    <w:p>
      <w:pPr>
        <w:pStyle w:val="BookText"/>
        <w:rPr/>
      </w:pP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به سبب جهل يا حسادت به‌جاى اعتراف و تعظيم در مقابل عظمت خاندان معصوم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انكار و اعتراض روى آورده‌اند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اين‌گونه عجايب را محدثان، مفسران، سيره‌نويسان و مورخان درباره ولادت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ذكر كرده‌اند</w:t>
      </w:r>
      <w:r>
        <w:rPr>
          <w:rFonts w:eastAsia="IRNazanin" w:cs="IRNazanin"/>
          <w:color w:val="111111"/>
          <w:sz w:val="28"/>
          <w:szCs w:val="28"/>
          <w:rtl w:val="true"/>
          <w:lang w:bidi="fa-IR"/>
        </w:rPr>
        <w:t xml:space="preserve">. </w:t>
      </w:r>
      <w:bookmarkStart w:id="500" w:name="pg1971_8544"/>
    </w:p>
    <w:p>
      <w:pPr>
        <w:pStyle w:val="Heading2"/>
        <w:numPr>
          <w:ilvl w:val="1"/>
          <w:numId w:val="1"/>
        </w:numPr>
        <w:rPr/>
      </w:pPr>
      <w:bookmarkStart w:id="501" w:name="__RefHeading___Toc3696739_3650668749"/>
      <w:bookmarkStart w:id="502" w:name="_Toc196"/>
      <w:bookmarkEnd w:id="500"/>
      <w:bookmarkEnd w:id="501"/>
      <w:r>
        <w:rPr/>
        <w:t>٣٩</w:t>
      </w:r>
      <w:r>
        <w:rPr>
          <w:rtl w:val="true"/>
        </w:rPr>
        <w:t xml:space="preserve"> امام زمان مجرى و مبلّغ اسلام محمدى</w:t>
      </w:r>
      <w:bookmarkEnd w:id="502"/>
    </w:p>
    <w:p>
      <w:pPr>
        <w:pStyle w:val="Heading3"/>
        <w:numPr>
          <w:ilvl w:val="2"/>
          <w:numId w:val="1"/>
        </w:numPr>
        <w:rPr/>
      </w:pPr>
      <w:bookmarkStart w:id="503" w:name="__RefHeading___Toc3696741_3650668749"/>
      <w:bookmarkStart w:id="504" w:name="_Toc197"/>
      <w:bookmarkEnd w:id="503"/>
      <w:r>
        <w:rPr>
          <w:rtl w:val="true"/>
        </w:rPr>
        <w:t>اشاره</w:t>
      </w:r>
      <w:bookmarkEnd w:id="504"/>
    </w:p>
    <w:p>
      <w:pPr>
        <w:pStyle w:val="BookText"/>
        <w:rPr/>
      </w:pPr>
      <w:r>
        <w:rPr>
          <w:rFonts w:ascii="IRNazanin" w:hAnsi="IRNazanin" w:eastAsia="IRNazanin"/>
          <w:color w:val="111111"/>
          <w:sz w:val="28"/>
          <w:sz w:val="28"/>
          <w:szCs w:val="28"/>
          <w:rtl w:val="true"/>
          <w:lang w:bidi="fa-IR"/>
        </w:rPr>
        <w:t>نويسنده در صفحه</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 xml:space="preserve">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دينى كه صاحب‌الزمان با آن‌فرمانروايى مى‌كند دينى غير از دين اسلام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از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چون ظهور كند احكام ارث را منسوخ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تأييد كلام خود روايتى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مى‌كند كه اگر قائم ما ظهور كند برادران روحى را وارث يكديگر قرار مى‌دهد و برادران تنى و نسبى از همديگر ارث نمى‌برند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نويسنده‌روايات ديگرى را نيز ذكر مى‌كند،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مهدى هر كه را به سن بيست سالگى برسد و در دين آگاهى نداشته باشد، به قتل مى‌رساند</w:t>
      </w:r>
      <w:r>
        <w:rPr>
          <w:rFonts w:eastAsia="IRNazanin" w:cs="IRNazanin"/>
          <w:color w:val="111111"/>
          <w:sz w:val="28"/>
          <w:szCs w:val="28"/>
          <w:rtl w:val="true"/>
          <w:lang w:bidi="fa-IR"/>
        </w:rPr>
        <w:t xml:space="preserve">» . </w:t>
      </w:r>
      <w:r>
        <w:rPr>
          <w:rStyle w:val="FootnoteAnchor"/>
          <w:rtl w:val="true"/>
        </w:rPr>
        <w:footnoteReference w:id="282"/>
      </w:r>
      <w:r>
        <w:rPr>
          <w:rFonts w:ascii="IRNazanin" w:hAnsi="IRNazanin" w:eastAsia="IRNazanin"/>
          <w:color w:val="111111"/>
          <w:sz w:val="28"/>
          <w:sz w:val="28"/>
          <w:szCs w:val="28"/>
          <w:rtl w:val="true"/>
          <w:lang w:bidi="fa-IR"/>
        </w:rPr>
        <w:t>همچنين در روايت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قائم آل محمد ظهور كند به حكم داود و سليمان حكم كند و براى اثبات مدعا، گواه نمى‌طلبد</w:t>
      </w:r>
      <w:r>
        <w:rPr>
          <w:rFonts w:eastAsia="IRNazanin" w:cs="IRNazanin"/>
          <w:color w:val="111111"/>
          <w:sz w:val="28"/>
          <w:szCs w:val="28"/>
          <w:rtl w:val="true"/>
          <w:lang w:bidi="fa-IR"/>
        </w:rPr>
        <w:t xml:space="preserve">» . </w:t>
      </w:r>
      <w:r>
        <w:rPr>
          <w:rStyle w:val="FootnoteAnchor"/>
          <w:rtl w:val="true"/>
        </w:rPr>
        <w:footnoteReference w:id="28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قائم كار تازه‌اى مى‌كند و كتاب و قضاوت تازه‌اى مى‌آورد و گويا مى‌بينم كه ميان ركن و مقام ابراهيم با مردم بر كتاب جديد بيعت مى‌كند</w:t>
      </w:r>
      <w:r>
        <w:rPr>
          <w:rFonts w:eastAsia="IRNazanin" w:cs="IRNazanin"/>
          <w:color w:val="111111"/>
          <w:sz w:val="28"/>
          <w:szCs w:val="28"/>
          <w:rtl w:val="true"/>
          <w:lang w:bidi="fa-IR"/>
        </w:rPr>
        <w:t xml:space="preserve">» . </w:t>
      </w:r>
      <w:r>
        <w:rPr>
          <w:rStyle w:val="FootnoteAnchor"/>
          <w:rtl w:val="true"/>
        </w:rPr>
        <w:footnoteReference w:id="284"/>
      </w:r>
      <w:bookmarkStart w:id="505" w:name="pg1971_8545"/>
    </w:p>
    <w:p>
      <w:pPr>
        <w:pStyle w:val="BookText"/>
        <w:rPr/>
      </w:pPr>
      <w:bookmarkEnd w:id="505"/>
      <w:r>
        <w:rPr>
          <w:rFonts w:ascii="IRNazanin" w:hAnsi="IRNazanin" w:eastAsia="IRNazanin"/>
          <w:color w:val="111111"/>
          <w:sz w:val="28"/>
          <w:sz w:val="28"/>
          <w:szCs w:val="28"/>
          <w:rtl w:val="true"/>
          <w:lang w:bidi="fa-IR"/>
        </w:rPr>
        <w:t xml:space="preserve">سپس نويسنده مى‌افزايد كه اماكن مقدس هم از دست صاحب الزمان در امان نخواهند بود؛ زيرا روايات به صراحت مى‌گويند كه امام قائم، مسجدالحرام و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مى‌كند تا به صورت اصلى آنها برگرداند و كعبه را نيز به جاى اصلى آن‌مى‌برد و به صورت اصلى آن مى‌سازد</w:t>
      </w:r>
      <w:r>
        <w:rPr>
          <w:rFonts w:eastAsia="IRNazanin" w:cs="IRNazanin"/>
          <w:color w:val="111111"/>
          <w:sz w:val="28"/>
          <w:szCs w:val="28"/>
          <w:rtl w:val="true"/>
          <w:lang w:bidi="fa-IR"/>
        </w:rPr>
        <w:t xml:space="preserve">. </w:t>
      </w:r>
      <w:r>
        <w:rPr>
          <w:rStyle w:val="FootnoteAnchor"/>
          <w:rtl w:val="true"/>
        </w:rPr>
        <w:footnoteReference w:id="285"/>
      </w:r>
    </w:p>
    <w:p>
      <w:pPr>
        <w:pStyle w:val="Heading3"/>
        <w:numPr>
          <w:ilvl w:val="2"/>
          <w:numId w:val="1"/>
        </w:numPr>
        <w:rPr/>
      </w:pPr>
      <w:bookmarkStart w:id="506" w:name="__RefHeading___Toc3696743_3650668749"/>
      <w:bookmarkStart w:id="507" w:name="_Toc198"/>
      <w:bookmarkEnd w:id="506"/>
      <w:r>
        <w:rPr>
          <w:rtl w:val="true"/>
        </w:rPr>
        <w:t>پاسخ</w:t>
      </w:r>
      <w:bookmarkEnd w:id="507"/>
    </w:p>
    <w:p>
      <w:pPr>
        <w:pStyle w:val="BookText"/>
        <w:rPr/>
      </w:pPr>
      <w:r>
        <w:rPr>
          <w:rFonts w:ascii="IRNazanin" w:hAnsi="IRNazanin" w:eastAsia="IRNazanin"/>
          <w:color w:val="111111"/>
          <w:sz w:val="28"/>
          <w:sz w:val="28"/>
          <w:szCs w:val="28"/>
          <w:rtl w:val="true"/>
          <w:lang w:bidi="fa-IR"/>
        </w:rPr>
        <w:t xml:space="preserve">هيچ‌يك از پيروان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نيستند 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حكمى غير از اسلام و يا كتابى غير از قرآن حكم مى‌كند؛ و اين را هر كس كه اطلاع كمى از عقايد اماميه داشته باشد،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 روايت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بايد از نظر سند، قطعى باشد تا بتوان آن را پذيرفت؛ مثلاً روايت كشتن جوان بيست ساله‌اى كه از دين آگاهى ندارد،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سند آمده است و مرحوم طبرسى نويسنده اين كتاب گفته است كه آن خبر قطعى و حجت نيست؛ همچنان‌كه بر هم زدن ارث نيز كه در برخى روايات آمده است، داراى سند قطعى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مخالف كتاب خداوند است و روايات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مى‌كنند كه حديث مخالف كتاب خدا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آن نيست كه حديثى را پيدا كنيم و آن را بهانه قرار دهيم، بلكه مهم آن است كه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بدانيم آيا اماميه به اين‌گونه امور معتقدند يا خير؟ سخن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w:t>
      </w:r>
      <w:bookmarkStart w:id="508" w:name="pg1971_8546"/>
    </w:p>
    <w:p>
      <w:pPr>
        <w:pStyle w:val="BookText"/>
        <w:rPr/>
      </w:pPr>
      <w:bookmarkEnd w:id="508"/>
      <w:r>
        <w:rPr>
          <w:rFonts w:ascii="IRNazanin" w:hAnsi="IRNazanin" w:eastAsia="IRNazanin"/>
          <w:color w:val="111111"/>
          <w:sz w:val="28"/>
          <w:sz w:val="28"/>
          <w:szCs w:val="28"/>
          <w:rtl w:val="true"/>
          <w:lang w:bidi="fa-IR"/>
        </w:rPr>
        <w:t xml:space="preserve">اين مورد مستند به برخى روايات است كه پذيرفتنى نيست و بايد در فهم آن 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كرد</w:t>
      </w:r>
      <w:r>
        <w:rPr>
          <w:rFonts w:eastAsia="IRNazanin" w:cs="IRNazanin"/>
          <w:color w:val="111111"/>
          <w:sz w:val="28"/>
          <w:szCs w:val="28"/>
          <w:rtl w:val="true"/>
          <w:lang w:bidi="fa-IR"/>
        </w:rPr>
        <w:t>.</w:t>
      </w:r>
    </w:p>
    <w:p>
      <w:pPr>
        <w:pStyle w:val="Heading3"/>
        <w:numPr>
          <w:ilvl w:val="2"/>
          <w:numId w:val="1"/>
        </w:numPr>
        <w:rPr/>
      </w:pPr>
      <w:bookmarkStart w:id="509" w:name="__RefHeading___Toc3696745_3650668749"/>
      <w:bookmarkStart w:id="510" w:name="_Toc199"/>
      <w:bookmarkEnd w:id="509"/>
      <w:r>
        <w:rPr>
          <w:rtl w:val="true"/>
        </w:rPr>
        <w:t xml:space="preserve">شرايط ويژه دوران حضرت مهدى </w:t>
      </w:r>
      <w:r>
        <w:rPr>
          <w:rtl w:val="true"/>
        </w:rPr>
        <w:t>(</w:t>
      </w:r>
      <w:r>
        <w:rPr>
          <w:rtl w:val="true"/>
        </w:rPr>
        <w:t>ع</w:t>
      </w:r>
      <w:r>
        <w:rPr>
          <w:rtl w:val="true"/>
        </w:rPr>
        <w:t>)</w:t>
      </w:r>
      <w:bookmarkEnd w:id="510"/>
    </w:p>
    <w:p>
      <w:pPr>
        <w:pStyle w:val="BookText"/>
        <w:rPr/>
      </w:pPr>
      <w:r>
        <w:rPr>
          <w:rFonts w:ascii="IRNazanin" w:hAnsi="IRNazanin" w:eastAsia="IRNazanin"/>
          <w:color w:val="111111"/>
          <w:sz w:val="28"/>
          <w:sz w:val="28"/>
          <w:szCs w:val="28"/>
          <w:rtl w:val="true"/>
          <w:lang w:bidi="fa-IR"/>
        </w:rPr>
        <w:t xml:space="preserve">بايد توجه داشت كه شرايط عصر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ديگر دوران‌ها فرق دارد و از اين نظر به برنامه‌ريزى ديگرى متفاوت با شرايط قبلى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دانش گسترده الهى كه در اختيار اوست، داراى اختيارات گسترده‌اى همانند اختيارات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باطن شريعت براى او، برخلاف مدعيان دروغين عرفان، آشكار است و چه بسا به كارهايى مأمور شود كه به ظاهر سابقه نداشته است؛ ولى چون به فرمان خداست،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به نظر شما اگر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مأمور شود مانند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غير عادى، مثل كشتن طفل بى‌گناه را انجام دهد، بايد بدان اعتراض شود؟ چرا اين احتمال را ندهيم كه خداوند برخى احكام را بنا به مصالحى براى عصر حضور كه شرايط آماده است، قرار داده باشد؛ همچنان‌كه امروزه اجراى برخى از قوانين اساسى بعضى كشورها به سبب نبود شرايطش متروك مانده و به زمان مناسب آن واگذاز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روايتى از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است كه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حق داشتم فراريان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مجروحان را بكشم؛ ولى اين كار </w:t>
      </w:r>
      <w:bookmarkStart w:id="511" w:name="pg1971_8547"/>
    </w:p>
    <w:p>
      <w:pPr>
        <w:pStyle w:val="BookText"/>
        <w:rPr/>
      </w:pPr>
      <w:bookmarkEnd w:id="511"/>
      <w:r>
        <w:rPr>
          <w:rFonts w:ascii="IRNazanin" w:hAnsi="IRNazanin" w:eastAsia="IRNazanin"/>
          <w:color w:val="111111"/>
          <w:sz w:val="28"/>
          <w:sz w:val="28"/>
          <w:szCs w:val="28"/>
          <w:rtl w:val="true"/>
          <w:lang w:bidi="fa-IR"/>
        </w:rPr>
        <w:t>را براى سرانجام يارانم رها كردم كه اگر مجروح شدند كشته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قائم حق دارد فرارى و مجروح را بكشد</w:t>
      </w:r>
      <w:r>
        <w:rPr>
          <w:rFonts w:eastAsia="IRNazanin" w:cs="IRNazanin"/>
          <w:color w:val="111111"/>
          <w:sz w:val="28"/>
          <w:szCs w:val="28"/>
          <w:rtl w:val="true"/>
          <w:lang w:bidi="fa-IR"/>
        </w:rPr>
        <w:t xml:space="preserve">. </w:t>
      </w:r>
      <w:r>
        <w:rPr>
          <w:rStyle w:val="FootnoteAnchor"/>
          <w:rtl w:val="true"/>
        </w:rPr>
        <w:footnoteReference w:id="286"/>
      </w:r>
    </w:p>
    <w:p>
      <w:pPr>
        <w:pStyle w:val="Heading3"/>
        <w:numPr>
          <w:ilvl w:val="2"/>
          <w:numId w:val="1"/>
        </w:numPr>
        <w:rPr/>
      </w:pPr>
      <w:bookmarkStart w:id="512" w:name="__RefHeading___Toc3696747_3650668749"/>
      <w:bookmarkStart w:id="513" w:name="_Toc200"/>
      <w:bookmarkEnd w:id="512"/>
      <w:r>
        <w:rPr>
          <w:rtl w:val="true"/>
        </w:rPr>
        <w:t>مصلح جهانى و اصلاحات گسترده</w:t>
      </w:r>
      <w:bookmarkEnd w:id="513"/>
    </w:p>
    <w:p>
      <w:pPr>
        <w:pStyle w:val="BookText"/>
        <w:rPr/>
      </w:pPr>
      <w:r>
        <w:rPr>
          <w:rFonts w:ascii="IRNazanin" w:hAnsi="IRNazanin" w:eastAsia="IRNazanin"/>
          <w:color w:val="111111"/>
          <w:sz w:val="28"/>
          <w:sz w:val="28"/>
          <w:szCs w:val="28"/>
          <w:rtl w:val="true"/>
          <w:lang w:bidi="fa-IR"/>
        </w:rPr>
        <w:t>اما قضاوت براساس علم و بدون درخواست شاهد، يك مسئله فقهى است كه ميان فقها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فقها براى قاضى جايز مى‌دانند كه اگر واقعه‌اى را مى‌داند، بدون شاهد و به علم خود قضاوت كند و حتى مى‌تواند شاهد را مردود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قاضى علم داشته باشد، بايد به آن عمل كند، وگرنه قضاوت براساس شهادت شاهدى كه برخلاف علم قاضى شهادت داده، خلاف واقع و ظلم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در مورد قاضى متعارف است تا چه رسد به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تخريب مسجدالحرام و مسجدالنبى كه در روايت كلينى و شيخ طوسى آمده است، به اين مضمون است كه چون حضرت قائم قيام كند، مسجدالحرام و مسجدالنبى را به اصل خويش برمى‌گرداند</w:t>
      </w:r>
      <w:r>
        <w:rPr>
          <w:rFonts w:eastAsia="IRNazanin" w:cs="IRNazanin"/>
          <w:color w:val="111111"/>
          <w:sz w:val="28"/>
          <w:szCs w:val="28"/>
          <w:rtl w:val="true"/>
          <w:lang w:bidi="fa-IR"/>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اين روايت از نظر سند ضعيف است؛ زيرا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مرسله و در سند روايت شيخ طوسى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بطائنى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دارد كه از دشمنان امام‌رضا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در عين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تخريب اين دو مسجد شريف، حقّ مصلح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براى اصلاح جهان آمده است چگونه نتواند به فرمان الهى آن دو محل شريف را اصلاح گرداند؟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كدام دليل و برهان گفته است كه حجت خدا نمى‌تواند چنين </w:t>
      </w:r>
    </w:p>
    <w:p>
      <w:pPr>
        <w:pStyle w:val="BookText"/>
        <w:rPr/>
      </w:pPr>
      <w:r>
        <w:rPr>
          <w:rFonts w:ascii="Amiri" w:hAnsi="Amiri" w:eastAsia="Amiri" w:cs="Amiri"/>
          <w:color w:val="111111"/>
          <w:sz w:val="28"/>
          <w:sz w:val="28"/>
          <w:szCs w:val="28"/>
          <w:rtl w:val="true"/>
          <w:lang w:bidi="ar-SA"/>
        </w:rPr>
        <w:t xml:space="preserve">اصلاحاتى را انجام 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مورخان، مثل 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ابى‌الحديد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نهج‌البلاغه</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و نيز محمد بن سعد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w:t>
      </w:r>
      <w:r>
        <w:rPr>
          <w:rFonts w:eastAsia="Amiri" w:cs="Amiri" w:ascii="Amiri" w:hAnsi="Amiri"/>
          <w:color w:val="111111"/>
          <w:sz w:val="28"/>
          <w:szCs w:val="28"/>
          <w:rtl w:val="true"/>
          <w:lang w:bidi="ar-SA"/>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آورده‌اند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هجرى براى توسعه مسجدالحرام، خانه‌هاى افرادى را كه از فروش خوددارى كردند، بدون اجازه آنها خراب كرد و به مسجد ملحق كرد و پول آن را در بيت‌المال گذاشت تا اينكه بعداً آمدند و گرفتند</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اتهام بزرگ نويسنده كه صاحب‌الزمان دينى مى‌آورد كه غير از اسلام است و براى اثبات آن به تغيير در قانون ارث، قضاوت از روى علم، كشتن جوانى كه احكام نداند و آوردن كتاب جديد تمسك كرده است، بسيار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جز مسئله قضاوت، بقيه امور اصلاً ثابت نيست و اگر هم باشد توجيه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قضاوت هم اصلاً ربطى به مخالفت با قانون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با اين‌گونه امور، شخصى را متهم به آوردن دين جديد كنند، خليفه اول و دوم به سبب انحراف بسيار از قوانين اسلامى به آن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انحراف‌هايى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دستور پيامبر در امر خلافت، مخالفت در امر فدك، مخالفت با قانون ارث در مورد ارث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كنار گذاردن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خمس، تعطيل‌كردن حد خالد بن وليد، تحريم متعه حج و نساء، تغيير قانون طلاق، خواندن نماز نافله به جماعت، تغيير نماز ميت، تغيير شرايط ارث، جابه‌جا كردن مقام ابراهيم و ديگر موارد</w:t>
      </w:r>
      <w:r>
        <w:rPr>
          <w:rFonts w:eastAsia="IRNazanin" w:cs="IRNazanin"/>
          <w:color w:val="111111"/>
          <w:sz w:val="28"/>
          <w:szCs w:val="28"/>
          <w:rtl w:val="true"/>
          <w:lang w:bidi="fa-IR"/>
        </w:rPr>
        <w:t xml:space="preserve">. </w:t>
      </w:r>
      <w:bookmarkStart w:id="514" w:name="pg1971_8549"/>
    </w:p>
    <w:p>
      <w:pPr>
        <w:pStyle w:val="Heading3"/>
        <w:numPr>
          <w:ilvl w:val="2"/>
          <w:numId w:val="1"/>
        </w:numPr>
        <w:rPr/>
      </w:pPr>
      <w:bookmarkStart w:id="515" w:name="__RefHeading___Toc3696749_3650668749"/>
      <w:bookmarkStart w:id="516" w:name="_Toc201"/>
      <w:bookmarkEnd w:id="514"/>
      <w:bookmarkEnd w:id="515"/>
      <w:r>
        <w:rPr>
          <w:rtl w:val="true"/>
        </w:rPr>
        <w:t xml:space="preserve">حضرت مهدى </w:t>
      </w:r>
      <w:r>
        <w:rPr>
          <w:rtl w:val="true"/>
        </w:rPr>
        <w:t>(</w:t>
      </w:r>
      <w:r>
        <w:rPr>
          <w:rtl w:val="true"/>
        </w:rPr>
        <w:t>عج</w:t>
      </w:r>
      <w:r>
        <w:rPr>
          <w:rtl w:val="true"/>
        </w:rPr>
        <w:t xml:space="preserve">) </w:t>
      </w:r>
      <w:r>
        <w:rPr>
          <w:rtl w:val="true"/>
        </w:rPr>
        <w:t>و اجراى اسلام حقيقى</w:t>
      </w:r>
      <w:bookmarkEnd w:id="516"/>
    </w:p>
    <w:p>
      <w:pPr>
        <w:pStyle w:val="BookText"/>
        <w:rPr/>
      </w:pPr>
      <w:r>
        <w:rPr>
          <w:rFonts w:ascii="IRNazanin" w:hAnsi="IRNazanin" w:eastAsia="IRNazanin"/>
          <w:color w:val="111111"/>
          <w:sz w:val="28"/>
          <w:sz w:val="28"/>
          <w:szCs w:val="28"/>
          <w:rtl w:val="true"/>
          <w:lang w:bidi="fa-IR"/>
        </w:rPr>
        <w:t>شگفتا كه مهدى موعود، در قرآن و احاديث وصى پيامبر، معرفى شده و ظاهركننده دين اسلام، عدالت‌گستر و امام بر خلق است و با اين حال متهم به اعمالى برخلاف اسلام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اسلامى، فراوان آمده است 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حقيقى را برقرار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قائم خروج كند به يهود و نصارى و همه كفّار در شرق و غرب زمين، اسلام را عرضه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پذيرفت، او را به نماز و زكات و ديگر دستوراتى كه مسلمان دارد، فرمان مى‌دهد و هر كه مسلمان نشد، گردن مى‌زند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در روايت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حضرت قائم با مردم سخن مى‌گويد درحالى‌كه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كرده است؛ از جمله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در مورد كتاب خدا با من بحث كند، من شايسته‌ترم به كتاب خداوند</w:t>
      </w:r>
      <w:r>
        <w:rPr>
          <w:rFonts w:eastAsia="IRNazanin" w:cs="IRNazanin"/>
          <w:color w:val="111111"/>
          <w:sz w:val="28"/>
          <w:szCs w:val="28"/>
          <w:rtl w:val="true"/>
          <w:lang w:bidi="fa-IR"/>
        </w:rPr>
        <w:t xml:space="preserve">» .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آنچه مهم است، فهم كلماتى است كه در روايات آمده است؛ گرچه بيشتر يا شايد همه آنها از نظر سند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كتاب جديد، كتابى مقابل قرآن‌نيست، بلكه آوردن احكام و قوانينى است كه تاكنون بر اثر عوامل گوناگون، از جمله انحراف مسلمانان از مكتب حقيقى</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ناشناخته مانده است و به همين سبب برخى از مسلمانان و علما با حضرت مخالفت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بسيارى از اين احكام را از </w:t>
      </w:r>
    </w:p>
    <w:p>
      <w:pPr>
        <w:pStyle w:val="BookText"/>
        <w:rPr/>
      </w:pPr>
      <w:r>
        <w:rPr>
          <w:rFonts w:ascii="IRNazanin" w:hAnsi="IRNazanin" w:eastAsia="IRNazanin"/>
          <w:color w:val="111111"/>
          <w:sz w:val="28"/>
          <w:sz w:val="28"/>
          <w:szCs w:val="28"/>
          <w:rtl w:val="true"/>
          <w:lang w:bidi="fa-IR"/>
        </w:rPr>
        <w:t>قرآن استخراج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مردم آن را مقابل قرآن كتابى جديد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حالى‌كه آنچه حضرت مى‌آورد همان دين حقيقى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همان قرآن است كه خداوند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دين حقيقى چنان تغيير كرده است كه تعاليم حضرت را كتاب، سنت و امر جديد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نبودند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مذهب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انحرافى و بدعت معرفى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نيستند كسانى كه اسلام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كفر مى‌نامند و اسلام آمريكايى را اسلام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افراد حق دارند در زمان ظهور حضرت مهدى بگويند كه اين قرآن جديد است؛ زيرا حضرت قرآن را مخالف برداشت آنها معنا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اسلام حقيقى چنان به غربت مى‌افتد كه مردم آن‌را به فراموشى مى‌سپارند و اقامه اسلام حقيقى را، دين جديد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با غربت شروع شد و دوباره مثل اول غريب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غريبان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راوى به حضرت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برايم شرح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دعوت‌كننده ما، دعوت جديدى مى‌كند؛ همچنان‌كه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w:t>
      </w:r>
      <w:r>
        <w:rPr>
          <w:rFonts w:eastAsia="IRNazanin" w:cs="IRNazanin"/>
          <w:color w:val="111111"/>
          <w:sz w:val="28"/>
          <w:szCs w:val="28"/>
          <w:rtl w:val="true"/>
          <w:lang w:bidi="fa-IR"/>
        </w:rPr>
        <w:t xml:space="preserve">» .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يعنى مردم مسلمان، همانند زمان جاهليت چنان از اسلام دور مى‌شوند كه دعوت امام زمان به اسلام همانند دعوت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مى‌شود، وگرنه كتاب جديدى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اَتى بَعْدَ الْقُرْآنِ بِكتابٍ فَدَمُهُ مُباح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كه بعد از قرآن، كتاب </w:t>
      </w:r>
    </w:p>
    <w:p>
      <w:pPr>
        <w:pStyle w:val="BookText"/>
        <w:rPr/>
      </w:pPr>
      <w:r>
        <w:rPr>
          <w:rFonts w:ascii="IRNazanin" w:hAnsi="IRNazanin" w:eastAsia="IRNazanin"/>
          <w:color w:val="111111"/>
          <w:sz w:val="28"/>
          <w:sz w:val="28"/>
          <w:szCs w:val="28"/>
          <w:rtl w:val="true"/>
          <w:lang w:bidi="fa-IR"/>
        </w:rPr>
        <w:t xml:space="preserve">ديگرى بياورد، خونش حلال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احتمال نيز هست كه مقصود از آن كتاب جديد كتابى باشد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املاى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و در روايات فراوانى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تمامى احكام در آن كتاب بيان شده است و چون براى مردم ناآشناست و حضرت حجت از روى آن، فروعات احكام را بيان و اجرا مى‌كند، كتاب جديد شمرده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احتمال نيز دارد كه مقصود از كتاب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قرآن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باشد كه داراى توضيح، تأويل، شأن نزول، بيان ناسخ و منسوخ و خصوصيات تازه‌اى، مثل ترتيب نزول، قرائت صحيح و مانند اينهاست بدون آنكه از نظر متن قرآن با قرآن كنونى تفاوت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اينها گذشته از بررسى صحت اسناد اين روايات است؛ مثلاً اين مضمون در بحارالانوار </w:t>
      </w:r>
      <w:r>
        <w:rPr>
          <w:rStyle w:val="FootnoteAnchor"/>
          <w:rtl w:val="true"/>
        </w:rPr>
        <w:footnoteReference w:id="296"/>
      </w:r>
      <w:r>
        <w:rPr>
          <w:rFonts w:ascii="IRNazanin" w:hAnsi="IRNazanin" w:eastAsia="IRNazanin"/>
          <w:color w:val="111111"/>
          <w:sz w:val="28"/>
          <w:sz w:val="28"/>
          <w:szCs w:val="28"/>
          <w:rtl w:val="true"/>
          <w:lang w:bidi="fa-IR"/>
        </w:rPr>
        <w:t>آمده است و در سند آن ابن‌بطائنى و پدر هستند كه هر دو ملعون و ضعيف‌اند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ديگر نيز از ارشاد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مرسل است</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روايت ديگر نيز كه از غيبت نعمانى است با اين سند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الحسين عن محمد العطار عن محمد بن الحسن عن محمد بن على الكوفى عن البزنطى عن عاصم بن حميد الحناط عن ابى‌بصير</w:t>
      </w:r>
      <w:r>
        <w:rPr>
          <w:rFonts w:eastAsia="IRNazanin" w:cs="IRNazanin"/>
          <w:color w:val="111111"/>
          <w:sz w:val="28"/>
          <w:szCs w:val="28"/>
          <w:rtl w:val="true"/>
          <w:lang w:bidi="fa-IR"/>
        </w:rPr>
        <w:t xml:space="preserve">. . .» </w:t>
      </w:r>
      <w:r>
        <w:rPr>
          <w:rStyle w:val="FootnoteAnchor"/>
          <w:rtl w:val="true"/>
        </w:rPr>
        <w:footnoteReference w:id="298"/>
      </w:r>
      <w:r>
        <w:rPr>
          <w:rFonts w:ascii="Amiri" w:hAnsi="Amiri" w:eastAsia="Amiri" w:cs="Amiri"/>
          <w:color w:val="111111"/>
          <w:sz w:val="28"/>
          <w:sz w:val="28"/>
          <w:szCs w:val="28"/>
          <w:rtl w:val="true"/>
          <w:lang w:bidi="ar-SA"/>
        </w:rPr>
        <w:t>كه محمد بن على الكوفى مجهول است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هر حال، هر سه روايت، ضعيف است و شخصيت معروفى از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را نمى‌شناسيم كه به مضمون اين روايات پاى‌بند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اين روايات نمى‌توان چيزى را ثابت كرد تا چه رسد كه آن را به شيعه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وجود آن در كتب، هرگز دليل اعتقاد به آن يا صحت آن نيست؛ همچنان‌كه نزد هر عالمى كه از روش محدثان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شيعه يا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داشته باشد، واضح است، وگرنه احاديث بسيارى هستند كه اهل سنت در كتب خود آورده‌اند، ولى به علت ضعف سند يا دلايل ديگر به آن ملتزم نيستند</w:t>
      </w:r>
      <w:r>
        <w:rPr>
          <w:rFonts w:eastAsia="IRNazanin" w:cs="IRNazanin"/>
          <w:color w:val="111111"/>
          <w:sz w:val="28"/>
          <w:szCs w:val="28"/>
          <w:rtl w:val="true"/>
          <w:lang w:bidi="fa-IR"/>
        </w:rPr>
        <w:t xml:space="preserve">. </w:t>
      </w:r>
      <w:bookmarkStart w:id="517" w:name="pg1971_8553"/>
    </w:p>
    <w:p>
      <w:pPr>
        <w:pStyle w:val="BookText"/>
        <w:rPr/>
      </w:pPr>
      <w:bookmarkEnd w:id="517"/>
      <w:r>
        <w:rPr>
          <w:rFonts w:ascii="IRNazanin" w:hAnsi="IRNazanin" w:eastAsia="IRNazanin"/>
          <w:color w:val="111111"/>
          <w:sz w:val="28"/>
          <w:sz w:val="28"/>
          <w:szCs w:val="28"/>
          <w:lang w:bidi="fa-IR"/>
        </w:rPr>
        <w:t>۴٠</w:t>
      </w:r>
    </w:p>
    <w:p>
      <w:pPr>
        <w:pStyle w:val="Heading2"/>
        <w:numPr>
          <w:ilvl w:val="1"/>
          <w:numId w:val="1"/>
        </w:numPr>
        <w:rPr/>
      </w:pPr>
      <w:bookmarkStart w:id="518" w:name="__RefHeading___Toc3696751_3650668749"/>
      <w:bookmarkStart w:id="519" w:name="_Toc202"/>
      <w:bookmarkEnd w:id="518"/>
      <w:r>
        <w:rPr/>
        <w:t>۴٠</w:t>
      </w:r>
      <w:r>
        <w:rPr>
          <w:rtl w:val="true"/>
        </w:rPr>
        <w:t xml:space="preserve"> علت قيام نكردن حضرت مهدى با وجود ياوران بسيار</w:t>
      </w:r>
      <w:bookmarkEnd w:id="519"/>
    </w:p>
    <w:p>
      <w:pPr>
        <w:pStyle w:val="Heading3"/>
        <w:numPr>
          <w:ilvl w:val="2"/>
          <w:numId w:val="1"/>
        </w:numPr>
        <w:rPr/>
      </w:pPr>
      <w:bookmarkStart w:id="520" w:name="__RefHeading___Toc3696753_3650668749"/>
      <w:bookmarkStart w:id="521" w:name="_Toc203"/>
      <w:bookmarkEnd w:id="520"/>
      <w:r>
        <w:rPr>
          <w:rtl w:val="true"/>
        </w:rPr>
        <w:t>اشاره</w:t>
      </w:r>
      <w:bookmarkEnd w:id="521"/>
    </w:p>
    <w:p>
      <w:pPr>
        <w:pStyle w:val="BookText"/>
        <w:rPr/>
      </w:pP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۶٢</w:t>
      </w:r>
      <w:r>
        <w:rPr>
          <w:rFonts w:ascii="IRNazanin" w:hAnsi="IRNazanin" w:eastAsia="IRNazanin"/>
          <w:color w:val="111111"/>
          <w:sz w:val="28"/>
          <w:sz w:val="28"/>
          <w:szCs w:val="28"/>
          <w:rtl w:val="true"/>
          <w:lang w:bidi="fa-IR"/>
        </w:rPr>
        <w:t xml:space="preserve"> مى‌گويد كه مدعيان وجود صاحب‌الزمان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علتى كه مانع ظهور او شده، ترس امام از كشته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خود را پنهان نمى‌كرد و مثل پيامبران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اذيت مردم را در راه خدا تحمل مى‌كرد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مى‌افزايد كه مؤمنانِ به صاحب‌الزمان، غيبت او را با پنهان شدن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پنج سال در آغاز بعثت مقايسه مى‌كنند تا آنكه خداوند دستور علنى كردن دعوت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قياس به چند دليل ناصحيح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مردم پنهان نشد، بلكه دعوت را پنهانى كرد؛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از اين دو 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مهدى به ادعاى شما كسى همراه او نيست؛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ظاهر شد و در همان مدت پنهانى، افرادى را آماده كرد تا او را در امرِ دعوت يارى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مهدى پنهان است و پيروانى ندارد، گرچه اماميه پيرو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از همان روز غيبت، پيروان او بوده‌اند و اكنون به ميليون‌ها نفر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تعداد زيادى براى ايجاد امنيت و ظهور ايشان كافى نيست تا به همراه آنان جهاد نمايد؟ </w:t>
      </w:r>
      <w:bookmarkStart w:id="522" w:name="pg1971_8554"/>
    </w:p>
    <w:p>
      <w:pPr>
        <w:pStyle w:val="Heading3"/>
        <w:numPr>
          <w:ilvl w:val="2"/>
          <w:numId w:val="1"/>
        </w:numPr>
        <w:rPr/>
      </w:pPr>
      <w:bookmarkStart w:id="523" w:name="__RefHeading___Toc3696755_3650668749"/>
      <w:bookmarkStart w:id="524" w:name="_Toc204"/>
      <w:bookmarkEnd w:id="522"/>
      <w:bookmarkEnd w:id="523"/>
      <w:r>
        <w:rPr>
          <w:rtl w:val="true"/>
        </w:rPr>
        <w:t>پاسخ</w:t>
      </w:r>
      <w:bookmarkEnd w:id="524"/>
    </w:p>
    <w:p>
      <w:pPr>
        <w:pStyle w:val="BookText"/>
        <w:rPr/>
      </w:pPr>
      <w:r>
        <w:rPr>
          <w:rFonts w:ascii="IRNazanin" w:hAnsi="IRNazanin" w:eastAsia="IRNazanin"/>
          <w:color w:val="111111"/>
          <w:sz w:val="28"/>
          <w:sz w:val="28"/>
          <w:szCs w:val="28"/>
          <w:rtl w:val="true"/>
          <w:lang w:bidi="fa-IR"/>
        </w:rPr>
        <w:t>ترس از كشته‌شدن، يكى از عوامل غيبت حضرت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ديگرى، مثل امتحان مردم، جداسازى افراد نيك از بد، رهايى از بيعت با طاغوتيان و امور ديگرى كه بر ما مخفى است نيز جزء دلايل غيبت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غيبت حضرت حجت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امور الهى و سرّى از اسرار خداوند است كه از بندگان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آن شك كنى كه كفر است</w:t>
      </w:r>
      <w:r>
        <w:rPr>
          <w:rFonts w:eastAsia="IRNazanin" w:cs="IRNazanin"/>
          <w:color w:val="111111"/>
          <w:sz w:val="28"/>
          <w:szCs w:val="28"/>
          <w:rtl w:val="true"/>
          <w:lang w:bidi="fa-IR"/>
        </w:rPr>
        <w:t xml:space="preserve">» .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فضل هاشمى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حكمت غيبت او جز بعد از ظهور وى ظاهر نمى‌شود؛ همچنان‌كه حكمت كارهاى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كردن كشتى، كشتن پسر بچه و برپا داشتن 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نگشت جز هنگام جدايى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از كارهاى الهى و سرّى از اسرار الهى و غيبى از غيب‌هاى اوست و ما چون خداوند را به حكمت قبول كرديم، پذيرفتيم كه همه افعال او حكيمانه است؛ هر چند علت آن بر ما معلوم نباشد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بنابراين، اين اعتراض كه چرا نمى‌آيد يا مى‌بايد مثل اجداد خود اذيت و آزار را تحمل كند، بى‌مورد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اگر خداوند با اعجاز، او را نگه دارد، با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آزمايش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و اگر او را مثل</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اجداد بزرگوارش شهيد كند، با فلسفه امامت، ظهور و قيام ايشان منافات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در مسئله مقايسه غيبت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پنهان شدن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بود نويسنده قبل از اعتراض، علت مقايسه را بيان مى‌كرد؛ زيرا شيعه مدعى همانندى كامل غيبت امام زمان با غيبت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شيعه در پاسخ به اين سؤال كه چگونه مى‌شود كسى امام و حجت خدا باشد، اما مردم به او دسترسى نداشته باشند، مى‌گويد كه عدم دسترسى مردم به امام، مانع امامت نيست؛ زيرا در ميان انبياى گذشته، مثل ادريس، صالح، ابراهيم، موسى، شعيب، الياس و دانيال هم غيبت سابقه داشته است كه سال‌هايى از دسترس مردم دور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پيامبر بود؛ ولى دعوت را جز براى خديجه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دسترسى نداشتن مردم به امام، مانع باشد، بايد دسترسى نداشتن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مانع پيامبرى ايشان مى‌بود؛ زيرا در اين جهت فرقى ميان حضور پيامبر و نشناختن پيامبرى وى با در دسترس نبودن او نيست؛ چون در هر حالت، مردم از وى استفاده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نيز اگر بزرگ‌ترين پزشك جهان ميان جمعى باشد، اما او را به پزشك بودن نشناسند با نبود او در آن جمع از نظر استفاده مردم يكسان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مصلحت اقتضا مى‌كند كه نبوت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در ميان مردم آشكار نشود مى‌تواند اين مصلحت، براى ساليان طولانى‌ترى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پنهان شدن از مردم با پنهان كردن دعوت، از لحاظ استفاده نكردن مردم فرقى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بودن حضرت خديجه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ربطى به اين مسئله ندارد؛ زيرا سخن از عموم مردم است نه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همراه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افرادى هستند، حتى بيش از دو نفر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مقايسه دو امر، اشتراك در همه ويژگى‌ها لازم نيست، بلكه مى‌بايست در نكته اصلى مشترك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مسئله آماده‌سازى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ربطى به مسئله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ضرت حجت ندارد؛ زيرا اين امر برمى‌گردد به حكمت كتمان نبوّت و لازم نيست حكمت اختفاى حضرت حجت نيز همان باشد كه در نبى 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بلكه براى پاسخ اين شبهه كه امام ناشناس چه فايده‌اى دارد همين مقدار كافى است كه بگوييم هر دو از مردم مخفى بودند؛ يعنى گرچه مردم هر دو را مى‌بينند؛ اما آنها را امام يا پيامبر نمى‌دانند تا از ايشان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غيبت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با حكمت غيبت حضرت حجت فرق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چرا نتوان گفت كه حضرت حجت نيز براى آماده‌سازى مردم و جهان، در پشت پرده غيبت قرار دارد؟</w:t>
      </w:r>
    </w:p>
    <w:p>
      <w:pPr>
        <w:pStyle w:val="BookText"/>
        <w:rPr/>
      </w:pPr>
      <w:r>
        <w:rPr>
          <w:rFonts w:ascii="IRNazanin" w:hAnsi="IRNazanin" w:eastAsia="IRNazanin"/>
          <w:color w:val="111111"/>
          <w:sz w:val="28"/>
          <w:sz w:val="28"/>
          <w:szCs w:val="28"/>
          <w:rtl w:val="true"/>
          <w:lang w:bidi="fa-IR"/>
        </w:rPr>
        <w:t xml:space="preserve">از آنجا كه اين قيام مصالح ديگرى نيز دارد و ماهيت آن نيز جهانى است، نبايد انتظار داشت كه مدت آن نيز مثل بعثت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سال و دعوت مخفيانه‌اش سه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قيام جهانى، به زمان و مقدمات فراوانى نياز دارد كه به تدريج هموار مى‌شود؛ از جمله بلوغ فكرى و آمادگى روحى مردم جهان كه به تدريج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همين‌جا معلوم مى‌شود كه پرسش نويسنده درباره علت قيام نكردن حضرت با وجود ميليون‌ها پيرو، سخن نادرستى است؛ زيرا ظهور حضرت به آمادگى جهانى نياز دارد كه محقق نشده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كوچك آن، انقلاب اسلامى ايران است كه با وجود هزاران طرفدار قيام مسلحانه، رهبر عظيم‌الشأن آن، دستور قيام مسلحانه را نداد؛ </w:t>
      </w:r>
    </w:p>
    <w:p>
      <w:pPr>
        <w:pStyle w:val="BookText"/>
        <w:rPr/>
      </w:pPr>
      <w:r>
        <w:rPr>
          <w:rFonts w:ascii="IRNazanin" w:hAnsi="IRNazanin" w:eastAsia="IRNazanin"/>
          <w:color w:val="111111"/>
          <w:sz w:val="28"/>
          <w:sz w:val="28"/>
          <w:szCs w:val="28"/>
          <w:rtl w:val="true"/>
          <w:lang w:bidi="fa-IR"/>
        </w:rPr>
        <w:t>زيرا مى‌خواست، شرايط به گونه‌اى آماده شود كه مردم و از جمله‌نيروهاى مسلح بيدار شوند تا بتواند با كمترين تلفات و خسارات، بزرگ‌ترين موفقيت را به دست آورد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تحقق اين آرمان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بايد سال‌ها منتظر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اراده كرده است تا حكمت‌ها و اسرار غيبت به تدريج محقق شود تا زمينه ظهور فراهم گردد</w:t>
      </w:r>
      <w:r>
        <w:rPr>
          <w:rFonts w:eastAsia="IRNazanin" w:cs="IRNazanin"/>
          <w:color w:val="111111"/>
          <w:sz w:val="28"/>
          <w:szCs w:val="28"/>
          <w:rtl w:val="true"/>
          <w:lang w:bidi="fa-IR"/>
        </w:rPr>
        <w:t xml:space="preserve">. </w:t>
      </w:r>
      <w:bookmarkStart w:id="525" w:name="pg1971_8558"/>
    </w:p>
    <w:p>
      <w:pPr>
        <w:pStyle w:val="Heading2"/>
        <w:numPr>
          <w:ilvl w:val="1"/>
          <w:numId w:val="1"/>
        </w:numPr>
        <w:rPr/>
      </w:pPr>
      <w:bookmarkStart w:id="526" w:name="__RefHeading___Toc3696757_3650668749"/>
      <w:bookmarkStart w:id="527" w:name="_Toc205"/>
      <w:bookmarkEnd w:id="525"/>
      <w:bookmarkEnd w:id="526"/>
      <w:r>
        <w:rPr/>
        <w:t>۴١</w:t>
      </w:r>
      <w:r>
        <w:rPr>
          <w:rtl w:val="true"/>
        </w:rPr>
        <w:t xml:space="preserve"> علت ظاهر نشدن حضرت مهدى بر صفحه تلويزيون</w:t>
      </w:r>
      <w:bookmarkEnd w:id="527"/>
    </w:p>
    <w:p>
      <w:pPr>
        <w:pStyle w:val="Heading3"/>
        <w:numPr>
          <w:ilvl w:val="2"/>
          <w:numId w:val="1"/>
        </w:numPr>
        <w:rPr/>
      </w:pPr>
      <w:bookmarkStart w:id="528" w:name="__RefHeading___Toc3696759_3650668749"/>
      <w:bookmarkStart w:id="529" w:name="_Toc206"/>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ضمن نقل محاوره‌اى مى‌گويد كه علت غيبت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روايات، ترس از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چرا امروز بر صفحات تلويزيون ظاهر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دست‌كم با نوار ويديويى، صدا و تصويرش را پخش كنند تا ثابت شود كه او شخصيتى خيالى نيست</w:t>
      </w:r>
      <w:r>
        <w:rPr>
          <w:rFonts w:eastAsia="IRNazanin" w:cs="IRNazanin"/>
          <w:color w:val="111111"/>
          <w:sz w:val="28"/>
          <w:szCs w:val="28"/>
          <w:rtl w:val="true"/>
          <w:lang w:bidi="fa-IR"/>
        </w:rPr>
        <w:t>.</w:t>
      </w:r>
    </w:p>
    <w:p>
      <w:pPr>
        <w:pStyle w:val="Heading3"/>
        <w:numPr>
          <w:ilvl w:val="2"/>
          <w:numId w:val="1"/>
        </w:numPr>
        <w:rPr/>
      </w:pPr>
      <w:bookmarkStart w:id="530" w:name="__RefHeading___Toc3696761_3650668749"/>
      <w:bookmarkStart w:id="531" w:name="_Toc207"/>
      <w:bookmarkEnd w:id="530"/>
      <w:r>
        <w:rPr>
          <w:rtl w:val="true"/>
        </w:rPr>
        <w:t>پاسخ</w:t>
      </w:r>
      <w:bookmarkEnd w:id="531"/>
    </w:p>
    <w:p>
      <w:pPr>
        <w:pStyle w:val="BookText"/>
        <w:rPr/>
      </w:pPr>
      <w:r>
        <w:rPr>
          <w:rFonts w:ascii="IRNazanin" w:hAnsi="IRNazanin" w:eastAsia="IRNazanin"/>
          <w:color w:val="111111"/>
          <w:sz w:val="28"/>
          <w:sz w:val="28"/>
          <w:szCs w:val="28"/>
          <w:rtl w:val="true"/>
          <w:lang w:bidi="fa-IR"/>
        </w:rPr>
        <w:t>پيشتر گفتيم كه از روايات اين‌گونه استفاده مى‌شود كه غيبت حضرت حكمت‌هاى زيادى دارد و برخى از آنها جز با ظهور حضرت آشكار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حكمت‌ها، نداشتن امنيت جانى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حكمت الهى بر حفظ حضرت به‌گونه‌اى نيست كه ديده شود، ولى صدمه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چرا بر صفحه تلويزيون، ظاهر نمى‌شود؟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آوردن دليل قاطع بر وجود آن حضرت، نيازى به وضوح بيشتر نيست؛ زيرا حكمت الهى بر اين نيست كه از هر راهى براى هدايت بشر استفاده كند، بلكه بشر نيز بايد با بهره‌گيرى از عقل خود مطالب را بررسى و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آيا بهتر نبود مثلاً براى آنكه مردم </w:t>
      </w:r>
      <w:bookmarkStart w:id="532" w:name="pg1971_8559"/>
    </w:p>
    <w:p>
      <w:pPr>
        <w:pStyle w:val="BookText"/>
        <w:rPr/>
      </w:pPr>
      <w:bookmarkEnd w:id="532"/>
      <w:r>
        <w:rPr>
          <w:rFonts w:ascii="IRNazanin" w:hAnsi="IRNazanin" w:eastAsia="IRNazanin"/>
          <w:color w:val="111111"/>
          <w:sz w:val="28"/>
          <w:sz w:val="28"/>
          <w:szCs w:val="28"/>
          <w:rtl w:val="true"/>
          <w:lang w:bidi="fa-IR"/>
        </w:rPr>
        <w:t>به خدا ايمان آورند، هر از گاهى، يكى از علماى اسلام، معجزه‌اى مى‌كرد تا همه به دين اسلام معتقد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نبود كه خداوند در زمان ما هم پيامبرى مى‌فرستاد تا با اعجاز واضح، همه را قانع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بهتر نيست خودش را به صورتى بر همه منكران نشان دهد تا همه ايمان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اهل سنت طبق رواياتشان معتقدند خداوند ديده مى‌شود و مردم خداوند را در آخرت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برخى مردگان را زنده نمى‌كند تا باعث ايمان آوردن منكران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فرشته‌ها را مجسم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بنابراين سنت الهى بر اين نيست كه راه حق با هر روشى چنان واضح باشد كه راه باطل، مجالى براى عرضه نداشته باشد، بلكه بايد هر دو 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خداوند، شيطان را آفريد و هوا و هوس را هم در درون افراد قرار داد تا معلوم شود چه كسى دنبال عقل و خداوند است و چه كسى به دنبال شيطان يا هواى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سبب بود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مظهر قدرت خداوند بودند تقاضاى اعجاز را جز در موارد معدود، نمى‌پذيرفتند؛ زيرا شيوع آن با حكمت و سنت خداوند تناسب ندارد؛ همچنان‌كه مستجاب نشدن دعا از همه و در هر وضعيتى، چنين است</w:t>
      </w:r>
      <w:r>
        <w:rPr>
          <w:rFonts w:eastAsia="IRNazanin" w:cs="IRNazanin"/>
          <w:color w:val="111111"/>
          <w:sz w:val="28"/>
          <w:szCs w:val="28"/>
          <w:rtl w:val="true"/>
          <w:lang w:bidi="fa-IR"/>
        </w:rPr>
        <w:t>.</w:t>
      </w:r>
    </w:p>
    <w:p>
      <w:pPr>
        <w:pStyle w:val="Heading3"/>
        <w:numPr>
          <w:ilvl w:val="2"/>
          <w:numId w:val="1"/>
        </w:numPr>
        <w:rPr/>
      </w:pPr>
      <w:bookmarkStart w:id="533" w:name="__RefHeading___Toc3696763_3650668749"/>
      <w:bookmarkStart w:id="534" w:name="_Toc208"/>
      <w:bookmarkEnd w:id="533"/>
      <w:r>
        <w:rPr>
          <w:rtl w:val="true"/>
        </w:rPr>
        <w:t>برطرف نشدن شبهه با تصوير تلويزيونى</w:t>
      </w:r>
      <w:bookmarkEnd w:id="53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تلويزيون و نوار ويديويى ديده شد، آيا همه منكران باور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اگر تلويزيون تصوير مردى را نشان دهد كه مدعى امام زمان بودن است، شما كه منكر </w:t>
      </w:r>
      <w:bookmarkStart w:id="535" w:name="pg1971_8560"/>
    </w:p>
    <w:p>
      <w:pPr>
        <w:pStyle w:val="BookText"/>
        <w:rPr/>
      </w:pPr>
      <w:bookmarkEnd w:id="535"/>
      <w:r>
        <w:rPr>
          <w:rFonts w:ascii="IRNazanin" w:hAnsi="IRNazanin" w:eastAsia="IRNazanin"/>
          <w:color w:val="111111"/>
          <w:sz w:val="28"/>
          <w:sz w:val="28"/>
          <w:szCs w:val="28"/>
          <w:rtl w:val="true"/>
          <w:lang w:bidi="fa-IR"/>
        </w:rPr>
        <w:t xml:space="preserve">حضرت هستيد، باور مى‌كنيد؟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كنيد كه خيلى ساده خواهيد بود؛ زيرا امروزه از ساده‌ترين مسائل، تهيه يك نوار ويديويى و پخش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نمى‌گوييد شايد شخص ديگرى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باور نمى‌كنيد، ساخت و نمايش اين نوار چه ارزشى خواهد داشت؟ آيا در صورت نمايش چنان شخصى، آتش اختلاف‌ها افروخته‌تر نمى‌شود و به دنبال آن تقاضاهاى ديگرى مبنى بر معجزه، وعده ديدار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داده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آن،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رهبران مخفى ديگر نيست كه نشان دادن تصوير او به اهداف ايشان صدمه نزند؛ زيرا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حاضر مى‌شود و آنها او را مى‌بينند، همچنان‌كه 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را نمى‌شناسند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حضرت را در نوار ويديويى ببينند، حضور ايشان در اجتماع مردم با فلسفه غيبت ايشان تنافى خواهد داشت</w:t>
      </w:r>
      <w:r>
        <w:rPr>
          <w:rFonts w:eastAsia="IRNazanin" w:cs="IRNazanin"/>
          <w:color w:val="111111"/>
          <w:sz w:val="28"/>
          <w:szCs w:val="28"/>
          <w:rtl w:val="true"/>
          <w:lang w:bidi="fa-IR"/>
        </w:rPr>
        <w:t>.</w:t>
      </w:r>
    </w:p>
    <w:p>
      <w:pPr>
        <w:pStyle w:val="Heading3"/>
        <w:numPr>
          <w:ilvl w:val="2"/>
          <w:numId w:val="1"/>
        </w:numPr>
        <w:rPr/>
      </w:pPr>
      <w:bookmarkStart w:id="536" w:name="__RefHeading___Toc3696765_3650668749"/>
      <w:bookmarkStart w:id="537" w:name="_Toc209"/>
      <w:bookmarkEnd w:id="536"/>
      <w:r>
        <w:rPr>
          <w:rtl w:val="true"/>
        </w:rPr>
        <w:t>فضيلت ثابت قدم‌ها در دوران غيبت</w:t>
      </w:r>
      <w:bookmarkEnd w:id="537"/>
    </w:p>
    <w:p>
      <w:pPr>
        <w:pStyle w:val="BookText"/>
        <w:rPr/>
      </w:pPr>
      <w:r>
        <w:rPr>
          <w:rFonts w:ascii="IRNazanin" w:hAnsi="IRNazanin" w:eastAsia="IRNazanin"/>
          <w:color w:val="111111"/>
          <w:sz w:val="28"/>
          <w:sz w:val="28"/>
          <w:szCs w:val="28"/>
          <w:rtl w:val="true"/>
          <w:lang w:bidi="fa-IR"/>
        </w:rPr>
        <w:t>عصر غيبت، عصر امتحان الهى است تا افراد ثابت‌قدم از ديگران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دين و معنويت برايشان اصل است از آنهايى كه دينشان لقلقه زبان است، متمايز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روايات آمده است كه ثابت‌قدم‌هاى آخرالزمان از همه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كه حجت خدا را نمى‌بينند، ولى ايمانى محكم‌تر از بينندگان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زين‌العابدين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غيبت ولى‌الله، دوازدهمين 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ائمه بعد از او طولانى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اباخالد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راوى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اهل زمان غيبت </w:t>
      </w:r>
    </w:p>
    <w:p>
      <w:pPr>
        <w:pStyle w:val="BookText"/>
        <w:rPr/>
      </w:pPr>
      <w:r>
        <w:rPr>
          <w:rFonts w:ascii="IRNazanin" w:hAnsi="IRNazanin" w:eastAsia="IRNazanin"/>
          <w:color w:val="111111"/>
          <w:sz w:val="28"/>
          <w:sz w:val="28"/>
          <w:szCs w:val="28"/>
          <w:rtl w:val="true"/>
          <w:lang w:bidi="fa-IR"/>
        </w:rPr>
        <w:t>او كه معتقد به امامت او و منتظر ظهور اويند از اهل هر زمان برترند؛ زيرا خداوند به آنها چنان عقل و فهم و معرفتى داده است كه غيبت نزد آنها مثل مشاهده است</w:t>
      </w:r>
      <w:r>
        <w:rPr>
          <w:rFonts w:eastAsia="IRNazanin" w:cs="IRNazanin"/>
          <w:color w:val="111111"/>
          <w:sz w:val="28"/>
          <w:szCs w:val="28"/>
          <w:rtl w:val="true"/>
          <w:lang w:bidi="fa-IR"/>
        </w:rPr>
        <w:t xml:space="preserve">. . . .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شگفت‌انگيزترين ايمان و عظيم‌ترين يقين را گروهى دارند كه در آخرالزمان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پيامبر را درك نكرده‌اند و حجت نيز از آنها پوشيده است و براساس سياهى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سفيدى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آورده‌اند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حضرت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شيعيان ما كه در غيبت قائم ما به ريسمان ما چنگ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دوستى ما و بيزارى از دشمنان ما ثابت 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مايند و ما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امامت ما راضى‌اند و ما به پيرو بودن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آنان و خوشا به حال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ايشان در روز قيامت در درجه ما با ما هستند</w:t>
      </w:r>
      <w:r>
        <w:rPr>
          <w:rFonts w:eastAsia="IRNazanin" w:cs="IRNazanin"/>
          <w:color w:val="111111"/>
          <w:sz w:val="28"/>
          <w:szCs w:val="28"/>
          <w:rtl w:val="true"/>
          <w:lang w:bidi="fa-IR"/>
        </w:rPr>
        <w:t xml:space="preserve">. </w:t>
      </w:r>
      <w:r>
        <w:rPr>
          <w:rStyle w:val="FootnoteAnchor"/>
          <w:rtl w:val="true"/>
        </w:rPr>
        <w:footnoteReference w:id="303"/>
      </w:r>
      <w:bookmarkStart w:id="538" w:name="pg1971_8562"/>
    </w:p>
    <w:p>
      <w:pPr>
        <w:pStyle w:val="Heading2"/>
        <w:numPr>
          <w:ilvl w:val="1"/>
          <w:numId w:val="1"/>
        </w:numPr>
        <w:rPr/>
      </w:pPr>
      <w:bookmarkStart w:id="539" w:name="__RefHeading___Toc3696767_3650668749"/>
      <w:bookmarkStart w:id="540" w:name="_Toc210"/>
      <w:bookmarkEnd w:id="538"/>
      <w:bookmarkEnd w:id="539"/>
      <w:r>
        <w:rPr/>
        <w:t>۴٢</w:t>
      </w:r>
      <w:r>
        <w:rPr>
          <w:rtl w:val="true"/>
        </w:rPr>
        <w:t xml:space="preserve"> پيرايش غلوّ موجود در مذهب شيعه</w:t>
      </w:r>
      <w:bookmarkEnd w:id="540"/>
    </w:p>
    <w:p>
      <w:pPr>
        <w:pStyle w:val="Heading3"/>
        <w:numPr>
          <w:ilvl w:val="2"/>
          <w:numId w:val="1"/>
        </w:numPr>
        <w:rPr/>
      </w:pPr>
      <w:bookmarkStart w:id="541" w:name="__RefHeading___Toc3696769_3650668749"/>
      <w:bookmarkStart w:id="542" w:name="_Toc211"/>
      <w:bookmarkEnd w:id="541"/>
      <w:r>
        <w:rPr>
          <w:rtl w:val="true"/>
        </w:rPr>
        <w:t>اشاره</w:t>
      </w:r>
      <w:bookmarkEnd w:id="542"/>
    </w:p>
    <w:p>
      <w:pPr>
        <w:pStyle w:val="BookText"/>
        <w:rPr/>
      </w:pP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به نام افرادى اشاره مى‌كند كه به پيرايش غلوّ موجود در مذهب شيعه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اعتراض مى‌كند كه چرا با مرجعيت برخى از اينان مخالفند؟</w:t>
      </w:r>
    </w:p>
    <w:p>
      <w:pPr>
        <w:pStyle w:val="Heading3"/>
        <w:numPr>
          <w:ilvl w:val="2"/>
          <w:numId w:val="1"/>
        </w:numPr>
        <w:rPr/>
      </w:pPr>
      <w:bookmarkStart w:id="543" w:name="__RefHeading___Toc3696771_3650668749"/>
      <w:bookmarkStart w:id="544" w:name="_Toc212"/>
      <w:bookmarkEnd w:id="543"/>
      <w:r>
        <w:rPr>
          <w:rtl w:val="true"/>
        </w:rPr>
        <w:t>پاسخ</w:t>
      </w:r>
      <w:bookmarkEnd w:id="54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گمان كرده است كه شيعه بايد هر اعتراضى را بپذيرد و هر عقيده‌اى كه مخالف پيدا مى‌كند، باطل مى‌شود غافل از آنكه مكتب شيعه، مكتب حق و داراى آزادى علمى است و عقايد خويش را با دليل در معرض انديشمندان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به معناى پذيرش سخن نادرست هر مدّعى نيست</w:t>
      </w:r>
      <w:r>
        <w:rPr>
          <w:rFonts w:eastAsia="IRNazanin" w:cs="IRNazanin"/>
          <w:color w:val="111111"/>
          <w:sz w:val="28"/>
          <w:szCs w:val="28"/>
          <w:rtl w:val="true"/>
          <w:lang w:bidi="fa-IR"/>
        </w:rPr>
        <w:t xml:space="preserve">. </w:t>
      </w:r>
      <w:bookmarkStart w:id="545" w:name="pg1971_8563"/>
    </w:p>
    <w:p>
      <w:pPr>
        <w:pStyle w:val="Heading2"/>
        <w:numPr>
          <w:ilvl w:val="1"/>
          <w:numId w:val="1"/>
        </w:numPr>
        <w:rPr/>
      </w:pPr>
      <w:bookmarkStart w:id="546" w:name="__RefHeading___Toc3696773_3650668749"/>
      <w:bookmarkStart w:id="547" w:name="_Toc213"/>
      <w:bookmarkEnd w:id="545"/>
      <w:bookmarkEnd w:id="546"/>
      <w:r>
        <w:rPr/>
        <w:t>۴٣</w:t>
      </w:r>
      <w:r>
        <w:rPr>
          <w:rtl w:val="true"/>
        </w:rPr>
        <w:t xml:space="preserve"> تهاجم به خانه اميرالمؤمنين </w:t>
      </w:r>
      <w:r>
        <w:rPr>
          <w:rtl w:val="true"/>
        </w:rPr>
        <w:t>(</w:t>
      </w:r>
      <w:r>
        <w:rPr>
          <w:rtl w:val="true"/>
        </w:rPr>
        <w:t>ع</w:t>
      </w:r>
      <w:r>
        <w:rPr>
          <w:rtl w:val="true"/>
        </w:rPr>
        <w:t xml:space="preserve">) </w:t>
      </w:r>
      <w:r>
        <w:rPr>
          <w:rtl w:val="true"/>
        </w:rPr>
        <w:t>و سكوت آن حضرت</w:t>
      </w:r>
      <w:bookmarkEnd w:id="547"/>
    </w:p>
    <w:p>
      <w:pPr>
        <w:pStyle w:val="Heading3"/>
        <w:numPr>
          <w:ilvl w:val="2"/>
          <w:numId w:val="1"/>
        </w:numPr>
        <w:rPr/>
      </w:pPr>
      <w:bookmarkStart w:id="548" w:name="__RefHeading___Toc3696775_3650668749"/>
      <w:bookmarkStart w:id="549" w:name="_Toc214"/>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از برخى علماى معاصر شيعه نقل مى‌كند كه ايشان با ضرب و شتم و تعدى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سقطكردن جنين ايشان،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مى‌گويد كه اگر كسى به زن شما حمله كند و بخواهد او را بزند، آيا در خانه مى‌نشينى و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او حمله‌ور مى‌شوى؟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على بن ابى‌طالب آن مردى كه قهرمانان را مقهور مى‌كرد، اجازه مى‌دهد كه به زهرا حمله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شما چنين چيزى را براى خود مى‌پسندد؟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مى‌گويد كه چرا زهرا در را باز مى‌كند؟ اگر كسى در خانه شما را بزند، به‌ويژه اگر نيروهاى امنيتى باشند كه براى دستگيرى آمده باشند، آيا انسان زن خودش را جلوى در مى‌فرستد؟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امام على ترسو بوده و غيرت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او سفارش كرده بود براى خلافت، جنگ و اختلاف به راه نيندازد، نه اينكه از زنش هم دفاع نكند</w:t>
      </w:r>
      <w:r>
        <w:rPr>
          <w:rFonts w:eastAsia="IRNazanin" w:cs="IRNazanin"/>
          <w:color w:val="111111"/>
          <w:sz w:val="28"/>
          <w:szCs w:val="28"/>
          <w:rtl w:val="true"/>
          <w:lang w:bidi="fa-IR"/>
        </w:rPr>
        <w:t>.</w:t>
      </w:r>
    </w:p>
    <w:p>
      <w:pPr>
        <w:pStyle w:val="Heading3"/>
        <w:numPr>
          <w:ilvl w:val="2"/>
          <w:numId w:val="1"/>
        </w:numPr>
        <w:rPr/>
      </w:pPr>
      <w:bookmarkStart w:id="550" w:name="__RefHeading___Toc3696777_3650668749"/>
      <w:bookmarkStart w:id="551" w:name="_Toc215"/>
      <w:bookmarkEnd w:id="550"/>
      <w:r>
        <w:rPr>
          <w:rtl w:val="true"/>
        </w:rPr>
        <w:t>پاسخ</w:t>
      </w:r>
      <w:bookmarkEnd w:id="551"/>
    </w:p>
    <w:p>
      <w:pPr>
        <w:pStyle w:val="Heading3"/>
        <w:numPr>
          <w:ilvl w:val="2"/>
          <w:numId w:val="1"/>
        </w:numPr>
        <w:rPr/>
      </w:pPr>
      <w:bookmarkStart w:id="552" w:name="__RefHeading___Toc3696779_3650668749"/>
      <w:bookmarkStart w:id="553" w:name="_Toc216"/>
      <w:bookmarkEnd w:id="552"/>
      <w:r>
        <w:rPr>
          <w:rtl w:val="true"/>
        </w:rPr>
        <w:t xml:space="preserve">مظلوميت حضرت زهرا </w:t>
      </w:r>
      <w:r>
        <w:rPr>
          <w:rtl w:val="true"/>
        </w:rPr>
        <w:t>(</w:t>
      </w:r>
      <w:r>
        <w:rPr>
          <w:rtl w:val="true"/>
        </w:rPr>
        <w:t>عليهاالسلام</w:t>
      </w:r>
      <w:r>
        <w:rPr>
          <w:rtl w:val="true"/>
        </w:rPr>
        <w:t xml:space="preserve">) </w:t>
      </w:r>
      <w:r>
        <w:rPr>
          <w:rtl w:val="true"/>
        </w:rPr>
        <w:t>در كلمات بزرگان</w:t>
      </w:r>
      <w:bookmarkEnd w:id="55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تعدّى به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ضرب و جرح و سقط جنين ايشان، از مسائلى است كه در روايات شيعه به خوبى و در روايات </w:t>
      </w:r>
    </w:p>
    <w:p>
      <w:pPr>
        <w:pStyle w:val="BookText"/>
        <w:rPr/>
      </w:pPr>
      <w:r>
        <w:rPr>
          <w:rFonts w:ascii="IRNazanin" w:hAnsi="IRNazanin" w:eastAsia="IRNazanin"/>
          <w:color w:val="111111"/>
          <w:sz w:val="28"/>
          <w:sz w:val="28"/>
          <w:szCs w:val="28"/>
          <w:rtl w:val="true"/>
          <w:lang w:bidi="fa-IR"/>
        </w:rPr>
        <w:t>اهل‌سنت نيز به صورت خلاصه بيان شده است و هرگز از اهل سنت انتظار نقل جزئيات اين امور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فقط به اشاره مى‌گوييم كه آتش زدن درِ خانه حضرت، شكستن پهلوى ايشان بر اثر ضربه و شهادت جنين او به نام محسن، در انبوه گزارش‌هاى علما از صدر اسلام تاكنون آمده است و بسيارى از اين امور را برخى از علماى اهل سنت نيز اشاره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متوفاى قرن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وادار كرد كه به پشت در پناه برد و او را به داخل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پهلوى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و فرزندش را سقط كرد و همواره بسترى بود تا اينكه بر اثر همان ضربه به شهادت رسيد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ascii="Amiri" w:hAnsi="Amiri" w:eastAsia="Amiri" w:cs="Amiri"/>
          <w:color w:val="111111"/>
          <w:sz w:val="28"/>
          <w:sz w:val="28"/>
          <w:szCs w:val="28"/>
          <w:lang w:bidi="ar-SA"/>
        </w:rPr>
        <w:t>٣٩٢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سند صحيح از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است كه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صديقه شهيده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همچنين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ميان شوهرش و مهاجمان قرار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قنفذ،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كرد كه به لنگه در خانه‌اش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را به درون هُل داد و يكى از دنده‌هاى پهلوى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و فرزندش را سقط كرد</w:t>
      </w:r>
      <w:r>
        <w:rPr>
          <w:rFonts w:eastAsia="IRNazanin" w:cs="IRNazanin"/>
          <w:color w:val="111111"/>
          <w:sz w:val="28"/>
          <w:szCs w:val="28"/>
          <w:rtl w:val="true"/>
          <w:lang w:bidi="fa-IR"/>
        </w:rPr>
        <w:t xml:space="preserve">. </w:t>
      </w:r>
      <w:r>
        <w:rPr>
          <w:rStyle w:val="FootnoteAnchor"/>
          <w:rtl w:val="true"/>
        </w:rPr>
        <w:footnoteReference w:id="30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مسعودى مورخ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ascii="Amiri" w:hAnsi="Amiri" w:eastAsia="Amiri" w:cs="Amiri"/>
          <w:color w:val="111111"/>
          <w:sz w:val="28"/>
          <w:sz w:val="28"/>
          <w:szCs w:val="28"/>
          <w:lang w:bidi="ar-SA"/>
        </w:rPr>
        <w:t>٣۴۶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خانه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بردند و در آن را آتش زدند و وى را با زور از خانه بيرون برده و سرور زنان را با در فشار دادند، به‌گونه‌اى كه محسن را سقط كرد</w:t>
      </w:r>
      <w:r>
        <w:rPr>
          <w:rFonts w:eastAsia="IRNazanin" w:cs="IRNazanin"/>
          <w:color w:val="111111"/>
          <w:sz w:val="28"/>
          <w:szCs w:val="28"/>
          <w:rtl w:val="true"/>
          <w:lang w:bidi="fa-IR"/>
        </w:rPr>
        <w:t xml:space="preserve">» .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ascii="Amiri" w:hAnsi="Amiri" w:eastAsia="Amiri" w:cs="Amiri"/>
          <w:color w:val="111111"/>
          <w:sz w:val="28"/>
          <w:sz w:val="28"/>
          <w:szCs w:val="28"/>
          <w:lang w:bidi="ar-SA"/>
        </w:rPr>
        <w:t>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فلانى با لگد بر حضرت فاطمه زد و فرزندش را سقط كرد و آن‌گاه به حضرت سيلى زد 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مى‌بينم گوشواره حضرت را كه متلاشى شده است</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اهل سنت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دوم در روز بيعت بر شكم فاطمه زد، به‌گونه‌اى كه محسن را سقط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فرياد مى‌زد كه خانه را با هر كه در آن است آتش زنيد و در خانه كسى نبود، جز على، فاطمه، حسن و حسين</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ذهبى و ابن حجر از علماى اهل سنت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خليفه دوم با لگد بر فاطمه زد به‌گونه‌اى كه محسن را سقط كرد</w:t>
      </w:r>
      <w:r>
        <w:rPr>
          <w:rFonts w:eastAsia="IRNazanin" w:cs="IRNazanin"/>
          <w:color w:val="111111"/>
          <w:sz w:val="28"/>
          <w:szCs w:val="28"/>
          <w:rtl w:val="true"/>
          <w:lang w:bidi="fa-IR"/>
        </w:rPr>
        <w:t xml:space="preserve">» . </w:t>
      </w:r>
      <w:r>
        <w:rPr>
          <w:rStyle w:val="FootnoteAnchor"/>
          <w:rtl w:val="true"/>
        </w:rPr>
        <w:footnoteReference w:id="310"/>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صلاح جامعه مسلمانان نيست كه در وضعيت كنونى به اين‌گونه مسائل دامن زده شود، ولى انكار حقايق و تحريف آن نيز كار نادرستى است كه بايد با آن مقابله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شيعه به ويژه در اين اواخر، به اثبات اين موضوع و پاسخ به شبهات آن به طور مفصل پرداخته‌اند؛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جعفر مرتضى‌عاملى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bookmarkStart w:id="554" w:name="pg1971_8566"/>
    </w:p>
    <w:p>
      <w:pPr>
        <w:pStyle w:val="BookText"/>
        <w:rPr/>
      </w:pPr>
      <w:bookmarkEnd w:id="5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مأساة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عبدالزهرا 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الهجوم على بيت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 .</w:t>
      </w:r>
    </w:p>
    <w:p>
      <w:pPr>
        <w:pStyle w:val="Heading3"/>
        <w:numPr>
          <w:ilvl w:val="2"/>
          <w:numId w:val="1"/>
        </w:numPr>
        <w:rPr/>
      </w:pPr>
      <w:bookmarkStart w:id="555" w:name="__RefHeading___Toc3696781_3650668749"/>
      <w:bookmarkStart w:id="556" w:name="_Toc217"/>
      <w:bookmarkEnd w:id="555"/>
      <w:r>
        <w:rPr>
          <w:rtl w:val="true"/>
        </w:rPr>
        <w:t xml:space="preserve">علت سكوت اميرالمؤمنين </w:t>
      </w:r>
      <w:r>
        <w:rPr>
          <w:rtl w:val="true"/>
        </w:rPr>
        <w:t>(</w:t>
      </w:r>
      <w:r>
        <w:rPr>
          <w:rtl w:val="true"/>
        </w:rPr>
        <w:t>ع</w:t>
      </w:r>
      <w:r>
        <w:rPr>
          <w:rtl w:val="true"/>
        </w:rPr>
        <w:t>)</w:t>
      </w:r>
      <w:bookmarkEnd w:id="556"/>
    </w:p>
    <w:p>
      <w:pPr>
        <w:pStyle w:val="BookText"/>
        <w:rPr/>
      </w:pPr>
      <w:r>
        <w:rPr>
          <w:rFonts w:ascii="IRNazanin" w:hAnsi="IRNazanin" w:eastAsia="IRNazanin"/>
          <w:color w:val="111111"/>
          <w:sz w:val="28"/>
          <w:sz w:val="28"/>
          <w:szCs w:val="28"/>
          <w:rtl w:val="true"/>
          <w:lang w:bidi="fa-IR"/>
        </w:rPr>
        <w:t>علت سكوت آن بود كه ورود اميرالمؤمنين در آن درگيرى، مدينه را به آشوب مى‌كشاند و اين آرزوى منافقان بود تا با ايجاد اغتشاش در آن اوضاع سخت كه بسيارى در فكر نابود كردن اسلام بودند، به اهدافشان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از تفرقه مسلمانان، بازگشت كُفر و از بين رفتن دين نبود ما روش ديگرى مى‌داشتيم</w:t>
      </w:r>
      <w:r>
        <w:rPr>
          <w:rFonts w:eastAsia="IRNazanin" w:cs="IRNazanin"/>
          <w:color w:val="111111"/>
          <w:sz w:val="28"/>
          <w:szCs w:val="28"/>
          <w:rtl w:val="true"/>
          <w:lang w:bidi="fa-IR"/>
        </w:rPr>
        <w:t xml:space="preserve">» . </w:t>
      </w:r>
      <w:r>
        <w:rPr>
          <w:rStyle w:val="FootnoteAnchor"/>
          <w:rtl w:val="true"/>
        </w:rPr>
        <w:footnoteReference w:id="311"/>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بسيار مهم آن است كه اين اقدام صديقه طاهره بهترين عامل رسوايى آنان و باعث بطلان مكتب و توطئه‌شان گرديد، به‌گونه‌اى كه نهايت جنايت و سنگدلى و بى‌اعتقادى آنها را به پيامبر و خاندان ايشان و علاقه شديد آنها را به رياست و دنياطلبى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مسئله را يك تدبير حكيمانه از جانب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ندانيم كه به فرمان خداوند انجام شده است تا صديقه طاهره در راه دفاع از ولايت، مصدوم و سرانجام شهيد شود، مخفيانه به خاك سپرده شده و قبر مطهرش نيز پنهان بماند تا اين لكه ننگ براى هميشه آنها را رسوا كند؛ همچنان‌كه آنها را رسوا كرده است و اين در كتب اهل سنت به خوبى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همين سبب بود كه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w:t>
      </w:r>
    </w:p>
    <w:p>
      <w:pPr>
        <w:pStyle w:val="BookText"/>
        <w:rPr/>
      </w:pPr>
      <w:r>
        <w:rPr>
          <w:rFonts w:ascii="IRNazanin" w:hAnsi="IRNazanin" w:eastAsia="IRNazanin"/>
          <w:color w:val="111111"/>
          <w:sz w:val="28"/>
          <w:sz w:val="28"/>
          <w:szCs w:val="28"/>
          <w:rtl w:val="true"/>
          <w:lang w:bidi="fa-IR"/>
        </w:rPr>
        <w:t xml:space="preserve">از شهادت خويش آگاه بود، زنان و كودكان را همراه خود آورد و در جواب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مى‌خواهد اينها را اسير ببيند</w:t>
      </w:r>
      <w:r>
        <w:rPr>
          <w:rFonts w:eastAsia="IRNazanin" w:cs="IRNazanin"/>
          <w:color w:val="111111"/>
          <w:sz w:val="28"/>
          <w:szCs w:val="28"/>
          <w:rtl w:val="true"/>
          <w:lang w:bidi="fa-IR"/>
        </w:rPr>
        <w:t xml:space="preserve">» .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آيا جز اين است كه حكمت الهى در رسوا كردن ظالمان از طريق جنايات خودشان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گذشته از همه اين امور، آيا احتمال ندارد كه صديقه طاهره داوطلبانه اين كار را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وقتى حضرت، اوضاع را نامناسب مى‌داند و حضور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 تنها غير لازم، بلكه سبب تحريك دشمنان مى‌بيند خود داوطلبانه به پشت در مى‌آيد تا شايد آنان با شنيدن صداى وى و احساس حضور وى در پشت در از هجوم منصرف شوند؛ زيرا او از طرفى، زن است و در اسلام و جاهليت حمله به زنان شرم‌آور بوده و از طرفى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مردم، بارها شاهد آن‌همه احترام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بودند و اكنون نيز در عزاى پدر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خود به پشت در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مى‌خواهى خانه مرا آتش بزنى؟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را در عزاى پدرم رها نمى‌كنى؟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ازاين‌رو بار اول، مهاجمان به جز قنفذ برگشتند</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دادن اين تدبير حكيمانه از دو حالت خارج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آنها برمى‌گشتند كه باعث حفظ حريم خاندان پيامبر مى‌شد يا برنمى‌گشتند و هجوم مى‌بردند كه سبب رسوايى آنها و عقيم ماندن اهدافشان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p>
    <w:p>
      <w:pPr>
        <w:pStyle w:val="BookText"/>
        <w:rPr/>
      </w:pPr>
      <w:r>
        <w:rPr>
          <w:rFonts w:ascii="Amiri" w:hAnsi="Amiri" w:eastAsia="Amiri" w:cs="Amiri"/>
          <w:color w:val="111111"/>
          <w:sz w:val="28"/>
          <w:sz w:val="28"/>
          <w:szCs w:val="28"/>
          <w:rtl w:val="true"/>
          <w:lang w:bidi="ar-SA"/>
        </w:rPr>
        <w:t xml:space="preserve">اين تدبير حكيمانه جاى اعتراض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پرسش اعتراض گونه نويسنده برخاسته از يك نگاه سطحى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پاسخ حضرت فاطمه در رسوا كردن مهاجمان به ظاهر دين‌دار تأثير به سزايى دارد، چرا حضرتش اقدام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صديقه طاهره نبود كه در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اعتراض بر ابوبكر در جمع مهاجر و انصار آن خطبه كوبنده را ايراد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موقعيت، چنين پاسخى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همسر كسى شرايطى دارد كه مى‌تواند در افشاى منافقان از اقدام شوهرش مؤثرتر باشد، بايد اقدام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مقايسه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صديقه طاهره با افراد عادى شايستۀ يك محقق هوشيار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از عاقل‌ترين و هوشيارترين افراد روزگارانند و بزرگ‌ترين هدف‌شان حفظ دين اسلام از آسيب منافقان است؛ ولى در افراد معمولى مسائل عاطفى و احساسى، آنها را به هيجان مى‌آورد و از اهداف دور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همين‌جا معلوم مى‌شود كه مسئله، مسئله غيرت يا شجاعت نيست، بلكه مسئله وظيفه و عقل است كه هر مؤمن حكيمى بايد در شرايط سخت به دستور الهى پاى‌بند باشد؛ هرچند مخالف خواسته‌هاى احساسى و عاطفى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جاى غيرت و شجاعت نيست؛ جاى صبر و تحمل است تا خون بر شمشير پيروز شود و دشمنان با جنايات خود، خويش را رسوا كنند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سكوت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شرايط حساس كه انسان‌هاى ديگر را </w:t>
      </w:r>
    </w:p>
    <w:p>
      <w:pPr>
        <w:pStyle w:val="BookText"/>
        <w:rPr/>
      </w:pPr>
      <w:r>
        <w:rPr>
          <w:rFonts w:ascii="IRNazanin" w:hAnsi="IRNazanin" w:eastAsia="IRNazanin"/>
          <w:color w:val="111111"/>
          <w:sz w:val="28"/>
          <w:sz w:val="28"/>
          <w:szCs w:val="28"/>
          <w:rtl w:val="true"/>
          <w:lang w:bidi="fa-IR"/>
        </w:rPr>
        <w:t>به هيجان و اقدام شتاب‌زده وادار مى‌كند، بزرگ‌ترين دليل بر ايمان و شجاعت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صبر كردم درحالى‌كه در گويا خار چشم و استخوان در گلوى من مانده بود و با ديدگان خود مى‌نگريستم كه ميراث مرا به غارت مى‌برند</w:t>
      </w:r>
      <w:r>
        <w:rPr>
          <w:rFonts w:eastAsia="IRNazanin" w:cs="IRNazanin"/>
          <w:color w:val="111111"/>
          <w:sz w:val="28"/>
          <w:szCs w:val="28"/>
          <w:rtl w:val="true"/>
          <w:lang w:bidi="fa-IR"/>
        </w:rPr>
        <w:t xml:space="preserve">» .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از قرائن مشخص مى‌شود كه تهاجم، غير منتظره بوده است و اهل خانه، احتمال اين عمل ناجوانمردانه را نمى‌دادند؛ به همين سبب است كه حتى فرصت پوشش كامل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ندادند </w:t>
      </w:r>
      <w:r>
        <w:rPr>
          <w:rStyle w:val="FootnoteAnchor"/>
          <w:rtl w:val="true"/>
        </w:rPr>
        <w:footnoteReference w:id="315"/>
      </w:r>
      <w:r>
        <w:rPr>
          <w:rFonts w:ascii="Amiri" w:hAnsi="Amiri" w:eastAsia="Amiri" w:cs="Amiri"/>
          <w:color w:val="111111"/>
          <w:sz w:val="28"/>
          <w:sz w:val="28"/>
          <w:szCs w:val="28"/>
          <w:rtl w:val="true"/>
          <w:lang w:bidi="ar-SA"/>
        </w:rPr>
        <w:t xml:space="preserve">و مهاجمان ميان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شمشير مانع شدند و عده زيادى بر سر او ريختند قبل از آنكه او شمشير را بردارد</w:t>
      </w:r>
      <w:r>
        <w:rPr>
          <w:rFonts w:eastAsia="Amiri" w:cs="Amiri" w:ascii="Amiri" w:hAnsi="Amiri"/>
          <w:color w:val="111111"/>
          <w:sz w:val="28"/>
          <w:szCs w:val="28"/>
          <w:rtl w:val="true"/>
          <w:lang w:bidi="ar-SA"/>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خود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شمشيرم در دستم بود مى‌دانستيد كه هرگز به اين كار دست نمى‌يابيد</w:t>
      </w:r>
      <w:r>
        <w:rPr>
          <w:rFonts w:eastAsia="IRNazanin" w:cs="IRNazanin"/>
          <w:color w:val="111111"/>
          <w:sz w:val="28"/>
          <w:szCs w:val="28"/>
          <w:rtl w:val="true"/>
          <w:lang w:bidi="fa-IR"/>
        </w:rPr>
        <w:t xml:space="preserve">» . </w:t>
      </w:r>
      <w:r>
        <w:rPr>
          <w:rStyle w:val="FootnoteAnchor"/>
          <w:rtl w:val="true"/>
        </w:rPr>
        <w:footnoteReference w:id="317"/>
      </w:r>
      <w:r>
        <w:rPr>
          <w:rFonts w:ascii="IRNazanin" w:hAnsi="IRNazanin" w:eastAsia="IRNazanin"/>
          <w:color w:val="111111"/>
          <w:sz w:val="28"/>
          <w:sz w:val="28"/>
          <w:szCs w:val="28"/>
          <w:rtl w:val="true"/>
          <w:lang w:bidi="fa-IR"/>
        </w:rPr>
        <w:t xml:space="preserve">با اين حال،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دست خالى نيز به دفاع پرداخت و گريبان آن مرد را گرفت و بر زمين كوبيد و خواست او را بكشد كه به ياد وصيت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پيامبرى مبعوث كرد، اگر نبود تقدير الهى و عهدى كه پيامبر با من نموده است، مى‌دانستى كه تو نمى‌توانى به خانه من داخل شوى</w:t>
      </w:r>
      <w:r>
        <w:rPr>
          <w:rFonts w:eastAsia="IRNazanin" w:cs="IRNazanin"/>
          <w:color w:val="111111"/>
          <w:sz w:val="28"/>
          <w:szCs w:val="28"/>
          <w:rtl w:val="true"/>
          <w:lang w:bidi="fa-IR"/>
        </w:rPr>
        <w:t xml:space="preserve">» . </w:t>
      </w:r>
      <w:r>
        <w:rPr>
          <w:rStyle w:val="FootnoteAnchor"/>
          <w:rtl w:val="true"/>
        </w:rPr>
        <w:footnoteReference w:id="318"/>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وصيت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كه معترض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w:t>
      </w:r>
      <w:bookmarkStart w:id="557" w:name="pg1971_8570"/>
    </w:p>
    <w:p>
      <w:pPr>
        <w:pStyle w:val="BookText"/>
        <w:rPr/>
      </w:pPr>
      <w:bookmarkEnd w:id="557"/>
      <w:r>
        <w:rPr>
          <w:rFonts w:ascii="IRNazanin" w:hAnsi="IRNazanin" w:eastAsia="IRNazanin"/>
          <w:color w:val="111111"/>
          <w:sz w:val="28"/>
          <w:sz w:val="28"/>
          <w:szCs w:val="28"/>
          <w:rtl w:val="true"/>
          <w:lang w:bidi="fa-IR"/>
        </w:rPr>
        <w:t>آن اقرار كرده 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ملزم كرده بود تا از زور و شمشير در امر خلافت استفاده نكند</w:t>
      </w:r>
      <w:r>
        <w:rPr>
          <w:rFonts w:eastAsia="IRNazanin" w:cs="IRNazanin"/>
          <w:color w:val="111111"/>
          <w:sz w:val="28"/>
          <w:szCs w:val="28"/>
          <w:rtl w:val="true"/>
          <w:lang w:bidi="fa-IR"/>
        </w:rPr>
        <w:t>» .</w:t>
      </w:r>
    </w:p>
    <w:p>
      <w:pPr>
        <w:pStyle w:val="Heading3"/>
        <w:numPr>
          <w:ilvl w:val="2"/>
          <w:numId w:val="1"/>
        </w:numPr>
        <w:rPr/>
      </w:pPr>
      <w:bookmarkStart w:id="558" w:name="__RefHeading___Toc3696783_3650668749"/>
      <w:bookmarkStart w:id="559" w:name="_Toc218"/>
      <w:bookmarkEnd w:id="558"/>
      <w:r>
        <w:rPr>
          <w:rtl w:val="true"/>
        </w:rPr>
        <w:t xml:space="preserve">مأمور به صبر حتى در دفاع از حضرت فاطمه </w:t>
      </w:r>
      <w:r>
        <w:rPr>
          <w:rtl w:val="true"/>
        </w:rPr>
        <w:t>(</w:t>
      </w:r>
      <w:r>
        <w:rPr>
          <w:rtl w:val="true"/>
        </w:rPr>
        <w:t>عليهاالسلام</w:t>
      </w:r>
      <w:r>
        <w:rPr>
          <w:rtl w:val="true"/>
        </w:rPr>
        <w:t>)</w:t>
      </w:r>
      <w:bookmarkEnd w:id="559"/>
    </w:p>
    <w:p>
      <w:pPr>
        <w:pStyle w:val="BookText"/>
        <w:rPr/>
      </w:pPr>
      <w:r>
        <w:rPr>
          <w:rFonts w:ascii="IRNazanin" w:hAnsi="IRNazanin" w:eastAsia="IRNazanin"/>
          <w:color w:val="111111"/>
          <w:sz w:val="28"/>
          <w:sz w:val="28"/>
          <w:szCs w:val="28"/>
          <w:rtl w:val="true"/>
          <w:lang w:bidi="fa-IR"/>
        </w:rPr>
        <w:t>اينكه نويسنده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بود در مورد خلافت، جنگ به راه نيندازد، نه اينكه از همسرش دفاع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زيرا در آن شرايط، دفاع از همسرش با جنگ تفاوتى نداشت؛ زيرا مهاجمان براى گرفتن بيعت آمده بودند و همسرش نيز مانع آنها شده بود و دفاع مسلحانه اميرالمؤمنين، خواه ناخواه جنگ را به راه مى‌انداخت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روايات نيز تصريح شده است كه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بود كه حتى در دفاع از همسرش هم اقدام تندى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مرحوم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خلاصه مضمون آن اين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جبرئيل امر وصيت را از جانب خداوند به صورت نوشته‌اى به همراه امنايى از ملائكه نازل كرد و گفت تا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را خلوت كند و جز على و فاطمه كسى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سلام مى‌رساند و مى‌گويد كه اين نوشته، عهد من است به تو كه بر تو گواهم و ملائكه را هم گواه گرفته‌ام بر تو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در اين هنگام بدن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نوشته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اميرالمؤمنين بده و براى او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به حرف آن 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عهد پروردگار به من و امانت اوست كه رساندم و ادا كردم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نيز گواهم و گوش، چشم، گوشت و خونم براى شما گواهى مى‌دهد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نيز با شما دو نفر گواهم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وصيت مرا گرفتى و آگاه شدى و براى خداوند و من، ضمانت كردى كه به مضمون آن عمل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دادم و بر خداوند است كمك به من و توفيق انجام دادن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مى‌خواهم شاهد بگيرم بر تو كه حتماً به آن عمل مى‌كنى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و ميكائيل الآن ميان من و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حاضرند و همراه اينها ملائكه مقرب الهى هستند كه آنها را بر تو گواه مى‌گيرم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از جمله امورى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خداوند بر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كرد اين بود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دوستى كن با دوستان 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باش با دشمنان خدا و رسولش و از آنها بيزار باش و براى از بين رفتن حق خودت، غصب خمس و هتك حرمتت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يا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خدايى كه دانه را شكافت و مردم را آفريد، شنيدم كه جبرئيل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آگاه كن كه حرمتت هتك مى‌شود و آن حرمت خدا و حرمت رسول خداست و صبر كن بر رنگين شدن محاسنت با خون تازه سَرَت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از جبرئيل امين فهميدم به صورت بر زمين افتادم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كردم و راضى شدم، هر چند حرمتم هتك شود و سنت‌ها معطل ماند</w:t>
      </w:r>
      <w:r>
        <w:rPr>
          <w:rFonts w:eastAsia="IRNazanin" w:cs="IRNazanin"/>
          <w:color w:val="111111"/>
          <w:sz w:val="28"/>
          <w:szCs w:val="28"/>
          <w:rtl w:val="true"/>
          <w:lang w:bidi="fa-IR"/>
        </w:rPr>
        <w:t xml:space="preserve">. . .» . </w:t>
      </w:r>
      <w:r>
        <w:rPr>
          <w:rStyle w:val="FootnoteAnchor"/>
          <w:rtl w:val="true"/>
        </w:rPr>
        <w:footnoteReference w:id="319"/>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در اين حديث آمده است،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بود براى حفظ اسلام، امتحان مردم و افشاى منافقان به هر آنچه پيش آيد صبر كند، حتى در مورد جنايات بر همسرش كه حرمت خداست</w:t>
      </w:r>
      <w:r>
        <w:rPr>
          <w:rFonts w:eastAsia="IRNazanin" w:cs="IRNazanin"/>
          <w:color w:val="111111"/>
          <w:sz w:val="28"/>
          <w:szCs w:val="28"/>
          <w:rtl w:val="true"/>
          <w:lang w:bidi="fa-IR"/>
        </w:rPr>
        <w:t xml:space="preserve">. </w:t>
      </w:r>
      <w:bookmarkStart w:id="560" w:name="pg1971_8573"/>
    </w:p>
    <w:p>
      <w:pPr>
        <w:pStyle w:val="Heading2"/>
        <w:numPr>
          <w:ilvl w:val="1"/>
          <w:numId w:val="1"/>
        </w:numPr>
        <w:rPr/>
      </w:pPr>
      <w:bookmarkStart w:id="561" w:name="__RefHeading___Toc3696785_3650668749"/>
      <w:bookmarkStart w:id="562" w:name="_Toc219"/>
      <w:bookmarkEnd w:id="560"/>
      <w:bookmarkEnd w:id="561"/>
      <w:r>
        <w:rPr/>
        <w:t>۴۴</w:t>
      </w:r>
      <w:r>
        <w:rPr>
          <w:rtl w:val="true"/>
        </w:rPr>
        <w:t xml:space="preserve"> جايگاه امامت در اسلام</w:t>
      </w:r>
      <w:bookmarkEnd w:id="562"/>
    </w:p>
    <w:p>
      <w:pPr>
        <w:pStyle w:val="Heading3"/>
        <w:numPr>
          <w:ilvl w:val="2"/>
          <w:numId w:val="1"/>
        </w:numPr>
        <w:rPr/>
      </w:pPr>
      <w:bookmarkStart w:id="563" w:name="__RefHeading___Toc3696787_3650668749"/>
      <w:bookmarkStart w:id="564" w:name="_Toc220"/>
      <w:bookmarkEnd w:id="563"/>
      <w:r>
        <w:rPr>
          <w:rtl w:val="true"/>
        </w:rPr>
        <w:t>اشاره</w:t>
      </w:r>
      <w:bookmarkEnd w:id="564"/>
    </w:p>
    <w:p>
      <w:pPr>
        <w:pStyle w:val="BookText"/>
        <w:rPr/>
      </w:pP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از قول يكى از عالمان معاصر شيعه نقل مى‌كند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صحت اسلام يا پذيرفته شدن اعمال بندگان، اعتقاد به امامت شرط نيست، بلكه فقط نظريه‌اى است كه بعضى از مسلمانان آن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موارد اجتهادى و متغيرات است كه مى‌توان آن را ضعيف يا صحيح دانست</w:t>
      </w:r>
      <w:r>
        <w:rPr>
          <w:rFonts w:eastAsia="IRNazanin" w:cs="IRNazanin"/>
          <w:color w:val="111111"/>
          <w:sz w:val="28"/>
          <w:szCs w:val="28"/>
          <w:rtl w:val="true"/>
          <w:lang w:bidi="fa-IR"/>
        </w:rPr>
        <w:t>.</w:t>
      </w:r>
    </w:p>
    <w:p>
      <w:pPr>
        <w:pStyle w:val="Heading3"/>
        <w:numPr>
          <w:ilvl w:val="2"/>
          <w:numId w:val="1"/>
        </w:numPr>
        <w:rPr/>
      </w:pPr>
      <w:bookmarkStart w:id="565" w:name="__RefHeading___Toc3696789_3650668749"/>
      <w:bookmarkStart w:id="566" w:name="_Toc221"/>
      <w:bookmarkEnd w:id="565"/>
      <w:r>
        <w:rPr>
          <w:rtl w:val="true"/>
        </w:rPr>
        <w:t>پاسخ</w:t>
      </w:r>
      <w:bookmarkEnd w:id="566"/>
    </w:p>
    <w:p>
      <w:pPr>
        <w:pStyle w:val="BookText"/>
        <w:rPr/>
      </w:pPr>
      <w:r>
        <w:rPr>
          <w:rFonts w:ascii="Amiri" w:hAnsi="Amiri" w:eastAsia="Amiri" w:cs="Amiri"/>
          <w:color w:val="111111"/>
          <w:sz w:val="28"/>
          <w:sz w:val="28"/>
          <w:szCs w:val="28"/>
          <w:rtl w:val="true"/>
          <w:lang w:bidi="ar-SA"/>
        </w:rPr>
        <w:t>براى تحقيق بيشتر مقاصد آن عالم شيعه بايد به اصل كلمات ايشان مراجعه شود و با اعتماد بر نقل مذكور نمى‌توان نسبتى را به ايشان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در كلامى كه از ايشان نقل شده دو نكته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شرط صحت اسلام نيست؛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شرط قبولى اعمال نيست</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3696791_3650668749"/>
      <w:bookmarkStart w:id="568" w:name="_Toc222"/>
      <w:bookmarkEnd w:id="567"/>
      <w:r>
        <w:rPr>
          <w:rtl w:val="true"/>
        </w:rPr>
        <w:t>امامت ركن اسلام حقيقى</w:t>
      </w:r>
      <w:bookmarkEnd w:id="56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اينكه امامت شرط صحت اسلام نيست؛ اگر مقصود از مسلمان، كسى است كه داراى احكام خاصى در دنياست، خواه در آخرت اهل </w:t>
      </w:r>
    </w:p>
    <w:p>
      <w:pPr>
        <w:pStyle w:val="BookText"/>
        <w:rPr/>
      </w:pPr>
      <w:r>
        <w:rPr>
          <w:rFonts w:ascii="IRNazanin" w:hAnsi="IRNazanin" w:eastAsia="IRNazanin"/>
          <w:color w:val="111111"/>
          <w:sz w:val="28"/>
          <w:sz w:val="28"/>
          <w:szCs w:val="28"/>
          <w:rtl w:val="true"/>
          <w:lang w:bidi="fa-IR"/>
        </w:rPr>
        <w:t>نجات باشد يا نباشد، امامت شرط اين اسلام نيست؛ زيرا براساس روايات هر كسى كه شهادتين بگويد مسلمان است؛ هر چند در باطن معترف نباشد؛ همچون منافقان كه در ظاهر مسلمانند؛ يعنى احكام يك فرد مسلمان در دنيا بر آنها مترتب است؛ مانند طهارت بدن او، جواز نكاح با او، وجوب غسل، كفن و دفن، احترام جان، مال و نواميس او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همچنان‌كه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خويش حتى با منافقان نيز چنين تعامل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مقصود از اسلام، اعتقاد به امورى باشد كه اساس دين را تشكيل مى‌دهند و بى‌اعتقادى به آنهابه سبب دشمنى يا تقصير، انسان را جهنمى مى‌كند، عقيده به امامت قطعاً جزء اسلام و ركن اساسى آن است كه بدون آن توحيد نيز سودمند نيست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مى‌شود و از ضروريات اماميه است؛ بنابراين منكران امامت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نجات نخواهند بود مگر آنكه از مستضعفان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روايات، بلكه آيه قرآن نيز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 دين شما را برايتان كامل كردم و نعمت خود را بر شما تمام نمودم و اسلام را به‌عنوان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پذيرفتم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فهميده مى‌شود كه خداوند بدون ولايت، دين اسلام را از كسى نمى‌پذيرد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بسيارى نيز بر آن دلالت دارد، از جمله روايت معروف و مورد قبول شيعه و اهل‌سنت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569" w:name="pg1971_8575"/>
    </w:p>
    <w:p>
      <w:pPr>
        <w:pStyle w:val="BookText"/>
        <w:rPr/>
      </w:pPr>
      <w:bookmarkEnd w:id="569"/>
      <w:r>
        <w:rPr>
          <w:rFonts w:ascii="Amiri" w:hAnsi="Amiri" w:eastAsia="Amiri" w:cs="Amiri"/>
          <w:color w:val="111111"/>
          <w:sz w:val="28"/>
          <w:sz w:val="28"/>
          <w:szCs w:val="28"/>
          <w:rtl w:val="true"/>
          <w:lang w:bidi="ar-SA"/>
        </w:rPr>
        <w:t>مَنْ ماتَ وَ لا يَعْرِفُ اِمامَه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هر كه بميرد و امام خويش را نشناسد، به مرگ جاهليت از دنيا رفته است</w:t>
      </w:r>
      <w:r>
        <w:rPr>
          <w:rFonts w:eastAsia="IRNazanin" w:cs="IRNazanin"/>
          <w:color w:val="111111"/>
          <w:sz w:val="28"/>
          <w:szCs w:val="28"/>
          <w:rtl w:val="true"/>
          <w:lang w:bidi="fa-IR"/>
        </w:rPr>
        <w:t>.</w:t>
      </w:r>
    </w:p>
    <w:p>
      <w:pPr>
        <w:pStyle w:val="Heading3"/>
        <w:numPr>
          <w:ilvl w:val="2"/>
          <w:numId w:val="1"/>
        </w:numPr>
        <w:rPr/>
      </w:pPr>
      <w:bookmarkStart w:id="570" w:name="__RefHeading___Toc3696793_3650668749"/>
      <w:bookmarkStart w:id="571" w:name="_Toc223"/>
      <w:bookmarkEnd w:id="570"/>
      <w:r>
        <w:rPr>
          <w:rtl w:val="true"/>
        </w:rPr>
        <w:t>اعتقاد به امامت، شرط قبولى اعمال</w:t>
      </w:r>
      <w:bookmarkEnd w:id="571"/>
    </w:p>
    <w:p>
      <w:pPr>
        <w:pStyle w:val="BookText"/>
        <w:rPr/>
      </w:pPr>
      <w:r>
        <w:rPr>
          <w:rFonts w:ascii="IRNazanin" w:hAnsi="IRNazanin" w:eastAsia="IRNazanin"/>
          <w:color w:val="111111"/>
          <w:sz w:val="28"/>
          <w:sz w:val="28"/>
          <w:szCs w:val="28"/>
          <w:rtl w:val="true"/>
          <w:lang w:bidi="fa-IR"/>
        </w:rPr>
        <w:t xml:space="preserve">اما اينكه پذيرش اعمال در درگاه الهى مشروط به اعتقاد به امامت است، اين نيز در انبوه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بدان‌كه اماميه اجماع دارند كه صحت و قبولى اعمال، مشروط است به ايمان كه از جمله آن اقرار به ولايت و امامت همه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روايات در اين مورد، ميان خاصه و عامه متواتر است </w:t>
      </w:r>
      <w:r>
        <w:rPr>
          <w:rStyle w:val="FootnoteAnchor"/>
          <w:rtl w:val="true"/>
        </w:rPr>
        <w:footnoteReference w:id="321"/>
      </w:r>
      <w:r>
        <w:rPr>
          <w:rFonts w:ascii="IRNazanin" w:hAnsi="IRNazanin" w:eastAsia="IRNazanin"/>
          <w:color w:val="111111"/>
          <w:sz w:val="28"/>
          <w:sz w:val="28"/>
          <w:szCs w:val="28"/>
          <w:rtl w:val="true"/>
          <w:lang w:bidi="fa-IR"/>
        </w:rPr>
        <w:t>از جمله همان حديث معروف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بميرد و امام زمان خود را نشناسد، به مرگ جاهلى مرده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بنده‌اى مقابل خداوند قرار گيرد نخستين پرسش، از نمازهاى واجب، زكات واجب، روزه واجب، حج واجب و از ولايت ما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ولايت ما معترف باشد و با ولايت مرده باشد، نماز، روزه، زكات و حج او قبول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مقابل خداوند جل‌جلاله به ولايت ما اقرار نكند، خداوند عزوجل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يك از كارهاى او را نمى‌پذيرد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پيامبر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آن كه جان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بنده‌اى روز قيامت، عمل هفتاد پيامبر را بياورد، خداوند از او نخواهد پذيرفت تا آنكه خدا را با ولايت من و ولايت اهل من ملاقات كند</w:t>
      </w:r>
      <w:r>
        <w:rPr>
          <w:rFonts w:eastAsia="IRNazanin" w:cs="IRNazanin"/>
          <w:color w:val="111111"/>
          <w:sz w:val="28"/>
          <w:szCs w:val="28"/>
          <w:rtl w:val="true"/>
          <w:lang w:bidi="fa-IR"/>
        </w:rPr>
        <w:t xml:space="preserve">» .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همسايه‌اى دارم كه از خواب برنمى‌خيزم مگر با صداى او؛ يا مشغول خواندن قرآن است كه مى‌خواند و مى‌گريد يا 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حالات مخفى و آشكار او تحقيق كردم، گفتند از همه حرام‌ها اجتناب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اعتقاد شما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داناتر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وطن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كردم معلوم شد كه شيعه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كه نزد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درباره همان مرد پرسيدم، حضرت مثل سال قبل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اعتقاد شما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مكان از همه مكان‌ها احترامش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خدا و پسر رسول خدا داناترند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ميان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گلستانى از گلستان‌هاى بهشت است و ميان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گلستانى از گلستان‌هاى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به بنده‌اى چنان عمر طولانى دهد كه هزار سال ميان ركن و مقام و ميان قبر و منبر، خدا را عبادت كند </w:t>
      </w:r>
    </w:p>
    <w:p>
      <w:pPr>
        <w:pStyle w:val="BookText"/>
        <w:rPr/>
      </w:pPr>
      <w:r>
        <w:rPr>
          <w:rFonts w:ascii="IRNazanin" w:hAnsi="IRNazanin" w:eastAsia="IRNazanin"/>
          <w:color w:val="111111"/>
          <w:sz w:val="28"/>
          <w:sz w:val="28"/>
          <w:szCs w:val="28"/>
          <w:rtl w:val="true"/>
          <w:lang w:bidi="fa-IR"/>
        </w:rPr>
        <w:t>سپس در بسترش مظلومانه سر بريده شود؛ همچنان‌كه گوسفند فربه را ذبح مى‌كنند، ولى خداوند عزوجل را بدون ولايت ما ملاقات كند، بر خداوند عزوجل حق است كه او را با بينى در آتش افكند</w:t>
      </w:r>
      <w:r>
        <w:rPr>
          <w:rFonts w:eastAsia="IRNazanin" w:cs="IRNazanin"/>
          <w:color w:val="111111"/>
          <w:sz w:val="28"/>
          <w:szCs w:val="28"/>
          <w:rtl w:val="true"/>
          <w:lang w:bidi="fa-IR"/>
        </w:rPr>
        <w:t xml:space="preserve">» . </w:t>
      </w:r>
      <w:r>
        <w:rPr>
          <w:rStyle w:val="FootnoteAnchor"/>
          <w:rtl w:val="true"/>
        </w:rPr>
        <w:footnoteReference w:id="324"/>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در ذيل كلام آن عالم آمده است كه امامت از امور اجتماعى و متغيرات است كه مى‌توان آن را ضعيف قرار داد يا صحيح شمرد، كلام مبهمى است؛ زيرا اگر مقصود آن است كه امامت، شرط اسلام در احكام دنيوى نيست، كلام صحيحى است؛ همچنان‌كه گذشت و اگر مقصود آن است كه امامت شرط اسلام نجات‌بخش نيست يا ادله آن ضعيف است، كلام باطلى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امامت از مباحث نظرى است، مثل مباحث توحيد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عنوان متغير در آن نتيجه‌اى ندارد</w:t>
      </w:r>
      <w:r>
        <w:rPr>
          <w:rFonts w:eastAsia="IRNazanin" w:cs="IRNazanin"/>
          <w:color w:val="111111"/>
          <w:sz w:val="28"/>
          <w:szCs w:val="28"/>
          <w:rtl w:val="true"/>
          <w:lang w:bidi="fa-IR"/>
        </w:rPr>
        <w:t xml:space="preserve">. </w:t>
      </w:r>
      <w:bookmarkStart w:id="572" w:name="pg1971_8578"/>
    </w:p>
    <w:p>
      <w:pPr>
        <w:pStyle w:val="Heading2"/>
        <w:numPr>
          <w:ilvl w:val="1"/>
          <w:numId w:val="1"/>
        </w:numPr>
        <w:rPr/>
      </w:pPr>
      <w:bookmarkStart w:id="573" w:name="__RefHeading___Toc3696795_3650668749"/>
      <w:bookmarkStart w:id="574" w:name="_Toc224"/>
      <w:bookmarkEnd w:id="572"/>
      <w:bookmarkEnd w:id="573"/>
      <w:r>
        <w:rPr/>
        <w:t>۴۵</w:t>
      </w:r>
      <w:r>
        <w:rPr>
          <w:rtl w:val="true"/>
        </w:rPr>
        <w:t xml:space="preserve"> پيامبر اكرم </w:t>
      </w:r>
      <w:r>
        <w:rPr>
          <w:rtl w:val="true"/>
        </w:rPr>
        <w:t>(</w:t>
      </w:r>
      <w:r>
        <w:rPr>
          <w:rtl w:val="true"/>
        </w:rPr>
        <w:t>ص</w:t>
      </w:r>
      <w:r>
        <w:rPr>
          <w:rtl w:val="true"/>
        </w:rPr>
        <w:t xml:space="preserve">) </w:t>
      </w:r>
      <w:r>
        <w:rPr>
          <w:rtl w:val="true"/>
        </w:rPr>
        <w:t>و علم غيب</w:t>
      </w:r>
      <w:bookmarkEnd w:id="574"/>
    </w:p>
    <w:p>
      <w:pPr>
        <w:pStyle w:val="Heading3"/>
        <w:numPr>
          <w:ilvl w:val="2"/>
          <w:numId w:val="1"/>
        </w:numPr>
        <w:rPr/>
      </w:pPr>
      <w:bookmarkStart w:id="575" w:name="__RefHeading___Toc3696797_3650668749"/>
      <w:bookmarkStart w:id="576" w:name="_Toc225"/>
      <w:bookmarkEnd w:id="575"/>
      <w:r>
        <w:rPr>
          <w:rtl w:val="true"/>
        </w:rPr>
        <w:t>اشاره</w:t>
      </w:r>
      <w:bookmarkEnd w:id="576"/>
    </w:p>
    <w:p>
      <w:pPr>
        <w:pStyle w:val="BookText"/>
        <w:rPr/>
      </w:pP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 xml:space="preserve"> از قول آن عالم معاصر نقل مى‌كند كه آيه مباركه </w:t>
      </w:r>
      <w:r>
        <w:rPr>
          <w:rFonts w:ascii="IRNazanin" w:hAnsi="IRNazanin" w:eastAsia="IRNazanin"/>
          <w:color w:val="111111"/>
          <w:sz w:val="28"/>
          <w:sz w:val="28"/>
          <w:szCs w:val="28"/>
          <w:lang w:bidi="fa-IR"/>
        </w:rPr>
        <w:t>۵٠</w:t>
      </w:r>
      <w:r>
        <w:rPr>
          <w:rFonts w:ascii="IRNazanin" w:hAnsi="IRNazanin" w:eastAsia="IRNazanin"/>
          <w:color w:val="111111"/>
          <w:sz w:val="28"/>
          <w:sz w:val="28"/>
          <w:szCs w:val="28"/>
          <w:rtl w:val="true"/>
          <w:lang w:bidi="fa-IR"/>
        </w:rPr>
        <w:t xml:space="preserve"> سوره انعام به وضوح دلالت مى‌كند كه پيامبر علم غيب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أَقُولُ لَكُمْ عِنْدِى خَزائِنُ اللَّهِ وَ لا أَعْلَمُ الْغَيْبَ وَ لَا أَقُولُ لَكُمْ إِنِّى مَلَكٌ إِنْ أَتَّبِعُ إِلَّا ما يُوحى إِلَىَّ قُلْ هَلْ يَسْتَوِى الْأَعْمى وَ الْبَصِيرُ أَفَلا تَتَفَكَّرُونَ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نمى‌گويم گنجينه‌هاى الهى نزد من است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آنچه خدا به من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غيب آگاه نيستم و به شما نمى‌گويم من فرشته‌ام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آنچه به من وحى مى‌شود پيروى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نابينا و بينا مساويند؟ پس چرا نمى‌انديشيد؟</w:t>
      </w:r>
    </w:p>
    <w:p>
      <w:pPr>
        <w:pStyle w:val="BookText"/>
        <w:rPr/>
      </w:pPr>
      <w:r>
        <w:rPr>
          <w:rFonts w:ascii="IRNazanin" w:hAnsi="IRNazanin" w:eastAsia="IRNazanin"/>
          <w:color w:val="111111"/>
          <w:sz w:val="28"/>
          <w:sz w:val="28"/>
          <w:szCs w:val="28"/>
          <w:rtl w:val="true"/>
          <w:lang w:bidi="fa-IR"/>
        </w:rPr>
        <w:t xml:space="preserve">بنابراين خداوند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نخواسته است كه راز دل مردم را بگويد يا از رخدادهاى آينده آنها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تصور بسيارى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يك كاهن داناى به غيب تشبيه مى‌كنند</w:t>
      </w:r>
      <w:r>
        <w:rPr>
          <w:rFonts w:eastAsia="IRNazanin" w:cs="IRNazanin"/>
          <w:color w:val="111111"/>
          <w:sz w:val="28"/>
          <w:szCs w:val="28"/>
          <w:rtl w:val="true"/>
          <w:lang w:bidi="fa-IR"/>
        </w:rPr>
        <w:t>.</w:t>
      </w:r>
    </w:p>
    <w:p>
      <w:pPr>
        <w:pStyle w:val="Heading3"/>
        <w:numPr>
          <w:ilvl w:val="2"/>
          <w:numId w:val="1"/>
        </w:numPr>
        <w:rPr/>
      </w:pPr>
      <w:bookmarkStart w:id="577" w:name="__RefHeading___Toc3696799_3650668749"/>
      <w:bookmarkStart w:id="578" w:name="_Toc226"/>
      <w:bookmarkEnd w:id="577"/>
      <w:r>
        <w:rPr>
          <w:rtl w:val="true"/>
        </w:rPr>
        <w:t>پاسخ</w:t>
      </w:r>
      <w:bookmarkEnd w:id="57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نيز چيزى جز مفاد آن آيه نمى‌گوييم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مى‌گوييم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خدا در اختيارش قرار دهد چيزى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فرشته نيست و فقط </w:t>
      </w:r>
    </w:p>
    <w:p>
      <w:pPr>
        <w:pStyle w:val="BookText"/>
        <w:rPr/>
      </w:pPr>
      <w:r>
        <w:rPr>
          <w:rFonts w:ascii="IRNazanin" w:hAnsi="IRNazanin" w:eastAsia="IRNazanin"/>
          <w:color w:val="111111"/>
          <w:sz w:val="28"/>
          <w:sz w:val="28"/>
          <w:szCs w:val="28"/>
          <w:rtl w:val="true"/>
          <w:lang w:bidi="fa-IR"/>
        </w:rPr>
        <w:t>پيرو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اين است كه آيا خداوند هيچ يك از مسائل غيبى را به پيامبر ياد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آيه مى‌گويد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امرى از امور غيب را نمى‌داند پس اين‌همه آيات چيست كه از كارهاى مخفى منافقان پرده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آگاهى پيامبر از غيب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يَحْذَرُ الْمُنافِقُونَ أَنْ تُنَزَّلَ عَلَيْهِمْ سُورَةٌ تُنَبِّئُهُمْ بِما فِي قُلُوبِهِمْ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منافقان از آن بيم دارند كه سوره‌اى بر ضد آنان نازل گردد و به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قلبشان خبر دهد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صريح اين آيه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مِنْ رَسُولٍ فَإِنَّهُ يَسْلُكُ مِنْ بَيْنِ يَدَيْهِ وَ مِنْ خَلْفِهِ رَصَداً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٢۶</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داناى غيب اوست و هيچ‌كس را بر اسرار غيبش آگاه نمى‌سازد، مگر پيامبرانى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برگزيده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راضى است و مراقبينى از پيش رو و پشت سر براى آنها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 وَ ما كانَ اللَّهُ لِيُطْلِعَكُمْ عَلَى الْغَيْبِ وَ لكِنَّ اللَّهَ يَجْتَبِى مِنْ رُسُلِهِ مَنْ يَشاءُ فَآمِنُوا بِاللَّهِ وَ رُسُلِهِ وَ إِنْ تُؤْمِنُوا وَ تَتَّقُوا فَلَكُمْ أَجْرٌ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نبود كه خداوند مؤمنان را به همين‌گونه كه شما هستيد </w:t>
      </w:r>
    </w:p>
    <w:p>
      <w:pPr>
        <w:pStyle w:val="BookText"/>
        <w:rPr/>
      </w:pPr>
      <w:r>
        <w:rPr>
          <w:rFonts w:ascii="IRNazanin" w:hAnsi="IRNazanin" w:eastAsia="IRNazanin"/>
          <w:color w:val="111111"/>
          <w:sz w:val="28"/>
          <w:sz w:val="28"/>
          <w:szCs w:val="28"/>
          <w:rtl w:val="true"/>
          <w:lang w:bidi="fa-IR"/>
        </w:rPr>
        <w:t>واگذارد، مگر آنكه ناپاك را از پاك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نبود كه خداوند شما را از اسرار غيب، آگاه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مؤمنان و منافقان را از اين راه بشناسيد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خداوند از ميان پيامبران خود هر كس را بخواهد برمى‌گزيند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رهبرى مردم از غيب آگاهش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و پيامبران او ايمان بياوريد و اگر ايمان بياوريد و تقوا پيشه كنيد، پاداش بزرگى براى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رواياتى كه در كتاب‌هاى معتبر شيعه و اهل سنت از اخبار غيبى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با اين آيات منافات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آيه مباركه نمى‌فرمايد كه پيامبر فقط تابع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وحى بر تعليم غيب باشد چرا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نداند؟ مگر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كه برخى از اصحاب من در قيامت مى‌آيند و آنها را به طرف جهنم مى‌برند و من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اصحاب منند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خطاب مى‌رسد تو نمى‌دانى بعد از تو چه كردند؟ اينها بعد از تو مرتد شدند و به عقب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صحيح بخارى، صحيح مسلم و ديگر كتب با سندهاى متعدد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علم غيب نيست؟</w:t>
      </w:r>
    </w:p>
    <w:p>
      <w:pPr>
        <w:pStyle w:val="BookText"/>
        <w:rPr/>
      </w:pPr>
      <w:r>
        <w:rPr>
          <w:rFonts w:ascii="IRNazanin" w:hAnsi="IRNazanin" w:eastAsia="IRNazanin"/>
          <w:color w:val="111111"/>
          <w:sz w:val="28"/>
          <w:sz w:val="28"/>
          <w:szCs w:val="28"/>
          <w:rtl w:val="true"/>
          <w:lang w:bidi="fa-IR"/>
        </w:rPr>
        <w:t xml:space="preserve">اگر بخواهيم اخبار غيبى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كتب اهل سنت ذكر كنيم، خود كتاب مفصلى مى‌شود تا چه رسد به احاديث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اگر كسى ادعا 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وحى الهى علم غيب داشته است، اين آيه آن ادعا را نفى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ما اين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مقدارى كه خداوند به ايشان و خاندانش آگاهى داده است از علوم غيب آگاهند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يكى از معجزات ايشان آگاهى از غيب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از قول ايشان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أُنَبِّئُكُمْ بِما تَأْكُلُونَ وَ ما تَدَّخِرُونَ فِى بُيُوتِكُمْ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 شما خبر مى‌دهم از آنچه مى‌خوريد و آنچه را در خانه‌هاى خود ذخيره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به نقل از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حذيفه بن 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داناترين مردم به فتنه‌هايى هستم كه از اين زمان تا روز قيامت رخ مى‌دهد</w:t>
      </w:r>
      <w:r>
        <w:rPr>
          <w:rFonts w:eastAsia="IRNazanin" w:cs="IRNazanin"/>
          <w:color w:val="111111"/>
          <w:sz w:val="28"/>
          <w:szCs w:val="28"/>
          <w:rtl w:val="true"/>
          <w:lang w:bidi="fa-IR"/>
        </w:rPr>
        <w:t xml:space="preserve">» . </w:t>
      </w:r>
      <w:r>
        <w:rPr>
          <w:rStyle w:val="FootnoteAnchor"/>
          <w:rtl w:val="true"/>
        </w:rPr>
        <w:footnoteReference w:id="325"/>
      </w:r>
      <w:r>
        <w:rPr>
          <w:rFonts w:ascii="IRNazanin" w:hAnsi="IRNazanin" w:eastAsia="IRNazanin"/>
          <w:color w:val="111111"/>
          <w:sz w:val="28"/>
          <w:sz w:val="28"/>
          <w:szCs w:val="28"/>
          <w:rtl w:val="true"/>
          <w:lang w:bidi="fa-IR"/>
        </w:rPr>
        <w:t xml:space="preserve">پس چگونه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علوم بى‌بهره‌اند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ذيل كلام نويسنده آمده است كه خداوند از پيامبر نخواسته است راز دل مردم را بگويد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مغالطه‌اى بيش نيست و كسى هم مدعى آن نيست و ربطى هم به علم غيب ندارد</w:t>
      </w:r>
      <w:r>
        <w:rPr>
          <w:rFonts w:eastAsia="IRNazanin" w:cs="IRNazanin"/>
          <w:color w:val="111111"/>
          <w:sz w:val="28"/>
          <w:szCs w:val="28"/>
          <w:rtl w:val="true"/>
          <w:lang w:bidi="fa-IR"/>
        </w:rPr>
        <w:t xml:space="preserve">. </w:t>
      </w:r>
      <w:bookmarkStart w:id="579" w:name="pg1971_8582"/>
    </w:p>
    <w:p>
      <w:pPr>
        <w:pStyle w:val="Heading2"/>
        <w:numPr>
          <w:ilvl w:val="1"/>
          <w:numId w:val="1"/>
        </w:numPr>
        <w:rPr/>
      </w:pPr>
      <w:bookmarkStart w:id="580" w:name="__RefHeading___Toc3696801_3650668749"/>
      <w:bookmarkStart w:id="581" w:name="_Toc227"/>
      <w:bookmarkEnd w:id="579"/>
      <w:bookmarkEnd w:id="580"/>
      <w:r>
        <w:rPr/>
        <w:t>۴۶</w:t>
      </w:r>
      <w:r>
        <w:rPr>
          <w:rtl w:val="true"/>
        </w:rPr>
        <w:t xml:space="preserve"> كدام دليل كدام فطرت؟ كدام اخلاق؟</w:t>
      </w:r>
      <w:bookmarkEnd w:id="581"/>
    </w:p>
    <w:p>
      <w:pPr>
        <w:pStyle w:val="Heading3"/>
        <w:numPr>
          <w:ilvl w:val="2"/>
          <w:numId w:val="1"/>
        </w:numPr>
        <w:rPr/>
      </w:pPr>
      <w:bookmarkStart w:id="582" w:name="__RefHeading___Toc3696803_3650668749"/>
      <w:bookmarkStart w:id="583" w:name="_Toc228"/>
      <w:bookmarkEnd w:id="582"/>
      <w:r>
        <w:rPr>
          <w:rtl w:val="true"/>
        </w:rPr>
        <w:t>اشاره</w:t>
      </w:r>
      <w:bookmarkEnd w:id="583"/>
    </w:p>
    <w:p>
      <w:pPr>
        <w:pStyle w:val="BookText"/>
        <w:rPr/>
      </w:pP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۶٩</w:t>
      </w:r>
      <w:r>
        <w:rPr>
          <w:rFonts w:ascii="IRNazanin" w:hAnsi="IRNazanin" w:eastAsia="IRNazanin"/>
          <w:color w:val="111111"/>
          <w:sz w:val="28"/>
          <w:sz w:val="28"/>
          <w:szCs w:val="28"/>
          <w:rtl w:val="true"/>
          <w:lang w:bidi="fa-IR"/>
        </w:rPr>
        <w:t xml:space="preserve"> مى‌گويد كه براى آنچه تاكنون بيان شد و حقايق ديگرى كه فرصت ذكر آن نيست بايد از حق پيروى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فكر كردم كه اگر عقيده‌اى را بپذيرم كه دلايل، فطرت و اخلاق آن را تأييد مى‌كند چه ضررى مى‌كنم و چه چيزى را از دست مى‌دهم؟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انتخاب كردم، و ضررى نكردم بلكه سود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صحابه را به دست آوردم و اهل بيت را هم از دست ندادم</w:t>
      </w:r>
      <w:r>
        <w:rPr>
          <w:rFonts w:eastAsia="IRNazanin" w:cs="IRNazanin"/>
          <w:color w:val="111111"/>
          <w:sz w:val="28"/>
          <w:szCs w:val="28"/>
          <w:rtl w:val="true"/>
          <w:lang w:bidi="fa-IR"/>
        </w:rPr>
        <w:t>.</w:t>
      </w:r>
    </w:p>
    <w:p>
      <w:pPr>
        <w:pStyle w:val="Heading3"/>
        <w:numPr>
          <w:ilvl w:val="2"/>
          <w:numId w:val="1"/>
        </w:numPr>
        <w:rPr/>
      </w:pPr>
      <w:bookmarkStart w:id="584" w:name="__RefHeading___Toc3696805_3650668749"/>
      <w:bookmarkStart w:id="585" w:name="_Toc229"/>
      <w:bookmarkEnd w:id="584"/>
      <w:r>
        <w:rPr>
          <w:rtl w:val="true"/>
        </w:rPr>
        <w:t>پاسخ</w:t>
      </w:r>
      <w:bookmarkEnd w:id="58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نمى‌دانم آنچه تاكنون ذكر شد چه ارتباطى با بطلان مذهب شيعه و صحت عقائد اهل سنت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يك‌بار به اعتراضات خود مراجعه كند تا ببيند كدام مسئله، دليل بطلان مكتب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اختلاف مذهب شيعه و اهل سنت بر محور مسئله خلافت و عدل است و بقيه مسائل از امور فرعى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نذر براى غير خدا، ناسزا به صحابه، ازدواج موقت، عزادارى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لباس سياه پوشيدن، ناآگاهى بسيارى از شيعيان در دوران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ائمه دوازده‌گانه يا امام بعدى، وجود چند روايت ضعيف در امورى، مثل جريان يزدگرد يا </w:t>
      </w:r>
    </w:p>
    <w:p>
      <w:pPr>
        <w:pStyle w:val="BookText"/>
        <w:rPr/>
      </w:pPr>
      <w:r>
        <w:rPr>
          <w:rFonts w:ascii="IRNazanin" w:hAnsi="IRNazanin" w:eastAsia="IRNazanin"/>
          <w:color w:val="111111"/>
          <w:sz w:val="28"/>
          <w:sz w:val="28"/>
          <w:szCs w:val="28"/>
          <w:rtl w:val="true"/>
          <w:lang w:bidi="fa-IR"/>
        </w:rPr>
        <w:t xml:space="preserve">خسرو مجوس يا كيفيت ولادت ائمه اطهار يا شبهه آوردن كتاب جديد يا حكم جديد ارث، برخى مخالفت‌هاى عالم معاصر در مسئله مظلوميت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علم غيب و فرعى بودن مسئله امامت در نظر او دليل بطلان مكتب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پيرو آن عالم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شدت از او دفاع مى‌كنيد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نشديد تا با حفظ مذهب تشيع خود، مسائل فرعى را تعديل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به آن‌همه روايات كه درباره خلافت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توجه نمى‌كنيد تا مسئله امامت را حل كنيد كه اساس دين است بعد به مباحت فرعى بپردازيد؟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كدام دلايل، مذهب اهل سنت را اثبات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چيزى نگفته‌ايد و فقط به حواشى پرداخته‌ايد؟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اخلاق، كدام فطرت و كدام صحابه؟</w:t>
      </w:r>
    </w:p>
    <w:p>
      <w:pPr>
        <w:pStyle w:val="BookText"/>
        <w:rPr/>
      </w:pPr>
      <w:r>
        <w:rPr>
          <w:rFonts w:ascii="IRNazanin" w:hAnsi="IRNazanin" w:eastAsia="IRNazanin"/>
          <w:color w:val="111111"/>
          <w:sz w:val="28"/>
          <w:sz w:val="28"/>
          <w:szCs w:val="28"/>
          <w:rtl w:val="true"/>
          <w:lang w:bidi="fa-IR"/>
        </w:rPr>
        <w:t xml:space="preserve">آيا تبرئه خالد بن وليد با وجود آن‌همه قتل و جنايت و زناى محصنه، مطابق فطرت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دست آوردن او افتخار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دست آوردن معاوية بن ابى‌سفيان كه آن‌همه قتل و جنايت و فساد در اسلام به‌پا كرد، افتخار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دفاع از كسانى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جسارت كردند و او را به هذيان گفتن نسبت دادند، افتخار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دفاع از كسانى‌كه به خاندان وحى حمله كردند افتخار است؟ آيا دفاع از امثال ابوسفيان، حكم، مروان، عمرو بن عاص و بسر بن ارطاة كه از منافقان و جنايتكاران بودند، افتخار و مطابق عقل و فطرت است؟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دفاع از آنها كه مورد لعن پيامبر قرار گرفتند، پيامبر را اذيت كردند، براى ترور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تبوك اقدام كردند و آنهايى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bookmarkStart w:id="586" w:name="pg1971_8584"/>
    </w:p>
    <w:p>
      <w:pPr>
        <w:pStyle w:val="BookText"/>
        <w:rPr/>
      </w:pPr>
      <w:bookmarkEnd w:id="586"/>
      <w:r>
        <w:rPr>
          <w:rFonts w:ascii="IRNazanin" w:hAnsi="IRNazanin" w:eastAsia="IRNazanin"/>
          <w:color w:val="111111"/>
          <w:sz w:val="28"/>
          <w:sz w:val="28"/>
          <w:szCs w:val="28"/>
          <w:rtl w:val="true"/>
          <w:lang w:bidi="fa-IR"/>
        </w:rPr>
        <w:t xml:space="preserve">از ارتداد و جهنمى شدن‌شان را داده است، مطابق عقل و فطرت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اعتقاد به جبر، تبرئه جنايتكاران و گنه‌كاران و منسوب كردن ظلم و جهل به خداوند، آن‌گونه كه مذهب اشعرى مى‌گويد، مطابق دليل و فطرت است؟ آيا دفاع از مذهب ابن‌تيميه و وهابيان كه مسلمانان را تكفير مى‌كنند و خون و مال و نواميس آنها را حلال مى‌شمارند و همت خود را در كشتن آنها قرار مى‌دهند و با كفر جهانى و صهيونيست عليه مسلمانان هماهنگ شده‌اند، افتخار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ملتزم‌شدن به مذهبى كه بزرگان آن، از سويى يكديگر را تا حد تكفير مذمت مى‌كنند و از سوى ديگر در مباحث كلامى، صحابه را عادل مى‌پندارند هرچند شراب خورده و زنا كرده باشند مطابق فطرت و عقل است؟ </w:t>
      </w:r>
      <w:r>
        <w:rPr>
          <w:rFonts w:eastAsia="IRNazanin" w:cs="IRNazanin"/>
          <w:color w:val="111111"/>
          <w:sz w:val="28"/>
          <w:szCs w:val="28"/>
          <w:rtl w:val="true"/>
          <w:lang w:bidi="fa-IR"/>
        </w:rPr>
        <w:t>!</w:t>
      </w:r>
    </w:p>
    <w:p>
      <w:pPr>
        <w:pStyle w:val="Heading3"/>
        <w:numPr>
          <w:ilvl w:val="2"/>
          <w:numId w:val="1"/>
        </w:numPr>
        <w:rPr/>
      </w:pPr>
      <w:bookmarkStart w:id="587" w:name="__RefHeading___Toc3696807_3650668749"/>
      <w:bookmarkStart w:id="588" w:name="_Toc230"/>
      <w:bookmarkEnd w:id="587"/>
      <w:r>
        <w:rPr>
          <w:rtl w:val="true"/>
        </w:rPr>
        <w:t xml:space="preserve">اقرار به ولايت اهل‌بيت </w:t>
      </w:r>
      <w:r>
        <w:rPr>
          <w:rtl w:val="true"/>
        </w:rPr>
        <w:t>(</w:t>
      </w:r>
      <w:r>
        <w:rPr>
          <w:rtl w:val="true"/>
        </w:rPr>
        <w:t>عليهم‌السلام</w:t>
      </w:r>
      <w:r>
        <w:rPr>
          <w:rtl w:val="true"/>
        </w:rPr>
        <w:t xml:space="preserve">) </w:t>
      </w:r>
      <w:r>
        <w:rPr>
          <w:rtl w:val="true"/>
        </w:rPr>
        <w:t>، شرط پذيرش توبه</w:t>
      </w:r>
      <w:bookmarkEnd w:id="588"/>
    </w:p>
    <w:p>
      <w:pPr>
        <w:pStyle w:val="BookText"/>
        <w:rPr/>
      </w:pPr>
      <w:r>
        <w:rPr>
          <w:rFonts w:ascii="IRNazanin" w:hAnsi="IRNazanin" w:eastAsia="IRNazanin"/>
          <w:color w:val="111111"/>
          <w:sz w:val="28"/>
          <w:sz w:val="28"/>
          <w:szCs w:val="28"/>
          <w:rtl w:val="true"/>
          <w:lang w:bidi="fa-IR"/>
        </w:rPr>
        <w:t xml:space="preserve">خداوند توبه‌كنندگان را مى‌پذيرد و اميد است اگر نويسنده در گفتار و نيّت خود صادق باشد، نه يك شخصيت خيالى منافق، به زودى با ديدن آن‌همه تناقض‌هاى فكرى و عملى در مذهب مجعول وهابيت، دوباره به آغوش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اسلام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إِنِّى لَغَفَّارٌ لِمَنْ تابَ وَ آمَنَ وَ عَمِلَ صالِحاً ثُمَّ اهْتَدى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هر كه را توبه كند و ايمان آورد و عمل صالح انجام دهد سپس هدايت شود، مى‌آمرزم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مناسب مى‌دانم در مورد همين آيه كه نويسنده مذكور نيز آن را بيان </w:t>
      </w:r>
    </w:p>
    <w:p>
      <w:pPr>
        <w:pStyle w:val="BookText"/>
        <w:rPr/>
      </w:pPr>
      <w:r>
        <w:rPr>
          <w:rFonts w:ascii="Amiri" w:hAnsi="Amiri" w:eastAsia="Amiri" w:cs="Amiri"/>
          <w:color w:val="111111"/>
          <w:sz w:val="28"/>
          <w:sz w:val="28"/>
          <w:szCs w:val="28"/>
          <w:rtl w:val="true"/>
          <w:lang w:bidi="ar-SA"/>
        </w:rPr>
        <w:t xml:space="preserve">كرده است، روايتى را از حضرت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كنم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نمى‌بينى چگونه خداوند شرط گذارد كه توبه شخص هرچند با عمل صالح باشد براى او فايده ندارد تا اينكه هدايت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او قبول نمى‌شود تا هدايت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 كه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چه كسى هدايت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ما</w:t>
      </w:r>
      <w:r>
        <w:rPr>
          <w:rFonts w:eastAsia="IRNazanin" w:cs="IRNazanin"/>
          <w:color w:val="111111"/>
          <w:sz w:val="28"/>
          <w:szCs w:val="28"/>
          <w:rtl w:val="true"/>
          <w:lang w:bidi="fa-IR"/>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هدايت، شناخت ائمه است، امامى بعد از امامى</w:t>
      </w:r>
      <w:r>
        <w:rPr>
          <w:rFonts w:eastAsia="IRNazanin" w:cs="IRNazanin"/>
          <w:color w:val="111111"/>
          <w:sz w:val="28"/>
          <w:szCs w:val="28"/>
          <w:rtl w:val="true"/>
          <w:lang w:bidi="fa-IR"/>
        </w:rPr>
        <w:t xml:space="preserve">» . </w:t>
      </w:r>
      <w:r>
        <w:rPr>
          <w:rStyle w:val="FootnoteAnchor"/>
          <w:rtl w:val="true"/>
        </w:rPr>
        <w:footnoteReference w:id="326"/>
      </w:r>
      <w:bookmarkStart w:id="589" w:name="pg1971_8586"/>
    </w:p>
    <w:p>
      <w:pPr>
        <w:pStyle w:val="Heading2"/>
        <w:numPr>
          <w:ilvl w:val="1"/>
          <w:numId w:val="1"/>
        </w:numPr>
        <w:rPr/>
      </w:pPr>
      <w:bookmarkStart w:id="590" w:name="__RefHeading___Toc3696809_3650668749"/>
      <w:bookmarkStart w:id="591" w:name="_Toc231"/>
      <w:bookmarkEnd w:id="589"/>
      <w:bookmarkEnd w:id="590"/>
      <w:r>
        <w:rPr/>
        <w:t>۴٧</w:t>
      </w:r>
      <w:r>
        <w:rPr>
          <w:rtl w:val="true"/>
        </w:rPr>
        <w:t xml:space="preserve"> جريان </w:t>
      </w:r>
      <w:r>
        <w:rPr>
          <w:rtl w:val="true"/>
        </w:rPr>
        <w:t>«</w:t>
      </w:r>
      <w:r>
        <w:rPr>
          <w:rtl w:val="true"/>
        </w:rPr>
        <w:t>صلاح كاظمى</w:t>
      </w:r>
      <w:r>
        <w:rPr>
          <w:rtl w:val="true"/>
        </w:rPr>
        <w:t>»</w:t>
      </w:r>
      <w:bookmarkEnd w:id="591"/>
    </w:p>
    <w:p>
      <w:pPr>
        <w:pStyle w:val="Heading3"/>
        <w:numPr>
          <w:ilvl w:val="2"/>
          <w:numId w:val="1"/>
        </w:numPr>
        <w:rPr/>
      </w:pPr>
      <w:bookmarkStart w:id="592" w:name="__RefHeading___Toc3696811_3650668749"/>
      <w:bookmarkStart w:id="593" w:name="_Toc232"/>
      <w:bookmarkEnd w:id="592"/>
      <w:r>
        <w:rPr>
          <w:rtl w:val="true"/>
        </w:rPr>
        <w:t>اشاره</w:t>
      </w:r>
      <w:bookmarkEnd w:id="593"/>
    </w:p>
    <w:p>
      <w:pPr>
        <w:pStyle w:val="BookText"/>
        <w:rPr/>
      </w:pP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xml:space="preserve"> جريان فردى به نام صلاح كاظمى را مطرح مى‌كند كه وى دلهره مرگ داشته و اختلال روحى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اهل سنت با شنيدن قرائت قرآن امام مسجد، احساس آرامش مى‌كند و متوجه مى‌شود كه اهل سنت خيلى به قرآن نزديك‌ترند و آن را معتبر مى‌دانند، خدا و حرمات او را تعظيم مى‌كنند و نماز را سر وقت با جماعت مى‌خوانند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اما در سخنرانى‌هاى شيعه، اهل بيت را تعظيم مى‌كنند، ولى به قرآن اعتنايى نمى‌شود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سرانجام، صلاح كاظمى شيفته آن مسجد و تلاوت قرآن اهل سنت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شيعه او هر چه خواستند او را منصرف كنند قبول نكرد و با آنها مباحثه كرد تا اينكه سخن از تحريف قرآن به ميان آمد و او گفت كه شيعه به قرآن و علوم آن اهميت نمى‌دهد و براى آنها ثابت كرد كه آنان اصحاب را متهم مى‌كنند كه قرآن را تحريف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پاورقى صفحه </w:t>
      </w:r>
      <w:r>
        <w:rPr>
          <w:rFonts w:ascii="IRNazanin" w:hAnsi="IRNazanin" w:eastAsia="IRNazanin"/>
          <w:color w:val="111111"/>
          <w:sz w:val="28"/>
          <w:sz w:val="28"/>
          <w:szCs w:val="28"/>
          <w:lang w:bidi="fa-IR"/>
        </w:rPr>
        <w:t>٧٣</w:t>
      </w:r>
      <w:r>
        <w:rPr>
          <w:rFonts w:ascii="IRNazanin" w:hAnsi="IRNazanin" w:eastAsia="IRNazanin"/>
          <w:color w:val="111111"/>
          <w:sz w:val="28"/>
          <w:sz w:val="28"/>
          <w:szCs w:val="28"/>
          <w:rtl w:val="true"/>
          <w:lang w:bidi="fa-IR"/>
        </w:rPr>
        <w:t xml:space="preserve"> به نقل حديثى از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مى‌پردازد كه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موثق و معتبر است و در بعضى نسخه‌ها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حديث </w:t>
      </w:r>
      <w:bookmarkStart w:id="594" w:name="pg1971_8587"/>
    </w:p>
    <w:p>
      <w:pPr>
        <w:pStyle w:val="BookText"/>
        <w:rPr/>
      </w:pPr>
      <w:bookmarkEnd w:id="594"/>
      <w:r>
        <w:rPr>
          <w:rFonts w:ascii="IRNazanin" w:hAnsi="IRNazanin" w:eastAsia="IRNazanin"/>
          <w:color w:val="111111"/>
          <w:sz w:val="28"/>
          <w:sz w:val="28"/>
          <w:szCs w:val="28"/>
          <w:rtl w:val="true"/>
          <w:lang w:bidi="fa-IR"/>
        </w:rPr>
        <w:t>صحيح است و اين حديث و بسيارى ديگر از احاديث صحيح به صراحت مى‌گويند كه قرآن كم شده و تغيير يافته است</w:t>
      </w:r>
      <w:r>
        <w:rPr>
          <w:rFonts w:eastAsia="IRNazanin" w:cs="IRNazanin"/>
          <w:color w:val="111111"/>
          <w:sz w:val="28"/>
          <w:szCs w:val="28"/>
          <w:rtl w:val="true"/>
          <w:lang w:bidi="fa-IR"/>
        </w:rPr>
        <w:t>.</w:t>
      </w:r>
    </w:p>
    <w:p>
      <w:pPr>
        <w:pStyle w:val="Heading3"/>
        <w:numPr>
          <w:ilvl w:val="2"/>
          <w:numId w:val="1"/>
        </w:numPr>
        <w:rPr/>
      </w:pPr>
      <w:bookmarkStart w:id="595" w:name="__RefHeading___Toc3696813_3650668749"/>
      <w:bookmarkStart w:id="596" w:name="_Toc233"/>
      <w:bookmarkEnd w:id="595"/>
      <w:r>
        <w:rPr>
          <w:rtl w:val="true"/>
        </w:rPr>
        <w:t>پاسخ</w:t>
      </w:r>
      <w:bookmarkEnd w:id="596"/>
    </w:p>
    <w:p>
      <w:pPr>
        <w:pStyle w:val="BookText"/>
        <w:rPr/>
      </w:pPr>
      <w:r>
        <w:rPr>
          <w:rFonts w:ascii="IRNazanin" w:hAnsi="IRNazanin" w:eastAsia="IRNazanin"/>
          <w:color w:val="111111"/>
          <w:sz w:val="28"/>
          <w:sz w:val="28"/>
          <w:szCs w:val="28"/>
          <w:rtl w:val="true"/>
          <w:lang w:bidi="fa-IR"/>
        </w:rPr>
        <w:t>در اين فراز چند نكته به طور نامنظم ذكر شده است</w:t>
      </w:r>
      <w:r>
        <w:rPr>
          <w:rFonts w:eastAsia="IRNazanin" w:cs="IRNazanin"/>
          <w:color w:val="111111"/>
          <w:sz w:val="28"/>
          <w:szCs w:val="28"/>
          <w:rtl w:val="true"/>
          <w:lang w:bidi="fa-IR"/>
        </w:rPr>
        <w:t>:</w:t>
      </w:r>
    </w:p>
    <w:p>
      <w:pPr>
        <w:pStyle w:val="Heading3"/>
        <w:numPr>
          <w:ilvl w:val="2"/>
          <w:numId w:val="1"/>
        </w:numPr>
        <w:rPr/>
      </w:pPr>
      <w:bookmarkStart w:id="597" w:name="__RefHeading___Toc3696815_3650668749"/>
      <w:bookmarkStart w:id="598" w:name="_Toc234"/>
      <w:bookmarkEnd w:id="597"/>
      <w:r>
        <w:rPr>
          <w:rtl w:val="true"/>
        </w:rPr>
        <w:t>الف</w:t>
      </w:r>
      <w:r>
        <w:rPr>
          <w:rtl w:val="true"/>
        </w:rPr>
        <w:t xml:space="preserve">) </w:t>
      </w:r>
      <w:r>
        <w:rPr>
          <w:rtl w:val="true"/>
        </w:rPr>
        <w:t>احساس آرامش از قرائت امام جماعت اهل سنت</w:t>
      </w:r>
      <w:bookmarkEnd w:id="598"/>
    </w:p>
    <w:p>
      <w:pPr>
        <w:pStyle w:val="BookText"/>
        <w:rPr/>
      </w:pPr>
      <w:r>
        <w:rPr>
          <w:rFonts w:ascii="IRNazanin" w:hAnsi="IRNazanin" w:eastAsia="IRNazanin"/>
          <w:color w:val="111111"/>
          <w:sz w:val="28"/>
          <w:sz w:val="28"/>
          <w:szCs w:val="28"/>
          <w:rtl w:val="true"/>
          <w:lang w:bidi="fa-IR"/>
        </w:rPr>
        <w:t>پاسخ اين مسئله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عرب خوش‌لحن اگر قرآن را به زيبايى تلاوت كند براى شنونده آرامش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خاصيت قرآن‌است و ربطى به اعتقاد خواننده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بسيارى از خوارج نهروان از قاريان بزرگ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جنايتكار كم‌نظير تاريخ اسلام ، حافظ قرآن بوده است</w:t>
      </w:r>
      <w:r>
        <w:rPr>
          <w:rFonts w:eastAsia="IRNazanin" w:cs="IRNazanin"/>
          <w:color w:val="111111"/>
          <w:sz w:val="28"/>
          <w:szCs w:val="28"/>
          <w:rtl w:val="true"/>
          <w:lang w:bidi="fa-IR"/>
        </w:rPr>
        <w:t>.</w:t>
      </w:r>
    </w:p>
    <w:p>
      <w:pPr>
        <w:pStyle w:val="Heading3"/>
        <w:numPr>
          <w:ilvl w:val="2"/>
          <w:numId w:val="1"/>
        </w:numPr>
        <w:rPr/>
      </w:pPr>
      <w:bookmarkStart w:id="599" w:name="__RefHeading___Toc3696817_3650668749"/>
      <w:bookmarkStart w:id="600" w:name="_Toc235"/>
      <w:bookmarkEnd w:id="599"/>
      <w:r>
        <w:rPr>
          <w:rtl w:val="true"/>
        </w:rPr>
        <w:t>ب</w:t>
      </w:r>
      <w:r>
        <w:rPr>
          <w:rtl w:val="true"/>
        </w:rPr>
        <w:t xml:space="preserve">) </w:t>
      </w:r>
      <w:r>
        <w:rPr>
          <w:rtl w:val="true"/>
        </w:rPr>
        <w:t>توجه بيشتر اهل سنت به قرآن</w:t>
      </w:r>
      <w:bookmarkEnd w:id="60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مسئله از نظر حفظ ظواهر دينى در مرحله تلاوت، حفظ، كتب تفسير و برخى آداب خاص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بيشتر در محافل دينى، حوزه‌ها و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شايسته است پيروان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مسئله بيشتر اهميت دهند و همچنان‌كه در عمل و عقيده از قرآن بهره‌مى‌گيرند، در حفظ احترام ظاهرى، يعنى در قرائت، حفظ و تفسير نيز نهايت تلاش خود را به كار گيرند؛ اما نه مثل برخى از اهل سنت كه روى زمين مى‌خوابند و قرآن تلاوت مى‌كنند و اين را با احترام قرآن منافى نمى‌بينند؛ ولى گذاردن آن روى زمين يا با دست چپ گرفتن را منافى با احترام مى‌دانند</w:t>
      </w:r>
      <w:r>
        <w:rPr>
          <w:rFonts w:eastAsia="IRNazanin" w:cs="IRNazanin"/>
          <w:color w:val="111111"/>
          <w:sz w:val="28"/>
          <w:szCs w:val="28"/>
          <w:rtl w:val="true"/>
          <w:lang w:bidi="fa-IR"/>
        </w:rPr>
        <w:t xml:space="preserve">! </w:t>
      </w:r>
      <w:bookmarkStart w:id="601" w:name="pg1971_8588"/>
    </w:p>
    <w:p>
      <w:pPr>
        <w:pStyle w:val="BookText"/>
        <w:rPr/>
      </w:pPr>
      <w:bookmarkEnd w:id="601"/>
      <w:r>
        <w:rPr>
          <w:rFonts w:ascii="IRNazanin" w:hAnsi="IRNazanin" w:eastAsia="IRNazanin"/>
          <w:color w:val="111111"/>
          <w:sz w:val="28"/>
          <w:sz w:val="28"/>
          <w:szCs w:val="28"/>
          <w:rtl w:val="true"/>
          <w:lang w:bidi="fa-IR"/>
        </w:rPr>
        <w:t xml:space="preserve">گفتنى است كه اين مسئله ربطى به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تا بهانه‌اى براى انحراف از آن مكتب شود؛ زيرا انبوه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بر تلاوت، حفظ، احترام، تعليم، تعلّم و تفسير و مراجعه علمى و عملى و حتى استشفا به برخى از آيات تأكيد كرده است؛ به گونه‌اى كه اهل تحقيق مى‌دانند كه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نورانى خود در تمام زمينه‌هاى احكام، اخلاق، عقايد، تاريخ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بيشتر از كلام الهى استفاده و به آن تمسك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ضعفى هست در رفتار ماست نه در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نظر علمى وجهى ندارد كسى به علت كوتاهى كردن ما، از آن مكتب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امروز بايد بسيارى به سبب روى‌گردانى مسلمانان از تعاليم آزادى‌بخش اسلام و تن دادن به ذلت وابستگى به كفار و دولت‌هاى آنان، از اسلام برگردند</w:t>
      </w:r>
      <w:r>
        <w:rPr>
          <w:rFonts w:eastAsia="IRNazanin" w:cs="IRNazanin"/>
          <w:color w:val="111111"/>
          <w:sz w:val="28"/>
          <w:szCs w:val="28"/>
          <w:rtl w:val="true"/>
          <w:lang w:bidi="fa-IR"/>
        </w:rPr>
        <w:t>.</w:t>
      </w:r>
    </w:p>
    <w:p>
      <w:pPr>
        <w:pStyle w:val="Heading3"/>
        <w:numPr>
          <w:ilvl w:val="2"/>
          <w:numId w:val="1"/>
        </w:numPr>
        <w:rPr/>
      </w:pPr>
      <w:bookmarkStart w:id="602" w:name="__RefHeading___Toc3696819_3650668749"/>
      <w:bookmarkStart w:id="603" w:name="_Toc236"/>
      <w:bookmarkEnd w:id="602"/>
      <w:r>
        <w:rPr>
          <w:rtl w:val="true"/>
        </w:rPr>
        <w:t>شتاب شيعه در توجه به قرآن بعد از انقلاب اسلامى</w:t>
      </w:r>
      <w:bookmarkEnd w:id="603"/>
    </w:p>
    <w:p>
      <w:pPr>
        <w:pStyle w:val="BookText"/>
        <w:rPr/>
      </w:pPr>
      <w:r>
        <w:rPr>
          <w:rFonts w:ascii="IRNazanin" w:hAnsi="IRNazanin" w:eastAsia="IRNazanin"/>
          <w:color w:val="111111"/>
          <w:sz w:val="28"/>
          <w:sz w:val="28"/>
          <w:szCs w:val="28"/>
          <w:rtl w:val="true"/>
          <w:lang w:bidi="fa-IR"/>
        </w:rPr>
        <w:t>بعد از پيروزى انقلاب شكوهمند اسلامى ايران، توجه شيعيان به قرآن بيشتر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جلسات تلاوت، حفظ و تفسير قرآن در منازل، مساجد، مدارس همچنين گسترش مباحث قرآن در رسانه‌هاى عمومى، تشكيل رشته‌هاى قرآنى متعدد و تعليم و پرورش ده‌ها هزار نفر قارى، حافظ، مفسّر و دانشمند متخصص در علوم قرآنى نشان از اهميت فوق‌العاده جامعه شيعه به اين نكته حياتى دارد؛ همچنان‌كه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آيت‌الله العظمى خامنه‌اى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دامت‌بركاته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 تأكيد كرده‌اند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متأسفانه اهل سنت هرگز نقيصه بزرگ خود را جبران نكرده‌اند و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تمسك به عترت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بارها در حديث ثقلين و احاديث ديگر به آن تأكيد شده است كوتاهى كرده‌اند، حتى بخارى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معاصر با 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ناصبى‌ها حديث اخذ مى‌كرده، حاضر نشده است از طريق ائمه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 امام صادق، امام كاظم، امام رضا، امام جواد، امام هادى و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را هر چند با واسطه اخذ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آنكه برادران اهل سنت نيز در رفع اين نقيصه بزرگ، قدمى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اهل سنت، خدا و حرمات او را تعظيم مى‌كنند، بايد اين چنين باشد و همه مسلمانان، اعم از شيعه و اهل سنت چنين‌اند؛ ولى احترام خداوند متعال فقط به نماز و قرآن نيست، بلكه عمل به تمام دستورات الهى، از جمله اجراى احكام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آن‌همه اذيت و آزار زائران مسلمان در مكه مكرمه و مسجدالحرام و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روزه شاهد آن هستيم، احترام خدا و تعظيم حرمت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كشتار زائران خانه خدا، احترام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وضع ناهنجار در مطبوعات و تلويزيون عربستان، احترام خدا و تعظيم حرمات اوست؟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نماز اوّل وقت نيز مسئله‌اى است كه مسلمانان بايد به آن پاى‌بند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بوده و شيعه نيز به آن ملتزم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مسئله معيار حق و باطل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التزام به شركت در نماز در دو شهر مكه و مدينه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گاهى نيز با اجبار صورت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التزام همه اهل سنت در عربستان و ديگر كشورهاى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عادت كردن به نماز اول وقت، گرچه فضيلت بزرگى </w:t>
      </w:r>
      <w:bookmarkStart w:id="604" w:name="pg1971_8590"/>
    </w:p>
    <w:p>
      <w:pPr>
        <w:pStyle w:val="BookText"/>
        <w:rPr/>
      </w:pPr>
      <w:bookmarkEnd w:id="604"/>
      <w:r>
        <w:rPr>
          <w:rFonts w:ascii="IRNazanin" w:hAnsi="IRNazanin" w:eastAsia="IRNazanin"/>
          <w:color w:val="111111"/>
          <w:sz w:val="28"/>
          <w:sz w:val="28"/>
          <w:szCs w:val="28"/>
          <w:rtl w:val="true"/>
          <w:lang w:bidi="fa-IR"/>
        </w:rPr>
        <w:t>است، نبايد ما را از ديگر واجبات بزرگ الهى، از جمله حكومت اسلامى و دفاع از اسلام و قوانين آن، غافل كند</w:t>
      </w:r>
      <w:r>
        <w:rPr>
          <w:rFonts w:eastAsia="IRNazanin" w:cs="IRNazanin"/>
          <w:color w:val="111111"/>
          <w:sz w:val="28"/>
          <w:szCs w:val="28"/>
          <w:rtl w:val="true"/>
          <w:lang w:bidi="fa-IR"/>
        </w:rPr>
        <w:t>.</w:t>
      </w:r>
    </w:p>
    <w:p>
      <w:pPr>
        <w:pStyle w:val="Heading3"/>
        <w:numPr>
          <w:ilvl w:val="2"/>
          <w:numId w:val="1"/>
        </w:numPr>
        <w:rPr/>
      </w:pPr>
      <w:bookmarkStart w:id="605" w:name="__RefHeading___Toc3696821_3650668749"/>
      <w:bookmarkStart w:id="606" w:name="_Toc237"/>
      <w:bookmarkEnd w:id="605"/>
      <w:r>
        <w:rPr>
          <w:rtl w:val="true"/>
        </w:rPr>
        <w:t>شيعه و تحريف قرآن</w:t>
      </w:r>
      <w:bookmarkEnd w:id="606"/>
    </w:p>
    <w:p>
      <w:pPr>
        <w:pStyle w:val="BookText"/>
        <w:rPr/>
      </w:pPr>
      <w:r>
        <w:rPr>
          <w:rFonts w:ascii="IRNazanin" w:hAnsi="IRNazanin" w:eastAsia="IRNazanin"/>
          <w:color w:val="111111"/>
          <w:sz w:val="28"/>
          <w:sz w:val="28"/>
          <w:szCs w:val="28"/>
          <w:rtl w:val="true"/>
          <w:lang w:bidi="fa-IR"/>
        </w:rPr>
        <w:t xml:space="preserve">اما درباره اتهام تحريف قرآن به شيعه بايد گفت كه اگر مقصود اين است كه برخى از شيعيان قائل به تحريفند، اين چنين اعتقادى مخصوص شيعه نيست؛ زيرا از اهل سنت نيز كسانى به آن معتقد بوده‌اند و حتى اهل سنت آن را به بزرگان صحابه نيز نسبت داده‌اند؛ مثلاً علامه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حشويه از عامه به تحريف قرآن قائلند</w:t>
      </w:r>
      <w:r>
        <w:rPr>
          <w:rFonts w:eastAsia="IRNazanin" w:cs="IRNazanin"/>
          <w:color w:val="111111"/>
          <w:sz w:val="28"/>
          <w:szCs w:val="28"/>
          <w:rtl w:val="true"/>
          <w:lang w:bidi="fa-IR"/>
        </w:rPr>
        <w:t xml:space="preserve">» .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گفتنى است مفهوم كلام بيشتر علماى اهل سنت كه نسخ در تلاوت را جايز شمرده‌اند، وقوع تحريف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مقصود اين است كه مشهور شيعه قائل به تحريفند، اين افترايى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شيعه همواره بر تحريف نشدن قرآن تأكيد كرده‌اند و درباره آن كتاب‌هاى بسيارى نوشته‌اند؛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صيانة القرآن من 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فى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محقق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اعتقاديه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شرف الدين 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شاهد اين مسئله،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على بن اسماعيل اشعرى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٣٢۴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مكتب اشعرى است كه مى‌گويد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شيعه اماميه دو دسته‌اند، دسته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ظاهربينانى كه در مسائل دينى داراى آراى عميق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اينان قائل به تحريف در جهت نقص در كلمات بوده‌اند و دليل آنها رواياتى است كه نزد محققان طائفه، </w:t>
      </w:r>
      <w:bookmarkStart w:id="607" w:name="pg1971_8591"/>
    </w:p>
    <w:p>
      <w:pPr>
        <w:pStyle w:val="BookText"/>
        <w:rPr/>
      </w:pPr>
      <w:bookmarkEnd w:id="607"/>
      <w:r>
        <w:rPr>
          <w:rFonts w:ascii="IRNazanin" w:hAnsi="IRNazanin" w:eastAsia="IRNazanin"/>
          <w:color w:val="111111"/>
          <w:sz w:val="28"/>
          <w:sz w:val="28"/>
          <w:szCs w:val="28"/>
          <w:rtl w:val="true"/>
          <w:lang w:bidi="fa-IR"/>
        </w:rPr>
        <w:t>فاقد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همين دسته، نسبت زيادتى در قرآن را به كلى منكرند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در قرآن زيادتى رخ نداده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و صاحبان نظر و اجتهادند كه زيادت و نقص را در قرآن منكرند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همچنان‌كه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تاكنون دست نخورده و از گزند تحريف به طور مطلق در امان بوده و هيچ‌گونه تبديل و تغييرى در آن حاصل نشده است</w:t>
      </w:r>
      <w:r>
        <w:rPr>
          <w:rFonts w:eastAsia="IRNazanin" w:cs="IRNazanin"/>
          <w:color w:val="111111"/>
          <w:sz w:val="28"/>
          <w:szCs w:val="28"/>
          <w:rtl w:val="true"/>
          <w:lang w:bidi="fa-IR"/>
        </w:rPr>
        <w:t xml:space="preserve">» .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برخى ديگر از علماى اهل سنت،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محمد 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عبدالله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تحريف قرآن را به شيعه، ظالمانه دانسته‌اند</w:t>
      </w:r>
      <w:r>
        <w:rPr>
          <w:rFonts w:eastAsia="IRNazanin" w:cs="IRNazanin"/>
          <w:color w:val="111111"/>
          <w:sz w:val="28"/>
          <w:szCs w:val="28"/>
          <w:rtl w:val="true"/>
          <w:lang w:bidi="fa-IR"/>
        </w:rPr>
        <w:t xml:space="preserve">. </w:t>
      </w:r>
      <w:r>
        <w:rPr>
          <w:rStyle w:val="FootnoteAnchor"/>
          <w:rtl w:val="true"/>
        </w:rPr>
        <w:footnoteReference w:id="329"/>
      </w:r>
    </w:p>
    <w:p>
      <w:pPr>
        <w:pStyle w:val="Heading3"/>
        <w:numPr>
          <w:ilvl w:val="2"/>
          <w:numId w:val="1"/>
        </w:numPr>
        <w:rPr/>
      </w:pPr>
      <w:bookmarkStart w:id="608" w:name="__RefHeading___Toc3696823_3650668749"/>
      <w:bookmarkStart w:id="609" w:name="_Toc238"/>
      <w:bookmarkEnd w:id="608"/>
      <w:r>
        <w:rPr>
          <w:rtl w:val="true"/>
        </w:rPr>
        <w:t>روايات اهل سنت در تحريف قرآن</w:t>
      </w:r>
      <w:bookmarkEnd w:id="60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مقصود از نسبت تحريف به شيعه، وجود رواياتى به اين مضمون در كتب شيعه است، همچنان‌كه از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گرديد، بايد دانست كه وجود چند روايت براى منسوب‌كردن يك نظر به شيعه كافى نيست، بلكه بايد توجه كرد كه علماى مذهب در مورد آن چه نظرى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در ميان روايات اهل سنت نيز روايات فراوانى يافت مى‌شود كه بر تحريف دلالت مى‌كند؛ مثلاً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كه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تنها بود، پذيرفته نشد و ننوشتند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همچنين عمر روى منبر ادعا كرد كه آيه رجم و آيه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ترغبوا عن آبائكم فانه كفر بكم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از قرآن است</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xml:space="preserve">طبرانى نيز به سند موثّق از عمر روايت كرده است كه قرآن مشتمل بر </w:t>
      </w:r>
      <w:r>
        <w:rPr>
          <w:rFonts w:ascii="Amiri" w:hAnsi="Amiri" w:eastAsia="Amiri" w:cs="Amiri"/>
          <w:color w:val="111111"/>
          <w:sz w:val="28"/>
          <w:sz w:val="28"/>
          <w:szCs w:val="28"/>
          <w:lang w:bidi="ar-SA"/>
        </w:rPr>
        <w:t>٠٠٠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٠٢٧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حرف است </w:t>
      </w:r>
      <w:r>
        <w:rPr>
          <w:rStyle w:val="FootnoteAnchor"/>
          <w:rtl w:val="true"/>
        </w:rPr>
        <w:footnoteReference w:id="332"/>
      </w:r>
      <w:r>
        <w:rPr>
          <w:rFonts w:ascii="Amiri" w:hAnsi="Amiri" w:eastAsia="Amiri" w:cs="Amiri"/>
          <w:color w:val="111111"/>
          <w:sz w:val="28"/>
          <w:sz w:val="28"/>
          <w:szCs w:val="28"/>
          <w:rtl w:val="true"/>
          <w:lang w:bidi="ar-SA"/>
        </w:rPr>
        <w:t>درحالى‌كه قرآن موجود به يك سوم آن هم نمى‌رسد و اين يعنى ساقط شدن بيش از دو سوم قرآن</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ابن‌عمر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شما مى‌گويد كه همه قرآن را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مى‌داند همه آن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قرآن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بگويد كه آنچه ظاهر است گرفته‌ام</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يا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آيه بود، ولى هنگامى كه عثمان قرآن‌ها را نوشت، فقط به همين مقدار كنونى دسترسى داشتيم</w:t>
      </w:r>
      <w:r>
        <w:rPr>
          <w:rFonts w:eastAsia="IRNazanin" w:cs="IRNazanin"/>
          <w:color w:val="111111"/>
          <w:sz w:val="28"/>
          <w:szCs w:val="28"/>
          <w:rtl w:val="true"/>
          <w:lang w:bidi="fa-IR"/>
        </w:rPr>
        <w:t xml:space="preserve">» . </w:t>
      </w:r>
      <w:r>
        <w:rPr>
          <w:rStyle w:val="FootnoteAnchor"/>
          <w:rtl w:val="true"/>
        </w:rPr>
        <w:footnoteReference w:id="335"/>
      </w:r>
      <w:r>
        <w:rPr>
          <w:rFonts w:ascii="Amiri" w:hAnsi="Amiri" w:eastAsia="Amiri" w:cs="Amiri"/>
          <w:color w:val="111111"/>
          <w:sz w:val="28"/>
          <w:sz w:val="28"/>
          <w:szCs w:val="28"/>
          <w:rtl w:val="true"/>
          <w:lang w:bidi="ar-SA"/>
        </w:rPr>
        <w:t>يعنى نزديك به دو سوم سوره‌احزاب حذف شده است؛ زيرا سوره احزاب فعلى هفتاد و سه آيه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ابى‌بن‌كعب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روايت كرده‌اند كه سوره احزاب به اندازه بقره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٢٨۶</w:t>
      </w:r>
      <w:r>
        <w:rPr>
          <w:rFonts w:ascii="Amiri" w:hAnsi="Amiri" w:eastAsia="Amiri" w:cs="Amiri"/>
          <w:color w:val="111111"/>
          <w:sz w:val="28"/>
          <w:sz w:val="28"/>
          <w:szCs w:val="28"/>
          <w:rtl w:val="true"/>
          <w:lang w:bidi="ar-SA"/>
        </w:rPr>
        <w:t xml:space="preserve">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بيشتر از آن بوده است </w:t>
      </w:r>
      <w:r>
        <w:rPr>
          <w:rStyle w:val="FootnoteAnchor"/>
          <w:rtl w:val="true"/>
        </w:rPr>
        <w:footnoteReference w:id="336"/>
      </w:r>
      <w:r>
        <w:rPr>
          <w:rFonts w:ascii="IRNazanin" w:hAnsi="IRNazanin" w:eastAsia="IRNazanin"/>
          <w:color w:val="111111"/>
          <w:sz w:val="28"/>
          <w:sz w:val="28"/>
          <w:szCs w:val="28"/>
          <w:rtl w:val="true"/>
          <w:lang w:bidi="fa-IR"/>
        </w:rPr>
        <w:t>يعنى نزديك به سه چهارم آن حذف</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صحيح مسلم </w:t>
      </w:r>
      <w:r>
        <w:rPr>
          <w:rStyle w:val="FootnoteAnchor"/>
          <w:rtl w:val="true"/>
        </w:rPr>
        <w:footnoteReference w:id="337"/>
      </w:r>
      <w:r>
        <w:rPr>
          <w:rFonts w:ascii="IRNazanin" w:hAnsi="IRNazanin" w:eastAsia="IRNazanin"/>
          <w:color w:val="111111"/>
          <w:sz w:val="28"/>
          <w:sz w:val="28"/>
          <w:szCs w:val="28"/>
          <w:rtl w:val="true"/>
          <w:lang w:bidi="fa-IR"/>
        </w:rPr>
        <w:t>آمده است كه ابوموسى اشعرى به قاريان بصره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سوره‌اى را مى‌خوانديم كه در مقدار و شدت، آن را شبيه سوره‌برائت مى‌دانستيم و آن را فراموش كردم؛ ولى اين آيه را ياد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لابن آدم واديان من مال لابتغى وادياً ثالثاً و لا يملأ جوف ابن آدم إلا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گفت كه سوره‌ديگرى را مى‌خوانديم كه شبيه يكى از مسبّحات بود و من فراموش كردم؛ ولى يك آيه آن را ياد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 .» .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عايشه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 الكبير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مرد بزرگ از زنى ده مرتبه شير بخورد مَحرم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 آن آيه در ورقه‌اى بود كه زير تخت من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ايامى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 گرديد و من سرگرم پرستارى وى بودم، حيوان خانگى آن ورقه‌اى را كه آيه در آن نوشته شده بود، خورد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عايشه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آيه‌اى به اين صورت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رضعات معلومات يحرّمن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داشت؛ يعنى ده بار معيّن شيرخوردن محرميّت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پنج بار تقليل يافت و آيه قبلى </w:t>
      </w:r>
    </w:p>
    <w:p>
      <w:pPr>
        <w:pStyle w:val="BookText"/>
        <w:rPr/>
      </w:pPr>
      <w:r>
        <w:rPr>
          <w:rFonts w:ascii="IRNazanin" w:hAnsi="IRNazanin" w:eastAsia="IRNazanin"/>
          <w:color w:val="111111"/>
          <w:sz w:val="28"/>
          <w:sz w:val="28"/>
          <w:szCs w:val="28"/>
          <w:rtl w:val="true"/>
          <w:lang w:bidi="fa-IR"/>
        </w:rPr>
        <w:t xml:space="preserve">منسوخ گرديد و بعد از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خوانده مى‌شد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ولى معلوم نيست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رضعات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سرنوشتى داشته كه اكنون در قرآن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حيوان خانگى ديگرى يا همان حيوان بد عادت، دوباره آن را خورده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اهل سنت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اين‌گونه تلاوت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إلى أجل مسمّى فَآتُوهُنَّ اُجُورَهُنَّ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يعنى كلمه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بوده است با آنكه امروز نيست </w:t>
      </w:r>
      <w:r>
        <w:rPr>
          <w:rFonts w:eastAsia="Amiri" w:cs="Amiri" w:ascii="Amiri" w:hAnsi="Amiri"/>
          <w:color w:val="111111"/>
          <w:sz w:val="28"/>
          <w:szCs w:val="28"/>
          <w:rtl w:val="true"/>
          <w:lang w:bidi="ar-SA"/>
        </w:rPr>
        <w:t xml:space="preserve">. </w:t>
      </w:r>
      <w:r>
        <w:rPr>
          <w:rStyle w:val="FootnoteAnchor"/>
          <w:rtl w:val="true"/>
        </w:rPr>
        <w:footnoteReference w:id="341"/>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ذكر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 كه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قرآن نيست و آن را در قرآن خود قرار نمى‌داد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ثابت است كه ابن‌مسعود معوّذتين را از قرآن نمى‌دانست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وى آن دو سوره را در قرآن خود نمى‌نوشت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رواياتى را ذكر مى‌كند كه دلالت مى‌كند بر اينكه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قرآن‌هايى كه داشت، پاك مى‌كرد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سخن كسى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نسبت به ابن‌مسعود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و اشكال گرفتن در روايات صحيح بدون دليل، پذيرفتنى نيست</w:t>
      </w:r>
      <w:r>
        <w:rPr>
          <w:rFonts w:eastAsia="IRNazanin" w:cs="IRNazanin"/>
          <w:color w:val="111111"/>
          <w:sz w:val="28"/>
          <w:szCs w:val="28"/>
          <w:rtl w:val="true"/>
          <w:lang w:bidi="fa-IR"/>
        </w:rPr>
        <w:t xml:space="preserve">» . </w:t>
      </w:r>
      <w:r>
        <w:rPr>
          <w:rStyle w:val="FootnoteAnchor"/>
          <w:rtl w:val="true"/>
        </w:rPr>
        <w:footnoteReference w:id="3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مى‌كند كه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معوّذتين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قرآنش نمى‌نوشت </w:t>
      </w:r>
      <w:r>
        <w:rPr>
          <w:rStyle w:val="FootnoteAnchor"/>
          <w:rtl w:val="true"/>
        </w:rPr>
        <w:footnoteReference w:id="343"/>
      </w:r>
      <w:r>
        <w:rPr>
          <w:rFonts w:ascii="IRNazanin" w:hAnsi="IRNazanin" w:eastAsia="IRNazanin"/>
          <w:color w:val="111111"/>
          <w:sz w:val="28"/>
          <w:sz w:val="28"/>
          <w:szCs w:val="28"/>
          <w:rtl w:val="true"/>
          <w:lang w:bidi="fa-IR"/>
        </w:rPr>
        <w:t xml:space="preserve">با اينكه شيعه هرگز چنين عقايدى در مورد قرآن ندارد و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قرآن است</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عجيب آن است كه اهل سنت، اين موارد را نسخ تلاوت مى‌دانند نه تحريف و اسقاط؛ يعنى درست است كه در قرآن بوده، ولى تلاوت آن منسوخ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اين همان تحريف قرآن است؛ زيرا اگر اين نسخ 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 دليلش كدام آيه يا روايت است با آنكه همه علما قبول دارند كه نسخ قرآن با خبر واحد ثابت نمى‌شود</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چگونه اينان مدعى نسخند بدون آنكه دليل قطعى براى آن داشته باشند</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چگونه چنين سخنانى دارند؛ سخنانى همچون سخن ابن‌عمر درباره حذف‌شدن بسيارى از قرآن و حذف‌شدن بيشتر سوره احزاب در زمان نوشتن آن به دست عثمان يا سخن عايشه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رضعات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وفات حضرت خوانده مى‌شد يا سخن درباره ابن‌عباس كه كلمه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همچنان قرائت مى‌كرده است و مهم‌تر از همه چگونه عبدالله بن مسعود معتقد بود كه در قرآن كنونى دو سوره اضافه شده است؟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هر حال، با وجود اعتقاد بيشتر اهل سنت به نسخ تلاوت، مى‌توان </w:t>
      </w:r>
      <w:bookmarkStart w:id="610" w:name="pg1971_8596"/>
    </w:p>
    <w:p>
      <w:pPr>
        <w:pStyle w:val="BookText"/>
        <w:rPr/>
      </w:pPr>
      <w:bookmarkEnd w:id="610"/>
      <w:r>
        <w:rPr>
          <w:rFonts w:ascii="IRNazanin" w:hAnsi="IRNazanin" w:eastAsia="IRNazanin"/>
          <w:color w:val="111111"/>
          <w:sz w:val="28"/>
          <w:sz w:val="28"/>
          <w:szCs w:val="28"/>
          <w:rtl w:val="true"/>
          <w:lang w:bidi="fa-IR"/>
        </w:rPr>
        <w:t xml:space="preserve">گفت كه بيشتر علماى اهل سنت به تحريف قرآن معتقدند؛ زيرا آنها به جواز نسخ تلاوت معتقدند كه همان تحريف قرآن است؛ همچنان‌كه آيت‌الله العظمى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با وجود اين، آيا علماى شيعه متهم به اعتقاد تحريف قرآنند و اصحاب را متهم به تحريف مى‌كننديا اين دانشمندان اهل سنتند كه زياد شدن دو سوره را به صحابى جليل‌القدر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مى‌دهند؟</w:t>
      </w:r>
    </w:p>
    <w:p>
      <w:pPr>
        <w:pStyle w:val="Heading3"/>
        <w:numPr>
          <w:ilvl w:val="2"/>
          <w:numId w:val="1"/>
        </w:numPr>
        <w:rPr/>
      </w:pPr>
      <w:bookmarkStart w:id="611" w:name="__RefHeading___Toc3696825_3650668749"/>
      <w:bookmarkStart w:id="612" w:name="_Toc239"/>
      <w:bookmarkEnd w:id="611"/>
      <w:r>
        <w:rPr>
          <w:rtl w:val="true"/>
        </w:rPr>
        <w:t>تحريف نيافتن قرآن و مسئله ضروريات دين</w:t>
      </w:r>
      <w:bookmarkEnd w:id="612"/>
    </w:p>
    <w:p>
      <w:pPr>
        <w:pStyle w:val="BookText"/>
        <w:rPr/>
      </w:pPr>
      <w:r>
        <w:rPr>
          <w:rFonts w:ascii="IRNazanin" w:hAnsi="IRNazanin" w:eastAsia="IRNazanin"/>
          <w:color w:val="111111"/>
          <w:sz w:val="28"/>
          <w:sz w:val="28"/>
          <w:szCs w:val="28"/>
          <w:rtl w:val="true"/>
          <w:lang w:bidi="fa-IR"/>
        </w:rPr>
        <w:t xml:space="preserve">از اين گذشته، اگرچه تحريف قرآن امر باطلى است؛ اما اگر شخص يا اشخاصى، به سبب شبهه‌اى كه براى آنها حاصل شده، به آن ملتزم شده‌اند، آيا اين دليل انحراف اصل مذهب آنهاست؟ آيا مسئله تحريف نيافتن قرآن از ضروريات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دين، مثل وجوب نماز، روزه و حج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 كه منكر آن كافر ناميده مى‌شود؟ هرگز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مخالفت‌هاى مسلمانان در اين مسئله و روايات بسيارى از صحابه و غير صحابه كه دلالت بر مخالفت ايشان در برخى موارد جزئى دارد، چرا يك مسئله اجتهادى را تبديل به يك مسئله ضرورى كنيم و آن را محور شناخت يك مذهب قرار دهيم؟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شگفت‌آور،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مسلمانان اجماع دارند كه دو سوره معوّذتين و سوره فاتحه از قرآن </w:t>
      </w:r>
    </w:p>
    <w:p>
      <w:pPr>
        <w:pStyle w:val="BookText"/>
        <w:rPr/>
      </w:pPr>
      <w:r>
        <w:rPr>
          <w:rFonts w:ascii="IRNazanin" w:hAnsi="IRNazanin" w:eastAsia="IRNazanin"/>
          <w:color w:val="111111"/>
          <w:sz w:val="28"/>
          <w:sz w:val="28"/>
          <w:szCs w:val="28"/>
          <w:rtl w:val="true"/>
          <w:lang w:bidi="fa-IR"/>
        </w:rPr>
        <w:t>است و هر كه جزئى از آن را انكار كند كافر است و آنچه از ابن مسعود نقل شده باطل و ناصحيح است</w:t>
      </w:r>
      <w:r>
        <w:rPr>
          <w:rFonts w:eastAsia="IRNazanin" w:cs="IRNazanin"/>
          <w:color w:val="111111"/>
          <w:sz w:val="28"/>
          <w:szCs w:val="28"/>
          <w:rtl w:val="true"/>
          <w:lang w:bidi="fa-IR"/>
        </w:rPr>
        <w:t xml:space="preserve">» .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شگفت‌انگيزتر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اين اجماع را كافر مى‌داند و بر اين كفر نيز ادعاى اجماع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گفتيم كه ابن‌حجر تصريح كرده است كه ابن‌مسعود معوّذتين از قرآن نمى‌دانسته است و روايات صحيح نيز بر آن دلالت دارد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چگونه ممكن است در غير ضرورياتى كه انكار آن انكار توحيد و رسالت نيست، ادعاى كفر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هر مخالف اجماعى،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اجماعى كه ابن‌مسعود باآن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ابن‌مسعود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اختلاف در اينكه بِسْمِ اللَّهِ الرَّحْمنِ الرَّحِيمِ جزء سوره است يا نه، موجب كُفر يكى از طرفين است؟ </w:t>
      </w:r>
      <w:bookmarkStart w:id="613" w:name="pg1971_8598"/>
    </w:p>
    <w:p>
      <w:pPr>
        <w:pStyle w:val="Heading2"/>
        <w:numPr>
          <w:ilvl w:val="1"/>
          <w:numId w:val="1"/>
        </w:numPr>
        <w:rPr/>
      </w:pPr>
      <w:bookmarkStart w:id="614" w:name="__RefHeading___Toc3696827_3650668749"/>
      <w:bookmarkStart w:id="615" w:name="_Toc240"/>
      <w:bookmarkEnd w:id="613"/>
      <w:bookmarkEnd w:id="614"/>
      <w:r>
        <w:rPr/>
        <w:t>۴٨</w:t>
      </w:r>
      <w:r>
        <w:rPr>
          <w:rtl w:val="true"/>
        </w:rPr>
        <w:t xml:space="preserve"> سنى شدن سبزى‌فروش ساده‌لوح منامه</w:t>
      </w:r>
      <w:bookmarkEnd w:id="615"/>
    </w:p>
    <w:p>
      <w:pPr>
        <w:pStyle w:val="Heading3"/>
        <w:numPr>
          <w:ilvl w:val="2"/>
          <w:numId w:val="1"/>
        </w:numPr>
        <w:rPr/>
      </w:pPr>
      <w:bookmarkStart w:id="616" w:name="__RefHeading___Toc3696829_3650668749"/>
      <w:bookmarkStart w:id="617" w:name="_Toc241"/>
      <w:bookmarkEnd w:id="616"/>
      <w:r>
        <w:rPr>
          <w:rtl w:val="true"/>
        </w:rPr>
        <w:t>اشاره</w:t>
      </w:r>
      <w:bookmarkEnd w:id="617"/>
    </w:p>
    <w:p>
      <w:pPr>
        <w:pStyle w:val="BookText"/>
        <w:rPr/>
      </w:pP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٧۴</w:t>
      </w:r>
      <w:r>
        <w:rPr>
          <w:rFonts w:ascii="IRNazanin" w:hAnsi="IRNazanin" w:eastAsia="IRNazanin"/>
          <w:color w:val="111111"/>
          <w:sz w:val="28"/>
          <w:sz w:val="28"/>
          <w:szCs w:val="28"/>
          <w:rtl w:val="true"/>
          <w:lang w:bidi="fa-IR"/>
        </w:rPr>
        <w:t xml:space="preserve"> از سبزى‌فروشى در منامه مى‌گويد كه رفقاى سنى او به وى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شيعه به عايشه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مى‌زند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سبزى‌فروش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شيعيان عايشه را دوست نداريم و بر او لعنت مى‌فرستيم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ناصبى و از اهل دوزخ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هنگام يكى از دوستان سنى به او گفت كه آيا نشنيده‌اى خداوند متعال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النَّبِيُّ أَوْلى بِالْمُؤْمِنِينَ مِنْ أَنْفُسِهِمْ وَ أَزْواجُهُ أُمَّهاتُهُمْ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نسبت به مؤمنان از خودشان اولى و سزاوارتر است و همسران او مادران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آن مرد شيعه حيران شد و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آيه در قرآن وجود دارد؟ من براى اولين بار آن را مى‌شنوم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دانستم كه عايشه و همه همسران پيامبر، مادر من و مادر همه مؤمنانند</w:t>
      </w:r>
      <w:r>
        <w:rPr>
          <w:rFonts w:eastAsia="IRNazanin" w:cs="IRNazanin"/>
          <w:color w:val="111111"/>
          <w:sz w:val="28"/>
          <w:szCs w:val="28"/>
          <w:rtl w:val="true"/>
          <w:lang w:bidi="fa-IR"/>
        </w:rPr>
        <w:t>.</w:t>
      </w:r>
    </w:p>
    <w:p>
      <w:pPr>
        <w:pStyle w:val="Heading3"/>
        <w:numPr>
          <w:ilvl w:val="2"/>
          <w:numId w:val="1"/>
        </w:numPr>
        <w:rPr/>
      </w:pPr>
      <w:bookmarkStart w:id="618" w:name="__RefHeading___Toc3696831_3650668749"/>
      <w:bookmarkStart w:id="619" w:name="_Toc242"/>
      <w:bookmarkEnd w:id="618"/>
      <w:r>
        <w:rPr>
          <w:rtl w:val="true"/>
        </w:rPr>
        <w:t>پاسخ</w:t>
      </w:r>
      <w:bookmarkEnd w:id="619"/>
    </w:p>
    <w:p>
      <w:pPr>
        <w:pStyle w:val="Heading3"/>
        <w:numPr>
          <w:ilvl w:val="2"/>
          <w:numId w:val="1"/>
        </w:numPr>
        <w:rPr/>
      </w:pPr>
      <w:bookmarkStart w:id="620" w:name="__RefHeading___Toc3696833_3650668749"/>
      <w:bookmarkStart w:id="621" w:name="_Toc243"/>
      <w:bookmarkEnd w:id="620"/>
      <w:r>
        <w:rPr>
          <w:rtl w:val="true"/>
        </w:rPr>
        <w:t>شيعه و عايشه ام‌المؤمنين</w:t>
      </w:r>
      <w:bookmarkEnd w:id="62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ام‌المؤمنين بودن عايشه، داراى دو جنبه است كه بايد به هر دو جنبه آن توجه شود</w:t>
      </w:r>
      <w:r>
        <w:rPr>
          <w:rFonts w:eastAsia="Amiri" w:cs="Amiri" w:ascii="Amiri" w:hAnsi="Amiri"/>
          <w:color w:val="111111"/>
          <w:sz w:val="28"/>
          <w:szCs w:val="28"/>
          <w:rtl w:val="true"/>
          <w:lang w:bidi="ar-SA"/>
        </w:rPr>
        <w:t xml:space="preserve">: </w:t>
      </w:r>
      <w:bookmarkStart w:id="622" w:name="pg1971_8599"/>
    </w:p>
    <w:p>
      <w:pPr>
        <w:pStyle w:val="BookText"/>
        <w:rPr/>
      </w:pPr>
      <w:bookmarkEnd w:id="622"/>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انتساب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شخصى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 انتساب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احترام او كه احترام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حفظ شود و بايد از هرگونه سخن و رفتارى كه موجب بى‌حرمتى به حريم نبوى مى‌گردد اجتناب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جمل با وى به تندى و بدى رفتار نكرد و او را محترمانه به مدينه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حتى براى زنان كافرنوح و لوط نيز چنين احترامى قائليم؛ يعنى نبايد با آنها به‌گونه‌اى برخورد شود كه سبب هتك حرمت آن دو پيامبر الهى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جهت شخصى، بايد مثل ديگر مسلمانان مسئول رفتار خويش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ام‌المؤمنين، يك عنوان حقوقى است كه تنها براى ممنوعيت ازدواج با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ايشان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در آيه </w:t>
      </w:r>
      <w:r>
        <w:rPr>
          <w:rFonts w:ascii="IRNazanin" w:hAnsi="IRNazanin" w:eastAsia="IRNazanin"/>
          <w:color w:val="111111"/>
          <w:sz w:val="28"/>
          <w:sz w:val="28"/>
          <w:szCs w:val="28"/>
          <w:lang w:bidi="fa-IR"/>
        </w:rPr>
        <w:t>۵٣</w:t>
      </w:r>
      <w:r>
        <w:rPr>
          <w:rFonts w:ascii="IRNazanin" w:hAnsi="IRNazanin" w:eastAsia="IRNazanin"/>
          <w:color w:val="111111"/>
          <w:sz w:val="28"/>
          <w:sz w:val="28"/>
          <w:szCs w:val="28"/>
          <w:rtl w:val="true"/>
          <w:lang w:bidi="fa-IR"/>
        </w:rPr>
        <w:t xml:space="preserve"> همان سوره احزاب از ازدواج با زن‌هاى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حضرت،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عنوان را يك عنوان اعتبارى براى احترام هم بدانيم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بعيد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عنوان مثل ديگر عناوين خواهد بود كه هرگز براى شخص، مصونيت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نباشد با اينكه حتى مادر حقيقى مؤمنان اگر مرتكب خطايى شود، مسئول اعمال خويش است</w:t>
      </w:r>
      <w:r>
        <w:rPr>
          <w:rFonts w:eastAsia="IRNazanin" w:cs="IRNazanin"/>
          <w:color w:val="111111"/>
          <w:sz w:val="28"/>
          <w:szCs w:val="28"/>
          <w:rtl w:val="true"/>
          <w:lang w:bidi="fa-IR"/>
        </w:rPr>
        <w:t>.</w:t>
      </w:r>
    </w:p>
    <w:p>
      <w:pPr>
        <w:pStyle w:val="Heading3"/>
        <w:numPr>
          <w:ilvl w:val="2"/>
          <w:numId w:val="1"/>
        </w:numPr>
        <w:rPr/>
      </w:pPr>
      <w:bookmarkStart w:id="623" w:name="__RefHeading___Toc3696835_3650668749"/>
      <w:bookmarkStart w:id="624" w:name="_Toc244"/>
      <w:bookmarkEnd w:id="623"/>
      <w:r>
        <w:rPr>
          <w:rtl w:val="true"/>
        </w:rPr>
        <w:t>عايشه ام‌المؤمنين و اجتهاد در شورش</w:t>
      </w:r>
      <w:bookmarkEnd w:id="624"/>
    </w:p>
    <w:p>
      <w:pPr>
        <w:pStyle w:val="BookText"/>
        <w:rPr/>
      </w:pPr>
      <w:r>
        <w:rPr>
          <w:rFonts w:ascii="IRNazanin" w:hAnsi="IRNazanin" w:eastAsia="IRNazanin"/>
          <w:color w:val="111111"/>
          <w:sz w:val="28"/>
          <w:sz w:val="28"/>
          <w:szCs w:val="28"/>
          <w:rtl w:val="true"/>
          <w:lang w:bidi="fa-IR"/>
        </w:rPr>
        <w:t xml:space="preserve">به نظر شما اگر امّ‌المؤمنين، مرتكب قتل مردم، ناسزاگويى و شورش عليه برادر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خليفه سوم شود، آيا مستحق مذمت نيست؟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آيات لعن بر ظالمان و دروغگويان را بايد تخصيص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w:t>
      </w:r>
      <w:bookmarkStart w:id="625" w:name="pg1971_8600"/>
    </w:p>
    <w:p>
      <w:pPr>
        <w:pStyle w:val="BookText"/>
        <w:rPr/>
      </w:pPr>
      <w:bookmarkEnd w:id="625"/>
      <w:r>
        <w:rPr>
          <w:rFonts w:ascii="IRNazanin" w:hAnsi="IRNazanin" w:eastAsia="IRNazanin"/>
          <w:color w:val="111111"/>
          <w:sz w:val="28"/>
          <w:sz w:val="28"/>
          <w:szCs w:val="28"/>
          <w:rtl w:val="true"/>
          <w:lang w:bidi="fa-IR"/>
        </w:rPr>
        <w:t>گفته شود كه او يا معاويه يا افراد ديگر اجتهاد كرده‌اند، هر چند به خطا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مستحق مذمت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دايره اجتهاد اين‌قدر گسترده است كه حتى مى‌تواند شخص را حتى از مذمت در مقابل قتل مردم، شورش و ناسزاگويى برادر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خليفه زمان مصون دارد، چرا ديگران نتوانند در مذمت عايشه اجتهاد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مذمت وى در اين گونه امور سخت‌تر از فتنه‌انگيزى در قتل عثمان، توطئه و شورش بر امام زمان و كُشتن ده‌ها هزار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اجتهاد در كشف استحقاق مذمت عايشه، پيچيده‌تر از اجتهاد در حرمت شورش بر خليفه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نتوانيم به اصحاب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كنيم كه با آنكه مى‌دانستند عايشه، ام‌المؤمنين است، ولى او را براى كارهايش مذمت كردند</w:t>
      </w:r>
      <w:r>
        <w:rPr>
          <w:rFonts w:eastAsia="IRNazanin" w:cs="IRNazanin"/>
          <w:color w:val="111111"/>
          <w:sz w:val="28"/>
          <w:szCs w:val="28"/>
          <w:rtl w:val="true"/>
          <w:lang w:bidi="fa-IR"/>
        </w:rPr>
        <w:t>.</w:t>
      </w:r>
    </w:p>
    <w:p>
      <w:pPr>
        <w:pStyle w:val="Heading3"/>
        <w:numPr>
          <w:ilvl w:val="2"/>
          <w:numId w:val="1"/>
        </w:numPr>
        <w:rPr/>
      </w:pPr>
      <w:bookmarkStart w:id="626" w:name="__RefHeading___Toc3696837_3650668749"/>
      <w:bookmarkStart w:id="627" w:name="_Toc245"/>
      <w:bookmarkEnd w:id="626"/>
      <w:r>
        <w:rPr>
          <w:rtl w:val="true"/>
        </w:rPr>
        <w:t>عايشه ام‌المؤمنين و ام‌سلمه ام‌المؤمنين</w:t>
      </w:r>
      <w:bookmarkEnd w:id="627"/>
    </w:p>
    <w:p>
      <w:pPr>
        <w:pStyle w:val="BookText"/>
        <w:rPr/>
      </w:pPr>
      <w:r>
        <w:rPr>
          <w:rFonts w:ascii="IRNazanin" w:hAnsi="IRNazanin" w:eastAsia="IRNazanin"/>
          <w:color w:val="111111"/>
          <w:sz w:val="28"/>
          <w:sz w:val="28"/>
          <w:szCs w:val="28"/>
          <w:rtl w:val="true"/>
          <w:lang w:bidi="fa-IR"/>
        </w:rPr>
        <w:t xml:space="preserve">مگر اين ام‌المؤمنين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كه عايشه را در خروج و قيام عليه اميرالمؤمنين مذمت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عايشه گفت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محدود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وى پا فراتر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احترام پيامبر خود، ميان تو و مردم حجاب و پرده‌اى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دريدن آن پرده، احترام رسول خدا را در هم مشكن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گوشه خانه را براى تو پسنديده است، آن را به بيابان‌گردى مبدّل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تو را بهتر مى‌شناخت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خدا تو را در اين مسير ببيند در جواب وى چه مى‌گويى؟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از پيامبر خدا حيا كن</w:t>
      </w:r>
      <w:r>
        <w:rPr>
          <w:rFonts w:eastAsia="IRNazanin" w:cs="IRNazanin"/>
          <w:color w:val="111111"/>
          <w:sz w:val="28"/>
          <w:szCs w:val="28"/>
          <w:rtl w:val="true"/>
          <w:lang w:bidi="fa-IR"/>
        </w:rPr>
        <w:t xml:space="preserve">. . . </w:t>
      </w:r>
      <w:bookmarkStart w:id="628" w:name="pg1971_8601"/>
    </w:p>
    <w:p>
      <w:pPr>
        <w:pStyle w:val="BookText"/>
        <w:rPr/>
      </w:pPr>
      <w:bookmarkEnd w:id="628"/>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روشى كه تو انتخاب كرده‌اى، آن‌چنان مخالف شئون انسانى و زننده است كه اگر من به جاى تو بودم و به من دستور داده مى‌شد به بهشت بروم، حيا مى‌كردم كه در آنجا با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شرم و حيا را از دست مده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 بنا به نقل برخى مورخان، ام‌سلمه اين جمله را نيز در پايان اضافه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دراين‌باره از رسول خدا شنيدم براى تو بازگو كنم، مانند مار گزيده از ناراحتى به خود مى‌پيچى و فريادت بلند مى‌گردد</w:t>
      </w:r>
      <w:r>
        <w:rPr>
          <w:rFonts w:eastAsia="IRNazanin" w:cs="IRNazanin"/>
          <w:color w:val="111111"/>
          <w:sz w:val="28"/>
          <w:szCs w:val="28"/>
          <w:rtl w:val="true"/>
          <w:lang w:bidi="fa-IR"/>
        </w:rPr>
        <w:t xml:space="preserve">!» . </w:t>
      </w:r>
      <w:r>
        <w:rPr>
          <w:rStyle w:val="FootnoteAnchor"/>
          <w:rtl w:val="true"/>
        </w:rPr>
        <w:footnoteReference w:id="349"/>
      </w:r>
    </w:p>
    <w:p>
      <w:pPr>
        <w:pStyle w:val="Heading3"/>
        <w:numPr>
          <w:ilvl w:val="2"/>
          <w:numId w:val="1"/>
        </w:numPr>
        <w:rPr/>
      </w:pPr>
      <w:bookmarkStart w:id="629" w:name="__RefHeading___Toc3696839_3650668749"/>
      <w:bookmarkStart w:id="630" w:name="_Toc246"/>
      <w:bookmarkEnd w:id="629"/>
      <w:r>
        <w:rPr>
          <w:rtl w:val="true"/>
        </w:rPr>
        <w:t>عايشه ام‌المؤمنين و ام‌حبيبه ام‌المؤمنين</w:t>
      </w:r>
      <w:bookmarkEnd w:id="63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شديدتر از آن،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ام‌حبيبه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معاويه با عايشه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امّ‌المؤمنين عايشه از قتل برادرش محمد باخبر شد، به شدت گريست و معاويه و عمرو بن عاص را كه عاملان اين قتل بودند، در نماز نفرين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قتل محمد و آتش زدن او، به ام‌حبيبه خواهر معاويه رسيد، او گوسفندى را كباب كرد و نزد عايشه فرستاد و از اين طريق كينه خود را از محمد بن ابى‌بكر برادر عايشه كه متهم به قتل عثمان بود ابراز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بكشد آن دختر زن بدكاره را، به خدا سوگند من هرگز گوشت بريان نمى‌خورم</w:t>
      </w:r>
      <w:r>
        <w:rPr>
          <w:rFonts w:eastAsia="IRNazanin" w:cs="IRNazanin"/>
          <w:color w:val="111111"/>
          <w:sz w:val="28"/>
          <w:szCs w:val="28"/>
          <w:rtl w:val="true"/>
          <w:lang w:bidi="fa-IR"/>
        </w:rPr>
        <w:t xml:space="preserve">. . .» . </w:t>
      </w:r>
      <w:r>
        <w:rPr>
          <w:rStyle w:val="FootnoteAnchor"/>
          <w:rtl w:val="true"/>
        </w:rPr>
        <w:footnoteReference w:id="350"/>
      </w:r>
      <w:bookmarkStart w:id="631" w:name="pg1971_8602"/>
    </w:p>
    <w:p>
      <w:pPr>
        <w:pStyle w:val="Heading3"/>
        <w:numPr>
          <w:ilvl w:val="2"/>
          <w:numId w:val="1"/>
        </w:numPr>
        <w:rPr/>
      </w:pPr>
      <w:bookmarkStart w:id="632" w:name="__RefHeading___Toc3696841_3650668749"/>
      <w:bookmarkStart w:id="633" w:name="_Toc247"/>
      <w:bookmarkEnd w:id="631"/>
      <w:bookmarkEnd w:id="632"/>
      <w:r>
        <w:rPr>
          <w:rtl w:val="true"/>
        </w:rPr>
        <w:t>عايشه ام‌المؤمنين و جارية بن قدامه</w:t>
      </w:r>
      <w:bookmarkEnd w:id="6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جارية 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عايشه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ريختن خون عثمان كمتر از اين بود كه بر اين شتر نفرين شده سوار شوى و از خانه‌ات بيرون آمده، همچون مردان به ميدان جنگ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جامعه اسلامى احترام داشتى؛ اما با اين عمل ارزش خود را بر باد دادى و عظمت خود را در هم شكستى</w:t>
      </w:r>
      <w:r>
        <w:rPr>
          <w:rFonts w:eastAsia="IRNazanin" w:cs="IRNazanin"/>
          <w:color w:val="111111"/>
          <w:sz w:val="28"/>
          <w:szCs w:val="28"/>
          <w:rtl w:val="true"/>
          <w:lang w:bidi="fa-IR"/>
        </w:rPr>
        <w:t xml:space="preserve">. . . . </w:t>
      </w:r>
      <w:r>
        <w:rPr>
          <w:rStyle w:val="FootnoteAnchor"/>
          <w:rtl w:val="true"/>
        </w:rPr>
        <w:footnoteReference w:id="351"/>
      </w:r>
    </w:p>
    <w:p>
      <w:pPr>
        <w:pStyle w:val="Heading3"/>
        <w:numPr>
          <w:ilvl w:val="2"/>
          <w:numId w:val="1"/>
        </w:numPr>
        <w:rPr/>
      </w:pPr>
      <w:bookmarkStart w:id="634" w:name="__RefHeading___Toc3696843_3650668749"/>
      <w:bookmarkStart w:id="635" w:name="_Toc248"/>
      <w:bookmarkEnd w:id="634"/>
      <w:r>
        <w:rPr>
          <w:rtl w:val="true"/>
        </w:rPr>
        <w:t xml:space="preserve">عايشه ام‌المؤمنين و على بن ابى‌طالب </w:t>
      </w:r>
      <w:r>
        <w:rPr>
          <w:rtl w:val="true"/>
        </w:rPr>
        <w:t>(</w:t>
      </w:r>
      <w:r>
        <w:rPr>
          <w:rtl w:val="true"/>
        </w:rPr>
        <w:t>ع</w:t>
      </w:r>
      <w:r>
        <w:rPr>
          <w:rtl w:val="true"/>
        </w:rPr>
        <w:t xml:space="preserve">) </w:t>
      </w:r>
      <w:r>
        <w:rPr>
          <w:rtl w:val="true"/>
        </w:rPr>
        <w:t>خليفه مسلمانان</w:t>
      </w:r>
      <w:bookmarkEnd w:id="635"/>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عايشه آن زن شتر سوار، به خدا سوگند او در اين سفر هيچ كوه و دشتى را زير پاى نمى‌گذارد و هيچ قدمى در بيابان‌ها برنمى‌دارد، مگر اينكه معصيت خدا را مى‌كند</w:t>
      </w:r>
      <w:r>
        <w:rPr>
          <w:rFonts w:eastAsia="IRNazanin" w:cs="IRNazanin"/>
          <w:color w:val="111111"/>
          <w:sz w:val="28"/>
          <w:szCs w:val="28"/>
          <w:rtl w:val="true"/>
          <w:lang w:bidi="fa-IR"/>
        </w:rPr>
        <w:t xml:space="preserve">. . . . </w:t>
      </w:r>
      <w:r>
        <w:rPr>
          <w:rStyle w:val="FootnoteAnchor"/>
          <w:rtl w:val="true"/>
        </w:rPr>
        <w:footnoteReference w:id="352"/>
      </w:r>
    </w:p>
    <w:p>
      <w:pPr>
        <w:pStyle w:val="Heading3"/>
        <w:numPr>
          <w:ilvl w:val="2"/>
          <w:numId w:val="1"/>
        </w:numPr>
        <w:rPr/>
      </w:pPr>
      <w:bookmarkStart w:id="636" w:name="__RefHeading___Toc3696845_3650668749"/>
      <w:bookmarkStart w:id="637" w:name="_Toc249"/>
      <w:bookmarkEnd w:id="636"/>
      <w:r>
        <w:rPr>
          <w:rtl w:val="true"/>
        </w:rPr>
        <w:t>عايشه ام‌المؤمنين و عثمان خليفه مسلمانان</w:t>
      </w:r>
      <w:bookmarkEnd w:id="637"/>
    </w:p>
    <w:p>
      <w:pPr>
        <w:pStyle w:val="BookText"/>
        <w:rPr/>
      </w:pPr>
      <w:r>
        <w:rPr>
          <w:rFonts w:ascii="IRNazanin" w:hAnsi="IRNazanin" w:eastAsia="IRNazanin"/>
          <w:color w:val="111111"/>
          <w:sz w:val="28"/>
          <w:sz w:val="28"/>
          <w:szCs w:val="28"/>
          <w:rtl w:val="true"/>
          <w:lang w:bidi="fa-IR"/>
        </w:rPr>
        <w:t xml:space="preserve">امّ‌المؤمنين عايشه كسى است كه مردم را عليه عثمان شوراند و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كه به معناى پيرخرفت و نادان است و مى‌گفت</w:t>
      </w:r>
      <w:r>
        <w:rPr>
          <w:rFonts w:eastAsia="IRNazanin" w:cs="IRNazanin"/>
          <w:color w:val="111111"/>
          <w:sz w:val="28"/>
          <w:szCs w:val="28"/>
          <w:rtl w:val="true"/>
          <w:lang w:bidi="fa-IR"/>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اُقْتُلُوا نَعْثَلاً فَقَدْ كَفَر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پير خرفت و نادان را بكشيد كه كافر شده است</w:t>
      </w:r>
      <w:r>
        <w:rPr>
          <w:rFonts w:eastAsia="IRNazanin" w:cs="IRNazanin"/>
          <w:color w:val="111111"/>
          <w:sz w:val="28"/>
          <w:szCs w:val="28"/>
          <w:rtl w:val="true"/>
          <w:lang w:bidi="fa-IR"/>
        </w:rPr>
        <w:t xml:space="preserve">» . </w:t>
      </w:r>
      <w:bookmarkStart w:id="638" w:name="pg1971_8603"/>
    </w:p>
    <w:p>
      <w:pPr>
        <w:pStyle w:val="BookText"/>
        <w:rPr/>
      </w:pPr>
      <w:bookmarkEnd w:id="638"/>
      <w:r>
        <w:rPr>
          <w:rFonts w:ascii="IRNazanin" w:hAnsi="IRNazanin" w:eastAsia="IRNazanin"/>
          <w:color w:val="111111"/>
          <w:sz w:val="28"/>
          <w:sz w:val="28"/>
          <w:szCs w:val="28"/>
          <w:rtl w:val="true"/>
          <w:lang w:bidi="fa-IR"/>
        </w:rPr>
        <w:t xml:space="preserve">همچنين در جلسه سخنرانى عثمان، وقتى عايشه به سختى بر او اعتراض كرد، عثمان اين آيه را خواند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 فَلَمْ يُغْنِيا عَنْهُما مِنَ اللَّهِ شَيْئاً وَ قِيلَ ادْخُلاَ النَّارَ مَعَ الدَّاخِلِينَ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براي كساني كه كافر شده‌اند به همسر نوح و همسر لوط مثل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تحت سرپرستي دو بنده صالح از بندگان ما بودند؛ ولي به آن دو خيانت كردند و ارتباط با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سودي به حالشان نداشت و به آنها گفته شد همراه كساني كه وارد آتش مي‌شوند، وارد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عثمان اين آيه از سوره تحريم را خواند كه شأن نزول آن در مورد اذيت عايشه و حفصه نسبت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355"/>
      </w:r>
    </w:p>
    <w:p>
      <w:pPr>
        <w:pStyle w:val="Heading3"/>
        <w:numPr>
          <w:ilvl w:val="2"/>
          <w:numId w:val="1"/>
        </w:numPr>
        <w:rPr/>
      </w:pPr>
      <w:bookmarkStart w:id="639" w:name="__RefHeading___Toc3696847_3650668749"/>
      <w:bookmarkStart w:id="640" w:name="_Toc250"/>
      <w:bookmarkEnd w:id="639"/>
      <w:r>
        <w:rPr>
          <w:rtl w:val="true"/>
        </w:rPr>
        <w:t>كشتار وحشيانه مردم بصره به فرمان عايشه ام‌المؤمنين</w:t>
      </w:r>
      <w:bookmarkEnd w:id="640"/>
    </w:p>
    <w:p>
      <w:pPr>
        <w:pStyle w:val="BookText"/>
        <w:rPr/>
      </w:pPr>
      <w:r>
        <w:rPr>
          <w:rFonts w:ascii="IRNazanin" w:hAnsi="IRNazanin" w:eastAsia="IRNazanin"/>
          <w:color w:val="111111"/>
          <w:sz w:val="28"/>
          <w:sz w:val="28"/>
          <w:szCs w:val="28"/>
          <w:rtl w:val="true"/>
          <w:lang w:bidi="fa-IR"/>
        </w:rPr>
        <w:t xml:space="preserve">آرى، عايشه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سوء استفاده را كرد و لشكرى را بسيج نمود و ده‌ها هزار نفر از مؤمنان را به كشتن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بصره را اسير كردند و نزد او آوردند، به فرزند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به انتقام پدرش، او را بكشد و</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توجيه اين فرمان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بن حنيف گرچه از كشندگان </w:t>
      </w:r>
    </w:p>
    <w:p>
      <w:pPr>
        <w:pStyle w:val="BookText"/>
        <w:rPr/>
      </w:pPr>
      <w:r>
        <w:rPr>
          <w:rFonts w:ascii="Amiri" w:hAnsi="Amiri" w:eastAsia="Amiri" w:cs="Amiri"/>
          <w:color w:val="111111"/>
          <w:sz w:val="28"/>
          <w:sz w:val="28"/>
          <w:szCs w:val="28"/>
          <w:rtl w:val="true"/>
          <w:lang w:bidi="ar-SA"/>
        </w:rPr>
        <w:t xml:space="preserve">عثمان نيست، ولى از انصار است و انصار در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داشته‌اند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قتل انصار به قصاص از عثمان جايز است</w:t>
      </w:r>
      <w:r>
        <w:rPr>
          <w:rFonts w:eastAsia="Amiri" w:cs="Amiri" w:ascii="Amiri" w:hAnsi="Amiri"/>
          <w:color w:val="111111"/>
          <w:sz w:val="28"/>
          <w:szCs w:val="28"/>
          <w:rtl w:val="true"/>
          <w:lang w:bidi="ar-SA"/>
        </w:rPr>
        <w:t xml:space="preserve">» .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افزون بر اين، وقتى طلحه و زبير با مكر و پيمان‌شكنى بر بصره و بيت‌المال آن دست يافتند، نگهبانان اسير را كه تعدادشان هفتاد نفر بود، براى كسب تكليف نزد عايشه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به زبير دستور داد تا سر اينان را از تن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نيز با بى‌رحمى تمام به يارى فرزندش همه آنان را چون گوسفند سر بريد و بدن بى‌جان آنها را كنار هم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پنجاه نفر ديگر كه به دفاع از بيت‌المال پرداخته بودند در نوبت بعد اسير كردند و آنها را نيز سر بريدند و بدن بى‌جان آنها را كنار آن هفتاد نفر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صقعب بن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نگهبانان كشته شده در آن روز به چهارصد نفر رسيد</w:t>
      </w:r>
      <w:r>
        <w:rPr>
          <w:rFonts w:eastAsia="IRNazanin" w:cs="IRNazanin"/>
          <w:color w:val="111111"/>
          <w:sz w:val="28"/>
          <w:szCs w:val="28"/>
          <w:rtl w:val="true"/>
          <w:lang w:bidi="fa-IR"/>
        </w:rPr>
        <w:t xml:space="preserve">» .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اينها غير از بيست هزار نفرى بود كه بعداً در جنگ جمل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خون مسلمانان نزد عايشه و ياران او ارزش نداشت؟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جنگ جمل، روزى بانويى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صدها نفر از قبيله او در نبرد با لشكر عايشه كشته شده بودند، نزد عايشه رفت و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مادر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 در مورد مادرى كه فرزند خردسال خود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جهنم بر او</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مادرى كه بيست هزار نفر از </w:t>
      </w:r>
    </w:p>
    <w:p>
      <w:pPr>
        <w:pStyle w:val="BookText"/>
        <w:rPr/>
      </w:pPr>
      <w:r>
        <w:rPr>
          <w:rFonts w:ascii="IRNazanin" w:hAnsi="IRNazanin" w:eastAsia="IRNazanin"/>
          <w:color w:val="111111"/>
          <w:sz w:val="28"/>
          <w:sz w:val="28"/>
          <w:szCs w:val="28"/>
          <w:rtl w:val="true"/>
          <w:lang w:bidi="fa-IR"/>
        </w:rPr>
        <w:t>فرزندان بزرگسال خود را به خاك و خون بكشاند چه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دشمن خدا را بيرون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خطا و لغزش‌هاى ام‌المؤمنين عايشه به اين مقدار تمام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كارنامه تاريكى از خطا دارد؛ مثل اذيت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پرخاش به حضرت، دشمنى و كدورت شديد با ام‌المؤمنين خديجه و حضرت فاطمه و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صدور فتواهاى ناصواب و بيان احاديث باطل و</w:t>
      </w:r>
      <w:r>
        <w:rPr>
          <w:rFonts w:eastAsia="IRNazanin" w:cs="IRNazanin"/>
          <w:color w:val="111111"/>
          <w:sz w:val="28"/>
          <w:szCs w:val="28"/>
          <w:rtl w:val="true"/>
          <w:lang w:bidi="fa-IR"/>
        </w:rPr>
        <w:t xml:space="preserve">. . . . </w:t>
      </w:r>
      <w:r>
        <w:rPr>
          <w:rStyle w:val="FootnoteAnchor"/>
          <w:rtl w:val="true"/>
        </w:rPr>
        <w:footnoteReference w:id="358"/>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اگرچه ام‌المؤمنين عايشه دچار خطاهاى فراوانى گشت كه تأثير سوء آن تا امروز در جامعه اسلامى مشاهده مى‌شود و نخستين جنگ داخلى و رسمى ميان مسلمانان را به راه انداخت، اما شيعه براى رعايت حرمت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هرگونه اهانت به وى اجتناب مى‌كند تا افزون بر حفظ احترام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به دست غرض‌ورزان نيفتد</w:t>
      </w:r>
      <w:r>
        <w:rPr>
          <w:rFonts w:eastAsia="IRNazanin" w:cs="IRNazanin"/>
          <w:color w:val="111111"/>
          <w:sz w:val="28"/>
          <w:szCs w:val="28"/>
          <w:rtl w:val="true"/>
          <w:lang w:bidi="fa-IR"/>
        </w:rPr>
        <w:t xml:space="preserve">. </w:t>
      </w:r>
      <w:bookmarkStart w:id="641" w:name="pg1971_8606"/>
    </w:p>
    <w:p>
      <w:pPr>
        <w:pStyle w:val="Heading2"/>
        <w:numPr>
          <w:ilvl w:val="1"/>
          <w:numId w:val="1"/>
        </w:numPr>
        <w:rPr/>
      </w:pPr>
      <w:bookmarkStart w:id="642" w:name="__RefHeading___Toc3696849_3650668749"/>
      <w:bookmarkStart w:id="643" w:name="_Toc251"/>
      <w:bookmarkEnd w:id="641"/>
      <w:bookmarkEnd w:id="642"/>
      <w:r>
        <w:rPr/>
        <w:t>۴٩</w:t>
      </w:r>
      <w:r>
        <w:rPr>
          <w:rtl w:val="true"/>
        </w:rPr>
        <w:t xml:space="preserve"> همسران پيامبر و آيه تخيير</w:t>
      </w:r>
      <w:bookmarkEnd w:id="643"/>
    </w:p>
    <w:p>
      <w:pPr>
        <w:pStyle w:val="Heading3"/>
        <w:numPr>
          <w:ilvl w:val="2"/>
          <w:numId w:val="1"/>
        </w:numPr>
        <w:rPr/>
      </w:pPr>
      <w:bookmarkStart w:id="644" w:name="__RefHeading___Toc3696851_3650668749"/>
      <w:bookmarkStart w:id="645" w:name="_Toc252"/>
      <w:bookmarkEnd w:id="644"/>
      <w:r>
        <w:rPr>
          <w:rtl w:val="true"/>
        </w:rPr>
        <w:t>اشاره</w:t>
      </w:r>
      <w:bookmarkEnd w:id="645"/>
    </w:p>
    <w:p>
      <w:pPr>
        <w:pStyle w:val="BookText"/>
        <w:rPr/>
      </w:pPr>
      <w:r>
        <w:rPr>
          <w:rFonts w:ascii="IRNazanin" w:hAnsi="IRNazanin" w:eastAsia="IRNazanin"/>
          <w:color w:val="111111"/>
          <w:sz w:val="28"/>
          <w:sz w:val="28"/>
          <w:szCs w:val="28"/>
          <w:rtl w:val="true"/>
          <w:lang w:bidi="fa-IR"/>
        </w:rPr>
        <w:t xml:space="preserve">در صفحه </w:t>
      </w:r>
      <w:r>
        <w:rPr>
          <w:rFonts w:ascii="IRNazanin" w:hAnsi="IRNazanin" w:eastAsia="IRNazanin"/>
          <w:color w:val="111111"/>
          <w:sz w:val="28"/>
          <w:sz w:val="28"/>
          <w:szCs w:val="28"/>
          <w:lang w:bidi="fa-IR"/>
        </w:rPr>
        <w:t>٧۵</w:t>
      </w:r>
      <w:r>
        <w:rPr>
          <w:rFonts w:ascii="IRNazanin" w:hAnsi="IRNazanin" w:eastAsia="IRNazanin"/>
          <w:color w:val="111111"/>
          <w:sz w:val="28"/>
          <w:sz w:val="28"/>
          <w:szCs w:val="28"/>
          <w:rtl w:val="true"/>
          <w:lang w:bidi="fa-IR"/>
        </w:rPr>
        <w:t xml:space="preserve"> در ادامه سخنانِ دوستان سنّى آن سبزى‌فروش آمده است كه خداوند درباره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النَّبِىُّ قُلْ لِأَزْواجِكَ إِنْ كُنْتُنَّ تُرِدْنَ الْحَياةَ الدُّنْيا وَ زِينَتَها فَتَعالَيْنَ أُمَتِّعْكُنَّ وَ أُسَرِّحْكُنَّ سَراحاً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كُنْتُنَّ تُرِدْنَ اللَّهَ وَ رَسُولَهُ وَ الدَّارَ الْآخِرَةَ فَإِنَّ اللَّهَ أَعَدَّ لِلْمُحْسِناتِ مِنْكُنَّ أَجْراً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زندگى دنيا و زرق و برق آن را مى‌خواهيد، بياييد با هديه‌اى شما را بهره‌مند ساخته و به نيكويى رها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خدا و پيامبرش و سراى آخرت را مى‌خواهيد، خداوند براى نيكوكاران شما، پاداش عظيمى آماده ساخته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مى‌گويد كه شيعه و سنى بر اين اتفاق دارند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هيچ‌كدام از زنان نُه‌گانه‌اش را طلاق نداد و اين آيه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كه اگر زنان او زينت دنيا را انتخاب مى‌كنند، آنها را طلاق بدهد و اگر خدا و رسول او و جهان آخرت را انتخاب كردند، آنها را براى همسرى خود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كافر و منافق زندگى آخرت را بر زندگى دنيا ترجيح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را به عقلا واگذار مى‌كنيم</w:t>
      </w:r>
      <w:r>
        <w:rPr>
          <w:rFonts w:eastAsia="IRNazanin" w:cs="IRNazanin"/>
          <w:color w:val="111111"/>
          <w:sz w:val="28"/>
          <w:szCs w:val="28"/>
          <w:rtl w:val="true"/>
          <w:lang w:bidi="fa-IR"/>
        </w:rPr>
        <w:t xml:space="preserve">. </w:t>
      </w:r>
      <w:bookmarkStart w:id="646" w:name="pg1971_8607"/>
    </w:p>
    <w:p>
      <w:pPr>
        <w:pStyle w:val="Heading3"/>
        <w:numPr>
          <w:ilvl w:val="2"/>
          <w:numId w:val="1"/>
        </w:numPr>
        <w:rPr/>
      </w:pPr>
      <w:bookmarkStart w:id="647" w:name="__RefHeading___Toc3696853_3650668749"/>
      <w:bookmarkStart w:id="648" w:name="_Toc253"/>
      <w:bookmarkEnd w:id="646"/>
      <w:bookmarkEnd w:id="647"/>
      <w:r>
        <w:rPr>
          <w:rtl w:val="true"/>
        </w:rPr>
        <w:t>پاسخ</w:t>
      </w:r>
      <w:bookmarkEnd w:id="648"/>
    </w:p>
    <w:p>
      <w:pPr>
        <w:pStyle w:val="Heading3"/>
        <w:numPr>
          <w:ilvl w:val="2"/>
          <w:numId w:val="1"/>
        </w:numPr>
        <w:rPr/>
      </w:pPr>
      <w:bookmarkStart w:id="649" w:name="__RefHeading___Toc3696855_3650668749"/>
      <w:bookmarkStart w:id="650" w:name="_Toc254"/>
      <w:bookmarkEnd w:id="649"/>
      <w:r>
        <w:rPr>
          <w:rtl w:val="true"/>
        </w:rPr>
        <w:t>شمول آيه مذكور</w:t>
      </w:r>
      <w:bookmarkEnd w:id="65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آيه، خداوند متعال همه همسرانى كه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مى‌مانند را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لِلْمُحْسِناتِ مِنْكُنَّ يعنى به نيكوكاران شما، نه آنهايى كه به راه خطا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امثال امّ‌المؤمنين عايشه از آيه مذكور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 اين قيد آن است كه كسانى كه خدا و رسول را انتخاب مى‌كنند ممكن است بعداً دچار لغزش و فريب شيطان شوند و بخواهند از موقعيت خود سوءاستفاده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احتمال نيز بعيد نيست كه برخى از بانوان يك شخصيت بزرگ براى كسب وجاهت و محبوبيت از مسائل مادى تا مدتى چشم‌پوشى كنند تا به اهداف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ادامه آيات را نيز بخوانيم تا آگاهى بيشترى از مقصود الهى و استدلال آن افراد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ادامه همان آيات قبلى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نِساءَ النَّبِيِّ مَنْ يَأْتِ مِنْكُنَّ بِفاحِشَةٍ مُبَيِّنَةٍ يُضاعَفْ لَهَا الْعَذابُ ضِعْفَيْنِ وَ كانَ ذلِكَ عَلَى اللَّهِ يَسِيراً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گناه آشكار و فاحشى مرتكب شود عذاب او دو چندان خواهد بود و اين براى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شما براى خدا و پيامبرش خضوع كند و عمل صالح</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دهد، دو برابر به او پاداش خواهيم داد و روزى پرارزشى براى او آماده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همچون يكى از </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نيستيد اگر تقوا پيشه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به‌گونه‌اى هوس انگيز سخن نگوييد كه بيمار دلان در شما طمع كنند و سخن شايسته بگوييد و در خانه‌هاى خود بمانيد و همچون دوران جاهليت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نشويد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مى‌بينيم كه در اين آيات، همه وعده‌ها و تأكيدات به سوى تقوا، عمل صالح و اطاعت خداست و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خطا مصون نشده‌اند، بلكه در صورت انجام دادن گناه بزرگ، به دو چندان شدن مجازات نيز تهديد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ام‌المؤمنين عايشه همان كسى است كه آن خطاى بزرگ،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بر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همچنين مشاركت در قتل مسلمانان و ديگر اعمال نادرست را مرتكب شده است كه خروج از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همين آيات از آن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كوچك‌ترين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ايشان داخل در مدح اين آيات باشد، درحالى‌كه سوره تحريم به مذمت ايشان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سبب بود كه ام‌المؤمنين عايشه هنگام مرگ بسيار بى‌تابى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شما بى‌تابى مى‌كنى با آنكه همسر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ام‌المؤمنين و دختر ابوبكر صديق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 جمل در گلويم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قبل از آن مرده يا فراموش شده بودم</w:t>
      </w:r>
      <w:r>
        <w:rPr>
          <w:rFonts w:eastAsia="IRNazanin" w:cs="IRNazanin"/>
          <w:color w:val="111111"/>
          <w:sz w:val="28"/>
          <w:szCs w:val="28"/>
          <w:rtl w:val="true"/>
          <w:lang w:bidi="fa-IR"/>
        </w:rPr>
        <w:t xml:space="preserve">» .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بار ديگرى نيز گفته بود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دوست داشتم درختى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دوست </w:t>
      </w:r>
    </w:p>
    <w:p>
      <w:pPr>
        <w:pStyle w:val="BookText"/>
        <w:rPr/>
      </w:pPr>
      <w:r>
        <w:rPr>
          <w:rFonts w:ascii="IRNazanin" w:hAnsi="IRNazanin" w:eastAsia="IRNazanin"/>
          <w:color w:val="111111"/>
          <w:sz w:val="28"/>
          <w:sz w:val="28"/>
          <w:szCs w:val="28"/>
          <w:rtl w:val="true"/>
          <w:lang w:bidi="fa-IR"/>
        </w:rPr>
        <w:t>داشتم پاره سنگى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داشتم خداوند مرا خلق نكرده بود</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 وفات، با تأسف،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حوادثى به وجود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از جهان رفتم مرا با ساير زنان پيامبر دفن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ذهبى از اهل سنت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مقصودش نقش بزرگ وى در حادثه جنگ جمل است</w:t>
      </w:r>
      <w:r>
        <w:rPr>
          <w:rFonts w:eastAsia="IRNazanin" w:cs="IRNazanin"/>
          <w:color w:val="111111"/>
          <w:sz w:val="28"/>
          <w:szCs w:val="28"/>
          <w:rtl w:val="true"/>
          <w:lang w:bidi="fa-IR"/>
        </w:rPr>
        <w:t xml:space="preserve">» . </w:t>
      </w:r>
      <w:r>
        <w:rPr>
          <w:rStyle w:val="FootnoteAnchor"/>
          <w:rtl w:val="true"/>
        </w:rPr>
        <w:footnoteReference w:id="361"/>
      </w:r>
      <w:bookmarkStart w:id="651" w:name="pg1971_8610"/>
    </w:p>
    <w:p>
      <w:pPr>
        <w:pStyle w:val="Heading2"/>
        <w:numPr>
          <w:ilvl w:val="1"/>
          <w:numId w:val="1"/>
        </w:numPr>
        <w:rPr/>
      </w:pPr>
      <w:bookmarkStart w:id="652" w:name="__RefHeading___Toc3696857_3650668749"/>
      <w:bookmarkStart w:id="653" w:name="_Toc255"/>
      <w:bookmarkEnd w:id="651"/>
      <w:bookmarkEnd w:id="652"/>
      <w:r>
        <w:rPr/>
        <w:t>۵٠</w:t>
      </w:r>
      <w:r>
        <w:rPr>
          <w:rtl w:val="true"/>
        </w:rPr>
        <w:t xml:space="preserve"> ازدواج پيامبر </w:t>
      </w:r>
      <w:r>
        <w:rPr>
          <w:rtl w:val="true"/>
        </w:rPr>
        <w:t>(</w:t>
      </w:r>
      <w:r>
        <w:rPr>
          <w:rtl w:val="true"/>
        </w:rPr>
        <w:t>ص</w:t>
      </w:r>
      <w:r>
        <w:rPr>
          <w:rtl w:val="true"/>
        </w:rPr>
        <w:t xml:space="preserve">) </w:t>
      </w:r>
      <w:r>
        <w:rPr>
          <w:rtl w:val="true"/>
        </w:rPr>
        <w:t>با عايشه</w:t>
      </w:r>
      <w:bookmarkEnd w:id="653"/>
    </w:p>
    <w:p>
      <w:pPr>
        <w:pStyle w:val="Heading3"/>
        <w:numPr>
          <w:ilvl w:val="2"/>
          <w:numId w:val="1"/>
        </w:numPr>
        <w:rPr/>
      </w:pPr>
      <w:bookmarkStart w:id="654" w:name="__RefHeading___Toc3696859_3650668749"/>
      <w:bookmarkStart w:id="655" w:name="_Toc256"/>
      <w:bookmarkEnd w:id="654"/>
      <w:r>
        <w:rPr>
          <w:rtl w:val="true"/>
        </w:rPr>
        <w:t>اشاره</w:t>
      </w:r>
      <w:bookmarkEnd w:id="655"/>
    </w:p>
    <w:p>
      <w:pPr>
        <w:pStyle w:val="BookText"/>
        <w:rPr/>
      </w:pPr>
      <w:r>
        <w:rPr>
          <w:rFonts w:ascii="IRNazanin" w:hAnsi="IRNazanin" w:eastAsia="IRNazanin"/>
          <w:color w:val="111111"/>
          <w:sz w:val="28"/>
          <w:sz w:val="28"/>
          <w:szCs w:val="28"/>
          <w:rtl w:val="true"/>
          <w:lang w:bidi="fa-IR"/>
        </w:rPr>
        <w:t xml:space="preserve">نويسنده در صفحه </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 xml:space="preserve"> آورده است كه شيعه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گناهان كوچك و بزرگ و از اشتباه و فراموشى معصوم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آيا ازدواج او با عايشه را اشتباه مى‌دانند؟ در ادامه نيز مى‌گويد كه آن مرد سبزى‌فروش نزد برخى علماى شيعه رفت و در مورد آيه النَّبِىُّ أَوْلى بِالْمُؤْمِنِينَ مِنْ أَنْفُسِهِمْ وَ أَزْواجُهُ أُمَّهاتُهُمْ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ولى، برخى از آنان پاسخ مناسب ندادند و برخى اعتراف كردند كه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مؤمنانند و خداوند آنها را تأييد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آن سبزى‌فروش به حج رفت و چون بازگشت، سُنّى شد</w:t>
      </w:r>
      <w:r>
        <w:rPr>
          <w:rFonts w:eastAsia="IRNazanin" w:cs="IRNazanin"/>
          <w:color w:val="111111"/>
          <w:sz w:val="28"/>
          <w:szCs w:val="28"/>
          <w:rtl w:val="true"/>
          <w:lang w:bidi="fa-IR"/>
        </w:rPr>
        <w:t>.</w:t>
      </w:r>
    </w:p>
    <w:p>
      <w:pPr>
        <w:pStyle w:val="Heading3"/>
        <w:numPr>
          <w:ilvl w:val="2"/>
          <w:numId w:val="1"/>
        </w:numPr>
        <w:rPr/>
      </w:pPr>
      <w:bookmarkStart w:id="656" w:name="__RefHeading___Toc3696861_3650668749"/>
      <w:bookmarkStart w:id="657" w:name="_Toc257"/>
      <w:bookmarkEnd w:id="656"/>
      <w:r>
        <w:rPr>
          <w:rtl w:val="true"/>
        </w:rPr>
        <w:t>پاسخ</w:t>
      </w:r>
      <w:bookmarkEnd w:id="65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افتخار شيعه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 پاك و مطهر مى‌داند كه از هر خطا و اشتباهى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از كلام نويسنده برمى‌آيد كه اهل سنت،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معصوم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همين‌گونه نيز است؛ زيرا بسيارى از آنها فقط در جنبه تبليغ احكام،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معصوم مى‌دانند نه در ديگر اقوال و افعال و براى همين است كه اقوال و افعال فراوانى را به حضرت نسبت داده كه به خطاى آن </w:t>
      </w:r>
      <w:bookmarkStart w:id="658" w:name="pg1971_8611"/>
    </w:p>
    <w:p>
      <w:pPr>
        <w:pStyle w:val="BookText"/>
        <w:rPr/>
      </w:pPr>
      <w:bookmarkEnd w:id="658"/>
      <w:r>
        <w:rPr>
          <w:rFonts w:ascii="IRNazanin" w:hAnsi="IRNazanin" w:eastAsia="IRNazanin"/>
          <w:color w:val="111111"/>
          <w:sz w:val="28"/>
          <w:sz w:val="28"/>
          <w:szCs w:val="28"/>
          <w:rtl w:val="true"/>
          <w:lang w:bidi="fa-IR"/>
        </w:rPr>
        <w:t>اعتقاد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ازدواج با عايشه مربوط به بحث گناه و خطا نيست، بلكه مربوط به شناخت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عواقب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ما معتقديم همه انبيا از خطا و گناه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همچنان‌كه حضرت نوح و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كسانى ازدواج كردند كه ناصالح بودند،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همان دليل اين كار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اهل سنت معتقدند كه آن دو پيامبر الهى اشتباه كرده‌اند؟ </w:t>
      </w:r>
      <w:r>
        <w:rPr>
          <w:rFonts w:eastAsia="IRNazanin" w:cs="IRNazanin"/>
          <w:color w:val="111111"/>
          <w:sz w:val="28"/>
          <w:szCs w:val="28"/>
          <w:rtl w:val="true"/>
          <w:lang w:bidi="fa-IR"/>
        </w:rPr>
        <w:t>!</w:t>
      </w:r>
    </w:p>
    <w:p>
      <w:pPr>
        <w:pStyle w:val="Heading3"/>
        <w:numPr>
          <w:ilvl w:val="2"/>
          <w:numId w:val="1"/>
        </w:numPr>
        <w:rPr/>
      </w:pPr>
      <w:bookmarkStart w:id="659" w:name="__RefHeading___Toc3696863_3650668749"/>
      <w:bookmarkStart w:id="660" w:name="_Toc258"/>
      <w:bookmarkEnd w:id="659"/>
      <w:r>
        <w:rPr>
          <w:rtl w:val="true"/>
        </w:rPr>
        <w:t>امتحان، سنتى الهى</w:t>
      </w:r>
      <w:bookmarkEnd w:id="660"/>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محل امتحان است و امتحان از سنت‌هاى الهى است و خداوند هرگونه بخواهد مردم را امتحان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راه‌هاى امتحان آن است كه ميان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نزديكان آنها كسانى باشند، همچون معاويه و ابوسفيان كه بهانه براى افراد بيمار دل شوند و راه حق و باطل هر دو جاذبه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بود كه راه حق و باطل كاملاً روشن و مشخص باشد كه امتحانى صورت نمى‌گرفت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سامرى باشد و گوساله او صدا كند تا مردم سست‌عنصر، بهانه پيدا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درباره قرآن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 آياتٌ مُحْكَماتٌ هُنَّ أُمُّ الْكِتابِ وَ أُخَرُ مُتَشابِهاتٌ فَأَمَّا الَّذِينَ فِي قُلُوبِهِمْ زَيْغٌ فَيَتَّبِعُونَ ما تَشابَهَ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بخشى از آن، آيات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اساس اين كتاب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پيچيدگى آيات ديگر را برطرف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بخشى </w:t>
      </w:r>
    </w:p>
    <w:p>
      <w:pPr>
        <w:pStyle w:val="BookText"/>
        <w:rPr/>
      </w:pPr>
      <w:r>
        <w:rPr>
          <w:rFonts w:ascii="IRNazanin" w:hAnsi="IRNazanin" w:eastAsia="IRNazanin"/>
          <w:color w:val="111111"/>
          <w:sz w:val="28"/>
          <w:sz w:val="28"/>
          <w:szCs w:val="28"/>
          <w:rtl w:val="true"/>
          <w:lang w:bidi="fa-IR"/>
        </w:rPr>
        <w:t xml:space="preserve">ديگر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پيچده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كه در قلوبشان انحراف است، به دنبال آيات متشابه‌اند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امتحان شوند و براى اين امتحان، يكى از ابزارها همسران پيامبرند؛ همان‌ها كه نام ام‌المؤمنين براى آنها انتخاب شده‌است تا مشخص شود آيا مردم، به دنبال عقل و دين و دستورات آن حركت مى‌كنند كه حكم به پيروى از امام بر حق، اميرالمؤمنين دارد يا به دنبال هوا و هوس و احساسات و تعصب كور مى‌روند و فريب عنوان همسر پيامبر بودن و عنوان ام‌المؤمنين يا صحابى بودن را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مدفوع شتر عايشه را جمع مى‌كردند و با دست مى‌شكافتند و مى‌بوييدند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بنازيم بر مدفوع شتر مادرمان عايشه كه بوى مشك از آن به مشام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چه بوى عطر جان‌فزايى از آن برمى‌خيزد</w:t>
      </w:r>
      <w:r>
        <w:rPr>
          <w:rFonts w:eastAsia="IRNazanin" w:cs="IRNazanin"/>
          <w:color w:val="111111"/>
          <w:sz w:val="28"/>
          <w:szCs w:val="28"/>
          <w:rtl w:val="true"/>
          <w:lang w:bidi="fa-IR"/>
        </w:rPr>
        <w:t xml:space="preserve">!» . </w:t>
      </w:r>
      <w:r>
        <w:rPr>
          <w:rStyle w:val="FootnoteAnchor"/>
          <w:rtl w:val="true"/>
        </w:rPr>
        <w:footnoteReference w:id="362"/>
      </w:r>
      <w:r>
        <w:rPr>
          <w:rFonts w:ascii="Amiri" w:hAnsi="Amiri" w:eastAsia="Amiri" w:cs="Amiri"/>
          <w:color w:val="111111"/>
          <w:sz w:val="28"/>
          <w:sz w:val="28"/>
          <w:szCs w:val="28"/>
          <w:rtl w:val="true"/>
          <w:lang w:bidi="ar-SA"/>
        </w:rPr>
        <w:t xml:space="preserve">آرى، بايد عايشه با همين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كه مردِ اَزْدى در جَمَل شعار دهد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اُمَّنا يا خَيْرَ امٍّ نَعْلَمُ</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مادر ما، اى بهترين مادرى كه مى‌شناسيم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ديگرى از سپاه عايشه، در آخرين رمق كه مجروح افتاده بود شعرى به اين مضمون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ما عايشه، ما را به مرگ كشانيد و ما از فرمان وى روگردان نبوديم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گفتنى است كه راوى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گفتم كه حالا چه وقت شعر خواندن است، لا اله الاّ الله بگو، شهادتين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w:t>
      </w:r>
    </w:p>
    <w:p>
      <w:pPr>
        <w:pStyle w:val="BookText"/>
        <w:rPr/>
      </w:pPr>
      <w:r>
        <w:rPr>
          <w:rFonts w:ascii="IRNazanin" w:hAnsi="IRNazanin" w:eastAsia="IRNazanin"/>
          <w:color w:val="111111"/>
          <w:sz w:val="28"/>
          <w:sz w:val="28"/>
          <w:szCs w:val="28"/>
          <w:rtl w:val="true"/>
          <w:lang w:bidi="fa-IR"/>
        </w:rPr>
        <w:t>پسر زن گنديده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مى‌خواهى هنگام مرگ، اظهار عجز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خواست تا شهادتين را به او تلقين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نزديك‌تر بيا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نزديك او كه شدم ناگهان برجست و لاله گوشم را با دندان گرفت و از بيخ كند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پيش مادرت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رفتى و از تو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تو را به اين روز سياه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عمير بن اهلب ضبى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همان‌كه از عايشه، آن زن رياست‌طلب گول خورد</w:t>
      </w:r>
      <w:r>
        <w:rPr>
          <w:rFonts w:eastAsia="IRNazanin" w:cs="IRNazanin"/>
          <w:color w:val="111111"/>
          <w:sz w:val="28"/>
          <w:szCs w:val="28"/>
          <w:rtl w:val="true"/>
          <w:lang w:bidi="fa-IR"/>
        </w:rPr>
        <w:t xml:space="preserve">» .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اين‌گونه بود كه عايشه توانست در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سرشناس را كه اعلام بى‌طرفى كرده و در خانه نشسته بود، به پشتيبانى خود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وقتى با او سخن گفت و از پاسخ مثبت وى مأيوس گرديد،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مادر تو نيستم كه بر تو حق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چنان طوفانى درون كعب ايجاد كرد كه با عايشه هماهنگ شد و به دنبال او، قبيله ازد كه مهم‌ترين قبيله بصره بود با او همراه شدند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آرى، عايشه بهترين فرصت براى مخالفان بود تا با آن سابقه و عنوان و كينه‌اى كه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سبب انحراف مردم گردد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نوشته‌اند روزى عمرو بن عاص به عايشه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دوست داشتم كه تو در جنگ جمل كشته مى‌شدى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اى بى‌پدر؟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bookmarkStart w:id="661" w:name="pg1971_8614"/>
    </w:p>
    <w:p>
      <w:pPr>
        <w:pStyle w:val="BookText"/>
        <w:rPr/>
      </w:pPr>
      <w:bookmarkEnd w:id="6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اجل خود مرده بودى و به بهشت مى‌رفتى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مى‌توانستيم قتل تو را بزرگ‌ترين بهانه براى كوبيدن جبهه علوى قرار دهيم</w:t>
      </w:r>
      <w:r>
        <w:rPr>
          <w:rFonts w:eastAsia="IRNazanin" w:cs="IRNazanin"/>
          <w:color w:val="111111"/>
          <w:sz w:val="28"/>
          <w:szCs w:val="28"/>
          <w:rtl w:val="true"/>
          <w:lang w:bidi="fa-IR"/>
        </w:rPr>
        <w:t xml:space="preserve">. </w:t>
      </w:r>
      <w:r>
        <w:rPr>
          <w:rStyle w:val="FootnoteAnchor"/>
          <w:rtl w:val="true"/>
        </w:rPr>
        <w:footnoteReference w:id="366"/>
      </w:r>
    </w:p>
    <w:p>
      <w:pPr>
        <w:pStyle w:val="Heading3"/>
        <w:numPr>
          <w:ilvl w:val="2"/>
          <w:numId w:val="1"/>
        </w:numPr>
        <w:rPr/>
      </w:pPr>
      <w:bookmarkStart w:id="662" w:name="__RefHeading___Toc3696865_3650668749"/>
      <w:bookmarkStart w:id="663" w:name="_Toc259"/>
      <w:bookmarkEnd w:id="662"/>
      <w:r>
        <w:rPr>
          <w:rtl w:val="true"/>
        </w:rPr>
        <w:t>انحراف سبزى‌فروش شيعه و هدايت عالم بزرگ اهل سنت</w:t>
      </w:r>
      <w:bookmarkEnd w:id="663"/>
    </w:p>
    <w:p>
      <w:pPr>
        <w:pStyle w:val="BookText"/>
        <w:rPr/>
      </w:pPr>
      <w:r>
        <w:rPr>
          <w:rFonts w:ascii="IRNazanin" w:hAnsi="IRNazanin" w:eastAsia="IRNazanin"/>
          <w:color w:val="111111"/>
          <w:sz w:val="28"/>
          <w:sz w:val="28"/>
          <w:szCs w:val="28"/>
          <w:rtl w:val="true"/>
          <w:lang w:bidi="fa-IR"/>
        </w:rPr>
        <w:t>در پايان عرض مى‌كنم كه ادعاى انحراف يك فرد عادى سبزى‌فروش از شيعه با وسوسه‌هاى برخى از مخالفان، بر هيچ مسئله‌اى دلالت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كه كسى بتواند با علماى بزرگ مذهبى به بحث بنشيند و آنها را قانع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آن است كه عدّه زيادى از تحصيل‌كردگان اهل سنت،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الوردانى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حسين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راه اهل بيت را با تحقيق و بررسى پذيرفتند يا شخصى، مانند علامه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مرعى الأمين انطاكى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عمرى تحقيق و گرفتن مدارك از انديشمندان الأزهر و حجاز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 تأمل در ادله شيعه اماميه و به ويژه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شيفته دلايل قاطع پيروان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به مذهب حق مى‌گرود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كتابى كه به همين سبب نگاشته 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آن روز كه كتاب را خواندم، آن را به برادرم علامه يگانه، شيخ احمد امين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كتابى از شيعه، از نويسنده شيعه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دورش كن كه از</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كتاب‌هاى ضلال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شيعه و عقايد آنان خوشم نمى‌آيد</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بگير و بخوان؛ ولى عمل نكن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 و با دقت خواند و مثل من به حقانيت مذهب شيعه اعتراف كرد و شيعه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عده فراوانى از برادران اهل سنت، از سوريه، لبنان، تركيه و جاهاى ديگر شيعه شدند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والحمدلله اولاً و آخراً</w:t>
      </w:r>
    </w:p>
    <w:p>
      <w:pPr>
        <w:pStyle w:val="BookText"/>
        <w:rPr/>
      </w:pPr>
      <w:r>
        <w:rPr>
          <w:rFonts w:ascii="IRNazanin" w:hAnsi="IRNazanin" w:eastAsia="IRNazanin"/>
          <w:color w:val="111111"/>
          <w:sz w:val="28"/>
          <w:sz w:val="28"/>
          <w:szCs w:val="28"/>
          <w:rtl w:val="true"/>
          <w:lang w:bidi="fa-IR"/>
        </w:rPr>
        <w:t xml:space="preserve">سوم جمادى </w:t>
      </w:r>
      <w:r>
        <w:rPr>
          <w:rFonts w:ascii="IRNazanin" w:hAnsi="IRNazanin" w:eastAsia="IRNazanin"/>
          <w:color w:val="111111"/>
          <w:sz w:val="28"/>
          <w:sz w:val="28"/>
          <w:szCs w:val="28"/>
          <w:lang w:bidi="fa-IR"/>
        </w:rPr>
        <w:t>١۴٢٩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شهادت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4" w:name="pg1971_8617"/>
      <w:bookmarkStart w:id="665" w:name="pg1971_8617"/>
      <w:bookmarkEnd w:id="665"/>
    </w:p>
    <w:p>
      <w:pPr>
        <w:pStyle w:val="Heading2"/>
        <w:numPr>
          <w:ilvl w:val="1"/>
          <w:numId w:val="1"/>
        </w:numPr>
        <w:rPr/>
      </w:pPr>
      <w:bookmarkStart w:id="666" w:name="pg1971_8617"/>
      <w:bookmarkStart w:id="667" w:name="__RefHeading___Toc3696867_3650668749"/>
      <w:bookmarkStart w:id="668" w:name="_Toc260"/>
      <w:bookmarkEnd w:id="666"/>
      <w:bookmarkEnd w:id="667"/>
      <w:r>
        <w:rPr>
          <w:rtl w:val="true"/>
        </w:rPr>
        <w:t>كتابنامه</w:t>
      </w:r>
      <w:bookmarkEnd w:id="668"/>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الاتقان فى علوم القرآن، جلال الدين عبدالرحمان السيوطى، بيروت، دارالكتب العلميه، </w:t>
      </w:r>
      <w:r>
        <w:rPr>
          <w:rFonts w:ascii="Amiri" w:hAnsi="Amiri" w:eastAsia="Amiri" w:cs="Amiri"/>
          <w:color w:val="111111"/>
          <w:sz w:val="28"/>
          <w:sz w:val="28"/>
          <w:szCs w:val="28"/>
          <w:lang w:bidi="ar-SA"/>
        </w:rPr>
        <w:t>١٩٨٧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الوصية للامام على بن ابى‌طالب، على بن الحسين المسعودى، چاپ دوم، بيروت، دارالاضواء،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 در مقابل نص، عبدالحسين شرف الدين،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دوانى، قم، جامعه مدرسين،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على اهل اللجاج، ابومنصور احمد بن على بن ابى‌طالب الطبرسى، مشهد، نشر المرتضى،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ابوعبدالله محمد بن النعمان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الغفارى، قم، منشورات جامعة المدرسين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معرفة الرجال، ابوجعفر محمد بن الحسن الطوسى،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المصطفوى، مشهد، انتشارات دانشگاه مشهد، </w:t>
      </w:r>
      <w:r>
        <w:rPr>
          <w:rFonts w:ascii="IRNazanin" w:hAnsi="IRNazanin" w:eastAsia="IRNazanin"/>
          <w:color w:val="111111"/>
          <w:sz w:val="28"/>
          <w:sz w:val="28"/>
          <w:szCs w:val="28"/>
          <w:lang w:bidi="fa-IR"/>
        </w:rPr>
        <w:t>١٣۴٨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فى معرفة حجج الله على العباد، ابوعبدالله محمد بن النعمان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مؤسسة الاعلمى للمطبوعات،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ابوجعفر محمد بن الحسن الطوسى، بيروت، دارالتعارف، </w:t>
      </w:r>
      <w:r>
        <w:rPr>
          <w:rFonts w:ascii="Amiri" w:hAnsi="Amiri" w:eastAsia="Amiri" w:cs="Amiri"/>
          <w:color w:val="111111"/>
          <w:sz w:val="28"/>
          <w:sz w:val="28"/>
          <w:szCs w:val="28"/>
          <w:lang w:bidi="ar-SA"/>
        </w:rPr>
        <w:t>١٣٩٠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فى معرفة الصحابة، ابوالحسن على بن محمد بن الاثير الجزرى، بيروت، دارالفكر،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الاصابة فى تمييز الصحابه، شهاب الدين احمد بن على بن حجر العسقلانى، بيروت، دارالفكر العربى،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اضواء على السنة المحمدية، محمد ابو ريه، القاهر، دارالكتاب الاسلامى،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الهدايه، جمع من المؤلفين، قم، المجمع العالمى لاهل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١۴٢٧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ابوجعفر محمد بن يعقوب الكلينى،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تهران، دارالكتب الاسلاميه، </w:t>
      </w:r>
      <w:r>
        <w:rPr>
          <w:rFonts w:ascii="Amiri" w:hAnsi="Amiri" w:eastAsia="Amiri" w:cs="Amiri"/>
          <w:color w:val="111111"/>
          <w:sz w:val="28"/>
          <w:sz w:val="28"/>
          <w:szCs w:val="28"/>
          <w:lang w:bidi="ar-SA"/>
        </w:rPr>
        <w:t>١٣۶٢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الكبير، سليمان بن احمد الطبرانى، چاپ دوم، بيروت، دار احياء التراث العربى،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الصادق و المذاهب الاربعه، اسد حيدر، بيروت، دارالتعارف للمطبوعات،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الجامعة العلوم الائمه الاطهار، محمد باقر مجلسى، چاپ سوم، بيروت، داراحياء التراث العربى، </w:t>
      </w:r>
      <w:r>
        <w:rPr>
          <w:rFonts w:ascii="IRNazanin" w:hAnsi="IRNazanin" w:eastAsia="IRNazanin"/>
          <w:color w:val="111111"/>
          <w:sz w:val="28"/>
          <w:sz w:val="28"/>
          <w:szCs w:val="28"/>
          <w:lang w:bidi="fa-IR"/>
        </w:rPr>
        <w:t>١۴٠٣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الكبرى فى فضائل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ابوجعفر محمد بن الحسن الصفار القمى، تهران، مؤسسة الاعلمى،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فى تفسير القرآن، سيد ابوالقاسم الخويى، تهران، انوارالهدى،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 من جواهر القاموس، محمد مرتضى الزبيدى، بيروت، دار مكتبة احياء،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جلال الدين عبدالرحمان السيوطى، بيروت، دارالقلم، </w:t>
      </w:r>
      <w:r>
        <w:rPr>
          <w:rFonts w:ascii="Amiri" w:hAnsi="Amiri" w:eastAsia="Amiri" w:cs="Amiri"/>
          <w:color w:val="111111"/>
          <w:sz w:val="28"/>
          <w:sz w:val="28"/>
          <w:szCs w:val="28"/>
          <w:lang w:bidi="ar-SA"/>
        </w:rPr>
        <w:t>١۴٠١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الطبرى، ابوجعفر محمد بن جرير الطبرى،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قاهره، دارالمعارف، </w:t>
      </w:r>
      <w:r>
        <w:rPr>
          <w:rFonts w:ascii="Amiri" w:hAnsi="Amiri" w:eastAsia="Amiri" w:cs="Amiri"/>
          <w:color w:val="111111"/>
          <w:sz w:val="28"/>
          <w:sz w:val="28"/>
          <w:szCs w:val="28"/>
          <w:lang w:bidi="ar-SA"/>
        </w:rPr>
        <w:t>١٩٧٩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شمس الدين ابوالمظفر بن جذرى، بيروت، مؤسسة اهل‌البيت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نمونه، مكارم شيرازى و همكاران، تطهران، دارالكتب الاسلاميه، </w:t>
      </w:r>
      <w:r>
        <w:rPr>
          <w:rFonts w:ascii="Amiri" w:hAnsi="Amiri" w:eastAsia="Amiri" w:cs="Amiri"/>
          <w:color w:val="111111"/>
          <w:sz w:val="28"/>
          <w:sz w:val="28"/>
          <w:szCs w:val="28"/>
          <w:lang w:bidi="ar-SA"/>
        </w:rPr>
        <w:t>١٣۶٧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 عبدالله المامقانى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شهاب الدين احمد بن على بن حجر، بيروت، دارالفكر،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فى اسماء الرجال، جمال الدين يوسف المزى، بيروت، موسسة الرساله،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الدرالمنثور فى التفسير المأثور، جلال الدين عبدالرحمان السيوطى، قم، مكتبة المرعشى النجفى،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الامامه، ابوجعفر محمد بن جرير الطبرى، مشهد، انتشارات آستان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قدس رضوى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الصدق، محمد حسن المظفر، تهران، مكتبة النجاة،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اعلام النبلاء، شمس الدين ابوعبدالله محمد بن احمد بن عثمان الذهبى، بيروت، مؤسسة الرساله، </w:t>
      </w:r>
      <w:r>
        <w:rPr>
          <w:rFonts w:ascii="Amiri" w:hAnsi="Amiri" w:eastAsia="Amiri" w:cs="Amiri"/>
          <w:color w:val="111111"/>
          <w:sz w:val="28"/>
          <w:sz w:val="28"/>
          <w:szCs w:val="28"/>
          <w:lang w:bidi="ar-SA"/>
        </w:rPr>
        <w:t>١۴٠٢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عقائد النسفيه، سعدالدين تفتازانى، مصر، مكتبة الكليات الازهرية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عز الدين عبدالحميد بن هبة الله بن ابى‌الحديد، مصر، داراحياء الكتب العربيه، </w:t>
      </w:r>
      <w:r>
        <w:rPr>
          <w:rFonts w:ascii="Amiri" w:hAnsi="Amiri" w:eastAsia="Amiri" w:cs="Amiri"/>
          <w:color w:val="111111"/>
          <w:sz w:val="28"/>
          <w:sz w:val="28"/>
          <w:szCs w:val="28"/>
          <w:lang w:bidi="ar-SA"/>
        </w:rPr>
        <w:t>١٣٧٨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محمد بن اسماعيل البخارى، بيروت، دارالقلم،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شرح النووى، ابوالحسين مسلم بن الحجّاج النيشابورى، بيروت، دارالكتاب العربى،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فى الرد على اهل البدعة والزنادقه، شهاب الدين احمدبن على بن حجر، مصر مكتبة القاهره، </w:t>
      </w:r>
      <w:r>
        <w:rPr>
          <w:rFonts w:ascii="Amiri" w:hAnsi="Amiri" w:eastAsia="Amiri" w:cs="Amiri"/>
          <w:color w:val="111111"/>
          <w:sz w:val="28"/>
          <w:sz w:val="28"/>
          <w:szCs w:val="28"/>
          <w:lang w:bidi="ar-SA"/>
        </w:rPr>
        <w:t>١٣٨۵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محمد بن سعد كاتب واقدى، چاپ دوم، بيروت، دارالكتب العلميه، </w:t>
      </w:r>
      <w:r>
        <w:rPr>
          <w:rFonts w:ascii="IRNazanin" w:hAnsi="IRNazanin" w:eastAsia="IRNazanin"/>
          <w:color w:val="111111"/>
          <w:sz w:val="28"/>
          <w:sz w:val="28"/>
          <w:szCs w:val="28"/>
          <w:lang w:bidi="fa-IR"/>
        </w:rPr>
        <w:t>١۴١٨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القارى، محمود بن احمد بدرالدين، بيروت، داراحياء التراث العربى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عوالم العلوم و المعارف و الاحوال، الشيخ عبدالله البحرانى، قم، مؤسسة الامام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 ابوجعفر محمد بن على بن الحسين بن بابويه، تهران،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منشورات جهان، بى‌تا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 فى الكتاب و السنة و الادب، عبدالحسين بن احمد الامينى، چاپ سوم، بيروت، دارالكتب العربى،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ابوجعفر محمد بن الحسن الطوسى، تهران، مكتبة نينوى،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المختارة من العيون و المحاسن، ابوعبدالله محمد بن النعمان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دارالاضواء،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المهمه فى تأليف الامه، السيد عبدالحسين شرف الدين، قسم الإعلام الخارجى لمؤسسة البعثه،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الرجال، محمد تقى التسترى، قم، مؤسسة النشر الاسلامى،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سليم بن قيس هلالى، قم، انتشارات الهادى،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ابوالقاسم جعفر بن محمد بن قولويه، النجف الاشرف، المطبعة المرتضويه، </w:t>
      </w:r>
      <w:r>
        <w:rPr>
          <w:rFonts w:ascii="Amiri" w:hAnsi="Amiri" w:eastAsia="Amiri" w:cs="Amiri"/>
          <w:color w:val="111111"/>
          <w:sz w:val="28"/>
          <w:sz w:val="28"/>
          <w:szCs w:val="28"/>
          <w:lang w:bidi="ar-SA"/>
        </w:rPr>
        <w:t>١٣۵۶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فى التاريخ، ابوالحسن على بن محمد بن الاثير الجزرى، بيروت، دارصادر، </w:t>
      </w:r>
      <w:r>
        <w:rPr>
          <w:rFonts w:ascii="Amiri" w:hAnsi="Amiri" w:eastAsia="Amiri" w:cs="Amiri"/>
          <w:color w:val="111111"/>
          <w:sz w:val="28"/>
          <w:sz w:val="28"/>
          <w:szCs w:val="28"/>
          <w:lang w:bidi="ar-SA"/>
        </w:rPr>
        <w:t>١٣۵٨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 تمام النعمه، ابوجعفر محمد بن على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مؤسسة النشر الاسلامى،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 شهاب الدين احمد بن على بن حجر، بيروت، دارالفكر،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١۴٠٧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۵٠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و منبع الفوائد، على بن ابى بكر الهيثمى، چاپ اول، بيروت، دارالفكر،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المحلّى، ابو محمد على بن احمد بن سعيد 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و مستنبط المسائل، ميرزار حسين النورى، بيروت، موسسة آل البيت لاحياء التراث،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 احمد بن محمد بن حنبل، بيروت، داراحياء التراث العربى،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السئول فى مناقب آل الرسول، ابوسالم محمد بن طلحة كمال الدين النصيبى الشافعى، تهران، طبع حجرى، </w:t>
      </w:r>
      <w:r>
        <w:rPr>
          <w:rFonts w:ascii="Amiri" w:hAnsi="Amiri" w:eastAsia="Amiri" w:cs="Amiri"/>
          <w:color w:val="111111"/>
          <w:sz w:val="28"/>
          <w:sz w:val="28"/>
          <w:szCs w:val="28"/>
          <w:lang w:bidi="ar-SA"/>
        </w:rPr>
        <w:t>١٣٨٧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و تفصيل طبقات الرواة، سيد ابوالقاسم الخويى، بيروت، دارالزهراء، </w:t>
      </w:r>
      <w:r>
        <w:rPr>
          <w:rFonts w:ascii="Amiri" w:hAnsi="Amiri" w:eastAsia="Amiri" w:cs="Amiri"/>
          <w:color w:val="111111"/>
          <w:sz w:val="28"/>
          <w:sz w:val="28"/>
          <w:szCs w:val="28"/>
          <w:lang w:bidi="ar-SA"/>
        </w:rPr>
        <w:t>١۴٠٢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المغنى، ابو محمد عبدالله بن احمد بن محمد بن قدامه، القاهره، داراحياء الكتب العربيه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ابوجعفر محمد بن على بن شهر آشوب، بيروت، دارالاضواء،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 فى نقد الرجال، شمس الدين ابوعبدالله محمد بن احمد بن عثمان الذهبى، بيروت، دارالفكر،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المهموم، شيخ عباس قمى، قم، مكتبة بصيرتى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عايشه در تاريخ اسلام، سيد مرتضى عسكرى، تهران، انتشارات منير، بى‌تا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الميسار، عرفان بن سليم، بيروت، المكتبة العصريه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۶٢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الشريف الرضى، جمع آورى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صبحى صالح، بيروت، دارالكتب اللبنانى، </w:t>
      </w:r>
      <w:r>
        <w:rPr>
          <w:rFonts w:ascii="Amiri" w:hAnsi="Amiri" w:eastAsia="Amiri" w:cs="Amiri"/>
          <w:color w:val="111111"/>
          <w:sz w:val="28"/>
          <w:sz w:val="28"/>
          <w:szCs w:val="28"/>
          <w:lang w:bidi="ar-SA"/>
        </w:rPr>
        <w:t>١٣٨٧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الشيعه، ابومحمد الحسن بن على الحرانى،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الغفارى، قم، مؤسسة النشر الاسلامى،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طبرانى،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 سيوطى، ص</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ابن عساكر،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مسعودى، ص</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هيثمى،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القرآن، غرامى شافعى، ص </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عبدالحسين امينى،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xml:space="preserve"> به نقل از شعرانى در الطبقات الكبرى</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عبدالحسين امينى،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١٧٢</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xml:space="preserve"> به نقل از شعرانى در الطبقات الكبرى</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سيد شرف الدين، ص</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ابن حجر عسقلانى،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٣١٨</w:t>
      </w:r>
      <w:r>
        <w:rPr>
          <w:rFonts w:ascii="IRNazanin" w:hAnsi="IRNazanin" w:eastAsia="IRNazanin"/>
          <w:b w:val="false"/>
          <w:b w:val="false"/>
          <w:bCs w:val="false"/>
          <w:i w:val="false"/>
          <w:i w:val="false"/>
          <w:iCs w:val="false"/>
          <w:color w:val="333333"/>
          <w:sz w:val="20"/>
          <w:sz w:val="20"/>
          <w:szCs w:val="20"/>
          <w:rtl w:val="true"/>
        </w:rPr>
        <w:t>؛ اسدالغابه، ابن الاثير،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المسند، احمدبن حنبل،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١۴۴</w:t>
      </w:r>
      <w:r>
        <w:rPr>
          <w:rFonts w:ascii="IRNazanin" w:hAnsi="IRNazanin" w:eastAsia="IRNazanin"/>
          <w:b w:val="false"/>
          <w:b w:val="false"/>
          <w:bCs w:val="false"/>
          <w:i w:val="false"/>
          <w:i w:val="false"/>
          <w:iCs w:val="false"/>
          <w:color w:val="333333"/>
          <w:sz w:val="20"/>
          <w:sz w:val="20"/>
          <w:szCs w:val="20"/>
          <w:rtl w:val="true"/>
        </w:rPr>
        <w:t>؛ الغدير،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ص </w:t>
      </w:r>
      <w:r>
        <w:rPr>
          <w:rFonts w:ascii="IRNazanin" w:hAnsi="IRNazanin" w:eastAsia="IRNazanin"/>
          <w:b w:val="false"/>
          <w:b w:val="false"/>
          <w:bCs w:val="false"/>
          <w:i w:val="false"/>
          <w:i w:val="false"/>
          <w:iCs w:val="false"/>
          <w:color w:val="333333"/>
          <w:sz w:val="20"/>
          <w:sz w:val="20"/>
          <w:szCs w:val="20"/>
        </w:rPr>
        <w:t>۴۵٢</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الطبرى،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محمدتقى تسترى،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٣٠۴</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۴٧٧</w:t>
      </w:r>
      <w:r>
        <w:rPr>
          <w:rFonts w:ascii="IRNazanin" w:hAnsi="IRNazanin" w:eastAsia="IRNazanin"/>
          <w:b w:val="false"/>
          <w:b w:val="false"/>
          <w:bCs w:val="false"/>
          <w:i w:val="false"/>
          <w:i w:val="false"/>
          <w:iCs w:val="false"/>
          <w:color w:val="333333"/>
          <w:sz w:val="20"/>
          <w:sz w:val="20"/>
          <w:szCs w:val="20"/>
          <w:rtl w:val="true"/>
        </w:rPr>
        <w:t xml:space="preserve">؛ الكامل، ابن اثير،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٣٧٢</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نصر بن مزاحم، ص </w:t>
      </w:r>
      <w:r>
        <w:rPr>
          <w:rFonts w:ascii="IRNazanin" w:hAnsi="IRNazanin" w:eastAsia="IRNazanin"/>
          <w:b w:val="false"/>
          <w:b w:val="false"/>
          <w:bCs w:val="false"/>
          <w:i w:val="false"/>
          <w:i w:val="false"/>
          <w:iCs w:val="false"/>
          <w:color w:val="333333"/>
          <w:sz w:val="20"/>
          <w:sz w:val="20"/>
          <w:szCs w:val="20"/>
        </w:rPr>
        <w:t>١١۵</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٣٩۶</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مجلسى، ج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٢٩۴</w:t>
      </w:r>
      <w:r>
        <w:rPr>
          <w:rFonts w:ascii="IRNazanin" w:hAnsi="IRNazanin" w:eastAsia="IRNazanin"/>
          <w:b w:val="false"/>
          <w:b w:val="false"/>
          <w:bCs w:val="false"/>
          <w:i w:val="false"/>
          <w:i w:val="false"/>
          <w:iCs w:val="false"/>
          <w:color w:val="333333"/>
          <w:sz w:val="20"/>
          <w:sz w:val="20"/>
          <w:szCs w:val="20"/>
          <w:rtl w:val="true"/>
        </w:rPr>
        <w:t xml:space="preserve"> به نقل از تاريخ ابن عساكر،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١١۵</w:t>
      </w:r>
      <w:r>
        <w:rPr>
          <w:rFonts w:ascii="IRNazanin" w:hAnsi="IRNazanin" w:eastAsia="IRNazanin"/>
          <w:b w:val="false"/>
          <w:b w:val="false"/>
          <w:bCs w:val="false"/>
          <w:i w:val="false"/>
          <w:i w:val="false"/>
          <w:iCs w:val="false"/>
          <w:color w:val="333333"/>
          <w:sz w:val="20"/>
          <w:sz w:val="20"/>
          <w:szCs w:val="20"/>
          <w:rtl w:val="true"/>
        </w:rPr>
        <w:t xml:space="preserve">؛ تاريخ بغداد، خطيب بغدادى،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ذهبى،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۴٧۵</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يوسف النمرى،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ذهبى،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۶٨۴</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تاريخ‌نويسان و سيره‌نويسان حوادث سال چهل، مشروح حادثه را ذكر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عقائد النسفية، ص </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تتمة المنتهى،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٣٨۵</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صص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۴٧۵</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حميدى، ح </w:t>
      </w:r>
      <w:r>
        <w:rPr>
          <w:rFonts w:ascii="IRNazanin" w:hAnsi="IRNazanin" w:eastAsia="IRNazanin"/>
          <w:b w:val="false"/>
          <w:b w:val="false"/>
          <w:bCs w:val="false"/>
          <w:i w:val="false"/>
          <w:i w:val="false"/>
          <w:iCs w:val="false"/>
          <w:color w:val="333333"/>
          <w:sz w:val="20"/>
          <w:sz w:val="20"/>
          <w:szCs w:val="20"/>
        </w:rPr>
        <w:t>٢۶٧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محمد بن اسماعيل البخارى،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صحيح البخارى،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ابن سعد،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٧۶</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حافظ محمد بن موسى الشيرازى به نقل از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تفسير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محمدحسن مظفر،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هيتمى،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مكارم شيرازى،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ابن الاثير،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٢٢٧</w:t>
      </w:r>
      <w:r>
        <w:rPr>
          <w:rFonts w:ascii="IRNazanin" w:hAnsi="IRNazanin" w:eastAsia="IRNazanin"/>
          <w:b w:val="false"/>
          <w:b w:val="false"/>
          <w:bCs w:val="false"/>
          <w:i w:val="false"/>
          <w:i w:val="false"/>
          <w:iCs w:val="false"/>
          <w:color w:val="333333"/>
          <w:sz w:val="20"/>
          <w:sz w:val="20"/>
          <w:szCs w:val="20"/>
          <w:rtl w:val="true"/>
        </w:rPr>
        <w:t xml:space="preserve">؛ و در آنجا ذكر گرديده كه ثعلبه بعداً پشيمان شد و زكات خود را آورد، اما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زنده بود از گرفتن آن خوددارى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وفات پيامبر، ابوبكر، عمر و عثمان نيز با وجود اصرار ثعلبه از گرفتن آن خوددارى كردند تا اينكه وى در زمان عثمان از دنيا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 آنكه برخى از اهل سنت، مثل ابن حجر كه اين جريان را با مسئله عدالت صحابه و حديث بهشتى بودن اهل بدر، منافى ديده‌اند به فكر چاره‌جويى افتاده و در اينكه اين ثعلبه همان باشد، ترديدكرده‌اند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عبدالله مامقانى،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٣٠۴</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۴٢٨</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٢۴٧</w:t>
      </w:r>
      <w:r>
        <w:rPr>
          <w:rFonts w:ascii="IRNazanin" w:hAnsi="IRNazanin" w:eastAsia="IRNazanin"/>
          <w:b w:val="false"/>
          <w:b w:val="false"/>
          <w:bCs w:val="false"/>
          <w:i w:val="false"/>
          <w:i w:val="false"/>
          <w:iCs w:val="false"/>
          <w:color w:val="333333"/>
          <w:sz w:val="20"/>
          <w:sz w:val="20"/>
          <w:szCs w:val="20"/>
          <w:rtl w:val="true"/>
        </w:rPr>
        <w:t xml:space="preserve">؛ تهذيب الكمال، ج، ص </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حاكم در المستدرك،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۴٨٢</w:t>
      </w:r>
      <w:r>
        <w:rPr>
          <w:rFonts w:ascii="IRNazanin" w:hAnsi="IRNazanin" w:eastAsia="IRNazanin"/>
          <w:b w:val="false"/>
          <w:b w:val="false"/>
          <w:bCs w:val="false"/>
          <w:i w:val="false"/>
          <w:i w:val="false"/>
          <w:iCs w:val="false"/>
          <w:color w:val="333333"/>
          <w:sz w:val="20"/>
          <w:sz w:val="20"/>
          <w:szCs w:val="20"/>
          <w:rtl w:val="true"/>
        </w:rPr>
        <w:t>، حديث را داراى شرط شيخين و صحيح دانسته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۴٢٨</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٢۴٧</w:t>
      </w:r>
      <w:r>
        <w:rPr>
          <w:rFonts w:ascii="IRNazanin" w:hAnsi="IRNazanin" w:eastAsia="IRNazanin"/>
          <w:b w:val="false"/>
          <w:b w:val="false"/>
          <w:bCs w:val="false"/>
          <w:i w:val="false"/>
          <w:i w:val="false"/>
          <w:iCs w:val="false"/>
          <w:color w:val="333333"/>
          <w:sz w:val="20"/>
          <w:sz w:val="20"/>
          <w:szCs w:val="20"/>
          <w:rtl w:val="true"/>
        </w:rPr>
        <w:t xml:space="preserve">؛ تهذيب الكمال، ج، ص </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وفيات الاعيان، ابن خلكان؛ الكامل فى التاريخ؛ كنزالعمال، متقى هندى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١٩۶</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٨١٠</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باكلان، ص </w:t>
      </w:r>
      <w:r>
        <w:rPr>
          <w:rFonts w:ascii="IRNazanin" w:hAnsi="IRNazanin" w:eastAsia="IRNazanin"/>
          <w:b w:val="false"/>
          <w:b w:val="false"/>
          <w:bCs w:val="false"/>
          <w:i w:val="false"/>
          <w:i w:val="false"/>
          <w:iCs w:val="false"/>
          <w:color w:val="333333"/>
          <w:sz w:val="20"/>
          <w:sz w:val="20"/>
          <w:szCs w:val="20"/>
        </w:rPr>
        <w:t>١٩۶</w:t>
      </w:r>
      <w:r>
        <w:rPr>
          <w:rFonts w:ascii="IRNazanin" w:hAnsi="IRNazanin" w:eastAsia="IRNazanin"/>
          <w:b w:val="false"/>
          <w:b w:val="false"/>
          <w:bCs w:val="false"/>
          <w:i w:val="false"/>
          <w:i w:val="false"/>
          <w:iCs w:val="false"/>
          <w:color w:val="333333"/>
          <w:sz w:val="20"/>
          <w:sz w:val="20"/>
          <w:szCs w:val="20"/>
          <w:rtl w:val="true"/>
        </w:rPr>
        <w:t xml:space="preserve">؛ بهجة النفوس، ابن ابى‌جمرة،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احياء العلوم، غزالى،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٢۴١</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٢۴٠</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ابن‌ابى‌الحديد،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ابى‌حاتم،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٣١۵</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٢١۴</w:t>
      </w:r>
      <w:r>
        <w:rPr>
          <w:rFonts w:ascii="IRNazanin" w:hAnsi="IRNazanin" w:eastAsia="IRNazanin"/>
          <w:b w:val="false"/>
          <w:b w:val="false"/>
          <w:bCs w:val="false"/>
          <w:i w:val="false"/>
          <w:i w:val="false"/>
          <w:iCs w:val="false"/>
          <w:color w:val="333333"/>
          <w:sz w:val="20"/>
          <w:sz w:val="20"/>
          <w:szCs w:val="20"/>
          <w:rtl w:val="true"/>
        </w:rPr>
        <w:t>؛ لباب النقول، سيوطى، ص</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قرطبى،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٢٢٨</w:t>
      </w:r>
      <w:r>
        <w:rPr>
          <w:rFonts w:ascii="IRNazanin" w:hAnsi="IRNazanin" w:eastAsia="IRNazanin"/>
          <w:b w:val="false"/>
          <w:b w:val="false"/>
          <w:bCs w:val="false"/>
          <w:i w:val="false"/>
          <w:i w:val="false"/>
          <w:iCs w:val="false"/>
          <w:color w:val="333333"/>
          <w:sz w:val="20"/>
          <w:sz w:val="20"/>
          <w:szCs w:val="20"/>
          <w:rtl w:val="true"/>
        </w:rPr>
        <w:t xml:space="preserve">؛ فيض القدير، مناوى،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تفسير ابن‌كثير،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۵٠۶</w:t>
      </w:r>
      <w:r>
        <w:rPr>
          <w:rFonts w:ascii="IRNazanin" w:hAnsi="IRNazanin" w:eastAsia="IRNazanin"/>
          <w:b w:val="false"/>
          <w:b w:val="false"/>
          <w:bCs w:val="false"/>
          <w:i w:val="false"/>
          <w:i w:val="false"/>
          <w:iCs w:val="false"/>
          <w:color w:val="333333"/>
          <w:sz w:val="20"/>
          <w:sz w:val="20"/>
          <w:szCs w:val="20"/>
          <w:rtl w:val="true"/>
        </w:rPr>
        <w:t xml:space="preserve">؛ تفسيرالخازن،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٢٢۵</w:t>
      </w:r>
      <w:r>
        <w:rPr>
          <w:rFonts w:ascii="IRNazanin" w:hAnsi="IRNazanin" w:eastAsia="IRNazanin"/>
          <w:b w:val="false"/>
          <w:b w:val="false"/>
          <w:bCs w:val="false"/>
          <w:i w:val="false"/>
          <w:i w:val="false"/>
          <w:iCs w:val="false"/>
          <w:color w:val="333333"/>
          <w:sz w:val="20"/>
          <w:sz w:val="20"/>
          <w:szCs w:val="20"/>
          <w:rtl w:val="true"/>
        </w:rPr>
        <w:t xml:space="preserve">؛ روح المعانى، آلوسى، ج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شرح نهج‌البلاغه، ابن‌ابى‌الحديد،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۶٢</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حسن بن عبدالله عسكرى، م </w:t>
      </w:r>
      <w:r>
        <w:rPr>
          <w:rFonts w:ascii="IRNazanin" w:hAnsi="IRNazanin" w:eastAsia="IRNazanin"/>
          <w:b w:val="false"/>
          <w:b w:val="false"/>
          <w:bCs w:val="false"/>
          <w:i w:val="false"/>
          <w:i w:val="false"/>
          <w:iCs w:val="false"/>
          <w:color w:val="333333"/>
          <w:sz w:val="20"/>
          <w:sz w:val="20"/>
          <w:szCs w:val="20"/>
        </w:rPr>
        <w:t>٣٨٢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خطبه و ابن اثير در نهاية، ماده خضم و فيروزآبادى در قاموس ماده شقّ نظراتى از آن را آورده‌اند و ابن ابى‌الحديد در شرح نهج‌البلاغه،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٢٠۵</w:t>
      </w:r>
      <w:r>
        <w:rPr>
          <w:rFonts w:ascii="IRNazanin" w:hAnsi="IRNazanin" w:eastAsia="IRNazanin"/>
          <w:b w:val="false"/>
          <w:b w:val="false"/>
          <w:bCs w:val="false"/>
          <w:i w:val="false"/>
          <w:i w:val="false"/>
          <w:iCs w:val="false"/>
          <w:color w:val="333333"/>
          <w:sz w:val="20"/>
          <w:sz w:val="20"/>
          <w:szCs w:val="20"/>
          <w:rtl w:val="true"/>
        </w:rPr>
        <w:t xml:space="preserve"> از استاد استاد خود نقل مى‌كند كه من اين خطبه را در كتاب‌هايى ديدم كه دويست سال قبل از تولد سيد رضى با خط علمايى كه آنها را مى‌شناسم نوشته شده و خود ابن ابى‌الحديد نيز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بسيارى از اين خطبه را در تصانيف شيخ خود ابوالقاسم بلخى كه در دولت مقتدر مى‌زيسته مدت‌ها قبل از آفريده شدن رضى ديدم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۴٩٣</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١٩۶</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٣٧٨</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٧۵١</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ابن قتيبه،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ابن عبدالبر؛ شرح حال عمار،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١١٣٨</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٢٣۵</w:t>
      </w:r>
      <w:r>
        <w:rPr>
          <w:rFonts w:ascii="IRNazanin" w:hAnsi="IRNazanin" w:eastAsia="IRNazanin"/>
          <w:b w:val="false"/>
          <w:b w:val="false"/>
          <w:bCs w:val="false"/>
          <w:i w:val="false"/>
          <w:i w:val="false"/>
          <w:iCs w:val="false"/>
          <w:color w:val="333333"/>
          <w:sz w:val="20"/>
          <w:sz w:val="20"/>
          <w:szCs w:val="20"/>
          <w:rtl w:val="true"/>
        </w:rPr>
        <w:t xml:space="preserve"> به نقل از 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على السنة المحمديّة، محمد ابوريه، ص </w:t>
      </w:r>
      <w:r>
        <w:rPr>
          <w:rFonts w:ascii="IRNazanin" w:hAnsi="IRNazanin" w:eastAsia="IRNazanin"/>
          <w:b w:val="false"/>
          <w:b w:val="false"/>
          <w:bCs w:val="false"/>
          <w:i w:val="false"/>
          <w:i w:val="false"/>
          <w:iCs w:val="false"/>
          <w:color w:val="333333"/>
          <w:sz w:val="20"/>
          <w:sz w:val="20"/>
          <w:szCs w:val="20"/>
        </w:rPr>
        <w:t>٣۶١</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نكاح المسيار واحكام النكحةالمحرمة، عرفان بن سليم، ص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زواج المسيار، يوسف قرضاوى،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السرخسى،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علل الدارقطنى،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الدر المنثور، سيوطى،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٣٠۵</w:t>
      </w:r>
      <w:r>
        <w:rPr>
          <w:rFonts w:ascii="IRNazanin" w:hAnsi="IRNazanin" w:eastAsia="IRNazanin"/>
          <w:b w:val="false"/>
          <w:b w:val="false"/>
          <w:bCs w:val="false"/>
          <w:i w:val="false"/>
          <w:i w:val="false"/>
          <w:iCs w:val="false"/>
          <w:color w:val="333333"/>
          <w:sz w:val="20"/>
          <w:sz w:val="20"/>
          <w:szCs w:val="20"/>
          <w:rtl w:val="true"/>
        </w:rPr>
        <w:t xml:space="preserve">؛ الجامع لاحكام القرآن، قرطبى،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شرح صحيح مسلم،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عمدةالقارى، بدرالدين، ج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٢۴۶</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حر عاملى، ج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ابن حزم،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۵٢٠</w:t>
      </w:r>
      <w:r>
        <w:rPr>
          <w:rFonts w:ascii="IRNazanin" w:hAnsi="IRNazanin" w:eastAsia="IRNazanin"/>
          <w:b w:val="false"/>
          <w:b w:val="false"/>
          <w:bCs w:val="false"/>
          <w:i w:val="false"/>
          <w:i w:val="false"/>
          <w:iCs w:val="false"/>
          <w:color w:val="333333"/>
          <w:sz w:val="20"/>
          <w:sz w:val="20"/>
          <w:szCs w:val="20"/>
          <w:rtl w:val="true"/>
        </w:rPr>
        <w:t xml:space="preserve">؛ نيل الاوطار، شوكانى،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ابن قدامه،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۵٧١</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۵٢٠</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الايجاز، شيخ مفيد، ص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 ج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٢۴۶</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عمر بن شبّه،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٧١٩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جمهرةانساب العرب، ابن حزم اندلسى، ص </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العرب، مفضل بن محمد بن يعلى، ص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صنعانى،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۴٩۶</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ذهبى،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٣٣٣</w:t>
      </w:r>
      <w:r>
        <w:rPr>
          <w:rFonts w:ascii="IRNazanin" w:hAnsi="IRNazanin" w:eastAsia="IRNazanin"/>
          <w:b w:val="false"/>
          <w:b w:val="false"/>
          <w:bCs w:val="false"/>
          <w:i w:val="false"/>
          <w:i w:val="false"/>
          <w:iCs w:val="false"/>
          <w:color w:val="333333"/>
          <w:sz w:val="20"/>
          <w:sz w:val="20"/>
          <w:szCs w:val="20"/>
          <w:rtl w:val="true"/>
        </w:rPr>
        <w:t xml:space="preserve">؛ تذكرةالحفاظ،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١٣٣</w:t>
      </w:r>
      <w:r>
        <w:rPr>
          <w:rFonts w:ascii="IRNazanin" w:hAnsi="IRNazanin" w:eastAsia="IRNazanin"/>
          <w:b w:val="false"/>
          <w:b w:val="false"/>
          <w:bCs w:val="false"/>
          <w:i w:val="false"/>
          <w:i w:val="false"/>
          <w:iCs w:val="false"/>
          <w:color w:val="333333"/>
          <w:sz w:val="20"/>
          <w:sz w:val="20"/>
          <w:szCs w:val="20"/>
          <w:rtl w:val="true"/>
        </w:rPr>
        <w:t xml:space="preserve">؛ فتح البارى، ابن حجر عسقلانى،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ذهبى،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ابن عاشور،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نيل‌الاوطار،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طوسى،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۴۵٠</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۴۵٠</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بيهقى،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النووى،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طبرانى،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٣۴۵</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زادالمعاد، ص </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ابن قولويه، ص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ابن قولويه، ص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٩١۵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٢٨۴</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تاريخ الطبرى،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٢۴٣</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٣٧۴</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امتاع الاسماع، مقريزى،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٣٣۵</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۶١۴</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٩٢۴</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١٠۴</w:t>
      </w:r>
      <w:r>
        <w:rPr>
          <w:rFonts w:ascii="IRNazanin" w:hAnsi="IRNazanin" w:eastAsia="IRNazanin"/>
          <w:b w:val="false"/>
          <w:b w:val="false"/>
          <w:bCs w:val="false"/>
          <w:i w:val="false"/>
          <w:i w:val="false"/>
          <w:iCs w:val="false"/>
          <w:color w:val="333333"/>
          <w:sz w:val="20"/>
          <w:sz w:val="20"/>
          <w:szCs w:val="20"/>
          <w:rtl w:val="true"/>
        </w:rPr>
        <w:t>، به نقل از من لايحضره الفقيه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فقه الجواهر،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ascii="IRNazanin" w:hAnsi="IRNazanin" w:eastAsia="IRNazanin"/>
          <w:b w:val="false"/>
          <w:b w:val="false"/>
          <w:bCs w:val="false"/>
          <w:i w:val="false"/>
          <w:i w:val="false"/>
          <w:iCs w:val="false"/>
          <w:color w:val="333333"/>
          <w:sz w:val="20"/>
          <w:sz w:val="20"/>
          <w:szCs w:val="20"/>
        </w:rPr>
        <w:t>۵٣١</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نهج البلاغه، حكمت </w:t>
      </w:r>
      <w:r>
        <w:rPr>
          <w:rFonts w:ascii="IRNazanin" w:hAnsi="IRNazanin" w:eastAsia="IRNazanin"/>
          <w:b w:val="false"/>
          <w:b w:val="false"/>
          <w:bCs w:val="false"/>
          <w:i w:val="false"/>
          <w:i w:val="false"/>
          <w:iCs w:val="false"/>
          <w:color w:val="333333"/>
          <w:sz w:val="20"/>
          <w:sz w:val="20"/>
          <w:szCs w:val="20"/>
        </w:rPr>
        <w:t>٣٢٢</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٩١٧</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٢٨٢</w:t>
      </w:r>
      <w:r>
        <w:rPr>
          <w:rFonts w:ascii="IRNazanin" w:hAnsi="IRNazanin" w:eastAsia="IRNazanin"/>
          <w:b w:val="false"/>
          <w:b w:val="false"/>
          <w:bCs w:val="false"/>
          <w:i w:val="false"/>
          <w:i w:val="false"/>
          <w:iCs w:val="false"/>
          <w:color w:val="333333"/>
          <w:sz w:val="20"/>
          <w:sz w:val="20"/>
          <w:szCs w:val="20"/>
          <w:rtl w:val="true"/>
        </w:rPr>
        <w:t>، معلوم است اين صداى گريه، عادى نبوده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٢٨۶</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شيخ عباس قمى، ص </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شيخ عباس قمى، ص </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شيخ عباس قمى، ص </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٨٩٠</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الافهام، ابن قيم، ص </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الافهام، ابن قيم، ص </w:t>
      </w:r>
      <w:r>
        <w:rPr>
          <w:rFonts w:ascii="IRNazanin" w:hAnsi="IRNazanin" w:eastAsia="IRNazanin"/>
          <w:b w:val="false"/>
          <w:b w:val="false"/>
          <w:bCs w:val="false"/>
          <w:i w:val="false"/>
          <w:i w:val="false"/>
          <w:iCs w:val="false"/>
          <w:color w:val="333333"/>
          <w:sz w:val="20"/>
          <w:sz w:val="20"/>
          <w:szCs w:val="20"/>
        </w:rPr>
        <w:t>٢۴٢</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۴۴٢</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حيدر،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٢۴٢</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معرفة علوم الحديث، حاكم نيشابورى، ص</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تذكرةالحفاظ،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٧٠٠</w:t>
      </w:r>
      <w:r>
        <w:rPr>
          <w:rFonts w:ascii="IRNazanin" w:hAnsi="IRNazanin" w:eastAsia="IRNazanin"/>
          <w:b w:val="false"/>
          <w:b w:val="false"/>
          <w:bCs w:val="false"/>
          <w:i w:val="false"/>
          <w:i w:val="false"/>
          <w:iCs w:val="false"/>
          <w:color w:val="333333"/>
          <w:sz w:val="20"/>
          <w:sz w:val="20"/>
          <w:szCs w:val="20"/>
          <w:rtl w:val="true"/>
        </w:rPr>
        <w:t>؛ وفيات الاعيان، ابن خلكان،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ذا اخترت مذهب الشيعه، صص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قطب‌الدين راوندى،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٣۶١</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ابن حجر،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٢١۴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xml:space="preserve">؛ حلية الاولياء، ابونعيم اصفهانى،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خاستگاه تشيع، على‌آقا نورى، ص </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١٧۴</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بابويه،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٢۵٢</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١٧۴</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خاستگاه تشيع، ص </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شعبه، ص </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خاستگاه تشيع، ص </w:t>
      </w:r>
      <w:r>
        <w:rPr>
          <w:rFonts w:ascii="IRNazanin" w:hAnsi="IRNazanin" w:eastAsia="IRNazanin"/>
          <w:b w:val="false"/>
          <w:b w:val="false"/>
          <w:bCs w:val="false"/>
          <w:i w:val="false"/>
          <w:i w:val="false"/>
          <w:iCs w:val="false"/>
          <w:color w:val="333333"/>
          <w:sz w:val="20"/>
          <w:sz w:val="20"/>
          <w:szCs w:val="20"/>
        </w:rPr>
        <w:t>١٠۵</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خبر را بزرگان شيعه مثل شيخ صدوق، شيخ طوسى، شيخ مفيد، شيخ طبرسى، كلينى، نعمانى و ديگران در كتاب‌هاى خويش با تفاوت‌هايى آورده‌اند؛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كلينى،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شيخ طوسى، ص </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٣٠۴</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۴٨</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على بن محمد خزاز قمى، ص </w:t>
      </w:r>
      <w:r>
        <w:rPr>
          <w:rFonts w:ascii="IRNazanin" w:hAnsi="IRNazanin" w:eastAsia="IRNazanin"/>
          <w:b w:val="false"/>
          <w:b w:val="false"/>
          <w:bCs w:val="false"/>
          <w:i w:val="false"/>
          <w:i w:val="false"/>
          <w:iCs w:val="false"/>
          <w:color w:val="333333"/>
          <w:sz w:val="20"/>
          <w:sz w:val="20"/>
          <w:szCs w:val="20"/>
        </w:rPr>
        <w:t>٢٣۶</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الهدايه، جمعى از نويسندگان،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xml:space="preserve">، علامه 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پاورقى از بسيارى از شيعه و اهل‌سنت، آن را نقل كرده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٣۴۶</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٣۴٨</w:t>
      </w:r>
      <w:r>
        <w:rPr>
          <w:rFonts w:ascii="IRNazanin" w:hAnsi="IRNazanin" w:eastAsia="IRNazanin"/>
          <w:b w:val="false"/>
          <w:b w:val="false"/>
          <w:bCs w:val="false"/>
          <w:i w:val="false"/>
          <w:i w:val="false"/>
          <w:iCs w:val="false"/>
          <w:color w:val="333333"/>
          <w:sz w:val="20"/>
          <w:sz w:val="20"/>
          <w:szCs w:val="20"/>
          <w:rtl w:val="true"/>
        </w:rPr>
        <w:t>؛ الاحتجاج،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۴۶٠</w:t>
      </w:r>
      <w:r>
        <w:rPr>
          <w:rFonts w:ascii="IRNazanin" w:hAnsi="IRNazanin" w:eastAsia="IRNazanin"/>
          <w:b w:val="false"/>
          <w:b w:val="false"/>
          <w:bCs w:val="false"/>
          <w:i w:val="false"/>
          <w:i w:val="false"/>
          <w:iCs w:val="false"/>
          <w:color w:val="333333"/>
          <w:sz w:val="20"/>
          <w:sz w:val="20"/>
          <w:szCs w:val="20"/>
          <w:rtl w:val="true"/>
        </w:rPr>
        <w:t>؛ ذوب النضار، ابن نما، ص</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بحرانى، ص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٢۵٧</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ابن عماد حنبلى،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١٠۵</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الهداية،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٨۵</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الهداية،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الهداية،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الهداية،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به نقل از تاريخ دمشق و طبقات الفقهاء</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الهداية،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الهداية،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٢۴٠</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الهداية،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٢۴٠</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٣۶۵</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٣۴١</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الهداية،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خويى،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۵٧١</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۵٧۴</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۵٧۵</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۵٧١</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محمد صفار قمى، ص </w:t>
      </w:r>
      <w:r>
        <w:rPr>
          <w:rFonts w:ascii="IRNazanin" w:hAnsi="IRNazanin" w:eastAsia="IRNazanin"/>
          <w:b w:val="false"/>
          <w:b w:val="false"/>
          <w:bCs w:val="false"/>
          <w:i w:val="false"/>
          <w:i w:val="false"/>
          <w:iCs w:val="false"/>
          <w:color w:val="333333"/>
          <w:sz w:val="20"/>
          <w:sz w:val="20"/>
          <w:szCs w:val="20"/>
        </w:rPr>
        <w:t>۴٧٧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۴٧٣</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۴٩١</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۴٧٠</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مفيد،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۴۴٢</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النعمه، ابن بابويه، ص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سيدابوالقاسم خويى،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٣١٠</w:t>
      </w:r>
      <w:r>
        <w:rPr>
          <w:rFonts w:ascii="IRNazanin" w:hAnsi="IRNazanin" w:eastAsia="IRNazanin"/>
          <w:b w:val="false"/>
          <w:b w:val="false"/>
          <w:bCs w:val="false"/>
          <w:i w:val="false"/>
          <w:i w:val="false"/>
          <w:iCs w:val="false"/>
          <w:color w:val="333333"/>
          <w:sz w:val="20"/>
          <w:sz w:val="20"/>
          <w:szCs w:val="20"/>
          <w:rtl w:val="true"/>
        </w:rPr>
        <w:t xml:space="preserve">؛ الغيبة، شيخ طوسى، ص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بابويه،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والتبصرة، على بن بابويه قمى، ص </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طبرى، ص </w:t>
      </w:r>
      <w:r>
        <w:rPr>
          <w:rFonts w:ascii="IRNazanin" w:hAnsi="IRNazanin" w:eastAsia="IRNazanin"/>
          <w:b w:val="false"/>
          <w:b w:val="false"/>
          <w:bCs w:val="false"/>
          <w:i w:val="false"/>
          <w:i w:val="false"/>
          <w:iCs w:val="false"/>
          <w:color w:val="333333"/>
          <w:sz w:val="20"/>
          <w:sz w:val="20"/>
          <w:szCs w:val="20"/>
        </w:rPr>
        <w:t>۴٠١</w:t>
      </w:r>
      <w:r>
        <w:rPr>
          <w:rFonts w:ascii="IRNazanin" w:hAnsi="IRNazanin" w:eastAsia="IRNazanin"/>
          <w:b w:val="false"/>
          <w:b w:val="false"/>
          <w:bCs w:val="false"/>
          <w:i w:val="false"/>
          <w:i w:val="false"/>
          <w:iCs w:val="false"/>
          <w:color w:val="333333"/>
          <w:sz w:val="20"/>
          <w:sz w:val="20"/>
          <w:szCs w:val="20"/>
          <w:rtl w:val="true"/>
        </w:rPr>
        <w:t xml:space="preserve">؛ مناقب آل ابى‌طالب،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۴٩۵</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۴۶٧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۴٧٧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ترجمه كافى،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باقر شريف قرشى، صص </w:t>
      </w:r>
      <w:r>
        <w:rPr>
          <w:rFonts w:ascii="IRNazanin" w:hAnsi="IRNazanin" w:eastAsia="IRNazanin"/>
          <w:b w:val="false"/>
          <w:b w:val="false"/>
          <w:bCs w:val="false"/>
          <w:i w:val="false"/>
          <w:i w:val="false"/>
          <w:iCs w:val="false"/>
          <w:color w:val="333333"/>
          <w:sz w:val="20"/>
          <w:sz w:val="20"/>
          <w:szCs w:val="20"/>
        </w:rPr>
        <w:t>۴١٠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۴١١</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ترجمه كافى،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٣١٨</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سعد بن عبدالله اشعرى، ص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شيخ مفيد، ص </w:t>
      </w:r>
      <w:r>
        <w:rPr>
          <w:rFonts w:ascii="IRNazanin" w:hAnsi="IRNazanin" w:eastAsia="IRNazanin"/>
          <w:b w:val="false"/>
          <w:b w:val="false"/>
          <w:bCs w:val="false"/>
          <w:i w:val="false"/>
          <w:i w:val="false"/>
          <w:iCs w:val="false"/>
          <w:color w:val="333333"/>
          <w:sz w:val="20"/>
          <w:sz w:val="20"/>
          <w:szCs w:val="20"/>
        </w:rPr>
        <w:t>٣١۵</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 ترجمه ابراهيم بن ابى سمال؛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٣٢۵</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٣٣۴</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الشيعه، نوبختى، ص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٣٢۴</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٣٢۶</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٣٢۵</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٣٢۵</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ascii="IRNazanin" w:hAnsi="IRNazanin" w:eastAsia="IRNazanin"/>
          <w:b w:val="false"/>
          <w:b w:val="false"/>
          <w:bCs w:val="false"/>
          <w:i w:val="false"/>
          <w:i w:val="false"/>
          <w:iCs w:val="false"/>
          <w:color w:val="333333"/>
          <w:sz w:val="20"/>
          <w:sz w:val="20"/>
          <w:szCs w:val="20"/>
        </w:rPr>
        <w:t>٣١٨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نعمانى، صص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ترجمه الارشاد،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النصيبى الشافعى،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ابن جوزى، ص </w:t>
      </w:r>
      <w:r>
        <w:rPr>
          <w:rFonts w:ascii="IRNazanin" w:hAnsi="IRNazanin" w:eastAsia="IRNazanin"/>
          <w:b w:val="false"/>
          <w:b w:val="false"/>
          <w:bCs w:val="false"/>
          <w:i w:val="false"/>
          <w:i w:val="false"/>
          <w:iCs w:val="false"/>
          <w:color w:val="333333"/>
          <w:sz w:val="20"/>
          <w:sz w:val="20"/>
          <w:szCs w:val="20"/>
        </w:rPr>
        <w:t>٣٢۵</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فى خبر من غبر، ذهبى،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٣٨١</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عن التشيع، ص </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والجواهر،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۵۶٢</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يافعى،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ابن حجر،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۶٠١</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موعودشناسى، رضوانى، ص </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زبيدى،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موعودشناسى، ص </w:t>
      </w:r>
      <w:r>
        <w:rPr>
          <w:rFonts w:ascii="IRNazanin" w:hAnsi="IRNazanin" w:eastAsia="IRNazanin"/>
          <w:b w:val="false"/>
          <w:b w:val="false"/>
          <w:bCs w:val="false"/>
          <w:i w:val="false"/>
          <w:i w:val="false"/>
          <w:iCs w:val="false"/>
          <w:color w:val="333333"/>
          <w:sz w:val="20"/>
          <w:sz w:val="20"/>
          <w:szCs w:val="20"/>
        </w:rPr>
        <w:t>۵٧۶</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ascii="IRNazanin" w:hAnsi="IRNazanin" w:eastAsia="IRNazanin"/>
          <w:b w:val="false"/>
          <w:b w:val="false"/>
          <w:bCs w:val="false"/>
          <w:i w:val="false"/>
          <w:i w:val="false"/>
          <w:iCs w:val="false"/>
          <w:color w:val="333333"/>
          <w:sz w:val="20"/>
          <w:sz w:val="20"/>
          <w:szCs w:val="20"/>
        </w:rPr>
        <w:t>٢٩٧</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موعودشناسى، ص </w:t>
      </w:r>
      <w:r>
        <w:rPr>
          <w:rFonts w:ascii="IRNazanin" w:hAnsi="IRNazanin" w:eastAsia="IRNazanin"/>
          <w:b w:val="false"/>
          <w:b w:val="false"/>
          <w:bCs w:val="false"/>
          <w:i w:val="false"/>
          <w:i w:val="false"/>
          <w:iCs w:val="false"/>
          <w:color w:val="333333"/>
          <w:sz w:val="20"/>
          <w:sz w:val="20"/>
          <w:szCs w:val="20"/>
        </w:rPr>
        <w:t>۵٧٨</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طوسى،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۵٨٩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هيثمى،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۵۶٣</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٣١۶</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رقم </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٣۵۴</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٣۵٣</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۵۴٣</w:t>
      </w:r>
      <w:r>
        <w:rPr>
          <w:rFonts w:ascii="IRNazanin" w:hAnsi="IRNazanin" w:eastAsia="IRNazanin"/>
          <w:b w:val="false"/>
          <w:b w:val="false"/>
          <w:bCs w:val="false"/>
          <w:i w:val="false"/>
          <w:i w:val="false"/>
          <w:iCs w:val="false"/>
          <w:color w:val="333333"/>
          <w:sz w:val="20"/>
          <w:sz w:val="20"/>
          <w:szCs w:val="20"/>
          <w:rtl w:val="true"/>
        </w:rPr>
        <w:t xml:space="preserve">؛ الغيبة، ص </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اجتهاد در مقابل نص، عبدالحسين شرف الدين، ص </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٣۴٠</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٣١۵</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٣۶۶</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٢٩٣</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٣۵۴</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ascii="IRNazanin" w:hAnsi="IRNazanin" w:eastAsia="IRNazanin"/>
          <w:b w:val="false"/>
          <w:b w:val="false"/>
          <w:bCs w:val="false"/>
          <w:i w:val="false"/>
          <w:i w:val="false"/>
          <w:iCs w:val="false"/>
          <w:color w:val="333333"/>
          <w:sz w:val="20"/>
          <w:sz w:val="20"/>
          <w:szCs w:val="20"/>
        </w:rPr>
        <w:t>٣١٩</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ascii="IRNazanin" w:hAnsi="IRNazanin" w:eastAsia="IRNazanin"/>
          <w:b w:val="false"/>
          <w:b w:val="false"/>
          <w:bCs w:val="false"/>
          <w:i w:val="false"/>
          <w:i w:val="false"/>
          <w:iCs w:val="false"/>
          <w:color w:val="333333"/>
          <w:sz w:val="20"/>
          <w:sz w:val="20"/>
          <w:szCs w:val="20"/>
        </w:rPr>
        <w:t>٣۶١</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۵٨٨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الوصية، مسعودى، ص </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مفيد، ص </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ذهبى،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xml:space="preserve">؛ لسان الميزان، ابن حجر،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٣٠٧</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٢۴۵</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ascii="IRNazanin" w:hAnsi="IRNazanin" w:eastAsia="IRNazanin"/>
          <w:b w:val="false"/>
          <w:b w:val="false"/>
          <w:bCs w:val="false"/>
          <w:i w:val="false"/>
          <w:i w:val="false"/>
          <w:iCs w:val="false"/>
          <w:color w:val="333333"/>
          <w:sz w:val="20"/>
          <w:sz w:val="20"/>
          <w:szCs w:val="20"/>
        </w:rPr>
        <w:t>۵٨۴</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سوم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ascii="IRNazanin" w:hAnsi="IRNazanin" w:eastAsia="IRNazanin"/>
          <w:b w:val="false"/>
          <w:b w:val="false"/>
          <w:bCs w:val="false"/>
          <w:i w:val="false"/>
          <w:i w:val="false"/>
          <w:iCs w:val="false"/>
          <w:color w:val="333333"/>
          <w:sz w:val="20"/>
          <w:sz w:val="20"/>
          <w:szCs w:val="20"/>
        </w:rPr>
        <w:t>۵٨٧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ascii="IRNazanin" w:hAnsi="IRNazanin" w:eastAsia="IRNazanin"/>
          <w:b w:val="false"/>
          <w:b w:val="false"/>
          <w:bCs w:val="false"/>
          <w:i w:val="false"/>
          <w:i w:val="false"/>
          <w:iCs w:val="false"/>
          <w:color w:val="333333"/>
          <w:sz w:val="20"/>
          <w:sz w:val="20"/>
          <w:szCs w:val="20"/>
        </w:rPr>
        <w:t>۵٨۶</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ascii="IRNazanin" w:hAnsi="IRNazanin" w:eastAsia="IRNazanin"/>
          <w:b w:val="false"/>
          <w:b w:val="false"/>
          <w:bCs w:val="false"/>
          <w:i w:val="false"/>
          <w:i w:val="false"/>
          <w:iCs w:val="false"/>
          <w:color w:val="333333"/>
          <w:sz w:val="20"/>
          <w:sz w:val="20"/>
          <w:szCs w:val="20"/>
        </w:rPr>
        <w:t>۵٨٨</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ascii="IRNazanin" w:hAnsi="IRNazanin" w:eastAsia="IRNazanin"/>
          <w:b w:val="false"/>
          <w:b w:val="false"/>
          <w:bCs w:val="false"/>
          <w:i w:val="false"/>
          <w:i w:val="false"/>
          <w:iCs w:val="false"/>
          <w:color w:val="333333"/>
          <w:sz w:val="20"/>
          <w:sz w:val="20"/>
          <w:szCs w:val="20"/>
        </w:rPr>
        <w:t>۵٨۶</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٢٨١</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١۶٨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فى تفسير القرآن، ص </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ابوالحسن اشعرى،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صيانة القرآن من التحريف، آيت الله معرفت، صص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سيوطى،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١۵١</w:t>
      </w:r>
      <w:r>
        <w:rPr>
          <w:rFonts w:ascii="IRNazanin" w:hAnsi="IRNazanin" w:eastAsia="IRNazanin"/>
          <w:b w:val="false"/>
          <w:b w:val="false"/>
          <w:bCs w:val="false"/>
          <w:i w:val="false"/>
          <w:i w:val="false"/>
          <w:iCs w:val="false"/>
          <w:color w:val="333333"/>
          <w:sz w:val="20"/>
          <w:sz w:val="20"/>
          <w:szCs w:val="20"/>
          <w:rtl w:val="true"/>
        </w:rPr>
        <w:t xml:space="preserve">؛ سنن ابى‌داود،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٣۴٣</w:t>
      </w:r>
      <w:r>
        <w:rPr>
          <w:rFonts w:ascii="IRNazanin" w:hAnsi="IRNazanin" w:eastAsia="IRNazanin"/>
          <w:b w:val="false"/>
          <w:b w:val="false"/>
          <w:bCs w:val="false"/>
          <w:i w:val="false"/>
          <w:i w:val="false"/>
          <w:iCs w:val="false"/>
          <w:color w:val="333333"/>
          <w:sz w:val="20"/>
          <w:sz w:val="20"/>
          <w:szCs w:val="20"/>
          <w:rtl w:val="true"/>
        </w:rPr>
        <w:t xml:space="preserve">؛ المسند،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كنزالعمال هامش المسند،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ascii="IRNazanin" w:hAnsi="IRNazanin" w:eastAsia="IRNazanin"/>
          <w:b w:val="false"/>
          <w:b w:val="false"/>
          <w:bCs w:val="false"/>
          <w:i w:val="false"/>
          <w:i w:val="false"/>
          <w:iCs w:val="false"/>
          <w:color w:val="333333"/>
          <w:sz w:val="20"/>
          <w:sz w:val="20"/>
          <w:szCs w:val="20"/>
        </w:rPr>
        <w:t>٢٠۴</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٢۶٩</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۶٢۶</w:t>
      </w:r>
      <w:r>
        <w:rPr>
          <w:rFonts w:ascii="IRNazanin" w:hAnsi="IRNazanin" w:eastAsia="IRNazanin"/>
          <w:b w:val="false"/>
          <w:b w:val="false"/>
          <w:bCs w:val="false"/>
          <w:i w:val="false"/>
          <w:i w:val="false"/>
          <w:iCs w:val="false"/>
          <w:color w:val="333333"/>
          <w:sz w:val="20"/>
          <w:sz w:val="20"/>
          <w:szCs w:val="20"/>
          <w:rtl w:val="true"/>
        </w:rPr>
        <w:t xml:space="preserve">؛ المعجم الاوسط، طبرانى،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١۶٧</w:t>
      </w:r>
      <w:r>
        <w:rPr>
          <w:rFonts w:ascii="IRNazanin" w:hAnsi="IRNazanin" w:eastAsia="IRNazanin"/>
          <w:b w:val="false"/>
          <w:b w:val="false"/>
          <w:bCs w:val="false"/>
          <w:i w:val="false"/>
          <w:i w:val="false"/>
          <w:iCs w:val="false"/>
          <w:color w:val="333333"/>
          <w:sz w:val="20"/>
          <w:sz w:val="20"/>
          <w:szCs w:val="20"/>
          <w:rtl w:val="true"/>
        </w:rPr>
        <w:t xml:space="preserve">؛ مؤطأ، مالك،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۶٠٨</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عايشه در تاريخ اسلام،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٣٠١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٣٠٢</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حاكم نيشابورى،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٣٠۵</w:t>
      </w:r>
      <w:r>
        <w:rPr>
          <w:rFonts w:ascii="IRNazanin" w:hAnsi="IRNazanin" w:eastAsia="IRNazanin"/>
          <w:b w:val="false"/>
          <w:b w:val="false"/>
          <w:bCs w:val="false"/>
          <w:i w:val="false"/>
          <w:i w:val="false"/>
          <w:iCs w:val="false"/>
          <w:color w:val="333333"/>
          <w:sz w:val="20"/>
          <w:sz w:val="20"/>
          <w:szCs w:val="20"/>
          <w:rtl w:val="true"/>
        </w:rPr>
        <w:t xml:space="preserve">؛ المسند الكبرى،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٢٠۵</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على السنة المحمديه، ص </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۶٠۴</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۶٠۴</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لابى‌اسحاق الشاطبى،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ascii="IRNazanin" w:hAnsi="IRNazanin" w:eastAsia="IRNazanin"/>
          <w:b w:val="false"/>
          <w:b w:val="false"/>
          <w:bCs w:val="false"/>
          <w:i w:val="false"/>
          <w:i w:val="false"/>
          <w:iCs w:val="false"/>
          <w:color w:val="333333"/>
          <w:sz w:val="20"/>
          <w:sz w:val="20"/>
          <w:szCs w:val="20"/>
        </w:rPr>
        <w:t>٢٠۶</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ascii="IRNazanin" w:hAnsi="IRNazanin" w:eastAsia="IRNazanin"/>
          <w:b w:val="false"/>
          <w:b w:val="false"/>
          <w:bCs w:val="false"/>
          <w:i w:val="false"/>
          <w:i w:val="false"/>
          <w:iCs w:val="false"/>
          <w:color w:val="333333"/>
          <w:sz w:val="20"/>
          <w:sz w:val="20"/>
          <w:szCs w:val="20"/>
        </w:rPr>
        <w:t>٢٠۶</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على السنة المحمديه، ص </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ابن طيفور، ص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فائق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عقدالفريد،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۶٩</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عايشه در تاريخ اسلام، سيد مرتضى عسكرى،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تذكرةالخواص، ص </w:t>
      </w:r>
      <w:r>
        <w:rPr>
          <w:rFonts w:ascii="IRNazanin" w:hAnsi="IRNazanin" w:eastAsia="IRNazanin"/>
          <w:b w:val="false"/>
          <w:b w:val="false"/>
          <w:bCs w:val="false"/>
          <w:i w:val="false"/>
          <w:i w:val="false"/>
          <w:iCs w:val="false"/>
          <w:color w:val="333333"/>
          <w:sz w:val="20"/>
          <w:sz w:val="20"/>
          <w:szCs w:val="20"/>
        </w:rPr>
        <w:t>۶٢</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ام‌المؤمنين عايشه، محلاتى، ص</w:t>
      </w:r>
      <w:r>
        <w:rPr>
          <w:rFonts w:ascii="IRNazanin" w:hAnsi="IRNazanin" w:eastAsia="IRNazanin"/>
          <w:b w:val="false"/>
          <w:b w:val="false"/>
          <w:bCs w:val="false"/>
          <w:i w:val="false"/>
          <w:i w:val="false"/>
          <w:iCs w:val="false"/>
          <w:color w:val="333333"/>
          <w:sz w:val="20"/>
          <w:sz w:val="20"/>
          <w:szCs w:val="20"/>
        </w:rPr>
        <w:t>١۴۴</w:t>
      </w:r>
      <w:r>
        <w:rPr>
          <w:rFonts w:ascii="IRNazanin" w:hAnsi="IRNazanin" w:eastAsia="IRNazanin"/>
          <w:b w:val="false"/>
          <w:b w:val="false"/>
          <w:bCs w:val="false"/>
          <w:i w:val="false"/>
          <w:i w:val="false"/>
          <w:iCs w:val="false"/>
          <w:color w:val="333333"/>
          <w:sz w:val="20"/>
          <w:sz w:val="20"/>
          <w:szCs w:val="20"/>
          <w:rtl w:val="true"/>
        </w:rPr>
        <w:t xml:space="preserve">؛ احاديث ام‌المؤمنين عايشه، مرتضى عسكرى،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٣۵٠</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۴٧٧</w:t>
      </w:r>
      <w:r>
        <w:rPr>
          <w:rFonts w:ascii="IRNazanin" w:hAnsi="IRNazanin" w:eastAsia="IRNazanin"/>
          <w:b w:val="false"/>
          <w:b w:val="false"/>
          <w:bCs w:val="false"/>
          <w:i w:val="false"/>
          <w:i w:val="false"/>
          <w:iCs w:val="false"/>
          <w:color w:val="333333"/>
          <w:sz w:val="20"/>
          <w:sz w:val="20"/>
          <w:szCs w:val="20"/>
          <w:rtl w:val="true"/>
        </w:rPr>
        <w:t xml:space="preserve">؛ الفتوح، ابن اعثم،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١۵۵</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شرح نهج‌البلاغه،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النهاية، ابن اثير،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١۵۶</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عايشه در تاريخ اسلام،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عايشه در تاريخ اسلام،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٢۵٨</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۵٧٩</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عايشه در تاريخ اسلام،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ابومخنف، به روايت ابن ابى الحديد؛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عايشه در تاريخ اسلام،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عايشه در تاريخ اسلام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١٣۶</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عايشه در تاريخ اسلام،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عايشه در تاريخ اسلام،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٢١٢</w:t>
      </w:r>
      <w:r>
        <w:rPr>
          <w:rFonts w:ascii="IRNazanin" w:hAnsi="IRNazanin" w:eastAsia="IRNazanin"/>
          <w:b w:val="false"/>
          <w:b w:val="false"/>
          <w:bCs w:val="false"/>
          <w:i w:val="false"/>
          <w:i w:val="false"/>
          <w:iCs w:val="false"/>
          <w:color w:val="333333"/>
          <w:sz w:val="20"/>
          <w:sz w:val="20"/>
          <w:szCs w:val="20"/>
          <w:rtl w:val="true"/>
        </w:rPr>
        <w:t xml:space="preserve">؛ الكامل، ابن اثير،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عايشه در تاريخ اسلام،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 ص؛ مروج‌الذهب، مسعودى؛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عايشه در تاريخ اسلام،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عايشه در تاريخ اسلام، ص </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١۴١</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٣٠٣</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عايشه در تاريخ اسلام،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لماذا اخترت مذهب الشيعه، محمد امين انطاكى، ص </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image" Target="media/image2.jpeg"/><Relationship Id="rId318" Type="http://schemas.openxmlformats.org/officeDocument/2006/relationships/image" Target="media/image2.jpeg"/><Relationship Id="rId319" Type="http://schemas.openxmlformats.org/officeDocument/2006/relationships/footer" Target="footer312.xml"/><Relationship Id="rId320" Type="http://schemas.openxmlformats.org/officeDocument/2006/relationships/footnotes" Target="footnotes.xml"/><Relationship Id="rId321" Type="http://schemas.openxmlformats.org/officeDocument/2006/relationships/numbering" Target="numbering.xml"/><Relationship Id="rId322" Type="http://schemas.openxmlformats.org/officeDocument/2006/relationships/fontTable" Target="fontTable.xml"/><Relationship Id="rId323" Type="http://schemas.openxmlformats.org/officeDocument/2006/relationships/settings" Target="settings.xml"/><Relationship Id="rId3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320</Pages>
  <Words>54482</Words>
  <Characters>212677</Characters>
  <CharactersWithSpaces>265818</CharactersWithSpaces>
  <Paragraphs>1587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2026-08-16T20:02:53Z</dcterms:created>
  <dc:creator>ghaemiyeh.com</dc:creator>
  <dc:description/>
  <dc:language>en-US</dc:language>
  <cp:lastModifiedBy/>
  <dcterms:modified xsi:type="dcterms:W3CDTF">2026-08-16T23:33:00Z</dcterms:modified>
  <cp:revision>1</cp:revision>
  <dc:subject/>
  <dc:title>نور هدایت در نقد کتاب آن گاه که صحابه را شناختم</dc:title>
</cp:coreProperties>
</file>

<file path=docProps/custom.xml><?xml version="1.0" encoding="utf-8"?>
<Properties xmlns="http://schemas.openxmlformats.org/officeDocument/2006/custom-properties" xmlns:vt="http://schemas.openxmlformats.org/officeDocument/2006/docPropsVTypes"/>
</file>