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کوفه از پیدایش تا عاشورا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84409_3650668749">
            <w:r>
              <w:rPr>
                <w:webHidden/>
                <w:rStyle w:val="IndexLink"/>
                <w:rtl w:val="true"/>
              </w:rPr>
              <w:t>مشخصات كتاب</w:t>
            </w:r>
            <w:r>
              <w:rPr>
                <w:rStyle w:val="IndexLink"/>
                <w:rtl w:val="true"/>
              </w:rPr>
              <w:tab/>
            </w:r>
            <w:r>
              <w:rPr>
                <w:rStyle w:val="IndexLink"/>
              </w:rPr>
              <w:t>26</w:t>
            </w:r>
          </w:hyperlink>
        </w:p>
        <w:p>
          <w:pPr>
            <w:pStyle w:val="Contents2"/>
            <w:tabs>
              <w:tab w:val="clear" w:pos="8743"/>
              <w:tab w:val="right" w:pos="9026" w:leader="dot"/>
            </w:tabs>
            <w:rPr/>
          </w:pPr>
          <w:hyperlink w:anchor="__RefHeading___Toc3584411_3650668749">
            <w:r>
              <w:rPr>
                <w:webHidden/>
                <w:rStyle w:val="IndexLink"/>
                <w:rtl w:val="true"/>
              </w:rPr>
              <w:t>اشاره</w:t>
            </w:r>
            <w:r>
              <w:rPr>
                <w:rStyle w:val="IndexLink"/>
                <w:rtl w:val="true"/>
              </w:rPr>
              <w:tab/>
            </w:r>
            <w:r>
              <w:rPr>
                <w:rStyle w:val="IndexLink"/>
              </w:rPr>
              <w:t>26</w:t>
            </w:r>
          </w:hyperlink>
        </w:p>
        <w:p>
          <w:pPr>
            <w:pStyle w:val="Contents2"/>
            <w:tabs>
              <w:tab w:val="clear" w:pos="8743"/>
              <w:tab w:val="right" w:pos="9026" w:leader="dot"/>
            </w:tabs>
            <w:rPr/>
          </w:pPr>
          <w:hyperlink w:anchor="__RefHeading___Toc3584413_3650668749">
            <w:r>
              <w:rPr>
                <w:webHidden/>
                <w:rStyle w:val="IndexLink"/>
                <w:rtl w:val="true"/>
              </w:rPr>
              <w:t>ديباچه</w:t>
            </w:r>
            <w:r>
              <w:rPr>
                <w:rStyle w:val="IndexLink"/>
                <w:rtl w:val="true"/>
              </w:rPr>
              <w:tab/>
            </w:r>
            <w:r>
              <w:rPr>
                <w:rStyle w:val="IndexLink"/>
              </w:rPr>
              <w:t>27</w:t>
            </w:r>
          </w:hyperlink>
        </w:p>
        <w:p>
          <w:pPr>
            <w:pStyle w:val="Contents2"/>
            <w:tabs>
              <w:tab w:val="clear" w:pos="8743"/>
              <w:tab w:val="right" w:pos="9026" w:leader="dot"/>
            </w:tabs>
            <w:rPr/>
          </w:pPr>
          <w:hyperlink w:anchor="__RefHeading___Toc3584415_3650668749">
            <w:r>
              <w:rPr>
                <w:webHidden/>
                <w:rStyle w:val="IndexLink"/>
                <w:rtl w:val="true"/>
              </w:rPr>
              <w:t>تشكر</w:t>
            </w:r>
            <w:r>
              <w:rPr>
                <w:rStyle w:val="IndexLink"/>
                <w:rtl w:val="true"/>
              </w:rPr>
              <w:tab/>
            </w:r>
            <w:r>
              <w:rPr>
                <w:rStyle w:val="IndexLink"/>
              </w:rPr>
              <w:t>29</w:t>
            </w:r>
          </w:hyperlink>
        </w:p>
        <w:p>
          <w:pPr>
            <w:pStyle w:val="Contents2"/>
            <w:tabs>
              <w:tab w:val="clear" w:pos="8743"/>
              <w:tab w:val="right" w:pos="9026" w:leader="dot"/>
            </w:tabs>
            <w:rPr/>
          </w:pPr>
          <w:hyperlink w:anchor="__RefHeading___Toc3584417_3650668749">
            <w:r>
              <w:rPr>
                <w:webHidden/>
                <w:rStyle w:val="IndexLink"/>
                <w:rtl w:val="true"/>
              </w:rPr>
              <w:t>مقدمه</w:t>
            </w:r>
            <w:r>
              <w:rPr>
                <w:rStyle w:val="IndexLink"/>
                <w:rtl w:val="true"/>
              </w:rPr>
              <w:tab/>
            </w:r>
            <w:r>
              <w:rPr>
                <w:rStyle w:val="IndexLink"/>
              </w:rPr>
              <w:t>31</w:t>
            </w:r>
          </w:hyperlink>
        </w:p>
        <w:p>
          <w:pPr>
            <w:pStyle w:val="Contents2"/>
            <w:tabs>
              <w:tab w:val="clear" w:pos="8743"/>
              <w:tab w:val="right" w:pos="9026" w:leader="dot"/>
            </w:tabs>
            <w:rPr/>
          </w:pPr>
          <w:hyperlink w:anchor="__RefHeading___Toc3584419_3650668749">
            <w:r>
              <w:rPr>
                <w:webHidden/>
                <w:rStyle w:val="IndexLink"/>
                <w:rtl w:val="true"/>
              </w:rPr>
              <w:t>گذر‌ى بر منابع</w:t>
            </w:r>
            <w:r>
              <w:rPr>
                <w:rStyle w:val="IndexLink"/>
                <w:rtl w:val="true"/>
              </w:rPr>
              <w:tab/>
            </w:r>
            <w:r>
              <w:rPr>
                <w:rStyle w:val="IndexLink"/>
              </w:rPr>
              <w:t>33</w:t>
            </w:r>
          </w:hyperlink>
        </w:p>
        <w:p>
          <w:pPr>
            <w:pStyle w:val="Contents2"/>
            <w:tabs>
              <w:tab w:val="clear" w:pos="8743"/>
              <w:tab w:val="right" w:pos="9026" w:leader="dot"/>
            </w:tabs>
            <w:rPr/>
          </w:pPr>
          <w:hyperlink w:anchor="__RefHeading___Toc3584421_3650668749">
            <w:r>
              <w:rPr>
                <w:webHidden/>
                <w:rStyle w:val="IndexLink"/>
                <w:rtl w:val="true"/>
              </w:rPr>
              <w:t>مرور‌ى بر مطالعات جديد</w:t>
            </w:r>
            <w:r>
              <w:rPr>
                <w:rStyle w:val="IndexLink"/>
                <w:rtl w:val="true"/>
              </w:rPr>
              <w:tab/>
            </w:r>
            <w:r>
              <w:rPr>
                <w:rStyle w:val="IndexLink"/>
              </w:rPr>
              <w:t>35</w:t>
            </w:r>
          </w:hyperlink>
        </w:p>
        <w:p>
          <w:pPr>
            <w:pStyle w:val="Contents2"/>
            <w:tabs>
              <w:tab w:val="clear" w:pos="8743"/>
              <w:tab w:val="right" w:pos="9026" w:leader="dot"/>
            </w:tabs>
            <w:rPr/>
          </w:pPr>
          <w:hyperlink w:anchor="__RefHeading___Toc3584423_3650668749">
            <w:r>
              <w:rPr>
                <w:webHidden/>
                <w:rStyle w:val="IndexLink"/>
                <w:rtl w:val="true"/>
              </w:rPr>
              <w:t>فصل اول</w:t>
            </w:r>
            <w:r>
              <w:rPr>
                <w:rStyle w:val="IndexLink"/>
                <w:rtl w:val="true"/>
              </w:rPr>
              <w:t xml:space="preserve">: </w:t>
            </w:r>
            <w:r>
              <w:rPr>
                <w:rStyle w:val="IndexLink"/>
                <w:rtl w:val="true"/>
              </w:rPr>
              <w:t>جغرافيا‌ى طبيعى كوفه</w:t>
            </w:r>
            <w:r>
              <w:rPr>
                <w:rStyle w:val="IndexLink"/>
                <w:rtl w:val="true"/>
              </w:rPr>
              <w:tab/>
            </w:r>
            <w:r>
              <w:rPr>
                <w:rStyle w:val="IndexLink"/>
              </w:rPr>
              <w:t>40</w:t>
            </w:r>
          </w:hyperlink>
        </w:p>
        <w:p>
          <w:pPr>
            <w:pStyle w:val="Contents3"/>
            <w:tabs>
              <w:tab w:val="clear" w:pos="8459"/>
              <w:tab w:val="right" w:pos="9026" w:leader="dot"/>
            </w:tabs>
            <w:rPr/>
          </w:pPr>
          <w:hyperlink w:anchor="__RefHeading___Toc3584425_3650668749">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3584427_3650668749">
            <w:r>
              <w:rPr>
                <w:webHidden/>
                <w:rStyle w:val="IndexLink"/>
              </w:rPr>
              <w:t>١</w:t>
            </w:r>
            <w:r>
              <w:rPr>
                <w:rStyle w:val="IndexLink"/>
                <w:rtl w:val="true"/>
              </w:rPr>
              <w:t xml:space="preserve">. </w:t>
            </w:r>
            <w:r>
              <w:rPr>
                <w:rStyle w:val="IndexLink"/>
                <w:rtl w:val="true"/>
              </w:rPr>
              <w:t>مفهوم‌شناسى</w:t>
            </w:r>
            <w:r>
              <w:rPr>
                <w:rStyle w:val="IndexLink"/>
                <w:rtl w:val="true"/>
              </w:rPr>
              <w:tab/>
            </w:r>
            <w:r>
              <w:rPr>
                <w:rStyle w:val="IndexLink"/>
              </w:rPr>
              <w:t>41</w:t>
            </w:r>
          </w:hyperlink>
        </w:p>
        <w:p>
          <w:pPr>
            <w:pStyle w:val="Contents4"/>
            <w:tabs>
              <w:tab w:val="clear" w:pos="8176"/>
              <w:tab w:val="right" w:pos="9026" w:leader="dot"/>
            </w:tabs>
            <w:rPr/>
          </w:pPr>
          <w:hyperlink w:anchor="__RefHeading___Toc3584429_3650668749">
            <w:r>
              <w:rPr>
                <w:webHidden/>
                <w:rStyle w:val="IndexLink"/>
                <w:rtl w:val="true"/>
              </w:rPr>
              <w:t>الف</w:t>
            </w:r>
            <w:r>
              <w:rPr>
                <w:rStyle w:val="IndexLink"/>
                <w:rtl w:val="true"/>
              </w:rPr>
              <w:t xml:space="preserve">) </w:t>
            </w:r>
            <w:r>
              <w:rPr>
                <w:rStyle w:val="IndexLink"/>
                <w:rtl w:val="true"/>
              </w:rPr>
              <w:t>دليل نامگذار‌ى كوفه</w:t>
            </w:r>
            <w:r>
              <w:rPr>
                <w:rStyle w:val="IndexLink"/>
                <w:rtl w:val="true"/>
              </w:rPr>
              <w:tab/>
            </w:r>
            <w:r>
              <w:rPr>
                <w:rStyle w:val="IndexLink"/>
              </w:rPr>
              <w:t>41</w:t>
            </w:r>
          </w:hyperlink>
        </w:p>
        <w:p>
          <w:pPr>
            <w:pStyle w:val="Contents4"/>
            <w:tabs>
              <w:tab w:val="clear" w:pos="8176"/>
              <w:tab w:val="right" w:pos="9026" w:leader="dot"/>
            </w:tabs>
            <w:rPr/>
          </w:pPr>
          <w:hyperlink w:anchor="__RefHeading___Toc3584431_3650668749">
            <w:r>
              <w:rPr>
                <w:webHidden/>
                <w:rStyle w:val="IndexLink"/>
                <w:rtl w:val="true"/>
              </w:rPr>
              <w:t>ب</w:t>
            </w:r>
            <w:r>
              <w:rPr>
                <w:rStyle w:val="IndexLink"/>
                <w:rtl w:val="true"/>
              </w:rPr>
              <w:t xml:space="preserve">) </w:t>
            </w:r>
            <w:r>
              <w:rPr>
                <w:rStyle w:val="IndexLink"/>
                <w:rtl w:val="true"/>
              </w:rPr>
              <w:t>نام‌ها‌ى كوفه</w:t>
            </w:r>
            <w:r>
              <w:rPr>
                <w:rStyle w:val="IndexLink"/>
                <w:rtl w:val="true"/>
              </w:rPr>
              <w:tab/>
            </w:r>
            <w:r>
              <w:rPr>
                <w:rStyle w:val="IndexLink"/>
              </w:rPr>
              <w:t>43</w:t>
            </w:r>
          </w:hyperlink>
        </w:p>
        <w:p>
          <w:pPr>
            <w:pStyle w:val="Contents5"/>
            <w:tabs>
              <w:tab w:val="clear" w:pos="7892"/>
              <w:tab w:val="right" w:pos="9026" w:leader="dot"/>
            </w:tabs>
            <w:rPr/>
          </w:pPr>
          <w:hyperlink w:anchor="__RefHeading___Toc3584433_3650668749">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3584435_3650668749">
            <w:r>
              <w:rPr>
                <w:webHidden/>
                <w:rStyle w:val="IndexLink"/>
                <w:rtl w:val="true"/>
              </w:rPr>
              <w:t xml:space="preserve">يك </w:t>
            </w:r>
            <w:r>
              <w:rPr>
                <w:rStyle w:val="IndexLink"/>
                <w:rtl w:val="true"/>
              </w:rPr>
              <w:t xml:space="preserve">- </w:t>
            </w:r>
            <w:r>
              <w:rPr>
                <w:rStyle w:val="IndexLink"/>
                <w:rtl w:val="true"/>
              </w:rPr>
              <w:t>كوفان</w:t>
            </w:r>
            <w:r>
              <w:rPr>
                <w:rStyle w:val="IndexLink"/>
                <w:rtl w:val="true"/>
              </w:rPr>
              <w:t>:</w:t>
              <w:tab/>
            </w:r>
            <w:r>
              <w:rPr>
                <w:rStyle w:val="IndexLink"/>
              </w:rPr>
              <w:t>43</w:t>
            </w:r>
          </w:hyperlink>
        </w:p>
        <w:p>
          <w:pPr>
            <w:pStyle w:val="Contents5"/>
            <w:tabs>
              <w:tab w:val="clear" w:pos="7892"/>
              <w:tab w:val="right" w:pos="9026" w:leader="dot"/>
            </w:tabs>
            <w:rPr/>
          </w:pPr>
          <w:hyperlink w:anchor="__RefHeading___Toc3584437_3650668749">
            <w:r>
              <w:rPr>
                <w:webHidden/>
                <w:rStyle w:val="IndexLink"/>
                <w:rtl w:val="true"/>
              </w:rPr>
              <w:t xml:space="preserve">دو </w:t>
            </w:r>
            <w:r>
              <w:rPr>
                <w:rStyle w:val="IndexLink"/>
                <w:rtl w:val="true"/>
              </w:rPr>
              <w:t xml:space="preserve">- </w:t>
            </w:r>
            <w:r>
              <w:rPr>
                <w:rStyle w:val="IndexLink"/>
                <w:rtl w:val="true"/>
              </w:rPr>
              <w:t>سورستان</w:t>
            </w:r>
            <w:r>
              <w:rPr>
                <w:rStyle w:val="IndexLink"/>
                <w:rtl w:val="true"/>
              </w:rPr>
              <w:t>:</w:t>
              <w:tab/>
            </w:r>
            <w:r>
              <w:rPr>
                <w:rStyle w:val="IndexLink"/>
              </w:rPr>
              <w:t>43</w:t>
            </w:r>
          </w:hyperlink>
        </w:p>
        <w:p>
          <w:pPr>
            <w:pStyle w:val="Contents5"/>
            <w:tabs>
              <w:tab w:val="clear" w:pos="7892"/>
              <w:tab w:val="right" w:pos="9026" w:leader="dot"/>
            </w:tabs>
            <w:rPr/>
          </w:pPr>
          <w:hyperlink w:anchor="__RefHeading___Toc3584439_3650668749">
            <w:r>
              <w:rPr>
                <w:webHidden/>
                <w:rStyle w:val="IndexLink"/>
                <w:rtl w:val="true"/>
              </w:rPr>
              <w:t xml:space="preserve">سه </w:t>
            </w:r>
            <w:r>
              <w:rPr>
                <w:rStyle w:val="IndexLink"/>
                <w:rtl w:val="true"/>
              </w:rPr>
              <w:t>-</w:t>
            </w:r>
            <w:r>
              <w:rPr>
                <w:rStyle w:val="IndexLink"/>
                <w:rtl w:val="true"/>
              </w:rPr>
              <w:t>خَدّ العَذْراء</w:t>
            </w:r>
            <w:r>
              <w:rPr>
                <w:rStyle w:val="IndexLink"/>
                <w:rtl w:val="true"/>
              </w:rPr>
              <w:t>:</w:t>
              <w:tab/>
            </w:r>
            <w:r>
              <w:rPr>
                <w:rStyle w:val="IndexLink"/>
              </w:rPr>
              <w:t>43</w:t>
            </w:r>
          </w:hyperlink>
        </w:p>
        <w:p>
          <w:pPr>
            <w:pStyle w:val="Contents5"/>
            <w:tabs>
              <w:tab w:val="clear" w:pos="7892"/>
              <w:tab w:val="right" w:pos="9026" w:leader="dot"/>
            </w:tabs>
            <w:rPr/>
          </w:pPr>
          <w:hyperlink w:anchor="__RefHeading___Toc3584441_3650668749">
            <w:r>
              <w:rPr>
                <w:webHidden/>
                <w:rStyle w:val="IndexLink"/>
                <w:rtl w:val="true"/>
              </w:rPr>
              <w:t xml:space="preserve">چهار </w:t>
            </w:r>
            <w:r>
              <w:rPr>
                <w:rStyle w:val="IndexLink"/>
                <w:rtl w:val="true"/>
              </w:rPr>
              <w:t xml:space="preserve">- </w:t>
            </w:r>
            <w:r>
              <w:rPr>
                <w:rStyle w:val="IndexLink"/>
                <w:rtl w:val="true"/>
              </w:rPr>
              <w:t>كوفة الجُند</w:t>
            </w:r>
            <w:r>
              <w:rPr>
                <w:rStyle w:val="IndexLink"/>
                <w:rtl w:val="true"/>
              </w:rPr>
              <w:t>:</w:t>
              <w:tab/>
            </w:r>
            <w:r>
              <w:rPr>
                <w:rStyle w:val="IndexLink"/>
              </w:rPr>
              <w:t>43</w:t>
            </w:r>
          </w:hyperlink>
        </w:p>
        <w:p>
          <w:pPr>
            <w:pStyle w:val="Contents5"/>
            <w:tabs>
              <w:tab w:val="clear" w:pos="7892"/>
              <w:tab w:val="right" w:pos="9026" w:leader="dot"/>
            </w:tabs>
            <w:rPr/>
          </w:pPr>
          <w:hyperlink w:anchor="__RefHeading___Toc3584443_3650668749">
            <w:r>
              <w:rPr>
                <w:webHidden/>
                <w:rStyle w:val="IndexLink"/>
                <w:rtl w:val="true"/>
              </w:rPr>
              <w:t xml:space="preserve">پنج </w:t>
            </w:r>
            <w:r>
              <w:rPr>
                <w:rStyle w:val="IndexLink"/>
                <w:rtl w:val="true"/>
              </w:rPr>
              <w:t xml:space="preserve">- </w:t>
            </w:r>
            <w:r>
              <w:rPr>
                <w:rStyle w:val="IndexLink"/>
                <w:rtl w:val="true"/>
              </w:rPr>
              <w:t>كوفة الخُلد</w:t>
            </w:r>
            <w:r>
              <w:rPr>
                <w:rStyle w:val="IndexLink"/>
                <w:rtl w:val="true"/>
              </w:rPr>
              <w:t>:</w:t>
              <w:tab/>
            </w:r>
            <w:r>
              <w:rPr>
                <w:rStyle w:val="IndexLink"/>
              </w:rPr>
              <w:t>43</w:t>
            </w:r>
          </w:hyperlink>
        </w:p>
        <w:p>
          <w:pPr>
            <w:pStyle w:val="Contents5"/>
            <w:tabs>
              <w:tab w:val="clear" w:pos="7892"/>
              <w:tab w:val="right" w:pos="9026" w:leader="dot"/>
            </w:tabs>
            <w:rPr/>
          </w:pPr>
          <w:hyperlink w:anchor="__RefHeading___Toc3584445_3650668749">
            <w:r>
              <w:rPr>
                <w:webHidden/>
                <w:rStyle w:val="IndexLink"/>
                <w:rtl w:val="true"/>
              </w:rPr>
              <w:t>شش</w:t>
            </w:r>
            <w:r>
              <w:rPr>
                <w:rStyle w:val="IndexLink"/>
                <w:rtl w:val="true"/>
              </w:rPr>
              <w:t xml:space="preserve">- </w:t>
            </w:r>
            <w:r>
              <w:rPr>
                <w:rStyle w:val="IndexLink"/>
                <w:rtl w:val="true"/>
              </w:rPr>
              <w:t>منزل جهاد</w:t>
            </w:r>
            <w:r>
              <w:rPr>
                <w:rStyle w:val="IndexLink"/>
                <w:rtl w:val="true"/>
              </w:rPr>
              <w:t>.</w:t>
              <w:tab/>
            </w:r>
            <w:r>
              <w:rPr>
                <w:rStyle w:val="IndexLink"/>
              </w:rPr>
              <w:t>44</w:t>
            </w:r>
          </w:hyperlink>
        </w:p>
        <w:p>
          <w:pPr>
            <w:pStyle w:val="Contents5"/>
            <w:tabs>
              <w:tab w:val="clear" w:pos="7892"/>
              <w:tab w:val="right" w:pos="9026" w:leader="dot"/>
            </w:tabs>
            <w:rPr/>
          </w:pPr>
          <w:hyperlink w:anchor="__RefHeading___Toc3584447_3650668749">
            <w:r>
              <w:rPr>
                <w:webHidden/>
                <w:rStyle w:val="IndexLink"/>
                <w:rtl w:val="true"/>
              </w:rPr>
              <w:t>هفت</w:t>
            </w:r>
            <w:r>
              <w:rPr>
                <w:rStyle w:val="IndexLink"/>
                <w:rtl w:val="true"/>
              </w:rPr>
              <w:t xml:space="preserve">- </w:t>
            </w:r>
            <w:r>
              <w:rPr>
                <w:rStyle w:val="IndexLink"/>
                <w:rtl w:val="true"/>
              </w:rPr>
              <w:t>دارالهجرة</w:t>
            </w:r>
            <w:r>
              <w:rPr>
                <w:rStyle w:val="IndexLink"/>
                <w:rtl w:val="true"/>
              </w:rPr>
              <w:t>.</w:t>
              <w:tab/>
            </w:r>
            <w:r>
              <w:rPr>
                <w:rStyle w:val="IndexLink"/>
              </w:rPr>
              <w:t>44</w:t>
            </w:r>
          </w:hyperlink>
        </w:p>
        <w:p>
          <w:pPr>
            <w:pStyle w:val="Contents4"/>
            <w:tabs>
              <w:tab w:val="clear" w:pos="8176"/>
              <w:tab w:val="right" w:pos="9026" w:leader="dot"/>
            </w:tabs>
            <w:rPr/>
          </w:pPr>
          <w:hyperlink w:anchor="__RefHeading___Toc3584449_3650668749">
            <w:r>
              <w:rPr>
                <w:webHidden/>
                <w:rStyle w:val="IndexLink"/>
                <w:rtl w:val="true"/>
              </w:rPr>
              <w:t>ج</w:t>
            </w:r>
            <w:r>
              <w:rPr>
                <w:rStyle w:val="IndexLink"/>
                <w:rtl w:val="true"/>
              </w:rPr>
              <w:t xml:space="preserve">) </w:t>
            </w:r>
            <w:r>
              <w:rPr>
                <w:rStyle w:val="IndexLink"/>
                <w:rtl w:val="true"/>
              </w:rPr>
              <w:t>تاريخچه اجمالى كوفه</w:t>
            </w:r>
            <w:r>
              <w:rPr>
                <w:rStyle w:val="IndexLink"/>
                <w:rtl w:val="true"/>
              </w:rPr>
              <w:tab/>
            </w:r>
            <w:r>
              <w:rPr>
                <w:rStyle w:val="IndexLink"/>
              </w:rPr>
              <w:t>44</w:t>
            </w:r>
          </w:hyperlink>
        </w:p>
        <w:p>
          <w:pPr>
            <w:pStyle w:val="Contents3"/>
            <w:tabs>
              <w:tab w:val="clear" w:pos="8459"/>
              <w:tab w:val="right" w:pos="9026" w:leader="dot"/>
            </w:tabs>
            <w:rPr/>
          </w:pPr>
          <w:hyperlink w:anchor="__RefHeading___Toc3584451_3650668749">
            <w:r>
              <w:rPr>
                <w:webHidden/>
                <w:rStyle w:val="IndexLink"/>
              </w:rPr>
              <w:t>٢</w:t>
            </w:r>
            <w:r>
              <w:rPr>
                <w:rStyle w:val="IndexLink"/>
                <w:rtl w:val="true"/>
              </w:rPr>
              <w:t xml:space="preserve">. </w:t>
            </w:r>
            <w:r>
              <w:rPr>
                <w:rStyle w:val="IndexLink"/>
                <w:rtl w:val="true"/>
              </w:rPr>
              <w:t>تأسيس شهر كوفه</w:t>
            </w:r>
            <w:r>
              <w:rPr>
                <w:rStyle w:val="IndexLink"/>
                <w:rtl w:val="true"/>
              </w:rPr>
              <w:tab/>
            </w:r>
            <w:r>
              <w:rPr>
                <w:rStyle w:val="IndexLink"/>
              </w:rPr>
              <w:t>46</w:t>
            </w:r>
          </w:hyperlink>
        </w:p>
        <w:p>
          <w:pPr>
            <w:pStyle w:val="Contents3"/>
            <w:tabs>
              <w:tab w:val="clear" w:pos="8459"/>
              <w:tab w:val="right" w:pos="9026" w:leader="dot"/>
            </w:tabs>
            <w:rPr/>
          </w:pPr>
          <w:hyperlink w:anchor="__RefHeading___Toc3584453_3650668749">
            <w:r>
              <w:rPr>
                <w:webHidden/>
                <w:rStyle w:val="IndexLink"/>
              </w:rPr>
              <w:t>٣</w:t>
            </w:r>
            <w:r>
              <w:rPr>
                <w:rStyle w:val="IndexLink"/>
                <w:rtl w:val="true"/>
              </w:rPr>
              <w:t xml:space="preserve">. </w:t>
            </w:r>
            <w:r>
              <w:rPr>
                <w:rStyle w:val="IndexLink"/>
                <w:rtl w:val="true"/>
              </w:rPr>
              <w:t>مباحث جغرافيايى</w:t>
            </w:r>
            <w:r>
              <w:rPr>
                <w:rStyle w:val="IndexLink"/>
                <w:rtl w:val="true"/>
              </w:rPr>
              <w:tab/>
            </w:r>
            <w:r>
              <w:rPr>
                <w:rStyle w:val="IndexLink"/>
              </w:rPr>
              <w:t>47</w:t>
            </w:r>
          </w:hyperlink>
        </w:p>
        <w:p>
          <w:pPr>
            <w:pStyle w:val="Contents4"/>
            <w:tabs>
              <w:tab w:val="clear" w:pos="8176"/>
              <w:tab w:val="right" w:pos="9026" w:leader="dot"/>
            </w:tabs>
            <w:rPr/>
          </w:pPr>
          <w:hyperlink w:anchor="__RefHeading___Toc3584455_3650668749">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3584457_3650668749">
            <w:r>
              <w:rPr>
                <w:webHidden/>
                <w:rStyle w:val="IndexLink"/>
                <w:rtl w:val="true"/>
              </w:rPr>
              <w:t>الف</w:t>
            </w:r>
            <w:r>
              <w:rPr>
                <w:rStyle w:val="IndexLink"/>
                <w:rtl w:val="true"/>
              </w:rPr>
              <w:t xml:space="preserve">) </w:t>
            </w:r>
            <w:r>
              <w:rPr>
                <w:rStyle w:val="IndexLink"/>
                <w:rtl w:val="true"/>
              </w:rPr>
              <w:t>طول و عرض جغرافيايى و ارتفاع</w:t>
            </w:r>
            <w:r>
              <w:rPr>
                <w:rStyle w:val="IndexLink"/>
                <w:rtl w:val="true"/>
              </w:rPr>
              <w:tab/>
            </w:r>
            <w:r>
              <w:rPr>
                <w:rStyle w:val="IndexLink"/>
              </w:rPr>
              <w:t>47</w:t>
            </w:r>
          </w:hyperlink>
        </w:p>
        <w:p>
          <w:pPr>
            <w:pStyle w:val="Contents4"/>
            <w:tabs>
              <w:tab w:val="clear" w:pos="8176"/>
              <w:tab w:val="right" w:pos="9026" w:leader="dot"/>
            </w:tabs>
            <w:rPr/>
          </w:pPr>
          <w:hyperlink w:anchor="__RefHeading___Toc3584459_3650668749">
            <w:r>
              <w:rPr>
                <w:webHidden/>
                <w:rStyle w:val="IndexLink"/>
                <w:rtl w:val="true"/>
              </w:rPr>
              <w:t>ب</w:t>
            </w:r>
            <w:r>
              <w:rPr>
                <w:rStyle w:val="IndexLink"/>
                <w:rtl w:val="true"/>
              </w:rPr>
              <w:t xml:space="preserve">) </w:t>
            </w:r>
            <w:r>
              <w:rPr>
                <w:rStyle w:val="IndexLink"/>
                <w:rtl w:val="true"/>
              </w:rPr>
              <w:t>مساحت</w:t>
            </w:r>
            <w:r>
              <w:rPr>
                <w:rStyle w:val="IndexLink"/>
                <w:rtl w:val="true"/>
              </w:rPr>
              <w:tab/>
            </w:r>
            <w:r>
              <w:rPr>
                <w:rStyle w:val="IndexLink"/>
              </w:rPr>
              <w:t>47</w:t>
            </w:r>
          </w:hyperlink>
        </w:p>
        <w:p>
          <w:pPr>
            <w:pStyle w:val="Contents4"/>
            <w:tabs>
              <w:tab w:val="clear" w:pos="8176"/>
              <w:tab w:val="right" w:pos="9026" w:leader="dot"/>
            </w:tabs>
            <w:rPr/>
          </w:pPr>
          <w:hyperlink w:anchor="__RefHeading___Toc3584461_3650668749">
            <w:r>
              <w:rPr>
                <w:webHidden/>
                <w:rStyle w:val="IndexLink"/>
                <w:rtl w:val="true"/>
              </w:rPr>
              <w:t>ج</w:t>
            </w:r>
            <w:r>
              <w:rPr>
                <w:rStyle w:val="IndexLink"/>
                <w:rtl w:val="true"/>
              </w:rPr>
              <w:t xml:space="preserve">) </w:t>
            </w:r>
            <w:r>
              <w:rPr>
                <w:rStyle w:val="IndexLink"/>
                <w:rtl w:val="true"/>
              </w:rPr>
              <w:t>حدود و ثغور</w:t>
            </w:r>
            <w:r>
              <w:rPr>
                <w:rStyle w:val="IndexLink"/>
                <w:rtl w:val="true"/>
              </w:rPr>
              <w:tab/>
            </w:r>
            <w:r>
              <w:rPr>
                <w:rStyle w:val="IndexLink"/>
              </w:rPr>
              <w:t>48</w:t>
            </w:r>
          </w:hyperlink>
        </w:p>
        <w:p>
          <w:pPr>
            <w:pStyle w:val="Contents4"/>
            <w:tabs>
              <w:tab w:val="clear" w:pos="8176"/>
              <w:tab w:val="right" w:pos="9026" w:leader="dot"/>
            </w:tabs>
            <w:rPr/>
          </w:pPr>
          <w:hyperlink w:anchor="__RefHeading___Toc3584463_3650668749">
            <w:r>
              <w:rPr>
                <w:webHidden/>
                <w:rStyle w:val="IndexLink"/>
                <w:rtl w:val="true"/>
              </w:rPr>
              <w:t>د</w:t>
            </w:r>
            <w:r>
              <w:rPr>
                <w:rStyle w:val="IndexLink"/>
                <w:rtl w:val="true"/>
              </w:rPr>
              <w:t xml:space="preserve">) </w:t>
            </w:r>
            <w:r>
              <w:rPr>
                <w:rStyle w:val="IndexLink"/>
                <w:rtl w:val="true"/>
              </w:rPr>
              <w:t>زمين</w:t>
            </w:r>
            <w:r>
              <w:rPr>
                <w:rStyle w:val="IndexLink"/>
                <w:rtl w:val="true"/>
              </w:rPr>
              <w:tab/>
            </w:r>
            <w:r>
              <w:rPr>
                <w:rStyle w:val="IndexLink"/>
              </w:rPr>
              <w:t>49</w:t>
            </w:r>
          </w:hyperlink>
        </w:p>
        <w:p>
          <w:pPr>
            <w:pStyle w:val="Contents4"/>
            <w:tabs>
              <w:tab w:val="clear" w:pos="8176"/>
              <w:tab w:val="right" w:pos="9026" w:leader="dot"/>
            </w:tabs>
            <w:rPr/>
          </w:pPr>
          <w:hyperlink w:anchor="__RefHeading___Toc3584465_3650668749">
            <w:r>
              <w:rPr>
                <w:webHidden/>
                <w:rStyle w:val="IndexLink"/>
                <w:rtl w:val="true"/>
              </w:rPr>
              <w:t>ه</w:t>
            </w:r>
            <w:r>
              <w:rPr>
                <w:rStyle w:val="IndexLink"/>
                <w:rtl w:val="true"/>
              </w:rPr>
              <w:t xml:space="preserve">) </w:t>
            </w:r>
            <w:r>
              <w:rPr>
                <w:rStyle w:val="IndexLink"/>
                <w:rtl w:val="true"/>
              </w:rPr>
              <w:t>آب و هوا</w:t>
            </w:r>
            <w:r>
              <w:rPr>
                <w:rStyle w:val="IndexLink"/>
                <w:rtl w:val="true"/>
              </w:rPr>
              <w:tab/>
            </w:r>
            <w:r>
              <w:rPr>
                <w:rStyle w:val="IndexLink"/>
              </w:rPr>
              <w:t>51</w:t>
            </w:r>
          </w:hyperlink>
        </w:p>
        <w:p>
          <w:pPr>
            <w:pStyle w:val="Contents4"/>
            <w:tabs>
              <w:tab w:val="clear" w:pos="8176"/>
              <w:tab w:val="right" w:pos="9026" w:leader="dot"/>
            </w:tabs>
            <w:rPr/>
          </w:pPr>
          <w:hyperlink w:anchor="__RefHeading___Toc3584467_3650668749">
            <w:r>
              <w:rPr>
                <w:webHidden/>
                <w:rStyle w:val="IndexLink"/>
                <w:rtl w:val="true"/>
              </w:rPr>
              <w:t>و</w:t>
            </w:r>
            <w:r>
              <w:rPr>
                <w:rStyle w:val="IndexLink"/>
                <w:rtl w:val="true"/>
              </w:rPr>
              <w:t xml:space="preserve">) </w:t>
            </w:r>
            <w:r>
              <w:rPr>
                <w:rStyle w:val="IndexLink"/>
                <w:rtl w:val="true"/>
              </w:rPr>
              <w:t>جمعيت</w:t>
            </w:r>
            <w:r>
              <w:rPr>
                <w:rStyle w:val="IndexLink"/>
                <w:rtl w:val="true"/>
              </w:rPr>
              <w:tab/>
            </w:r>
            <w:r>
              <w:rPr>
                <w:rStyle w:val="IndexLink"/>
              </w:rPr>
              <w:t>52</w:t>
            </w:r>
          </w:hyperlink>
        </w:p>
        <w:p>
          <w:pPr>
            <w:pStyle w:val="Contents4"/>
            <w:tabs>
              <w:tab w:val="clear" w:pos="8176"/>
              <w:tab w:val="right" w:pos="9026" w:leader="dot"/>
            </w:tabs>
            <w:rPr/>
          </w:pPr>
          <w:hyperlink w:anchor="__RefHeading___Toc3584469_3650668749">
            <w:r>
              <w:rPr>
                <w:webHidden/>
                <w:rStyle w:val="IndexLink"/>
                <w:rtl w:val="true"/>
              </w:rPr>
              <w:t>ز</w:t>
            </w:r>
            <w:r>
              <w:rPr>
                <w:rStyle w:val="IndexLink"/>
                <w:rtl w:val="true"/>
              </w:rPr>
              <w:t xml:space="preserve">) </w:t>
            </w:r>
            <w:r>
              <w:rPr>
                <w:rStyle w:val="IndexLink"/>
                <w:rtl w:val="true"/>
              </w:rPr>
              <w:t>گياهان و درختان كوفه</w:t>
            </w:r>
            <w:r>
              <w:rPr>
                <w:rStyle w:val="IndexLink"/>
                <w:rtl w:val="true"/>
              </w:rPr>
              <w:tab/>
            </w:r>
            <w:r>
              <w:rPr>
                <w:rStyle w:val="IndexLink"/>
              </w:rPr>
              <w:t>56</w:t>
            </w:r>
          </w:hyperlink>
        </w:p>
        <w:p>
          <w:pPr>
            <w:pStyle w:val="Contents5"/>
            <w:tabs>
              <w:tab w:val="clear" w:pos="7892"/>
              <w:tab w:val="right" w:pos="9026" w:leader="dot"/>
            </w:tabs>
            <w:rPr/>
          </w:pPr>
          <w:hyperlink w:anchor="__RefHeading___Toc3584471_3650668749">
            <w:r>
              <w:rPr>
                <w:webHidden/>
                <w:rStyle w:val="IndexLink"/>
                <w:rtl w:val="true"/>
              </w:rPr>
              <w:t xml:space="preserve">يك </w:t>
            </w:r>
            <w:r>
              <w:rPr>
                <w:rStyle w:val="IndexLink"/>
                <w:rtl w:val="true"/>
              </w:rPr>
              <w:t xml:space="preserve">- </w:t>
            </w:r>
            <w:r>
              <w:rPr>
                <w:rStyle w:val="IndexLink"/>
                <w:rtl w:val="true"/>
              </w:rPr>
              <w:t>گياهان قبل از بنيان‌گذار‌ى كوفه</w:t>
            </w:r>
            <w:r>
              <w:rPr>
                <w:rStyle w:val="IndexLink"/>
                <w:rtl w:val="true"/>
              </w:rPr>
              <w:tab/>
            </w:r>
            <w:r>
              <w:rPr>
                <w:rStyle w:val="IndexLink"/>
              </w:rPr>
              <w:t>56</w:t>
            </w:r>
          </w:hyperlink>
        </w:p>
        <w:p>
          <w:pPr>
            <w:pStyle w:val="Contents6"/>
            <w:tabs>
              <w:tab w:val="clear" w:pos="7609"/>
              <w:tab w:val="right" w:pos="9026" w:leader="dot"/>
            </w:tabs>
            <w:rPr/>
          </w:pPr>
          <w:hyperlink w:anchor="__RefHeading___Toc3584473_3650668749">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3584475_3650668749">
            <w:r>
              <w:rPr>
                <w:webHidden/>
                <w:rStyle w:val="IndexLink"/>
                <w:rtl w:val="true"/>
              </w:rPr>
              <w:t xml:space="preserve">اول </w:t>
            </w:r>
            <w:r>
              <w:rPr>
                <w:rStyle w:val="IndexLink"/>
                <w:rtl w:val="true"/>
              </w:rPr>
              <w:t xml:space="preserve">- </w:t>
            </w:r>
            <w:r>
              <w:rPr>
                <w:rStyle w:val="IndexLink"/>
                <w:rtl w:val="true"/>
              </w:rPr>
              <w:t>اُقحُوان</w:t>
            </w:r>
            <w:r>
              <w:rPr>
                <w:rStyle w:val="IndexLink"/>
                <w:rtl w:val="true"/>
              </w:rPr>
              <w:t>:</w:t>
              <w:tab/>
            </w:r>
            <w:r>
              <w:rPr>
                <w:rStyle w:val="IndexLink"/>
              </w:rPr>
              <w:t>56</w:t>
            </w:r>
          </w:hyperlink>
        </w:p>
        <w:p>
          <w:pPr>
            <w:pStyle w:val="Contents6"/>
            <w:tabs>
              <w:tab w:val="clear" w:pos="7609"/>
              <w:tab w:val="right" w:pos="9026" w:leader="dot"/>
            </w:tabs>
            <w:rPr/>
          </w:pPr>
          <w:hyperlink w:anchor="__RefHeading___Toc3584477_3650668749">
            <w:r>
              <w:rPr>
                <w:webHidden/>
                <w:rStyle w:val="IndexLink"/>
                <w:rtl w:val="true"/>
              </w:rPr>
              <w:t xml:space="preserve">دوم </w:t>
            </w:r>
            <w:r>
              <w:rPr>
                <w:rStyle w:val="IndexLink"/>
                <w:rtl w:val="true"/>
              </w:rPr>
              <w:t xml:space="preserve">- </w:t>
            </w:r>
            <w:r>
              <w:rPr>
                <w:rStyle w:val="IndexLink"/>
                <w:rtl w:val="true"/>
              </w:rPr>
              <w:t>حلفاء</w:t>
            </w:r>
            <w:r>
              <w:rPr>
                <w:rStyle w:val="IndexLink"/>
                <w:rtl w:val="true"/>
              </w:rPr>
              <w:t>:</w:t>
              <w:tab/>
            </w:r>
            <w:r>
              <w:rPr>
                <w:rStyle w:val="IndexLink"/>
              </w:rPr>
              <w:t>56</w:t>
            </w:r>
          </w:hyperlink>
        </w:p>
        <w:p>
          <w:pPr>
            <w:pStyle w:val="Contents6"/>
            <w:tabs>
              <w:tab w:val="clear" w:pos="7609"/>
              <w:tab w:val="right" w:pos="9026" w:leader="dot"/>
            </w:tabs>
            <w:rPr/>
          </w:pPr>
          <w:hyperlink w:anchor="__RefHeading___Toc3584479_3650668749">
            <w:r>
              <w:rPr>
                <w:webHidden/>
                <w:rStyle w:val="IndexLink"/>
                <w:rtl w:val="true"/>
              </w:rPr>
              <w:t xml:space="preserve">سوم </w:t>
            </w:r>
            <w:r>
              <w:rPr>
                <w:rStyle w:val="IndexLink"/>
                <w:rtl w:val="true"/>
              </w:rPr>
              <w:t xml:space="preserve">- </w:t>
            </w:r>
            <w:r>
              <w:rPr>
                <w:rStyle w:val="IndexLink"/>
                <w:rtl w:val="true"/>
              </w:rPr>
              <w:t>خزامى</w:t>
            </w:r>
            <w:r>
              <w:rPr>
                <w:rStyle w:val="IndexLink"/>
                <w:rtl w:val="true"/>
              </w:rPr>
              <w:t>:</w:t>
              <w:tab/>
            </w:r>
            <w:r>
              <w:rPr>
                <w:rStyle w:val="IndexLink"/>
              </w:rPr>
              <w:t>56</w:t>
            </w:r>
          </w:hyperlink>
        </w:p>
        <w:p>
          <w:pPr>
            <w:pStyle w:val="Contents6"/>
            <w:tabs>
              <w:tab w:val="clear" w:pos="7609"/>
              <w:tab w:val="right" w:pos="9026" w:leader="dot"/>
            </w:tabs>
            <w:rPr/>
          </w:pPr>
          <w:hyperlink w:anchor="__RefHeading___Toc3584481_3650668749">
            <w:r>
              <w:rPr>
                <w:webHidden/>
                <w:rStyle w:val="IndexLink"/>
                <w:rtl w:val="true"/>
              </w:rPr>
              <w:t xml:space="preserve">چهارم </w:t>
            </w:r>
            <w:r>
              <w:rPr>
                <w:rStyle w:val="IndexLink"/>
                <w:rtl w:val="true"/>
              </w:rPr>
              <w:t xml:space="preserve">- </w:t>
            </w:r>
            <w:r>
              <w:rPr>
                <w:rStyle w:val="IndexLink"/>
                <w:rtl w:val="true"/>
              </w:rPr>
              <w:t>شقائق</w:t>
            </w:r>
            <w:r>
              <w:rPr>
                <w:rStyle w:val="IndexLink"/>
                <w:rtl w:val="true"/>
              </w:rPr>
              <w:t>:</w:t>
              <w:tab/>
            </w:r>
            <w:r>
              <w:rPr>
                <w:rStyle w:val="IndexLink"/>
              </w:rPr>
              <w:t>56</w:t>
            </w:r>
          </w:hyperlink>
        </w:p>
        <w:p>
          <w:pPr>
            <w:pStyle w:val="Contents6"/>
            <w:tabs>
              <w:tab w:val="clear" w:pos="7609"/>
              <w:tab w:val="right" w:pos="9026" w:leader="dot"/>
            </w:tabs>
            <w:rPr/>
          </w:pPr>
          <w:hyperlink w:anchor="__RefHeading___Toc3584483_3650668749">
            <w:r>
              <w:rPr>
                <w:webHidden/>
                <w:rStyle w:val="IndexLink"/>
                <w:rtl w:val="true"/>
              </w:rPr>
              <w:t xml:space="preserve">پنجم </w:t>
            </w:r>
            <w:r>
              <w:rPr>
                <w:rStyle w:val="IndexLink"/>
                <w:rtl w:val="true"/>
              </w:rPr>
              <w:t xml:space="preserve">- </w:t>
            </w:r>
            <w:r>
              <w:rPr>
                <w:rStyle w:val="IndexLink"/>
                <w:rtl w:val="true"/>
              </w:rPr>
              <w:t>شيح</w:t>
            </w:r>
            <w:r>
              <w:rPr>
                <w:rStyle w:val="IndexLink"/>
                <w:rtl w:val="true"/>
              </w:rPr>
              <w:t>:</w:t>
              <w:tab/>
            </w:r>
            <w:r>
              <w:rPr>
                <w:rStyle w:val="IndexLink"/>
              </w:rPr>
              <w:t>57</w:t>
            </w:r>
          </w:hyperlink>
        </w:p>
        <w:p>
          <w:pPr>
            <w:pStyle w:val="Contents6"/>
            <w:tabs>
              <w:tab w:val="clear" w:pos="7609"/>
              <w:tab w:val="right" w:pos="9026" w:leader="dot"/>
            </w:tabs>
            <w:rPr/>
          </w:pPr>
          <w:hyperlink w:anchor="__RefHeading___Toc3584485_3650668749">
            <w:r>
              <w:rPr>
                <w:webHidden/>
                <w:rStyle w:val="IndexLink"/>
                <w:rtl w:val="true"/>
              </w:rPr>
              <w:t xml:space="preserve">ششم </w:t>
            </w:r>
            <w:r>
              <w:rPr>
                <w:rStyle w:val="IndexLink"/>
                <w:rtl w:val="true"/>
              </w:rPr>
              <w:t xml:space="preserve">- </w:t>
            </w:r>
            <w:r>
              <w:rPr>
                <w:rStyle w:val="IndexLink"/>
                <w:rtl w:val="true"/>
              </w:rPr>
              <w:t>قِيْصوم</w:t>
            </w:r>
            <w:r>
              <w:rPr>
                <w:rStyle w:val="IndexLink"/>
                <w:rtl w:val="true"/>
              </w:rPr>
              <w:t>:</w:t>
              <w:tab/>
            </w:r>
            <w:r>
              <w:rPr>
                <w:rStyle w:val="IndexLink"/>
              </w:rPr>
              <w:t>57</w:t>
            </w:r>
          </w:hyperlink>
        </w:p>
        <w:p>
          <w:pPr>
            <w:pStyle w:val="Contents6"/>
            <w:tabs>
              <w:tab w:val="clear" w:pos="7609"/>
              <w:tab w:val="right" w:pos="9026" w:leader="dot"/>
            </w:tabs>
            <w:rPr/>
          </w:pPr>
          <w:hyperlink w:anchor="__RefHeading___Toc3584487_3650668749">
            <w:r>
              <w:rPr>
                <w:webHidden/>
                <w:rStyle w:val="IndexLink"/>
                <w:rtl w:val="true"/>
              </w:rPr>
              <w:t xml:space="preserve">هفتم </w:t>
            </w:r>
            <w:r>
              <w:rPr>
                <w:rStyle w:val="IndexLink"/>
                <w:rtl w:val="true"/>
              </w:rPr>
              <w:t xml:space="preserve">- </w:t>
            </w:r>
            <w:r>
              <w:rPr>
                <w:rStyle w:val="IndexLink"/>
                <w:rtl w:val="true"/>
              </w:rPr>
              <w:t>نَصى</w:t>
            </w:r>
            <w:r>
              <w:rPr>
                <w:rStyle w:val="IndexLink"/>
                <w:rtl w:val="true"/>
              </w:rPr>
              <w:t xml:space="preserve">: </w:t>
            </w:r>
            <w:r>
              <w:rPr>
                <w:rStyle w:val="IndexLink"/>
                <w:rtl w:val="true"/>
              </w:rPr>
              <w:t>نوعى گياه ساقه دراز سفيد است كه در چراگاه، بسيار از آن استفاده مى‌شد</w:t>
            </w:r>
            <w:r>
              <w:rPr>
                <w:rStyle w:val="IndexLink"/>
                <w:rtl w:val="true"/>
              </w:rPr>
              <w:t xml:space="preserve">. </w:t>
            </w:r>
            <w:r>
              <w:rPr>
                <w:rStyle w:val="IndexLink"/>
                <w:rtl w:val="true"/>
              </w:rPr>
              <w:t xml:space="preserve">هرگاه ساقه اين گياه، ضخيم و خشك مى‌شد، به آن </w:t>
            </w:r>
            <w:r>
              <w:rPr>
                <w:rStyle w:val="IndexLink"/>
                <w:rtl w:val="true"/>
              </w:rPr>
              <w:t>«</w:t>
            </w:r>
            <w:r>
              <w:rPr>
                <w:rStyle w:val="IndexLink"/>
                <w:rtl w:val="true"/>
              </w:rPr>
              <w:t>حَلى</w:t>
            </w:r>
            <w:r>
              <w:rPr>
                <w:rStyle w:val="IndexLink"/>
                <w:rtl w:val="true"/>
              </w:rPr>
              <w:t xml:space="preserve">» </w:t>
            </w:r>
            <w:r>
              <w:rPr>
                <w:rStyle w:val="IndexLink"/>
                <w:rtl w:val="true"/>
              </w:rPr>
              <w:t>مى‌گفتند</w:t>
            </w:r>
            <w:r>
              <w:rPr>
                <w:rStyle w:val="IndexLink"/>
                <w:rtl w:val="true"/>
              </w:rPr>
              <w:t>.</w:t>
              <w:tab/>
            </w:r>
            <w:r>
              <w:rPr>
                <w:rStyle w:val="IndexLink"/>
              </w:rPr>
              <w:t>57</w:t>
            </w:r>
          </w:hyperlink>
        </w:p>
        <w:p>
          <w:pPr>
            <w:pStyle w:val="Contents5"/>
            <w:tabs>
              <w:tab w:val="clear" w:pos="7892"/>
              <w:tab w:val="right" w:pos="9026" w:leader="dot"/>
            </w:tabs>
            <w:rPr/>
          </w:pPr>
          <w:hyperlink w:anchor="__RefHeading___Toc3584489_3650668749">
            <w:r>
              <w:rPr>
                <w:webHidden/>
                <w:rStyle w:val="IndexLink"/>
                <w:rtl w:val="true"/>
              </w:rPr>
              <w:t xml:space="preserve">دو </w:t>
            </w:r>
            <w:r>
              <w:rPr>
                <w:rStyle w:val="IndexLink"/>
                <w:rtl w:val="true"/>
              </w:rPr>
              <w:t xml:space="preserve">- </w:t>
            </w:r>
            <w:r>
              <w:rPr>
                <w:rStyle w:val="IndexLink"/>
                <w:rtl w:val="true"/>
              </w:rPr>
              <w:t>درختان و گياهان بعد از شهرشدن كوفه</w:t>
            </w:r>
            <w:r>
              <w:rPr>
                <w:rStyle w:val="IndexLink"/>
                <w:rtl w:val="true"/>
              </w:rPr>
              <w:tab/>
            </w:r>
            <w:r>
              <w:rPr>
                <w:rStyle w:val="IndexLink"/>
              </w:rPr>
              <w:t>57</w:t>
            </w:r>
          </w:hyperlink>
        </w:p>
        <w:p>
          <w:pPr>
            <w:pStyle w:val="Contents6"/>
            <w:tabs>
              <w:tab w:val="clear" w:pos="7609"/>
              <w:tab w:val="right" w:pos="9026" w:leader="dot"/>
            </w:tabs>
            <w:rPr/>
          </w:pPr>
          <w:hyperlink w:anchor="__RefHeading___Toc3584491_3650668749">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3584493_3650668749">
            <w:r>
              <w:rPr>
                <w:webHidden/>
                <w:rStyle w:val="IndexLink"/>
                <w:rtl w:val="true"/>
              </w:rPr>
              <w:t xml:space="preserve">اول </w:t>
            </w:r>
            <w:r>
              <w:rPr>
                <w:rStyle w:val="IndexLink"/>
                <w:rtl w:val="true"/>
              </w:rPr>
              <w:t xml:space="preserve">- </w:t>
            </w:r>
            <w:r>
              <w:rPr>
                <w:rStyle w:val="IndexLink"/>
                <w:rtl w:val="true"/>
              </w:rPr>
              <w:t>درختان</w:t>
            </w:r>
            <w:r>
              <w:rPr>
                <w:rStyle w:val="IndexLink"/>
                <w:rtl w:val="true"/>
              </w:rPr>
              <w:tab/>
            </w:r>
            <w:r>
              <w:rPr>
                <w:rStyle w:val="IndexLink"/>
              </w:rPr>
              <w:t>57</w:t>
            </w:r>
          </w:hyperlink>
        </w:p>
        <w:p>
          <w:pPr>
            <w:pStyle w:val="Contents6"/>
            <w:tabs>
              <w:tab w:val="clear" w:pos="7609"/>
              <w:tab w:val="right" w:pos="9026" w:leader="dot"/>
            </w:tabs>
            <w:rPr/>
          </w:pPr>
          <w:hyperlink w:anchor="__RefHeading___Toc3584495_3650668749">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3584497_3650668749">
            <w:r>
              <w:rPr>
                <w:webHidden/>
                <w:rStyle w:val="IndexLink"/>
                <w:rtl w:val="true"/>
              </w:rPr>
              <w:t>رُطبِ مُشان</w:t>
            </w:r>
            <w:r>
              <w:rPr>
                <w:rStyle w:val="IndexLink"/>
                <w:rtl w:val="true"/>
              </w:rPr>
              <w:t>:</w:t>
              <w:tab/>
            </w:r>
            <w:r>
              <w:rPr>
                <w:rStyle w:val="IndexLink"/>
              </w:rPr>
              <w:t>58</w:t>
            </w:r>
          </w:hyperlink>
        </w:p>
        <w:p>
          <w:pPr>
            <w:pStyle w:val="Contents6"/>
            <w:tabs>
              <w:tab w:val="clear" w:pos="7609"/>
              <w:tab w:val="right" w:pos="9026" w:leader="dot"/>
            </w:tabs>
            <w:rPr/>
          </w:pPr>
          <w:hyperlink w:anchor="__RefHeading___Toc3584499_3650668749">
            <w:r>
              <w:rPr>
                <w:webHidden/>
                <w:rStyle w:val="IndexLink"/>
                <w:rtl w:val="true"/>
              </w:rPr>
              <w:t>تمر بَرْني</w:t>
            </w:r>
            <w:r>
              <w:rPr>
                <w:rStyle w:val="IndexLink"/>
                <w:rtl w:val="true"/>
              </w:rPr>
              <w:t>:</w:t>
              <w:tab/>
            </w:r>
            <w:r>
              <w:rPr>
                <w:rStyle w:val="IndexLink"/>
              </w:rPr>
              <w:t>58</w:t>
            </w:r>
          </w:hyperlink>
        </w:p>
        <w:p>
          <w:pPr>
            <w:pStyle w:val="Contents6"/>
            <w:tabs>
              <w:tab w:val="clear" w:pos="7609"/>
              <w:tab w:val="right" w:pos="9026" w:leader="dot"/>
            </w:tabs>
            <w:rPr/>
          </w:pPr>
          <w:hyperlink w:anchor="__RefHeading___Toc3584501_3650668749">
            <w:r>
              <w:rPr>
                <w:webHidden/>
                <w:rStyle w:val="IndexLink"/>
                <w:rtl w:val="true"/>
              </w:rPr>
              <w:t>تمر سابِري</w:t>
            </w:r>
            <w:r>
              <w:rPr>
                <w:rStyle w:val="IndexLink"/>
                <w:rtl w:val="true"/>
              </w:rPr>
              <w:t>:</w:t>
              <w:tab/>
            </w:r>
            <w:r>
              <w:rPr>
                <w:rStyle w:val="IndexLink"/>
              </w:rPr>
              <w:t>58</w:t>
            </w:r>
          </w:hyperlink>
        </w:p>
        <w:p>
          <w:pPr>
            <w:pStyle w:val="Contents6"/>
            <w:tabs>
              <w:tab w:val="clear" w:pos="7609"/>
              <w:tab w:val="right" w:pos="9026" w:leader="dot"/>
            </w:tabs>
            <w:rPr/>
          </w:pPr>
          <w:hyperlink w:anchor="__RefHeading___Toc3584503_3650668749">
            <w:r>
              <w:rPr>
                <w:webHidden/>
                <w:rStyle w:val="IndexLink"/>
                <w:rtl w:val="true"/>
              </w:rPr>
              <w:t>تمر صرفان</w:t>
            </w:r>
            <w:r>
              <w:rPr>
                <w:rStyle w:val="IndexLink"/>
                <w:rtl w:val="true"/>
              </w:rPr>
              <w:t>:</w:t>
              <w:tab/>
            </w:r>
            <w:r>
              <w:rPr>
                <w:rStyle w:val="IndexLink"/>
              </w:rPr>
              <w:t>58</w:t>
            </w:r>
          </w:hyperlink>
        </w:p>
        <w:p>
          <w:pPr>
            <w:pStyle w:val="Contents6"/>
            <w:tabs>
              <w:tab w:val="clear" w:pos="7609"/>
              <w:tab w:val="right" w:pos="9026" w:leader="dot"/>
            </w:tabs>
            <w:rPr/>
          </w:pPr>
          <w:hyperlink w:anchor="__RefHeading___Toc3584505_3650668749">
            <w:r>
              <w:rPr>
                <w:webHidden/>
                <w:rStyle w:val="IndexLink"/>
                <w:rtl w:val="true"/>
              </w:rPr>
              <w:t>تمر هيروان</w:t>
            </w:r>
            <w:r>
              <w:rPr>
                <w:rStyle w:val="IndexLink"/>
                <w:rtl w:val="true"/>
              </w:rPr>
              <w:t>:</w:t>
              <w:tab/>
            </w:r>
            <w:r>
              <w:rPr>
                <w:rStyle w:val="IndexLink"/>
              </w:rPr>
              <w:t>59</w:t>
            </w:r>
          </w:hyperlink>
        </w:p>
        <w:p>
          <w:pPr>
            <w:pStyle w:val="Contents6"/>
            <w:tabs>
              <w:tab w:val="clear" w:pos="7609"/>
              <w:tab w:val="right" w:pos="9026" w:leader="dot"/>
            </w:tabs>
            <w:rPr/>
          </w:pPr>
          <w:hyperlink w:anchor="__RefHeading___Toc3584507_3650668749">
            <w:r>
              <w:rPr>
                <w:webHidden/>
                <w:rStyle w:val="IndexLink"/>
                <w:rtl w:val="true"/>
              </w:rPr>
              <w:t>تمر نرسيان</w:t>
            </w:r>
            <w:r>
              <w:rPr>
                <w:rStyle w:val="IndexLink"/>
                <w:rtl w:val="true"/>
              </w:rPr>
              <w:t>:</w:t>
              <w:tab/>
            </w:r>
            <w:r>
              <w:rPr>
                <w:rStyle w:val="IndexLink"/>
              </w:rPr>
              <w:t>59</w:t>
            </w:r>
          </w:hyperlink>
        </w:p>
        <w:p>
          <w:pPr>
            <w:pStyle w:val="Contents6"/>
            <w:tabs>
              <w:tab w:val="clear" w:pos="7609"/>
              <w:tab w:val="right" w:pos="9026" w:leader="dot"/>
            </w:tabs>
            <w:rPr/>
          </w:pPr>
          <w:hyperlink w:anchor="__RefHeading___Toc3584509_3650668749">
            <w:r>
              <w:rPr>
                <w:webHidden/>
                <w:rStyle w:val="IndexLink"/>
                <w:rtl w:val="true"/>
              </w:rPr>
              <w:t xml:space="preserve">دوم </w:t>
            </w:r>
            <w:r>
              <w:rPr>
                <w:rStyle w:val="IndexLink"/>
                <w:rtl w:val="true"/>
              </w:rPr>
              <w:t xml:space="preserve">- </w:t>
            </w:r>
            <w:r>
              <w:rPr>
                <w:rStyle w:val="IndexLink"/>
                <w:rtl w:val="true"/>
              </w:rPr>
              <w:t>گياهان</w:t>
            </w:r>
            <w:r>
              <w:rPr>
                <w:rStyle w:val="IndexLink"/>
                <w:rtl w:val="true"/>
              </w:rPr>
              <w:tab/>
            </w:r>
            <w:r>
              <w:rPr>
                <w:rStyle w:val="IndexLink"/>
              </w:rPr>
              <w:t>60</w:t>
            </w:r>
          </w:hyperlink>
        </w:p>
        <w:p>
          <w:pPr>
            <w:pStyle w:val="Contents6"/>
            <w:tabs>
              <w:tab w:val="clear" w:pos="7609"/>
              <w:tab w:val="right" w:pos="9026" w:leader="dot"/>
            </w:tabs>
            <w:rPr/>
          </w:pPr>
          <w:hyperlink w:anchor="__RefHeading___Toc3584511_3650668749">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3584513_3650668749">
            <w:r>
              <w:rPr>
                <w:webHidden/>
                <w:rStyle w:val="IndexLink"/>
                <w:rtl w:val="true"/>
              </w:rPr>
              <w:t xml:space="preserve">گندم </w:t>
            </w:r>
            <w:r>
              <w:rPr>
                <w:rStyle w:val="IndexLink"/>
                <w:rtl w:val="true"/>
              </w:rPr>
              <w:t>(</w:t>
            </w:r>
            <w:r>
              <w:rPr>
                <w:rStyle w:val="IndexLink"/>
                <w:rtl w:val="true"/>
              </w:rPr>
              <w:t>حِنْطَه</w:t>
            </w:r>
            <w:r>
              <w:rPr>
                <w:rStyle w:val="IndexLink"/>
                <w:rtl w:val="true"/>
              </w:rPr>
              <w:t>) :</w:t>
              <w:tab/>
            </w:r>
            <w:r>
              <w:rPr>
                <w:rStyle w:val="IndexLink"/>
              </w:rPr>
              <w:t>61</w:t>
            </w:r>
          </w:hyperlink>
        </w:p>
        <w:p>
          <w:pPr>
            <w:pStyle w:val="Contents6"/>
            <w:tabs>
              <w:tab w:val="clear" w:pos="7609"/>
              <w:tab w:val="right" w:pos="9026" w:leader="dot"/>
            </w:tabs>
            <w:rPr/>
          </w:pPr>
          <w:hyperlink w:anchor="__RefHeading___Toc3584515_3650668749">
            <w:r>
              <w:rPr>
                <w:webHidden/>
                <w:rStyle w:val="IndexLink"/>
                <w:rtl w:val="true"/>
              </w:rPr>
              <w:t xml:space="preserve">جو </w:t>
            </w:r>
            <w:r>
              <w:rPr>
                <w:rStyle w:val="IndexLink"/>
                <w:rtl w:val="true"/>
              </w:rPr>
              <w:t>(</w:t>
            </w:r>
            <w:r>
              <w:rPr>
                <w:rStyle w:val="IndexLink"/>
                <w:rtl w:val="true"/>
              </w:rPr>
              <w:t>شَعير</w:t>
            </w:r>
            <w:r>
              <w:rPr>
                <w:rStyle w:val="IndexLink"/>
                <w:rtl w:val="true"/>
              </w:rPr>
              <w:t>) :</w:t>
              <w:tab/>
            </w:r>
            <w:r>
              <w:rPr>
                <w:rStyle w:val="IndexLink"/>
              </w:rPr>
              <w:t>61</w:t>
            </w:r>
          </w:hyperlink>
        </w:p>
        <w:p>
          <w:pPr>
            <w:pStyle w:val="Contents6"/>
            <w:tabs>
              <w:tab w:val="clear" w:pos="7609"/>
              <w:tab w:val="right" w:pos="9026" w:leader="dot"/>
            </w:tabs>
            <w:rPr/>
          </w:pPr>
          <w:hyperlink w:anchor="__RefHeading___Toc3584517_3650668749">
            <w:r>
              <w:rPr>
                <w:webHidden/>
                <w:rStyle w:val="IndexLink"/>
                <w:rtl w:val="true"/>
              </w:rPr>
              <w:t xml:space="preserve">برنج </w:t>
            </w:r>
            <w:r>
              <w:rPr>
                <w:rStyle w:val="IndexLink"/>
                <w:rtl w:val="true"/>
              </w:rPr>
              <w:t>(</w:t>
            </w:r>
            <w:r>
              <w:rPr>
                <w:rStyle w:val="IndexLink"/>
                <w:rtl w:val="true"/>
              </w:rPr>
              <w:t>اَرُّز</w:t>
            </w:r>
            <w:r>
              <w:rPr>
                <w:rStyle w:val="IndexLink"/>
                <w:rtl w:val="true"/>
              </w:rPr>
              <w:t>) :</w:t>
              <w:tab/>
            </w:r>
            <w:r>
              <w:rPr>
                <w:rStyle w:val="IndexLink"/>
              </w:rPr>
              <w:t>61</w:t>
            </w:r>
          </w:hyperlink>
        </w:p>
        <w:p>
          <w:pPr>
            <w:pStyle w:val="Contents6"/>
            <w:tabs>
              <w:tab w:val="clear" w:pos="7609"/>
              <w:tab w:val="right" w:pos="9026" w:leader="dot"/>
            </w:tabs>
            <w:rPr/>
          </w:pPr>
          <w:hyperlink w:anchor="__RefHeading___Toc3584519_3650668749">
            <w:r>
              <w:rPr>
                <w:webHidden/>
                <w:rStyle w:val="IndexLink"/>
                <w:rtl w:val="true"/>
              </w:rPr>
              <w:t xml:space="preserve">كنجد </w:t>
            </w:r>
            <w:r>
              <w:rPr>
                <w:rStyle w:val="IndexLink"/>
                <w:rtl w:val="true"/>
              </w:rPr>
              <w:t>(</w:t>
            </w:r>
            <w:r>
              <w:rPr>
                <w:rStyle w:val="IndexLink"/>
                <w:rtl w:val="true"/>
              </w:rPr>
              <w:t>سِمْسِمْ</w:t>
            </w:r>
            <w:r>
              <w:rPr>
                <w:rStyle w:val="IndexLink"/>
                <w:rtl w:val="true"/>
              </w:rPr>
              <w:t>) :</w:t>
              <w:tab/>
            </w:r>
            <w:r>
              <w:rPr>
                <w:rStyle w:val="IndexLink"/>
              </w:rPr>
              <w:t>61</w:t>
            </w:r>
          </w:hyperlink>
        </w:p>
        <w:p>
          <w:pPr>
            <w:pStyle w:val="Contents6"/>
            <w:tabs>
              <w:tab w:val="clear" w:pos="7609"/>
              <w:tab w:val="right" w:pos="9026" w:leader="dot"/>
            </w:tabs>
            <w:rPr/>
          </w:pPr>
          <w:hyperlink w:anchor="__RefHeading___Toc3584521_3650668749">
            <w:r>
              <w:rPr>
                <w:webHidden/>
                <w:rStyle w:val="IndexLink"/>
                <w:rtl w:val="true"/>
              </w:rPr>
              <w:t xml:space="preserve">گل بنفشه </w:t>
            </w:r>
            <w:r>
              <w:rPr>
                <w:rStyle w:val="IndexLink"/>
                <w:rtl w:val="true"/>
              </w:rPr>
              <w:t>(</w:t>
            </w:r>
            <w:r>
              <w:rPr>
                <w:rStyle w:val="IndexLink"/>
                <w:rtl w:val="true"/>
              </w:rPr>
              <w:t>بَنَفْسَج</w:t>
            </w:r>
            <w:r>
              <w:rPr>
                <w:rStyle w:val="IndexLink"/>
                <w:rtl w:val="true"/>
              </w:rPr>
              <w:t>):</w:t>
              <w:tab/>
            </w:r>
            <w:r>
              <w:rPr>
                <w:rStyle w:val="IndexLink"/>
              </w:rPr>
              <w:t>62</w:t>
            </w:r>
          </w:hyperlink>
        </w:p>
        <w:p>
          <w:pPr>
            <w:pStyle w:val="Contents6"/>
            <w:tabs>
              <w:tab w:val="clear" w:pos="7609"/>
              <w:tab w:val="right" w:pos="9026" w:leader="dot"/>
            </w:tabs>
            <w:rPr/>
          </w:pPr>
          <w:hyperlink w:anchor="__RefHeading___Toc3584523_3650668749">
            <w:r>
              <w:rPr>
                <w:webHidden/>
                <w:rStyle w:val="IndexLink"/>
                <w:rtl w:val="true"/>
              </w:rPr>
              <w:t xml:space="preserve">گل نرگس </w:t>
            </w:r>
            <w:r>
              <w:rPr>
                <w:rStyle w:val="IndexLink"/>
                <w:rtl w:val="true"/>
              </w:rPr>
              <w:t>(</w:t>
            </w:r>
            <w:r>
              <w:rPr>
                <w:rStyle w:val="IndexLink"/>
                <w:rtl w:val="true"/>
              </w:rPr>
              <w:t>نرجس</w:t>
            </w:r>
            <w:r>
              <w:rPr>
                <w:rStyle w:val="IndexLink"/>
                <w:rtl w:val="true"/>
              </w:rPr>
              <w:t>)</w:t>
              <w:tab/>
            </w:r>
            <w:r>
              <w:rPr>
                <w:rStyle w:val="IndexLink"/>
              </w:rPr>
              <w:t>62</w:t>
            </w:r>
          </w:hyperlink>
        </w:p>
        <w:p>
          <w:pPr>
            <w:pStyle w:val="Contents6"/>
            <w:tabs>
              <w:tab w:val="clear" w:pos="7609"/>
              <w:tab w:val="right" w:pos="9026" w:leader="dot"/>
            </w:tabs>
            <w:rPr/>
          </w:pPr>
          <w:hyperlink w:anchor="__RefHeading___Toc3584525_3650668749">
            <w:r>
              <w:rPr>
                <w:webHidden/>
                <w:rStyle w:val="IndexLink"/>
                <w:rtl w:val="true"/>
              </w:rPr>
              <w:t>گل ياسمين</w:t>
            </w:r>
            <w:r>
              <w:rPr>
                <w:rStyle w:val="IndexLink"/>
                <w:rtl w:val="true"/>
              </w:rPr>
              <w:tab/>
            </w:r>
            <w:r>
              <w:rPr>
                <w:rStyle w:val="IndexLink"/>
              </w:rPr>
              <w:t>62</w:t>
            </w:r>
          </w:hyperlink>
        </w:p>
        <w:p>
          <w:pPr>
            <w:pStyle w:val="Contents6"/>
            <w:tabs>
              <w:tab w:val="clear" w:pos="7609"/>
              <w:tab w:val="right" w:pos="9026" w:leader="dot"/>
            </w:tabs>
            <w:rPr/>
          </w:pPr>
          <w:hyperlink w:anchor="__RefHeading___Toc3584527_3650668749">
            <w:r>
              <w:rPr>
                <w:webHidden/>
                <w:rStyle w:val="IndexLink"/>
                <w:rtl w:val="true"/>
              </w:rPr>
              <w:t xml:space="preserve">گل سوسن </w:t>
            </w:r>
            <w:r>
              <w:rPr>
                <w:rStyle w:val="IndexLink"/>
                <w:rtl w:val="true"/>
              </w:rPr>
              <w:t>(</w:t>
            </w:r>
            <w:r>
              <w:rPr>
                <w:rStyle w:val="IndexLink"/>
                <w:rtl w:val="true"/>
              </w:rPr>
              <w:t>الزَنْبَق، الزنبق الأبيض</w:t>
            </w:r>
            <w:r>
              <w:rPr>
                <w:rStyle w:val="IndexLink"/>
                <w:rtl w:val="true"/>
              </w:rPr>
              <w:t>) .</w:t>
              <w:tab/>
            </w:r>
            <w:r>
              <w:rPr>
                <w:rStyle w:val="IndexLink"/>
              </w:rPr>
              <w:t>62</w:t>
            </w:r>
          </w:hyperlink>
        </w:p>
        <w:p>
          <w:pPr>
            <w:pStyle w:val="Contents6"/>
            <w:tabs>
              <w:tab w:val="clear" w:pos="7609"/>
              <w:tab w:val="right" w:pos="9026" w:leader="dot"/>
            </w:tabs>
            <w:rPr/>
          </w:pPr>
          <w:hyperlink w:anchor="__RefHeading___Toc3584529_3650668749">
            <w:r>
              <w:rPr>
                <w:webHidden/>
                <w:rStyle w:val="IndexLink"/>
                <w:rtl w:val="true"/>
              </w:rPr>
              <w:t xml:space="preserve">گل خَيّري </w:t>
            </w:r>
            <w:r>
              <w:rPr>
                <w:rStyle w:val="IndexLink"/>
                <w:rtl w:val="true"/>
              </w:rPr>
              <w:t>(</w:t>
            </w:r>
            <w:r>
              <w:rPr>
                <w:rStyle w:val="IndexLink"/>
                <w:rtl w:val="true"/>
              </w:rPr>
              <w:t>خيرو، هيري</w:t>
            </w:r>
            <w:r>
              <w:rPr>
                <w:rStyle w:val="IndexLink"/>
                <w:rtl w:val="true"/>
              </w:rPr>
              <w:t>)</w:t>
              <w:tab/>
            </w:r>
            <w:r>
              <w:rPr>
                <w:rStyle w:val="IndexLink"/>
              </w:rPr>
              <w:t>62</w:t>
            </w:r>
          </w:hyperlink>
        </w:p>
        <w:p>
          <w:pPr>
            <w:pStyle w:val="Contents6"/>
            <w:tabs>
              <w:tab w:val="clear" w:pos="7609"/>
              <w:tab w:val="right" w:pos="9026" w:leader="dot"/>
            </w:tabs>
            <w:rPr/>
          </w:pPr>
          <w:hyperlink w:anchor="__RefHeading___Toc3584531_3650668749">
            <w:r>
              <w:rPr>
                <w:webHidden/>
                <w:rStyle w:val="IndexLink"/>
                <w:rtl w:val="true"/>
              </w:rPr>
              <w:t>قَسَب العنبر</w:t>
            </w:r>
            <w:r>
              <w:rPr>
                <w:rStyle w:val="IndexLink"/>
                <w:rtl w:val="true"/>
              </w:rPr>
              <w:t>:</w:t>
              <w:tab/>
            </w:r>
            <w:r>
              <w:rPr>
                <w:rStyle w:val="IndexLink"/>
              </w:rPr>
              <w:t>62</w:t>
            </w:r>
          </w:hyperlink>
        </w:p>
        <w:p>
          <w:pPr>
            <w:pStyle w:val="Contents6"/>
            <w:tabs>
              <w:tab w:val="clear" w:pos="7609"/>
              <w:tab w:val="right" w:pos="9026" w:leader="dot"/>
            </w:tabs>
            <w:rPr/>
          </w:pPr>
          <w:hyperlink w:anchor="__RefHeading___Toc3584533_3650668749">
            <w:r>
              <w:rPr>
                <w:webHidden/>
                <w:rStyle w:val="IndexLink"/>
                <w:rtl w:val="true"/>
              </w:rPr>
              <w:t xml:space="preserve">پنبه </w:t>
            </w:r>
            <w:r>
              <w:rPr>
                <w:rStyle w:val="IndexLink"/>
                <w:rtl w:val="true"/>
              </w:rPr>
              <w:t>(</w:t>
            </w:r>
            <w:r>
              <w:rPr>
                <w:rStyle w:val="IndexLink"/>
                <w:rtl w:val="true"/>
              </w:rPr>
              <w:t>قُطْن</w:t>
            </w:r>
            <w:r>
              <w:rPr>
                <w:rStyle w:val="IndexLink"/>
                <w:rtl w:val="true"/>
              </w:rPr>
              <w:t>)</w:t>
              <w:tab/>
            </w:r>
            <w:r>
              <w:rPr>
                <w:rStyle w:val="IndexLink"/>
              </w:rPr>
              <w:t>63</w:t>
            </w:r>
          </w:hyperlink>
        </w:p>
        <w:p>
          <w:pPr>
            <w:pStyle w:val="Contents6"/>
            <w:tabs>
              <w:tab w:val="clear" w:pos="7609"/>
              <w:tab w:val="right" w:pos="9026" w:leader="dot"/>
            </w:tabs>
            <w:rPr/>
          </w:pPr>
          <w:hyperlink w:anchor="__RefHeading___Toc3584535_3650668749">
            <w:r>
              <w:rPr>
                <w:webHidden/>
                <w:rStyle w:val="IndexLink"/>
                <w:rtl w:val="true"/>
              </w:rPr>
              <w:t>بِطّيخَه</w:t>
            </w:r>
            <w:r>
              <w:rPr>
                <w:rStyle w:val="IndexLink"/>
                <w:rtl w:val="true"/>
              </w:rPr>
              <w:t>:</w:t>
              <w:tab/>
            </w:r>
            <w:r>
              <w:rPr>
                <w:rStyle w:val="IndexLink"/>
              </w:rPr>
              <w:t>63</w:t>
            </w:r>
          </w:hyperlink>
        </w:p>
        <w:p>
          <w:pPr>
            <w:pStyle w:val="Contents6"/>
            <w:tabs>
              <w:tab w:val="clear" w:pos="7609"/>
              <w:tab w:val="right" w:pos="9026" w:leader="dot"/>
            </w:tabs>
            <w:rPr/>
          </w:pPr>
          <w:hyperlink w:anchor="__RefHeading___Toc3584537_3650668749">
            <w:r>
              <w:rPr>
                <w:webHidden/>
                <w:rStyle w:val="IndexLink"/>
                <w:rtl w:val="true"/>
              </w:rPr>
              <w:t>كاسني</w:t>
            </w:r>
            <w:r>
              <w:rPr>
                <w:rStyle w:val="IndexLink"/>
                <w:rtl w:val="true"/>
              </w:rPr>
              <w:t>:</w:t>
              <w:tab/>
            </w:r>
            <w:r>
              <w:rPr>
                <w:rStyle w:val="IndexLink"/>
              </w:rPr>
              <w:t>63</w:t>
            </w:r>
          </w:hyperlink>
        </w:p>
        <w:p>
          <w:pPr>
            <w:pStyle w:val="Contents6"/>
            <w:tabs>
              <w:tab w:val="clear" w:pos="7609"/>
              <w:tab w:val="right" w:pos="9026" w:leader="dot"/>
            </w:tabs>
            <w:rPr/>
          </w:pPr>
          <w:hyperlink w:anchor="__RefHeading___Toc3584539_3650668749">
            <w:r>
              <w:rPr>
                <w:webHidden/>
                <w:rStyle w:val="IndexLink"/>
                <w:rtl w:val="true"/>
              </w:rPr>
              <w:t xml:space="preserve">بادَروج </w:t>
            </w:r>
            <w:r>
              <w:rPr>
                <w:rStyle w:val="IndexLink"/>
                <w:rtl w:val="true"/>
              </w:rPr>
              <w:t>(</w:t>
            </w:r>
            <w:r>
              <w:rPr>
                <w:rStyle w:val="IndexLink"/>
                <w:rtl w:val="true"/>
              </w:rPr>
              <w:t>ريحان كوهي، تخم شربتي</w:t>
            </w:r>
            <w:r>
              <w:rPr>
                <w:rStyle w:val="IndexLink"/>
                <w:rtl w:val="true"/>
              </w:rPr>
              <w:t>) :</w:t>
              <w:tab/>
            </w:r>
            <w:r>
              <w:rPr>
                <w:rStyle w:val="IndexLink"/>
              </w:rPr>
              <w:t>63</w:t>
            </w:r>
          </w:hyperlink>
        </w:p>
        <w:p>
          <w:pPr>
            <w:pStyle w:val="Contents6"/>
            <w:tabs>
              <w:tab w:val="clear" w:pos="7609"/>
              <w:tab w:val="right" w:pos="9026" w:leader="dot"/>
            </w:tabs>
            <w:rPr/>
          </w:pPr>
          <w:hyperlink w:anchor="__RefHeading___Toc3584541_3650668749">
            <w:r>
              <w:rPr>
                <w:webHidden/>
                <w:rStyle w:val="IndexLink"/>
                <w:rtl w:val="true"/>
              </w:rPr>
              <w:t>كَرّاث</w:t>
            </w:r>
            <w:r>
              <w:rPr>
                <w:rStyle w:val="IndexLink"/>
                <w:rtl w:val="true"/>
              </w:rPr>
              <w:t>:</w:t>
              <w:tab/>
            </w:r>
            <w:r>
              <w:rPr>
                <w:rStyle w:val="IndexLink"/>
              </w:rPr>
              <w:t>63</w:t>
            </w:r>
          </w:hyperlink>
        </w:p>
        <w:p>
          <w:pPr>
            <w:pStyle w:val="Contents6"/>
            <w:tabs>
              <w:tab w:val="clear" w:pos="7609"/>
              <w:tab w:val="right" w:pos="9026" w:leader="dot"/>
            </w:tabs>
            <w:rPr/>
          </w:pPr>
          <w:hyperlink w:anchor="__RefHeading___Toc3584543_3650668749">
            <w:r>
              <w:rPr>
                <w:webHidden/>
                <w:rStyle w:val="IndexLink"/>
                <w:rtl w:val="true"/>
              </w:rPr>
              <w:t>قارچ خوراكى</w:t>
            </w:r>
            <w:r>
              <w:rPr>
                <w:rStyle w:val="IndexLink"/>
                <w:rtl w:val="true"/>
              </w:rPr>
              <w:t>:</w:t>
              <w:tab/>
            </w:r>
            <w:r>
              <w:rPr>
                <w:rStyle w:val="IndexLink"/>
              </w:rPr>
              <w:t>64</w:t>
            </w:r>
          </w:hyperlink>
        </w:p>
        <w:p>
          <w:pPr>
            <w:pStyle w:val="Contents6"/>
            <w:tabs>
              <w:tab w:val="clear" w:pos="7609"/>
              <w:tab w:val="right" w:pos="9026" w:leader="dot"/>
            </w:tabs>
            <w:rPr/>
          </w:pPr>
          <w:hyperlink w:anchor="__RefHeading___Toc3584545_3650668749">
            <w:r>
              <w:rPr>
                <w:webHidden/>
                <w:rStyle w:val="IndexLink"/>
                <w:rtl w:val="true"/>
              </w:rPr>
              <w:t>كدو</w:t>
            </w:r>
            <w:r>
              <w:rPr>
                <w:rStyle w:val="IndexLink"/>
                <w:rtl w:val="true"/>
              </w:rPr>
              <w:t>:</w:t>
              <w:tab/>
            </w:r>
            <w:r>
              <w:rPr>
                <w:rStyle w:val="IndexLink"/>
              </w:rPr>
              <w:t>64</w:t>
            </w:r>
          </w:hyperlink>
        </w:p>
        <w:p>
          <w:pPr>
            <w:pStyle w:val="Contents6"/>
            <w:tabs>
              <w:tab w:val="clear" w:pos="7609"/>
              <w:tab w:val="right" w:pos="9026" w:leader="dot"/>
            </w:tabs>
            <w:rPr/>
          </w:pPr>
          <w:hyperlink w:anchor="__RefHeading___Toc3584547_3650668749">
            <w:r>
              <w:rPr>
                <w:webHidden/>
                <w:rStyle w:val="IndexLink"/>
                <w:rtl w:val="true"/>
              </w:rPr>
              <w:t xml:space="preserve">پونه </w:t>
            </w:r>
            <w:r>
              <w:rPr>
                <w:rStyle w:val="IndexLink"/>
                <w:rtl w:val="true"/>
              </w:rPr>
              <w:t>(</w:t>
            </w:r>
            <w:r>
              <w:rPr>
                <w:rStyle w:val="IndexLink"/>
                <w:rtl w:val="true"/>
              </w:rPr>
              <w:t>پودينه</w:t>
            </w:r>
            <w:r>
              <w:rPr>
                <w:rStyle w:val="IndexLink"/>
                <w:rtl w:val="true"/>
              </w:rPr>
              <w:t>) :</w:t>
              <w:tab/>
            </w:r>
            <w:r>
              <w:rPr>
                <w:rStyle w:val="IndexLink"/>
              </w:rPr>
              <w:t>64</w:t>
            </w:r>
          </w:hyperlink>
        </w:p>
        <w:p>
          <w:pPr>
            <w:pStyle w:val="Contents3"/>
            <w:tabs>
              <w:tab w:val="clear" w:pos="8459"/>
              <w:tab w:val="right" w:pos="9026" w:leader="dot"/>
            </w:tabs>
            <w:rPr/>
          </w:pPr>
          <w:hyperlink w:anchor="__RefHeading___Toc3584549_3650668749">
            <w:r>
              <w:rPr>
                <w:webHidden/>
                <w:rStyle w:val="IndexLink"/>
              </w:rPr>
              <w:t>۴</w:t>
            </w:r>
            <w:r>
              <w:rPr>
                <w:rStyle w:val="IndexLink"/>
                <w:rtl w:val="true"/>
              </w:rPr>
              <w:t xml:space="preserve">. </w:t>
            </w:r>
            <w:r>
              <w:rPr>
                <w:rStyle w:val="IndexLink"/>
                <w:rtl w:val="true"/>
              </w:rPr>
              <w:t>حيوانات</w:t>
            </w:r>
            <w:r>
              <w:rPr>
                <w:rStyle w:val="IndexLink"/>
                <w:rtl w:val="true"/>
              </w:rPr>
              <w:tab/>
            </w:r>
            <w:r>
              <w:rPr>
                <w:rStyle w:val="IndexLink"/>
              </w:rPr>
              <w:t>64</w:t>
            </w:r>
          </w:hyperlink>
        </w:p>
        <w:p>
          <w:pPr>
            <w:pStyle w:val="Contents4"/>
            <w:tabs>
              <w:tab w:val="clear" w:pos="8176"/>
              <w:tab w:val="right" w:pos="9026" w:leader="dot"/>
            </w:tabs>
            <w:rPr/>
          </w:pPr>
          <w:hyperlink w:anchor="__RefHeading___Toc3584551_3650668749">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3584553_3650668749">
            <w:r>
              <w:rPr>
                <w:webHidden/>
                <w:rStyle w:val="IndexLink"/>
                <w:rtl w:val="true"/>
              </w:rPr>
              <w:t>الف</w:t>
            </w:r>
            <w:r>
              <w:rPr>
                <w:rStyle w:val="IndexLink"/>
                <w:rtl w:val="true"/>
              </w:rPr>
              <w:t xml:space="preserve">) </w:t>
            </w:r>
            <w:r>
              <w:rPr>
                <w:rStyle w:val="IndexLink"/>
                <w:rtl w:val="true"/>
              </w:rPr>
              <w:t>حيوانات خشكى</w:t>
            </w:r>
            <w:r>
              <w:rPr>
                <w:rStyle w:val="IndexLink"/>
                <w:rtl w:val="true"/>
              </w:rPr>
              <w:tab/>
            </w:r>
            <w:r>
              <w:rPr>
                <w:rStyle w:val="IndexLink"/>
              </w:rPr>
              <w:t>64</w:t>
            </w:r>
          </w:hyperlink>
        </w:p>
        <w:p>
          <w:pPr>
            <w:pStyle w:val="Contents5"/>
            <w:tabs>
              <w:tab w:val="clear" w:pos="7892"/>
              <w:tab w:val="right" w:pos="9026" w:leader="dot"/>
            </w:tabs>
            <w:rPr/>
          </w:pPr>
          <w:hyperlink w:anchor="__RefHeading___Toc3584555_3650668749">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3584557_3650668749">
            <w:r>
              <w:rPr>
                <w:webHidden/>
                <w:rStyle w:val="IndexLink"/>
                <w:rtl w:val="true"/>
              </w:rPr>
              <w:t xml:space="preserve">يك </w:t>
            </w:r>
            <w:r>
              <w:rPr>
                <w:rStyle w:val="IndexLink"/>
                <w:rtl w:val="true"/>
              </w:rPr>
              <w:t xml:space="preserve">- </w:t>
            </w:r>
            <w:r>
              <w:rPr>
                <w:rStyle w:val="IndexLink"/>
                <w:rtl w:val="true"/>
              </w:rPr>
              <w:t>حيوانات اهلى</w:t>
            </w:r>
            <w:r>
              <w:rPr>
                <w:rStyle w:val="IndexLink"/>
                <w:rtl w:val="true"/>
              </w:rPr>
              <w:tab/>
            </w:r>
            <w:r>
              <w:rPr>
                <w:rStyle w:val="IndexLink"/>
              </w:rPr>
              <w:t>65</w:t>
            </w:r>
          </w:hyperlink>
        </w:p>
        <w:p>
          <w:pPr>
            <w:pStyle w:val="Contents6"/>
            <w:tabs>
              <w:tab w:val="clear" w:pos="7609"/>
              <w:tab w:val="right" w:pos="9026" w:leader="dot"/>
            </w:tabs>
            <w:rPr/>
          </w:pPr>
          <w:hyperlink w:anchor="__RefHeading___Toc3584559_3650668749">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3584561_3650668749">
            <w:r>
              <w:rPr>
                <w:webHidden/>
                <w:rStyle w:val="IndexLink"/>
                <w:rtl w:val="true"/>
              </w:rPr>
              <w:t xml:space="preserve">اول </w:t>
            </w:r>
            <w:r>
              <w:rPr>
                <w:rStyle w:val="IndexLink"/>
                <w:rtl w:val="true"/>
              </w:rPr>
              <w:t xml:space="preserve">- </w:t>
            </w:r>
            <w:r>
              <w:rPr>
                <w:rStyle w:val="IndexLink"/>
                <w:rtl w:val="true"/>
              </w:rPr>
              <w:t>شتر و انواع آن</w:t>
            </w:r>
            <w:r>
              <w:rPr>
                <w:rStyle w:val="IndexLink"/>
                <w:rtl w:val="true"/>
              </w:rPr>
              <w:tab/>
            </w:r>
            <w:r>
              <w:rPr>
                <w:rStyle w:val="IndexLink"/>
              </w:rPr>
              <w:t>65</w:t>
            </w:r>
          </w:hyperlink>
        </w:p>
        <w:p>
          <w:pPr>
            <w:pStyle w:val="Contents6"/>
            <w:tabs>
              <w:tab w:val="clear" w:pos="7609"/>
              <w:tab w:val="right" w:pos="9026" w:leader="dot"/>
            </w:tabs>
            <w:rPr/>
          </w:pPr>
          <w:hyperlink w:anchor="__RefHeading___Toc3584563_3650668749">
            <w:r>
              <w:rPr>
                <w:webHidden/>
                <w:rStyle w:val="IndexLink"/>
                <w:rtl w:val="true"/>
              </w:rPr>
              <w:t xml:space="preserve">دوم </w:t>
            </w:r>
            <w:r>
              <w:rPr>
                <w:rStyle w:val="IndexLink"/>
                <w:rtl w:val="true"/>
              </w:rPr>
              <w:t xml:space="preserve">- </w:t>
            </w:r>
            <w:r>
              <w:rPr>
                <w:rStyle w:val="IndexLink"/>
                <w:rtl w:val="true"/>
              </w:rPr>
              <w:t>گاو</w:t>
            </w:r>
            <w:r>
              <w:rPr>
                <w:rStyle w:val="IndexLink"/>
                <w:rtl w:val="true"/>
              </w:rPr>
              <w:tab/>
            </w:r>
            <w:r>
              <w:rPr>
                <w:rStyle w:val="IndexLink"/>
              </w:rPr>
              <w:t>65</w:t>
            </w:r>
          </w:hyperlink>
        </w:p>
        <w:p>
          <w:pPr>
            <w:pStyle w:val="Contents6"/>
            <w:tabs>
              <w:tab w:val="clear" w:pos="7609"/>
              <w:tab w:val="right" w:pos="9026" w:leader="dot"/>
            </w:tabs>
            <w:rPr/>
          </w:pPr>
          <w:hyperlink w:anchor="__RefHeading___Toc3584565_3650668749">
            <w:r>
              <w:rPr>
                <w:webHidden/>
                <w:rStyle w:val="IndexLink"/>
                <w:rtl w:val="true"/>
              </w:rPr>
              <w:t xml:space="preserve">سوم </w:t>
            </w:r>
            <w:r>
              <w:rPr>
                <w:rStyle w:val="IndexLink"/>
                <w:rtl w:val="true"/>
              </w:rPr>
              <w:t xml:space="preserve">- </w:t>
            </w:r>
            <w:r>
              <w:rPr>
                <w:rStyle w:val="IndexLink"/>
                <w:rtl w:val="true"/>
              </w:rPr>
              <w:t>اسب</w:t>
            </w:r>
            <w:r>
              <w:rPr>
                <w:rStyle w:val="IndexLink"/>
                <w:rtl w:val="true"/>
              </w:rPr>
              <w:tab/>
            </w:r>
            <w:r>
              <w:rPr>
                <w:rStyle w:val="IndexLink"/>
              </w:rPr>
              <w:t>65</w:t>
            </w:r>
          </w:hyperlink>
        </w:p>
        <w:p>
          <w:pPr>
            <w:pStyle w:val="Contents6"/>
            <w:tabs>
              <w:tab w:val="clear" w:pos="7609"/>
              <w:tab w:val="right" w:pos="9026" w:leader="dot"/>
            </w:tabs>
            <w:rPr/>
          </w:pPr>
          <w:hyperlink w:anchor="__RefHeading___Toc3584567_3650668749">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3584569_3650668749">
            <w:r>
              <w:rPr>
                <w:webHidden/>
                <w:rStyle w:val="IndexLink"/>
                <w:rtl w:val="true"/>
              </w:rPr>
              <w:t>بِرْذَوْن</w:t>
            </w:r>
            <w:r>
              <w:rPr>
                <w:rStyle w:val="IndexLink"/>
                <w:rtl w:val="true"/>
              </w:rPr>
              <w:tab/>
            </w:r>
            <w:r>
              <w:rPr>
                <w:rStyle w:val="IndexLink"/>
              </w:rPr>
              <w:t>66</w:t>
            </w:r>
          </w:hyperlink>
        </w:p>
        <w:p>
          <w:pPr>
            <w:pStyle w:val="Contents6"/>
            <w:tabs>
              <w:tab w:val="clear" w:pos="7609"/>
              <w:tab w:val="right" w:pos="9026" w:leader="dot"/>
            </w:tabs>
            <w:rPr/>
          </w:pPr>
          <w:hyperlink w:anchor="__RefHeading___Toc3584571_3650668749">
            <w:r>
              <w:rPr>
                <w:webHidden/>
                <w:rStyle w:val="IndexLink"/>
                <w:rtl w:val="true"/>
              </w:rPr>
              <w:t>هِمْلاج</w:t>
            </w:r>
            <w:r>
              <w:rPr>
                <w:rStyle w:val="IndexLink"/>
                <w:rtl w:val="true"/>
              </w:rPr>
              <w:tab/>
            </w:r>
            <w:r>
              <w:rPr>
                <w:rStyle w:val="IndexLink"/>
              </w:rPr>
              <w:t>66</w:t>
            </w:r>
          </w:hyperlink>
        </w:p>
        <w:p>
          <w:pPr>
            <w:pStyle w:val="Contents6"/>
            <w:tabs>
              <w:tab w:val="clear" w:pos="7609"/>
              <w:tab w:val="right" w:pos="9026" w:leader="dot"/>
            </w:tabs>
            <w:rPr/>
          </w:pPr>
          <w:hyperlink w:anchor="__RefHeading___Toc3584573_3650668749">
            <w:r>
              <w:rPr>
                <w:webHidden/>
                <w:rStyle w:val="IndexLink"/>
                <w:rtl w:val="true"/>
              </w:rPr>
              <w:t>فَرَس ذَنُوب</w:t>
            </w:r>
            <w:r>
              <w:rPr>
                <w:rStyle w:val="IndexLink"/>
                <w:rtl w:val="true"/>
              </w:rPr>
              <w:tab/>
            </w:r>
            <w:r>
              <w:rPr>
                <w:rStyle w:val="IndexLink"/>
              </w:rPr>
              <w:t>66</w:t>
            </w:r>
          </w:hyperlink>
        </w:p>
        <w:p>
          <w:pPr>
            <w:pStyle w:val="Contents6"/>
            <w:tabs>
              <w:tab w:val="clear" w:pos="7609"/>
              <w:tab w:val="right" w:pos="9026" w:leader="dot"/>
            </w:tabs>
            <w:rPr/>
          </w:pPr>
          <w:hyperlink w:anchor="__RefHeading___Toc3584575_3650668749">
            <w:r>
              <w:rPr>
                <w:webHidden/>
                <w:rStyle w:val="IndexLink"/>
                <w:rtl w:val="true"/>
              </w:rPr>
              <w:t xml:space="preserve">چهارم </w:t>
            </w:r>
            <w:r>
              <w:rPr>
                <w:rStyle w:val="IndexLink"/>
                <w:rtl w:val="true"/>
              </w:rPr>
              <w:t xml:space="preserve">- </w:t>
            </w:r>
            <w:r>
              <w:rPr>
                <w:rStyle w:val="IndexLink"/>
                <w:rtl w:val="true"/>
              </w:rPr>
              <w:t>الاغ</w:t>
            </w:r>
            <w:r>
              <w:rPr>
                <w:rStyle w:val="IndexLink"/>
                <w:rtl w:val="true"/>
              </w:rPr>
              <w:tab/>
            </w:r>
            <w:r>
              <w:rPr>
                <w:rStyle w:val="IndexLink"/>
              </w:rPr>
              <w:t>67</w:t>
            </w:r>
          </w:hyperlink>
        </w:p>
        <w:p>
          <w:pPr>
            <w:pStyle w:val="Contents6"/>
            <w:tabs>
              <w:tab w:val="clear" w:pos="7609"/>
              <w:tab w:val="right" w:pos="9026" w:leader="dot"/>
            </w:tabs>
            <w:rPr/>
          </w:pPr>
          <w:hyperlink w:anchor="__RefHeading___Toc3584577_3650668749">
            <w:r>
              <w:rPr>
                <w:webHidden/>
                <w:rStyle w:val="IndexLink"/>
                <w:rtl w:val="true"/>
              </w:rPr>
              <w:t xml:space="preserve">پنجم </w:t>
            </w:r>
            <w:r>
              <w:rPr>
                <w:rStyle w:val="IndexLink"/>
                <w:rtl w:val="true"/>
              </w:rPr>
              <w:t xml:space="preserve">- </w:t>
            </w:r>
            <w:r>
              <w:rPr>
                <w:rStyle w:val="IndexLink"/>
                <w:rtl w:val="true"/>
              </w:rPr>
              <w:t>قاطر</w:t>
            </w:r>
            <w:r>
              <w:rPr>
                <w:rStyle w:val="IndexLink"/>
                <w:rtl w:val="true"/>
              </w:rPr>
              <w:tab/>
            </w:r>
            <w:r>
              <w:rPr>
                <w:rStyle w:val="IndexLink"/>
              </w:rPr>
              <w:t>67</w:t>
            </w:r>
          </w:hyperlink>
        </w:p>
        <w:p>
          <w:pPr>
            <w:pStyle w:val="Contents6"/>
            <w:tabs>
              <w:tab w:val="clear" w:pos="7609"/>
              <w:tab w:val="right" w:pos="9026" w:leader="dot"/>
            </w:tabs>
            <w:rPr/>
          </w:pPr>
          <w:hyperlink w:anchor="__RefHeading___Toc3584579_3650668749">
            <w:r>
              <w:rPr>
                <w:webHidden/>
                <w:rStyle w:val="IndexLink"/>
                <w:rtl w:val="true"/>
              </w:rPr>
              <w:t xml:space="preserve">ششم </w:t>
            </w:r>
            <w:r>
              <w:rPr>
                <w:rStyle w:val="IndexLink"/>
                <w:rtl w:val="true"/>
              </w:rPr>
              <w:t xml:space="preserve">- </w:t>
            </w:r>
            <w:r>
              <w:rPr>
                <w:rStyle w:val="IndexLink"/>
                <w:rtl w:val="true"/>
              </w:rPr>
              <w:t>گوسفند</w:t>
            </w:r>
            <w:r>
              <w:rPr>
                <w:rStyle w:val="IndexLink"/>
                <w:rtl w:val="true"/>
              </w:rPr>
              <w:tab/>
            </w:r>
            <w:r>
              <w:rPr>
                <w:rStyle w:val="IndexLink"/>
              </w:rPr>
              <w:t>67</w:t>
            </w:r>
          </w:hyperlink>
        </w:p>
        <w:p>
          <w:pPr>
            <w:pStyle w:val="Contents6"/>
            <w:tabs>
              <w:tab w:val="clear" w:pos="7609"/>
              <w:tab w:val="right" w:pos="9026" w:leader="dot"/>
            </w:tabs>
            <w:rPr/>
          </w:pPr>
          <w:hyperlink w:anchor="__RefHeading___Toc3584581_3650668749">
            <w:r>
              <w:rPr>
                <w:webHidden/>
                <w:rStyle w:val="IndexLink"/>
                <w:rtl w:val="true"/>
              </w:rPr>
              <w:t xml:space="preserve">هفتم </w:t>
            </w:r>
            <w:r>
              <w:rPr>
                <w:rStyle w:val="IndexLink"/>
                <w:rtl w:val="true"/>
              </w:rPr>
              <w:t xml:space="preserve">- </w:t>
            </w:r>
            <w:r>
              <w:rPr>
                <w:rStyle w:val="IndexLink"/>
                <w:rtl w:val="true"/>
              </w:rPr>
              <w:t>كبوتر</w:t>
            </w:r>
            <w:r>
              <w:rPr>
                <w:rStyle w:val="IndexLink"/>
                <w:rtl w:val="true"/>
              </w:rPr>
              <w:tab/>
            </w:r>
            <w:r>
              <w:rPr>
                <w:rStyle w:val="IndexLink"/>
              </w:rPr>
              <w:t>68</w:t>
            </w:r>
          </w:hyperlink>
        </w:p>
        <w:p>
          <w:pPr>
            <w:pStyle w:val="Contents6"/>
            <w:tabs>
              <w:tab w:val="clear" w:pos="7609"/>
              <w:tab w:val="right" w:pos="9026" w:leader="dot"/>
            </w:tabs>
            <w:rPr/>
          </w:pPr>
          <w:hyperlink w:anchor="__RefHeading___Toc3584583_3650668749">
            <w:r>
              <w:rPr>
                <w:webHidden/>
                <w:rStyle w:val="IndexLink"/>
                <w:rtl w:val="true"/>
              </w:rPr>
              <w:t xml:space="preserve">هشتم </w:t>
            </w:r>
            <w:r>
              <w:rPr>
                <w:rStyle w:val="IndexLink"/>
                <w:rtl w:val="true"/>
              </w:rPr>
              <w:t xml:space="preserve">- </w:t>
            </w:r>
            <w:r>
              <w:rPr>
                <w:rStyle w:val="IndexLink"/>
                <w:rtl w:val="true"/>
              </w:rPr>
              <w:t>مرغ</w:t>
            </w:r>
            <w:r>
              <w:rPr>
                <w:rStyle w:val="IndexLink"/>
                <w:rtl w:val="true"/>
              </w:rPr>
              <w:tab/>
            </w:r>
            <w:r>
              <w:rPr>
                <w:rStyle w:val="IndexLink"/>
              </w:rPr>
              <w:t>68</w:t>
            </w:r>
          </w:hyperlink>
        </w:p>
        <w:p>
          <w:pPr>
            <w:pStyle w:val="Contents6"/>
            <w:tabs>
              <w:tab w:val="clear" w:pos="7609"/>
              <w:tab w:val="right" w:pos="9026" w:leader="dot"/>
            </w:tabs>
            <w:rPr/>
          </w:pPr>
          <w:hyperlink w:anchor="__RefHeading___Toc3584585_3650668749">
            <w:r>
              <w:rPr>
                <w:webHidden/>
                <w:rStyle w:val="IndexLink"/>
                <w:rtl w:val="true"/>
              </w:rPr>
              <w:t xml:space="preserve">نهم </w:t>
            </w:r>
            <w:r>
              <w:rPr>
                <w:rStyle w:val="IndexLink"/>
                <w:rtl w:val="true"/>
              </w:rPr>
              <w:t xml:space="preserve">- </w:t>
            </w:r>
            <w:r>
              <w:rPr>
                <w:rStyle w:val="IndexLink"/>
                <w:rtl w:val="true"/>
              </w:rPr>
              <w:t xml:space="preserve">مرغابى </w:t>
            </w:r>
            <w:r>
              <w:rPr>
                <w:rStyle w:val="IndexLink"/>
                <w:rtl w:val="true"/>
              </w:rPr>
              <w:t>(</w:t>
            </w:r>
            <w:r>
              <w:rPr>
                <w:rStyle w:val="IndexLink"/>
                <w:rtl w:val="true"/>
              </w:rPr>
              <w:t>اردك</w:t>
            </w:r>
            <w:r>
              <w:rPr>
                <w:rStyle w:val="IndexLink"/>
                <w:rtl w:val="true"/>
              </w:rPr>
              <w:t>)</w:t>
              <w:tab/>
            </w:r>
            <w:r>
              <w:rPr>
                <w:rStyle w:val="IndexLink"/>
              </w:rPr>
              <w:t>68</w:t>
            </w:r>
          </w:hyperlink>
        </w:p>
        <w:p>
          <w:pPr>
            <w:pStyle w:val="Contents6"/>
            <w:tabs>
              <w:tab w:val="clear" w:pos="7609"/>
              <w:tab w:val="right" w:pos="9026" w:leader="dot"/>
            </w:tabs>
            <w:rPr/>
          </w:pPr>
          <w:hyperlink w:anchor="__RefHeading___Toc3584587_3650668749">
            <w:r>
              <w:rPr>
                <w:webHidden/>
                <w:rStyle w:val="IndexLink"/>
                <w:rtl w:val="true"/>
              </w:rPr>
              <w:t xml:space="preserve">دهم </w:t>
            </w:r>
            <w:r>
              <w:rPr>
                <w:rStyle w:val="IndexLink"/>
                <w:rtl w:val="true"/>
              </w:rPr>
              <w:t xml:space="preserve">- </w:t>
            </w:r>
            <w:r>
              <w:rPr>
                <w:rStyle w:val="IndexLink"/>
                <w:rtl w:val="true"/>
              </w:rPr>
              <w:t>گربه</w:t>
            </w:r>
            <w:r>
              <w:rPr>
                <w:rStyle w:val="IndexLink"/>
                <w:rtl w:val="true"/>
              </w:rPr>
              <w:tab/>
            </w:r>
            <w:r>
              <w:rPr>
                <w:rStyle w:val="IndexLink"/>
              </w:rPr>
              <w:t>68</w:t>
            </w:r>
          </w:hyperlink>
        </w:p>
        <w:p>
          <w:pPr>
            <w:pStyle w:val="Contents6"/>
            <w:tabs>
              <w:tab w:val="clear" w:pos="7609"/>
              <w:tab w:val="right" w:pos="9026" w:leader="dot"/>
            </w:tabs>
            <w:rPr/>
          </w:pPr>
          <w:hyperlink w:anchor="__RefHeading___Toc3584589_3650668749">
            <w:r>
              <w:rPr>
                <w:webHidden/>
                <w:rStyle w:val="IndexLink"/>
                <w:rtl w:val="true"/>
              </w:rPr>
              <w:t xml:space="preserve">يازدهم </w:t>
            </w:r>
            <w:r>
              <w:rPr>
                <w:rStyle w:val="IndexLink"/>
                <w:rtl w:val="true"/>
              </w:rPr>
              <w:t xml:space="preserve">- </w:t>
            </w:r>
            <w:r>
              <w:rPr>
                <w:rStyle w:val="IndexLink"/>
                <w:rtl w:val="true"/>
              </w:rPr>
              <w:t>سگ</w:t>
            </w:r>
            <w:r>
              <w:rPr>
                <w:rStyle w:val="IndexLink"/>
                <w:rtl w:val="true"/>
              </w:rPr>
              <w:tab/>
            </w:r>
            <w:r>
              <w:rPr>
                <w:rStyle w:val="IndexLink"/>
              </w:rPr>
              <w:t>69</w:t>
            </w:r>
          </w:hyperlink>
        </w:p>
        <w:p>
          <w:pPr>
            <w:pStyle w:val="Contents6"/>
            <w:tabs>
              <w:tab w:val="clear" w:pos="7609"/>
              <w:tab w:val="right" w:pos="9026" w:leader="dot"/>
            </w:tabs>
            <w:rPr/>
          </w:pPr>
          <w:hyperlink w:anchor="__RefHeading___Toc3584591_3650668749">
            <w:r>
              <w:rPr>
                <w:webHidden/>
                <w:rStyle w:val="IndexLink"/>
                <w:rtl w:val="true"/>
              </w:rPr>
              <w:t xml:space="preserve">دوازدهم </w:t>
            </w:r>
            <w:r>
              <w:rPr>
                <w:rStyle w:val="IndexLink"/>
                <w:rtl w:val="true"/>
              </w:rPr>
              <w:t xml:space="preserve">- </w:t>
            </w:r>
            <w:r>
              <w:rPr>
                <w:rStyle w:val="IndexLink"/>
                <w:rtl w:val="true"/>
              </w:rPr>
              <w:t>خوك</w:t>
            </w:r>
            <w:r>
              <w:rPr>
                <w:rStyle w:val="IndexLink"/>
                <w:rtl w:val="true"/>
              </w:rPr>
              <w:tab/>
            </w:r>
            <w:r>
              <w:rPr>
                <w:rStyle w:val="IndexLink"/>
              </w:rPr>
              <w:t>69</w:t>
            </w:r>
          </w:hyperlink>
        </w:p>
        <w:p>
          <w:pPr>
            <w:pStyle w:val="Contents5"/>
            <w:tabs>
              <w:tab w:val="clear" w:pos="7892"/>
              <w:tab w:val="right" w:pos="9026" w:leader="dot"/>
            </w:tabs>
            <w:rPr/>
          </w:pPr>
          <w:hyperlink w:anchor="__RefHeading___Toc3584593_3650668749">
            <w:r>
              <w:rPr>
                <w:webHidden/>
                <w:rStyle w:val="IndexLink"/>
                <w:rtl w:val="true"/>
              </w:rPr>
              <w:t xml:space="preserve">دو </w:t>
            </w:r>
            <w:r>
              <w:rPr>
                <w:rStyle w:val="IndexLink"/>
                <w:rtl w:val="true"/>
              </w:rPr>
              <w:t xml:space="preserve">- </w:t>
            </w:r>
            <w:r>
              <w:rPr>
                <w:rStyle w:val="IndexLink"/>
                <w:rtl w:val="true"/>
              </w:rPr>
              <w:t>حيوانات غيراهلى</w:t>
            </w:r>
            <w:r>
              <w:rPr>
                <w:rStyle w:val="IndexLink"/>
                <w:rtl w:val="true"/>
              </w:rPr>
              <w:tab/>
            </w:r>
            <w:r>
              <w:rPr>
                <w:rStyle w:val="IndexLink"/>
              </w:rPr>
              <w:t>69</w:t>
            </w:r>
          </w:hyperlink>
        </w:p>
        <w:p>
          <w:pPr>
            <w:pStyle w:val="Contents6"/>
            <w:tabs>
              <w:tab w:val="clear" w:pos="7609"/>
              <w:tab w:val="right" w:pos="9026" w:leader="dot"/>
            </w:tabs>
            <w:rPr/>
          </w:pPr>
          <w:hyperlink w:anchor="__RefHeading___Toc3584595_3650668749">
            <w:r>
              <w:rPr>
                <w:webHidden/>
                <w:rStyle w:val="IndexLink"/>
                <w:rtl w:val="true"/>
              </w:rPr>
              <w:t xml:space="preserve">اول </w:t>
            </w:r>
            <w:r>
              <w:rPr>
                <w:rStyle w:val="IndexLink"/>
                <w:rtl w:val="true"/>
              </w:rPr>
              <w:t xml:space="preserve">- </w:t>
            </w:r>
            <w:r>
              <w:rPr>
                <w:rStyle w:val="IndexLink"/>
                <w:rtl w:val="true"/>
              </w:rPr>
              <w:t>موش</w:t>
            </w:r>
            <w:r>
              <w:rPr>
                <w:rStyle w:val="IndexLink"/>
                <w:rtl w:val="true"/>
              </w:rPr>
              <w:tab/>
            </w:r>
            <w:r>
              <w:rPr>
                <w:rStyle w:val="IndexLink"/>
              </w:rPr>
              <w:t>69</w:t>
            </w:r>
          </w:hyperlink>
        </w:p>
        <w:p>
          <w:pPr>
            <w:pStyle w:val="Contents6"/>
            <w:tabs>
              <w:tab w:val="clear" w:pos="7609"/>
              <w:tab w:val="right" w:pos="9026" w:leader="dot"/>
            </w:tabs>
            <w:rPr/>
          </w:pPr>
          <w:hyperlink w:anchor="__RefHeading___Toc3584597_3650668749">
            <w:r>
              <w:rPr>
                <w:webHidden/>
                <w:rStyle w:val="IndexLink"/>
                <w:rtl w:val="true"/>
              </w:rPr>
              <w:t xml:space="preserve">دوم </w:t>
            </w:r>
            <w:r>
              <w:rPr>
                <w:rStyle w:val="IndexLink"/>
                <w:rtl w:val="true"/>
              </w:rPr>
              <w:t xml:space="preserve">- </w:t>
            </w:r>
            <w:r>
              <w:rPr>
                <w:rStyle w:val="IndexLink"/>
                <w:rtl w:val="true"/>
              </w:rPr>
              <w:t xml:space="preserve">كلاغ </w:t>
            </w:r>
            <w:r>
              <w:rPr>
                <w:rStyle w:val="IndexLink"/>
                <w:rtl w:val="true"/>
              </w:rPr>
              <w:t>(</w:t>
            </w:r>
            <w:r>
              <w:rPr>
                <w:rStyle w:val="IndexLink"/>
                <w:rtl w:val="true"/>
              </w:rPr>
              <w:t>غُراب</w:t>
            </w:r>
            <w:r>
              <w:rPr>
                <w:rStyle w:val="IndexLink"/>
                <w:rtl w:val="true"/>
              </w:rPr>
              <w:t>)</w:t>
              <w:tab/>
            </w:r>
            <w:r>
              <w:rPr>
                <w:rStyle w:val="IndexLink"/>
              </w:rPr>
              <w:t>69</w:t>
            </w:r>
          </w:hyperlink>
        </w:p>
        <w:p>
          <w:pPr>
            <w:pStyle w:val="Contents6"/>
            <w:tabs>
              <w:tab w:val="clear" w:pos="7609"/>
              <w:tab w:val="right" w:pos="9026" w:leader="dot"/>
            </w:tabs>
            <w:rPr/>
          </w:pPr>
          <w:hyperlink w:anchor="__RefHeading___Toc3584599_3650668749">
            <w:r>
              <w:rPr>
                <w:webHidden/>
                <w:rStyle w:val="IndexLink"/>
                <w:rtl w:val="true"/>
              </w:rPr>
              <w:t xml:space="preserve">سوم </w:t>
            </w:r>
            <w:r>
              <w:rPr>
                <w:rStyle w:val="IndexLink"/>
                <w:rtl w:val="true"/>
              </w:rPr>
              <w:t xml:space="preserve">- </w:t>
            </w:r>
            <w:r>
              <w:rPr>
                <w:rStyle w:val="IndexLink"/>
                <w:rtl w:val="true"/>
              </w:rPr>
              <w:t xml:space="preserve">روباه </w:t>
            </w:r>
            <w:r>
              <w:rPr>
                <w:rStyle w:val="IndexLink"/>
                <w:rtl w:val="true"/>
              </w:rPr>
              <w:t xml:space="preserve">( </w:t>
            </w:r>
            <w:r>
              <w:rPr>
                <w:rStyle w:val="IndexLink"/>
                <w:rtl w:val="true"/>
              </w:rPr>
              <w:t>ثعلب</w:t>
            </w:r>
            <w:r>
              <w:rPr>
                <w:rStyle w:val="IndexLink"/>
                <w:rtl w:val="true"/>
              </w:rPr>
              <w:t>)</w:t>
              <w:tab/>
            </w:r>
            <w:r>
              <w:rPr>
                <w:rStyle w:val="IndexLink"/>
              </w:rPr>
              <w:t>70</w:t>
            </w:r>
          </w:hyperlink>
        </w:p>
        <w:p>
          <w:pPr>
            <w:pStyle w:val="Contents6"/>
            <w:tabs>
              <w:tab w:val="clear" w:pos="7609"/>
              <w:tab w:val="right" w:pos="9026" w:leader="dot"/>
            </w:tabs>
            <w:rPr/>
          </w:pPr>
          <w:hyperlink w:anchor="__RefHeading___Toc3584601_3650668749">
            <w:r>
              <w:rPr>
                <w:webHidden/>
                <w:rStyle w:val="IndexLink"/>
                <w:rtl w:val="true"/>
              </w:rPr>
              <w:t xml:space="preserve">چهارم </w:t>
            </w:r>
            <w:r>
              <w:rPr>
                <w:rStyle w:val="IndexLink"/>
                <w:rtl w:val="true"/>
              </w:rPr>
              <w:t xml:space="preserve">- </w:t>
            </w:r>
            <w:r>
              <w:rPr>
                <w:rStyle w:val="IndexLink"/>
                <w:rtl w:val="true"/>
              </w:rPr>
              <w:t xml:space="preserve">شترمرغ </w:t>
            </w:r>
            <w:r>
              <w:rPr>
                <w:rStyle w:val="IndexLink"/>
                <w:rtl w:val="true"/>
              </w:rPr>
              <w:t>(</w:t>
            </w:r>
            <w:r>
              <w:rPr>
                <w:rStyle w:val="IndexLink"/>
                <w:rtl w:val="true"/>
              </w:rPr>
              <w:t xml:space="preserve">ظَليم </w:t>
            </w:r>
            <w:r>
              <w:rPr>
                <w:rStyle w:val="IndexLink"/>
                <w:rtl w:val="true"/>
              </w:rPr>
              <w:t>\</w:t>
            </w:r>
            <w:r>
              <w:rPr>
                <w:rStyle w:val="IndexLink"/>
                <w:rtl w:val="true"/>
              </w:rPr>
              <w:t>شترمرغ نر</w:t>
            </w:r>
            <w:r>
              <w:rPr>
                <w:rStyle w:val="IndexLink"/>
                <w:rtl w:val="true"/>
              </w:rPr>
              <w:t>)</w:t>
              <w:tab/>
            </w:r>
            <w:r>
              <w:rPr>
                <w:rStyle w:val="IndexLink"/>
              </w:rPr>
              <w:t>70</w:t>
            </w:r>
          </w:hyperlink>
        </w:p>
        <w:p>
          <w:pPr>
            <w:pStyle w:val="Contents6"/>
            <w:tabs>
              <w:tab w:val="clear" w:pos="7609"/>
              <w:tab w:val="right" w:pos="9026" w:leader="dot"/>
            </w:tabs>
            <w:rPr/>
          </w:pPr>
          <w:hyperlink w:anchor="__RefHeading___Toc3584603_3650668749">
            <w:r>
              <w:rPr>
                <w:webHidden/>
                <w:rStyle w:val="IndexLink"/>
                <w:rtl w:val="true"/>
              </w:rPr>
              <w:t xml:space="preserve">پنجم </w:t>
            </w:r>
            <w:r>
              <w:rPr>
                <w:rStyle w:val="IndexLink"/>
                <w:rtl w:val="true"/>
              </w:rPr>
              <w:t xml:space="preserve">- </w:t>
            </w:r>
            <w:r>
              <w:rPr>
                <w:rStyle w:val="IndexLink"/>
                <w:rtl w:val="true"/>
              </w:rPr>
              <w:t xml:space="preserve">آهو </w:t>
            </w:r>
            <w:r>
              <w:rPr>
                <w:rStyle w:val="IndexLink"/>
                <w:rtl w:val="true"/>
              </w:rPr>
              <w:t>(</w:t>
            </w:r>
            <w:r>
              <w:rPr>
                <w:rStyle w:val="IndexLink"/>
                <w:rtl w:val="true"/>
              </w:rPr>
              <w:t>ظبي</w:t>
            </w:r>
            <w:r>
              <w:rPr>
                <w:rStyle w:val="IndexLink"/>
                <w:rtl w:val="true"/>
              </w:rPr>
              <w:t>)</w:t>
              <w:tab/>
            </w:r>
            <w:r>
              <w:rPr>
                <w:rStyle w:val="IndexLink"/>
              </w:rPr>
              <w:t>70</w:t>
            </w:r>
          </w:hyperlink>
        </w:p>
        <w:p>
          <w:pPr>
            <w:pStyle w:val="Contents6"/>
            <w:tabs>
              <w:tab w:val="clear" w:pos="7609"/>
              <w:tab w:val="right" w:pos="9026" w:leader="dot"/>
            </w:tabs>
            <w:rPr/>
          </w:pPr>
          <w:hyperlink w:anchor="__RefHeading___Toc3584605_3650668749">
            <w:r>
              <w:rPr>
                <w:webHidden/>
                <w:rStyle w:val="IndexLink"/>
                <w:rtl w:val="true"/>
              </w:rPr>
              <w:t xml:space="preserve">ششم </w:t>
            </w:r>
            <w:r>
              <w:rPr>
                <w:rStyle w:val="IndexLink"/>
                <w:rtl w:val="true"/>
              </w:rPr>
              <w:t xml:space="preserve">- </w:t>
            </w:r>
            <w:r>
              <w:rPr>
                <w:rStyle w:val="IndexLink"/>
                <w:rtl w:val="true"/>
              </w:rPr>
              <w:t xml:space="preserve">سوسمار </w:t>
            </w:r>
            <w:r>
              <w:rPr>
                <w:rStyle w:val="IndexLink"/>
                <w:rtl w:val="true"/>
              </w:rPr>
              <w:t>(</w:t>
            </w:r>
            <w:r>
              <w:rPr>
                <w:rStyle w:val="IndexLink"/>
                <w:rtl w:val="true"/>
              </w:rPr>
              <w:t>ضبّ</w:t>
            </w:r>
            <w:r>
              <w:rPr>
                <w:rStyle w:val="IndexLink"/>
                <w:rtl w:val="true"/>
              </w:rPr>
              <w:t>)</w:t>
              <w:tab/>
            </w:r>
            <w:r>
              <w:rPr>
                <w:rStyle w:val="IndexLink"/>
              </w:rPr>
              <w:t>70</w:t>
            </w:r>
          </w:hyperlink>
        </w:p>
        <w:p>
          <w:pPr>
            <w:pStyle w:val="Contents4"/>
            <w:tabs>
              <w:tab w:val="clear" w:pos="8176"/>
              <w:tab w:val="right" w:pos="9026" w:leader="dot"/>
            </w:tabs>
            <w:rPr/>
          </w:pPr>
          <w:hyperlink w:anchor="__RefHeading___Toc3584607_3650668749">
            <w:r>
              <w:rPr>
                <w:webHidden/>
                <w:rStyle w:val="IndexLink"/>
                <w:rtl w:val="true"/>
              </w:rPr>
              <w:t>ب</w:t>
            </w:r>
            <w:r>
              <w:rPr>
                <w:rStyle w:val="IndexLink"/>
                <w:rtl w:val="true"/>
              </w:rPr>
              <w:t xml:space="preserve">) </w:t>
            </w:r>
            <w:r>
              <w:rPr>
                <w:rStyle w:val="IndexLink"/>
                <w:rtl w:val="true"/>
              </w:rPr>
              <w:t>حيوانات آبى</w:t>
            </w:r>
            <w:r>
              <w:rPr>
                <w:rStyle w:val="IndexLink"/>
                <w:rtl w:val="true"/>
              </w:rPr>
              <w:tab/>
            </w:r>
            <w:r>
              <w:rPr>
                <w:rStyle w:val="IndexLink"/>
              </w:rPr>
              <w:t>70</w:t>
            </w:r>
          </w:hyperlink>
        </w:p>
        <w:p>
          <w:pPr>
            <w:pStyle w:val="Contents5"/>
            <w:tabs>
              <w:tab w:val="clear" w:pos="7892"/>
              <w:tab w:val="right" w:pos="9026" w:leader="dot"/>
            </w:tabs>
            <w:rPr/>
          </w:pPr>
          <w:hyperlink w:anchor="__RefHeading___Toc3584609_3650668749">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3584611_3650668749">
            <w:r>
              <w:rPr>
                <w:webHidden/>
                <w:rStyle w:val="IndexLink"/>
                <w:rtl w:val="true"/>
              </w:rPr>
              <w:t xml:space="preserve">يك </w:t>
            </w:r>
            <w:r>
              <w:rPr>
                <w:rStyle w:val="IndexLink"/>
                <w:rtl w:val="true"/>
              </w:rPr>
              <w:t xml:space="preserve">- </w:t>
            </w:r>
            <w:r>
              <w:rPr>
                <w:rStyle w:val="IndexLink"/>
                <w:rtl w:val="true"/>
              </w:rPr>
              <w:t xml:space="preserve">ماهى بَنانى </w:t>
            </w:r>
            <w:r>
              <w:rPr>
                <w:rStyle w:val="IndexLink"/>
                <w:rtl w:val="true"/>
              </w:rPr>
              <w:t>(</w:t>
            </w:r>
            <w:r>
              <w:rPr>
                <w:rStyle w:val="IndexLink"/>
                <w:rtl w:val="true"/>
              </w:rPr>
              <w:t>سَمَك‌بَناني</w:t>
            </w:r>
            <w:r>
              <w:rPr>
                <w:rStyle w:val="IndexLink"/>
                <w:rtl w:val="true"/>
              </w:rPr>
              <w:t>)</w:t>
              <w:tab/>
            </w:r>
            <w:r>
              <w:rPr>
                <w:rStyle w:val="IndexLink"/>
              </w:rPr>
              <w:t>70</w:t>
            </w:r>
          </w:hyperlink>
        </w:p>
        <w:p>
          <w:pPr>
            <w:pStyle w:val="Contents5"/>
            <w:tabs>
              <w:tab w:val="clear" w:pos="7892"/>
              <w:tab w:val="right" w:pos="9026" w:leader="dot"/>
            </w:tabs>
            <w:rPr/>
          </w:pPr>
          <w:hyperlink w:anchor="__RefHeading___Toc3584613_3650668749">
            <w:r>
              <w:rPr>
                <w:webHidden/>
                <w:rStyle w:val="IndexLink"/>
                <w:rtl w:val="true"/>
              </w:rPr>
              <w:t xml:space="preserve">دو </w:t>
            </w:r>
            <w:r>
              <w:rPr>
                <w:rStyle w:val="IndexLink"/>
                <w:rtl w:val="true"/>
              </w:rPr>
              <w:t xml:space="preserve">- </w:t>
            </w:r>
            <w:r>
              <w:rPr>
                <w:rStyle w:val="IndexLink"/>
                <w:rtl w:val="true"/>
              </w:rPr>
              <w:t>مارماهى</w:t>
            </w:r>
            <w:r>
              <w:rPr>
                <w:rStyle w:val="IndexLink"/>
                <w:rtl w:val="true"/>
              </w:rPr>
              <w:tab/>
            </w:r>
            <w:r>
              <w:rPr>
                <w:rStyle w:val="IndexLink"/>
              </w:rPr>
              <w:t>70</w:t>
            </w:r>
          </w:hyperlink>
        </w:p>
        <w:p>
          <w:pPr>
            <w:pStyle w:val="Contents5"/>
            <w:tabs>
              <w:tab w:val="clear" w:pos="7892"/>
              <w:tab w:val="right" w:pos="9026" w:leader="dot"/>
            </w:tabs>
            <w:rPr/>
          </w:pPr>
          <w:hyperlink w:anchor="__RefHeading___Toc3584615_3650668749">
            <w:r>
              <w:rPr>
                <w:webHidden/>
                <w:rStyle w:val="IndexLink"/>
                <w:rtl w:val="true"/>
              </w:rPr>
              <w:t xml:space="preserve">سه </w:t>
            </w:r>
            <w:r>
              <w:rPr>
                <w:rStyle w:val="IndexLink"/>
                <w:rtl w:val="true"/>
              </w:rPr>
              <w:t xml:space="preserve">- </w:t>
            </w:r>
            <w:r>
              <w:rPr>
                <w:rStyle w:val="IndexLink"/>
                <w:rtl w:val="true"/>
              </w:rPr>
              <w:t>زِمّير</w:t>
            </w:r>
            <w:r>
              <w:rPr>
                <w:rStyle w:val="IndexLink"/>
                <w:rtl w:val="true"/>
              </w:rPr>
              <w:tab/>
            </w:r>
            <w:r>
              <w:rPr>
                <w:rStyle w:val="IndexLink"/>
              </w:rPr>
              <w:t>71</w:t>
            </w:r>
          </w:hyperlink>
        </w:p>
        <w:p>
          <w:pPr>
            <w:pStyle w:val="Contents3"/>
            <w:tabs>
              <w:tab w:val="clear" w:pos="8459"/>
              <w:tab w:val="right" w:pos="9026" w:leader="dot"/>
            </w:tabs>
            <w:rPr/>
          </w:pPr>
          <w:hyperlink w:anchor="__RefHeading___Toc3584617_3650668749">
            <w:r>
              <w:rPr>
                <w:webHidden/>
                <w:rStyle w:val="IndexLink"/>
              </w:rPr>
              <w:t>۵</w:t>
            </w:r>
            <w:r>
              <w:rPr>
                <w:rStyle w:val="IndexLink"/>
                <w:rtl w:val="true"/>
              </w:rPr>
              <w:t xml:space="preserve">. </w:t>
            </w:r>
            <w:r>
              <w:rPr>
                <w:rStyle w:val="IndexLink"/>
                <w:rtl w:val="true"/>
              </w:rPr>
              <w:t>نهرها‌ى كوفه</w:t>
            </w:r>
            <w:r>
              <w:rPr>
                <w:rStyle w:val="IndexLink"/>
                <w:rtl w:val="true"/>
              </w:rPr>
              <w:tab/>
            </w:r>
            <w:r>
              <w:rPr>
                <w:rStyle w:val="IndexLink"/>
              </w:rPr>
              <w:t>71</w:t>
            </w:r>
          </w:hyperlink>
        </w:p>
        <w:p>
          <w:pPr>
            <w:pStyle w:val="Contents4"/>
            <w:tabs>
              <w:tab w:val="clear" w:pos="8176"/>
              <w:tab w:val="right" w:pos="9026" w:leader="dot"/>
            </w:tabs>
            <w:rPr/>
          </w:pPr>
          <w:hyperlink w:anchor="__RefHeading___Toc3584619_3650668749">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3584621_3650668749">
            <w:r>
              <w:rPr>
                <w:webHidden/>
                <w:rStyle w:val="IndexLink"/>
                <w:rtl w:val="true"/>
              </w:rPr>
              <w:t>الف</w:t>
            </w:r>
            <w:r>
              <w:rPr>
                <w:rStyle w:val="IndexLink"/>
                <w:rtl w:val="true"/>
              </w:rPr>
              <w:t xml:space="preserve">) </w:t>
            </w:r>
            <w:r>
              <w:rPr>
                <w:rStyle w:val="IndexLink"/>
                <w:rtl w:val="true"/>
              </w:rPr>
              <w:t xml:space="preserve">نهر عَلْقَمَه </w:t>
            </w:r>
            <w:r>
              <w:rPr>
                <w:rStyle w:val="IndexLink"/>
                <w:rtl w:val="true"/>
              </w:rPr>
              <w:t>(</w:t>
            </w:r>
            <w:r>
              <w:rPr>
                <w:rStyle w:val="IndexLink"/>
                <w:rtl w:val="true"/>
              </w:rPr>
              <w:t>نهر عَلْقَمي</w:t>
            </w:r>
            <w:r>
              <w:rPr>
                <w:rStyle w:val="IndexLink"/>
                <w:rtl w:val="true"/>
              </w:rPr>
              <w:t>)</w:t>
              <w:tab/>
            </w:r>
            <w:r>
              <w:rPr>
                <w:rStyle w:val="IndexLink"/>
              </w:rPr>
              <w:t>73</w:t>
            </w:r>
          </w:hyperlink>
        </w:p>
        <w:p>
          <w:pPr>
            <w:pStyle w:val="Contents4"/>
            <w:tabs>
              <w:tab w:val="clear" w:pos="8176"/>
              <w:tab w:val="right" w:pos="9026" w:leader="dot"/>
            </w:tabs>
            <w:rPr/>
          </w:pPr>
          <w:hyperlink w:anchor="__RefHeading___Toc3584623_3650668749">
            <w:r>
              <w:rPr>
                <w:webHidden/>
                <w:rStyle w:val="IndexLink"/>
                <w:rtl w:val="true"/>
              </w:rPr>
              <w:t>ب</w:t>
            </w:r>
            <w:r>
              <w:rPr>
                <w:rStyle w:val="IndexLink"/>
                <w:rtl w:val="true"/>
              </w:rPr>
              <w:t xml:space="preserve">) </w:t>
            </w:r>
            <w:r>
              <w:rPr>
                <w:rStyle w:val="IndexLink"/>
                <w:rtl w:val="true"/>
              </w:rPr>
              <w:t>نهر سُورا</w:t>
            </w:r>
            <w:r>
              <w:rPr>
                <w:rStyle w:val="IndexLink"/>
                <w:rtl w:val="true"/>
              </w:rPr>
              <w:tab/>
            </w:r>
            <w:r>
              <w:rPr>
                <w:rStyle w:val="IndexLink"/>
              </w:rPr>
              <w:t>73</w:t>
            </w:r>
          </w:hyperlink>
        </w:p>
        <w:p>
          <w:pPr>
            <w:pStyle w:val="Contents4"/>
            <w:tabs>
              <w:tab w:val="clear" w:pos="8176"/>
              <w:tab w:val="right" w:pos="9026" w:leader="dot"/>
            </w:tabs>
            <w:rPr/>
          </w:pPr>
          <w:hyperlink w:anchor="__RefHeading___Toc3584625_3650668749">
            <w:r>
              <w:rPr>
                <w:webHidden/>
                <w:rStyle w:val="IndexLink"/>
                <w:rtl w:val="true"/>
              </w:rPr>
              <w:t>ج</w:t>
            </w:r>
            <w:r>
              <w:rPr>
                <w:rStyle w:val="IndexLink"/>
                <w:rtl w:val="true"/>
              </w:rPr>
              <w:t xml:space="preserve">) </w:t>
            </w:r>
            <w:r>
              <w:rPr>
                <w:rStyle w:val="IndexLink"/>
                <w:rtl w:val="true"/>
              </w:rPr>
              <w:t>نهر نيل</w:t>
            </w:r>
            <w:r>
              <w:rPr>
                <w:rStyle w:val="IndexLink"/>
                <w:rtl w:val="true"/>
              </w:rPr>
              <w:tab/>
            </w:r>
            <w:r>
              <w:rPr>
                <w:rStyle w:val="IndexLink"/>
              </w:rPr>
              <w:t>73</w:t>
            </w:r>
          </w:hyperlink>
        </w:p>
        <w:p>
          <w:pPr>
            <w:pStyle w:val="Contents4"/>
            <w:tabs>
              <w:tab w:val="clear" w:pos="8176"/>
              <w:tab w:val="right" w:pos="9026" w:leader="dot"/>
            </w:tabs>
            <w:rPr/>
          </w:pPr>
          <w:hyperlink w:anchor="__RefHeading___Toc3584627_3650668749">
            <w:r>
              <w:rPr>
                <w:webHidden/>
                <w:rStyle w:val="IndexLink"/>
                <w:rtl w:val="true"/>
              </w:rPr>
              <w:t>د</w:t>
            </w:r>
            <w:r>
              <w:rPr>
                <w:rStyle w:val="IndexLink"/>
                <w:rtl w:val="true"/>
              </w:rPr>
              <w:t xml:space="preserve">) </w:t>
            </w:r>
            <w:r>
              <w:rPr>
                <w:rStyle w:val="IndexLink"/>
                <w:rtl w:val="true"/>
              </w:rPr>
              <w:t>نهر تاجيه</w:t>
            </w:r>
            <w:r>
              <w:rPr>
                <w:rStyle w:val="IndexLink"/>
                <w:rtl w:val="true"/>
              </w:rPr>
              <w:tab/>
            </w:r>
            <w:r>
              <w:rPr>
                <w:rStyle w:val="IndexLink"/>
              </w:rPr>
              <w:t>74</w:t>
            </w:r>
          </w:hyperlink>
        </w:p>
        <w:p>
          <w:pPr>
            <w:pStyle w:val="Contents4"/>
            <w:tabs>
              <w:tab w:val="clear" w:pos="8176"/>
              <w:tab w:val="right" w:pos="9026" w:leader="dot"/>
            </w:tabs>
            <w:rPr/>
          </w:pPr>
          <w:hyperlink w:anchor="__RefHeading___Toc3584629_3650668749">
            <w:r>
              <w:rPr>
                <w:webHidden/>
                <w:rStyle w:val="IndexLink"/>
                <w:rtl w:val="true"/>
              </w:rPr>
              <w:t>ه</w:t>
            </w:r>
            <w:r>
              <w:rPr>
                <w:rStyle w:val="IndexLink"/>
                <w:rtl w:val="true"/>
              </w:rPr>
              <w:t xml:space="preserve">) </w:t>
            </w:r>
            <w:r>
              <w:rPr>
                <w:rStyle w:val="IndexLink"/>
                <w:rtl w:val="true"/>
              </w:rPr>
              <w:t>نهر سَدير</w:t>
            </w:r>
            <w:r>
              <w:rPr>
                <w:rStyle w:val="IndexLink"/>
                <w:rtl w:val="true"/>
              </w:rPr>
              <w:tab/>
            </w:r>
            <w:r>
              <w:rPr>
                <w:rStyle w:val="IndexLink"/>
              </w:rPr>
              <w:t>74</w:t>
            </w:r>
          </w:hyperlink>
        </w:p>
        <w:p>
          <w:pPr>
            <w:pStyle w:val="Contents4"/>
            <w:tabs>
              <w:tab w:val="clear" w:pos="8176"/>
              <w:tab w:val="right" w:pos="9026" w:leader="dot"/>
            </w:tabs>
            <w:rPr/>
          </w:pPr>
          <w:hyperlink w:anchor="__RefHeading___Toc3584631_3650668749">
            <w:r>
              <w:rPr>
                <w:webHidden/>
                <w:rStyle w:val="IndexLink"/>
                <w:rtl w:val="true"/>
              </w:rPr>
              <w:t>و</w:t>
            </w:r>
            <w:r>
              <w:rPr>
                <w:rStyle w:val="IndexLink"/>
                <w:rtl w:val="true"/>
              </w:rPr>
              <w:t xml:space="preserve">) </w:t>
            </w:r>
            <w:r>
              <w:rPr>
                <w:rStyle w:val="IndexLink"/>
                <w:rtl w:val="true"/>
              </w:rPr>
              <w:t xml:space="preserve">نهر سَيلحين </w:t>
            </w:r>
            <w:r>
              <w:rPr>
                <w:rStyle w:val="IndexLink"/>
                <w:rtl w:val="true"/>
              </w:rPr>
              <w:t>(</w:t>
            </w:r>
            <w:r>
              <w:rPr>
                <w:rStyle w:val="IndexLink"/>
                <w:rtl w:val="true"/>
              </w:rPr>
              <w:t>سيلحون</w:t>
            </w:r>
            <w:r>
              <w:rPr>
                <w:rStyle w:val="IndexLink"/>
                <w:rtl w:val="true"/>
              </w:rPr>
              <w:t>)</w:t>
              <w:tab/>
            </w:r>
            <w:r>
              <w:rPr>
                <w:rStyle w:val="IndexLink"/>
              </w:rPr>
              <w:t>74</w:t>
            </w:r>
          </w:hyperlink>
        </w:p>
        <w:p>
          <w:pPr>
            <w:pStyle w:val="Contents4"/>
            <w:tabs>
              <w:tab w:val="clear" w:pos="8176"/>
              <w:tab w:val="right" w:pos="9026" w:leader="dot"/>
            </w:tabs>
            <w:rPr/>
          </w:pPr>
          <w:hyperlink w:anchor="__RefHeading___Toc3584633_3650668749">
            <w:r>
              <w:rPr>
                <w:webHidden/>
                <w:rStyle w:val="IndexLink"/>
                <w:rtl w:val="true"/>
              </w:rPr>
              <w:t>ز</w:t>
            </w:r>
            <w:r>
              <w:rPr>
                <w:rStyle w:val="IndexLink"/>
                <w:rtl w:val="true"/>
              </w:rPr>
              <w:t xml:space="preserve">) </w:t>
            </w:r>
            <w:r>
              <w:rPr>
                <w:rStyle w:val="IndexLink"/>
                <w:rtl w:val="true"/>
              </w:rPr>
              <w:t>نهر صَراة</w:t>
            </w:r>
            <w:r>
              <w:rPr>
                <w:rStyle w:val="IndexLink"/>
                <w:rtl w:val="true"/>
              </w:rPr>
              <w:tab/>
            </w:r>
            <w:r>
              <w:rPr>
                <w:rStyle w:val="IndexLink"/>
              </w:rPr>
              <w:t>74</w:t>
            </w:r>
          </w:hyperlink>
        </w:p>
        <w:p>
          <w:pPr>
            <w:pStyle w:val="Contents4"/>
            <w:tabs>
              <w:tab w:val="clear" w:pos="8176"/>
              <w:tab w:val="right" w:pos="9026" w:leader="dot"/>
            </w:tabs>
            <w:rPr/>
          </w:pPr>
          <w:hyperlink w:anchor="__RefHeading___Toc3584635_3650668749">
            <w:r>
              <w:rPr>
                <w:webHidden/>
                <w:rStyle w:val="IndexLink"/>
                <w:rtl w:val="true"/>
              </w:rPr>
              <w:t>ح</w:t>
            </w:r>
            <w:r>
              <w:rPr>
                <w:rStyle w:val="IndexLink"/>
                <w:rtl w:val="true"/>
              </w:rPr>
              <w:t xml:space="preserve">) </w:t>
            </w:r>
            <w:r>
              <w:rPr>
                <w:rStyle w:val="IndexLink"/>
                <w:rtl w:val="true"/>
              </w:rPr>
              <w:t>نهر صَرصَر</w:t>
            </w:r>
            <w:r>
              <w:rPr>
                <w:rStyle w:val="IndexLink"/>
                <w:rtl w:val="true"/>
              </w:rPr>
              <w:tab/>
            </w:r>
            <w:r>
              <w:rPr>
                <w:rStyle w:val="IndexLink"/>
              </w:rPr>
              <w:t>74</w:t>
            </w:r>
          </w:hyperlink>
        </w:p>
        <w:p>
          <w:pPr>
            <w:pStyle w:val="Contents4"/>
            <w:tabs>
              <w:tab w:val="clear" w:pos="8176"/>
              <w:tab w:val="right" w:pos="9026" w:leader="dot"/>
            </w:tabs>
            <w:rPr/>
          </w:pPr>
          <w:hyperlink w:anchor="__RefHeading___Toc3584637_3650668749">
            <w:r>
              <w:rPr>
                <w:webHidden/>
                <w:rStyle w:val="IndexLink"/>
                <w:rtl w:val="true"/>
              </w:rPr>
              <w:t>ط</w:t>
            </w:r>
            <w:r>
              <w:rPr>
                <w:rStyle w:val="IndexLink"/>
                <w:rtl w:val="true"/>
              </w:rPr>
              <w:t xml:space="preserve">) </w:t>
            </w:r>
            <w:r>
              <w:rPr>
                <w:rStyle w:val="IndexLink"/>
                <w:rtl w:val="true"/>
              </w:rPr>
              <w:t>نهر قَوْرا</w:t>
            </w:r>
            <w:r>
              <w:rPr>
                <w:rStyle w:val="IndexLink"/>
                <w:rtl w:val="true"/>
              </w:rPr>
              <w:tab/>
            </w:r>
            <w:r>
              <w:rPr>
                <w:rStyle w:val="IndexLink"/>
              </w:rPr>
              <w:t>74</w:t>
            </w:r>
          </w:hyperlink>
        </w:p>
        <w:p>
          <w:pPr>
            <w:pStyle w:val="Contents4"/>
            <w:tabs>
              <w:tab w:val="clear" w:pos="8176"/>
              <w:tab w:val="right" w:pos="9026" w:leader="dot"/>
            </w:tabs>
            <w:rPr/>
          </w:pPr>
          <w:hyperlink w:anchor="__RefHeading___Toc3584639_3650668749">
            <w:r>
              <w:rPr>
                <w:webHidden/>
                <w:rStyle w:val="IndexLink"/>
                <w:rtl w:val="true"/>
              </w:rPr>
              <w:t>ي</w:t>
            </w:r>
            <w:r>
              <w:rPr>
                <w:rStyle w:val="IndexLink"/>
                <w:rtl w:val="true"/>
              </w:rPr>
              <w:t xml:space="preserve">) </w:t>
            </w:r>
            <w:r>
              <w:rPr>
                <w:rStyle w:val="IndexLink"/>
                <w:rtl w:val="true"/>
              </w:rPr>
              <w:t>نهر كوثي</w:t>
            </w:r>
            <w:r>
              <w:rPr>
                <w:rStyle w:val="IndexLink"/>
                <w:rtl w:val="true"/>
              </w:rPr>
              <w:tab/>
            </w:r>
            <w:r>
              <w:rPr>
                <w:rStyle w:val="IndexLink"/>
              </w:rPr>
              <w:t>75</w:t>
            </w:r>
          </w:hyperlink>
        </w:p>
        <w:p>
          <w:pPr>
            <w:pStyle w:val="Contents4"/>
            <w:tabs>
              <w:tab w:val="clear" w:pos="8176"/>
              <w:tab w:val="right" w:pos="9026" w:leader="dot"/>
            </w:tabs>
            <w:rPr/>
          </w:pPr>
          <w:hyperlink w:anchor="__RefHeading___Toc3584641_3650668749">
            <w:r>
              <w:rPr>
                <w:webHidden/>
                <w:rStyle w:val="IndexLink"/>
                <w:rtl w:val="true"/>
              </w:rPr>
              <w:t>ك</w:t>
            </w:r>
            <w:r>
              <w:rPr>
                <w:rStyle w:val="IndexLink"/>
                <w:rtl w:val="true"/>
              </w:rPr>
              <w:t xml:space="preserve">) </w:t>
            </w:r>
            <w:r>
              <w:rPr>
                <w:rStyle w:val="IndexLink"/>
                <w:rtl w:val="true"/>
              </w:rPr>
              <w:t>نهر خُرشيذ</w:t>
            </w:r>
            <w:r>
              <w:rPr>
                <w:rStyle w:val="IndexLink"/>
                <w:rtl w:val="true"/>
              </w:rPr>
              <w:tab/>
            </w:r>
            <w:r>
              <w:rPr>
                <w:rStyle w:val="IndexLink"/>
              </w:rPr>
              <w:t>75</w:t>
            </w:r>
          </w:hyperlink>
        </w:p>
        <w:p>
          <w:pPr>
            <w:pStyle w:val="Contents4"/>
            <w:tabs>
              <w:tab w:val="clear" w:pos="8176"/>
              <w:tab w:val="right" w:pos="9026" w:leader="dot"/>
            </w:tabs>
            <w:rPr/>
          </w:pPr>
          <w:hyperlink w:anchor="__RefHeading___Toc3584643_3650668749">
            <w:r>
              <w:rPr>
                <w:webHidden/>
                <w:rStyle w:val="IndexLink"/>
                <w:rtl w:val="true"/>
              </w:rPr>
              <w:t>ل</w:t>
            </w:r>
            <w:r>
              <w:rPr>
                <w:rStyle w:val="IndexLink"/>
                <w:rtl w:val="true"/>
              </w:rPr>
              <w:t xml:space="preserve">) </w:t>
            </w:r>
            <w:r>
              <w:rPr>
                <w:rStyle w:val="IndexLink"/>
                <w:rtl w:val="true"/>
              </w:rPr>
              <w:t>نهر بَلْخ</w:t>
            </w:r>
            <w:r>
              <w:rPr>
                <w:rStyle w:val="IndexLink"/>
                <w:rtl w:val="true"/>
              </w:rPr>
              <w:tab/>
            </w:r>
            <w:r>
              <w:rPr>
                <w:rStyle w:val="IndexLink"/>
              </w:rPr>
              <w:t>75</w:t>
            </w:r>
          </w:hyperlink>
        </w:p>
        <w:p>
          <w:pPr>
            <w:pStyle w:val="Contents4"/>
            <w:tabs>
              <w:tab w:val="clear" w:pos="8176"/>
              <w:tab w:val="right" w:pos="9026" w:leader="dot"/>
            </w:tabs>
            <w:rPr/>
          </w:pPr>
          <w:hyperlink w:anchor="__RefHeading___Toc3584645_3650668749">
            <w:r>
              <w:rPr>
                <w:webHidden/>
                <w:rStyle w:val="IndexLink"/>
                <w:rtl w:val="true"/>
              </w:rPr>
              <w:t>م</w:t>
            </w:r>
            <w:r>
              <w:rPr>
                <w:rStyle w:val="IndexLink"/>
                <w:rtl w:val="true"/>
              </w:rPr>
              <w:t xml:space="preserve">) </w:t>
            </w:r>
            <w:r>
              <w:rPr>
                <w:rStyle w:val="IndexLink"/>
                <w:rtl w:val="true"/>
              </w:rPr>
              <w:t>نهر بُوَيب</w:t>
            </w:r>
            <w:r>
              <w:rPr>
                <w:rStyle w:val="IndexLink"/>
                <w:rtl w:val="true"/>
              </w:rPr>
              <w:tab/>
            </w:r>
            <w:r>
              <w:rPr>
                <w:rStyle w:val="IndexLink"/>
              </w:rPr>
              <w:t>75</w:t>
            </w:r>
          </w:hyperlink>
        </w:p>
        <w:p>
          <w:pPr>
            <w:pStyle w:val="Contents4"/>
            <w:tabs>
              <w:tab w:val="clear" w:pos="8176"/>
              <w:tab w:val="right" w:pos="9026" w:leader="dot"/>
            </w:tabs>
            <w:rPr/>
          </w:pPr>
          <w:hyperlink w:anchor="__RefHeading___Toc3584647_3650668749">
            <w:r>
              <w:rPr>
                <w:webHidden/>
                <w:rStyle w:val="IndexLink"/>
                <w:rtl w:val="true"/>
              </w:rPr>
              <w:t>ن</w:t>
            </w:r>
            <w:r>
              <w:rPr>
                <w:rStyle w:val="IndexLink"/>
                <w:rtl w:val="true"/>
              </w:rPr>
              <w:t xml:space="preserve">) </w:t>
            </w:r>
            <w:r>
              <w:rPr>
                <w:rStyle w:val="IndexLink"/>
                <w:rtl w:val="true"/>
              </w:rPr>
              <w:t>نهر شيلي</w:t>
            </w:r>
            <w:r>
              <w:rPr>
                <w:rStyle w:val="IndexLink"/>
                <w:rtl w:val="true"/>
              </w:rPr>
              <w:tab/>
            </w:r>
            <w:r>
              <w:rPr>
                <w:rStyle w:val="IndexLink"/>
              </w:rPr>
              <w:t>75</w:t>
            </w:r>
          </w:hyperlink>
        </w:p>
        <w:p>
          <w:pPr>
            <w:pStyle w:val="Contents3"/>
            <w:tabs>
              <w:tab w:val="clear" w:pos="8459"/>
              <w:tab w:val="right" w:pos="9026" w:leader="dot"/>
            </w:tabs>
            <w:rPr/>
          </w:pPr>
          <w:hyperlink w:anchor="__RefHeading___Toc3584649_3650668749">
            <w:r>
              <w:rPr>
                <w:webHidden/>
                <w:rStyle w:val="IndexLink"/>
              </w:rPr>
              <w:t>۶</w:t>
            </w:r>
            <w:r>
              <w:rPr>
                <w:rStyle w:val="IndexLink"/>
                <w:rtl w:val="true"/>
              </w:rPr>
              <w:t xml:space="preserve">. </w:t>
            </w:r>
            <w:r>
              <w:rPr>
                <w:rStyle w:val="IndexLink"/>
                <w:rtl w:val="true"/>
              </w:rPr>
              <w:t>كوه‌هاي كوفه</w:t>
            </w:r>
            <w:r>
              <w:rPr>
                <w:rStyle w:val="IndexLink"/>
                <w:rtl w:val="true"/>
              </w:rPr>
              <w:tab/>
            </w:r>
            <w:r>
              <w:rPr>
                <w:rStyle w:val="IndexLink"/>
              </w:rPr>
              <w:t>76</w:t>
            </w:r>
          </w:hyperlink>
        </w:p>
        <w:p>
          <w:pPr>
            <w:pStyle w:val="Contents4"/>
            <w:tabs>
              <w:tab w:val="clear" w:pos="8176"/>
              <w:tab w:val="right" w:pos="9026" w:leader="dot"/>
            </w:tabs>
            <w:rPr/>
          </w:pPr>
          <w:hyperlink w:anchor="__RefHeading___Toc3584651_3650668749">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3584653_3650668749">
            <w:r>
              <w:rPr>
                <w:webHidden/>
                <w:rStyle w:val="IndexLink"/>
                <w:rtl w:val="true"/>
              </w:rPr>
              <w:t>الف</w:t>
            </w:r>
            <w:r>
              <w:rPr>
                <w:rStyle w:val="IndexLink"/>
                <w:rtl w:val="true"/>
              </w:rPr>
              <w:t xml:space="preserve">) </w:t>
            </w:r>
            <w:r>
              <w:rPr>
                <w:rStyle w:val="IndexLink"/>
                <w:rtl w:val="true"/>
              </w:rPr>
              <w:t>ساتيدَما</w:t>
            </w:r>
            <w:r>
              <w:rPr>
                <w:rStyle w:val="IndexLink"/>
                <w:rtl w:val="true"/>
              </w:rPr>
              <w:tab/>
            </w:r>
            <w:r>
              <w:rPr>
                <w:rStyle w:val="IndexLink"/>
              </w:rPr>
              <w:t>76</w:t>
            </w:r>
          </w:hyperlink>
        </w:p>
        <w:p>
          <w:pPr>
            <w:pStyle w:val="Contents4"/>
            <w:tabs>
              <w:tab w:val="clear" w:pos="8176"/>
              <w:tab w:val="right" w:pos="9026" w:leader="dot"/>
            </w:tabs>
            <w:rPr/>
          </w:pPr>
          <w:hyperlink w:anchor="__RefHeading___Toc3584655_3650668749">
            <w:r>
              <w:rPr>
                <w:webHidden/>
                <w:rStyle w:val="IndexLink"/>
                <w:rtl w:val="true"/>
              </w:rPr>
              <w:t>ب</w:t>
            </w:r>
            <w:r>
              <w:rPr>
                <w:rStyle w:val="IndexLink"/>
                <w:rtl w:val="true"/>
              </w:rPr>
              <w:t xml:space="preserve">) </w:t>
            </w:r>
            <w:r>
              <w:rPr>
                <w:rStyle w:val="IndexLink"/>
                <w:rtl w:val="true"/>
              </w:rPr>
              <w:t>كوفان</w:t>
            </w:r>
            <w:r>
              <w:rPr>
                <w:rStyle w:val="IndexLink"/>
                <w:rtl w:val="true"/>
              </w:rPr>
              <w:tab/>
            </w:r>
            <w:r>
              <w:rPr>
                <w:rStyle w:val="IndexLink"/>
              </w:rPr>
              <w:t>76</w:t>
            </w:r>
          </w:hyperlink>
        </w:p>
        <w:p>
          <w:pPr>
            <w:pStyle w:val="Contents3"/>
            <w:tabs>
              <w:tab w:val="clear" w:pos="8459"/>
              <w:tab w:val="right" w:pos="9026" w:leader="dot"/>
            </w:tabs>
            <w:rPr/>
          </w:pPr>
          <w:hyperlink w:anchor="__RefHeading___Toc3584657_3650668749">
            <w:r>
              <w:rPr>
                <w:webHidden/>
                <w:rStyle w:val="IndexLink"/>
              </w:rPr>
              <w:t>٧</w:t>
            </w:r>
            <w:r>
              <w:rPr>
                <w:rStyle w:val="IndexLink"/>
                <w:rtl w:val="true"/>
              </w:rPr>
              <w:t xml:space="preserve">. </w:t>
            </w:r>
            <w:r>
              <w:rPr>
                <w:rStyle w:val="IndexLink"/>
                <w:rtl w:val="true"/>
              </w:rPr>
              <w:t>چاه‌ها‌ى كوفه</w:t>
            </w:r>
            <w:r>
              <w:rPr>
                <w:rStyle w:val="IndexLink"/>
                <w:rtl w:val="true"/>
              </w:rPr>
              <w:tab/>
            </w:r>
            <w:r>
              <w:rPr>
                <w:rStyle w:val="IndexLink"/>
              </w:rPr>
              <w:t>77</w:t>
            </w:r>
          </w:hyperlink>
        </w:p>
        <w:p>
          <w:pPr>
            <w:pStyle w:val="Contents4"/>
            <w:tabs>
              <w:tab w:val="clear" w:pos="8176"/>
              <w:tab w:val="right" w:pos="9026" w:leader="dot"/>
            </w:tabs>
            <w:rPr/>
          </w:pPr>
          <w:hyperlink w:anchor="__RefHeading___Toc3584659_3650668749">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3584661_3650668749">
            <w:r>
              <w:rPr>
                <w:webHidden/>
                <w:rStyle w:val="IndexLink"/>
                <w:rtl w:val="true"/>
              </w:rPr>
              <w:t>الف</w:t>
            </w:r>
            <w:r>
              <w:rPr>
                <w:rStyle w:val="IndexLink"/>
                <w:rtl w:val="true"/>
              </w:rPr>
              <w:t xml:space="preserve">) </w:t>
            </w:r>
            <w:r>
              <w:rPr>
                <w:rStyle w:val="IndexLink"/>
                <w:rtl w:val="true"/>
              </w:rPr>
              <w:t xml:space="preserve">چاه حضرت على </w:t>
            </w:r>
            <w:r>
              <w:rPr>
                <w:rStyle w:val="IndexLink"/>
                <w:rtl w:val="true"/>
              </w:rPr>
              <w:t>(</w:t>
            </w:r>
            <w:r>
              <w:rPr>
                <w:rStyle w:val="IndexLink"/>
                <w:rtl w:val="true"/>
              </w:rPr>
              <w:t>عليه السلام</w:t>
            </w:r>
            <w:r>
              <w:rPr>
                <w:rStyle w:val="IndexLink"/>
                <w:rtl w:val="true"/>
              </w:rPr>
              <w:t>) (</w:t>
            </w:r>
            <w:r>
              <w:rPr>
                <w:rStyle w:val="IndexLink"/>
                <w:rtl w:val="true"/>
              </w:rPr>
              <w:t>بئر علي</w:t>
            </w:r>
            <w:r>
              <w:rPr>
                <w:rStyle w:val="IndexLink"/>
                <w:rtl w:val="true"/>
              </w:rPr>
              <w:t>)</w:t>
              <w:tab/>
            </w:r>
            <w:r>
              <w:rPr>
                <w:rStyle w:val="IndexLink"/>
              </w:rPr>
              <w:t>77</w:t>
            </w:r>
          </w:hyperlink>
        </w:p>
        <w:p>
          <w:pPr>
            <w:pStyle w:val="Contents4"/>
            <w:tabs>
              <w:tab w:val="clear" w:pos="8176"/>
              <w:tab w:val="right" w:pos="9026" w:leader="dot"/>
            </w:tabs>
            <w:rPr/>
          </w:pPr>
          <w:hyperlink w:anchor="__RefHeading___Toc3584663_3650668749">
            <w:r>
              <w:rPr>
                <w:webHidden/>
                <w:rStyle w:val="IndexLink"/>
                <w:rtl w:val="true"/>
              </w:rPr>
              <w:t>ب</w:t>
            </w:r>
            <w:r>
              <w:rPr>
                <w:rStyle w:val="IndexLink"/>
                <w:rtl w:val="true"/>
              </w:rPr>
              <w:t xml:space="preserve">) </w:t>
            </w:r>
            <w:r>
              <w:rPr>
                <w:rStyle w:val="IndexLink"/>
                <w:rtl w:val="true"/>
              </w:rPr>
              <w:t xml:space="preserve">چاه جُعد </w:t>
            </w:r>
            <w:r>
              <w:rPr>
                <w:rStyle w:val="IndexLink"/>
                <w:rtl w:val="true"/>
              </w:rPr>
              <w:t>(</w:t>
            </w:r>
            <w:r>
              <w:rPr>
                <w:rStyle w:val="IndexLink"/>
                <w:rtl w:val="true"/>
              </w:rPr>
              <w:t>بئر جعد</w:t>
            </w:r>
            <w:r>
              <w:rPr>
                <w:rStyle w:val="IndexLink"/>
                <w:rtl w:val="true"/>
              </w:rPr>
              <w:t>)</w:t>
              <w:tab/>
            </w:r>
            <w:r>
              <w:rPr>
                <w:rStyle w:val="IndexLink"/>
              </w:rPr>
              <w:t>77</w:t>
            </w:r>
          </w:hyperlink>
        </w:p>
        <w:p>
          <w:pPr>
            <w:pStyle w:val="Contents4"/>
            <w:tabs>
              <w:tab w:val="clear" w:pos="8176"/>
              <w:tab w:val="right" w:pos="9026" w:leader="dot"/>
            </w:tabs>
            <w:rPr/>
          </w:pPr>
          <w:hyperlink w:anchor="__RefHeading___Toc3584665_3650668749">
            <w:r>
              <w:rPr>
                <w:webHidden/>
                <w:rStyle w:val="IndexLink"/>
                <w:rtl w:val="true"/>
              </w:rPr>
              <w:t>ج</w:t>
            </w:r>
            <w:r>
              <w:rPr>
                <w:rStyle w:val="IndexLink"/>
                <w:rtl w:val="true"/>
              </w:rPr>
              <w:t xml:space="preserve">) </w:t>
            </w:r>
            <w:r>
              <w:rPr>
                <w:rStyle w:val="IndexLink"/>
                <w:rtl w:val="true"/>
              </w:rPr>
              <w:t>چاه قصر دارالاماره</w:t>
            </w:r>
            <w:r>
              <w:rPr>
                <w:rStyle w:val="IndexLink"/>
                <w:rtl w:val="true"/>
              </w:rPr>
              <w:tab/>
            </w:r>
            <w:r>
              <w:rPr>
                <w:rStyle w:val="IndexLink"/>
              </w:rPr>
              <w:t>78</w:t>
            </w:r>
          </w:hyperlink>
        </w:p>
        <w:p>
          <w:pPr>
            <w:pStyle w:val="Contents4"/>
            <w:tabs>
              <w:tab w:val="clear" w:pos="8176"/>
              <w:tab w:val="right" w:pos="9026" w:leader="dot"/>
            </w:tabs>
            <w:rPr/>
          </w:pPr>
          <w:hyperlink w:anchor="__RefHeading___Toc3584667_3650668749">
            <w:r>
              <w:rPr>
                <w:webHidden/>
                <w:rStyle w:val="IndexLink"/>
                <w:rtl w:val="true"/>
              </w:rPr>
              <w:t>د</w:t>
            </w:r>
            <w:r>
              <w:rPr>
                <w:rStyle w:val="IndexLink"/>
                <w:rtl w:val="true"/>
              </w:rPr>
              <w:t xml:space="preserve">) </w:t>
            </w:r>
            <w:r>
              <w:rPr>
                <w:rStyle w:val="IndexLink"/>
                <w:rtl w:val="true"/>
              </w:rPr>
              <w:t>چاه مُبارك</w:t>
            </w:r>
            <w:r>
              <w:rPr>
                <w:rStyle w:val="IndexLink"/>
                <w:rtl w:val="true"/>
              </w:rPr>
              <w:tab/>
            </w:r>
            <w:r>
              <w:rPr>
                <w:rStyle w:val="IndexLink"/>
              </w:rPr>
              <w:t>78</w:t>
            </w:r>
          </w:hyperlink>
        </w:p>
        <w:p>
          <w:pPr>
            <w:pStyle w:val="Contents3"/>
            <w:tabs>
              <w:tab w:val="clear" w:pos="8459"/>
              <w:tab w:val="right" w:pos="9026" w:leader="dot"/>
            </w:tabs>
            <w:rPr/>
          </w:pPr>
          <w:hyperlink w:anchor="__RefHeading___Toc3584669_3650668749">
            <w:r>
              <w:rPr>
                <w:webHidden/>
                <w:rStyle w:val="IndexLink"/>
              </w:rPr>
              <w:t>٨</w:t>
            </w:r>
            <w:r>
              <w:rPr>
                <w:rStyle w:val="IndexLink"/>
                <w:rtl w:val="true"/>
              </w:rPr>
              <w:t xml:space="preserve">. </w:t>
            </w:r>
            <w:r>
              <w:rPr>
                <w:rStyle w:val="IndexLink"/>
                <w:rtl w:val="true"/>
              </w:rPr>
              <w:t>چشمه‌ها‌ى كوفه</w:t>
            </w:r>
            <w:r>
              <w:rPr>
                <w:rStyle w:val="IndexLink"/>
                <w:rtl w:val="true"/>
              </w:rPr>
              <w:tab/>
            </w:r>
            <w:r>
              <w:rPr>
                <w:rStyle w:val="IndexLink"/>
              </w:rPr>
              <w:t>78</w:t>
            </w:r>
          </w:hyperlink>
        </w:p>
        <w:p>
          <w:pPr>
            <w:pStyle w:val="Contents3"/>
            <w:tabs>
              <w:tab w:val="clear" w:pos="8459"/>
              <w:tab w:val="right" w:pos="9026" w:leader="dot"/>
            </w:tabs>
            <w:rPr/>
          </w:pPr>
          <w:hyperlink w:anchor="__RefHeading___Toc3584671_3650668749">
            <w:r>
              <w:rPr>
                <w:webHidden/>
                <w:rStyle w:val="IndexLink"/>
              </w:rPr>
              <w:t>٩</w:t>
            </w:r>
            <w:r>
              <w:rPr>
                <w:rStyle w:val="IndexLink"/>
                <w:rtl w:val="true"/>
              </w:rPr>
              <w:t xml:space="preserve">. </w:t>
            </w:r>
            <w:r>
              <w:rPr>
                <w:rStyle w:val="IndexLink"/>
                <w:rtl w:val="true"/>
              </w:rPr>
              <w:t>توابع شهر كوفه و روستاها‌ى آن</w:t>
            </w:r>
            <w:r>
              <w:rPr>
                <w:rStyle w:val="IndexLink"/>
                <w:rtl w:val="true"/>
              </w:rPr>
              <w:tab/>
            </w:r>
            <w:r>
              <w:rPr>
                <w:rStyle w:val="IndexLink"/>
              </w:rPr>
              <w:t>78</w:t>
            </w:r>
          </w:hyperlink>
        </w:p>
        <w:p>
          <w:pPr>
            <w:pStyle w:val="Contents4"/>
            <w:tabs>
              <w:tab w:val="clear" w:pos="8176"/>
              <w:tab w:val="right" w:pos="9026" w:leader="dot"/>
            </w:tabs>
            <w:rPr/>
          </w:pPr>
          <w:hyperlink w:anchor="__RefHeading___Toc3584673_3650668749">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3584675_3650668749">
            <w:r>
              <w:rPr>
                <w:webHidden/>
                <w:rStyle w:val="IndexLink"/>
                <w:rtl w:val="true"/>
              </w:rPr>
              <w:t xml:space="preserve">يك </w:t>
            </w:r>
            <w:r>
              <w:rPr>
                <w:rStyle w:val="IndexLink"/>
                <w:rtl w:val="true"/>
              </w:rPr>
              <w:t xml:space="preserve">- </w:t>
            </w:r>
            <w:r>
              <w:rPr>
                <w:rStyle w:val="IndexLink"/>
                <w:rtl w:val="true"/>
              </w:rPr>
              <w:t>إسْتينياء</w:t>
            </w:r>
            <w:r>
              <w:rPr>
                <w:rStyle w:val="IndexLink"/>
                <w:rtl w:val="true"/>
              </w:rPr>
              <w:tab/>
            </w:r>
            <w:r>
              <w:rPr>
                <w:rStyle w:val="IndexLink"/>
              </w:rPr>
              <w:t>79</w:t>
            </w:r>
          </w:hyperlink>
        </w:p>
        <w:p>
          <w:pPr>
            <w:pStyle w:val="Contents4"/>
            <w:tabs>
              <w:tab w:val="clear" w:pos="8176"/>
              <w:tab w:val="right" w:pos="9026" w:leader="dot"/>
            </w:tabs>
            <w:rPr/>
          </w:pPr>
          <w:hyperlink w:anchor="__RefHeading___Toc3584677_3650668749">
            <w:r>
              <w:rPr>
                <w:webHidden/>
                <w:rStyle w:val="IndexLink"/>
                <w:rtl w:val="true"/>
              </w:rPr>
              <w:t xml:space="preserve">دو </w:t>
            </w:r>
            <w:r>
              <w:rPr>
                <w:rStyle w:val="IndexLink"/>
                <w:rtl w:val="true"/>
              </w:rPr>
              <w:t xml:space="preserve">- </w:t>
            </w:r>
            <w:r>
              <w:rPr>
                <w:rStyle w:val="IndexLink"/>
                <w:rtl w:val="true"/>
              </w:rPr>
              <w:t>اَقساس مالك</w:t>
            </w:r>
            <w:r>
              <w:rPr>
                <w:rStyle w:val="IndexLink"/>
                <w:rtl w:val="true"/>
              </w:rPr>
              <w:tab/>
            </w:r>
            <w:r>
              <w:rPr>
                <w:rStyle w:val="IndexLink"/>
              </w:rPr>
              <w:t>79</w:t>
            </w:r>
          </w:hyperlink>
        </w:p>
        <w:p>
          <w:pPr>
            <w:pStyle w:val="Contents4"/>
            <w:tabs>
              <w:tab w:val="clear" w:pos="8176"/>
              <w:tab w:val="right" w:pos="9026" w:leader="dot"/>
            </w:tabs>
            <w:rPr/>
          </w:pPr>
          <w:hyperlink w:anchor="__RefHeading___Toc3584679_3650668749">
            <w:r>
              <w:rPr>
                <w:webHidden/>
                <w:rStyle w:val="IndexLink"/>
                <w:rtl w:val="true"/>
              </w:rPr>
              <w:t xml:space="preserve">سه </w:t>
            </w:r>
            <w:r>
              <w:rPr>
                <w:rStyle w:val="IndexLink"/>
                <w:rtl w:val="true"/>
              </w:rPr>
              <w:t xml:space="preserve">- </w:t>
            </w:r>
            <w:r>
              <w:rPr>
                <w:rStyle w:val="IndexLink"/>
                <w:rtl w:val="true"/>
              </w:rPr>
              <w:t>اُكَيْراح</w:t>
            </w:r>
            <w:r>
              <w:rPr>
                <w:rStyle w:val="IndexLink"/>
                <w:rtl w:val="true"/>
              </w:rPr>
              <w:tab/>
            </w:r>
            <w:r>
              <w:rPr>
                <w:rStyle w:val="IndexLink"/>
              </w:rPr>
              <w:t>80</w:t>
            </w:r>
          </w:hyperlink>
        </w:p>
        <w:p>
          <w:pPr>
            <w:pStyle w:val="Contents4"/>
            <w:tabs>
              <w:tab w:val="clear" w:pos="8176"/>
              <w:tab w:val="right" w:pos="9026" w:leader="dot"/>
            </w:tabs>
            <w:rPr/>
          </w:pPr>
          <w:hyperlink w:anchor="__RefHeading___Toc3584681_3650668749">
            <w:r>
              <w:rPr>
                <w:webHidden/>
                <w:rStyle w:val="IndexLink"/>
                <w:rtl w:val="true"/>
              </w:rPr>
              <w:t xml:space="preserve">چهار </w:t>
            </w:r>
            <w:r>
              <w:rPr>
                <w:rStyle w:val="IndexLink"/>
                <w:rtl w:val="true"/>
              </w:rPr>
              <w:t xml:space="preserve">- </w:t>
            </w:r>
            <w:r>
              <w:rPr>
                <w:rStyle w:val="IndexLink"/>
                <w:rtl w:val="true"/>
              </w:rPr>
              <w:t>بانِقْيا</w:t>
            </w:r>
            <w:r>
              <w:rPr>
                <w:rStyle w:val="IndexLink"/>
                <w:rtl w:val="true"/>
              </w:rPr>
              <w:tab/>
            </w:r>
            <w:r>
              <w:rPr>
                <w:rStyle w:val="IndexLink"/>
              </w:rPr>
              <w:t>80</w:t>
            </w:r>
          </w:hyperlink>
        </w:p>
        <w:p>
          <w:pPr>
            <w:pStyle w:val="Contents4"/>
            <w:tabs>
              <w:tab w:val="clear" w:pos="8176"/>
              <w:tab w:val="right" w:pos="9026" w:leader="dot"/>
            </w:tabs>
            <w:rPr/>
          </w:pPr>
          <w:hyperlink w:anchor="__RefHeading___Toc3584683_3650668749">
            <w:r>
              <w:rPr>
                <w:webHidden/>
                <w:rStyle w:val="IndexLink"/>
                <w:rtl w:val="true"/>
              </w:rPr>
              <w:t xml:space="preserve">پنج </w:t>
            </w:r>
            <w:r>
              <w:rPr>
                <w:rStyle w:val="IndexLink"/>
                <w:rtl w:val="true"/>
              </w:rPr>
              <w:t xml:space="preserve">- </w:t>
            </w:r>
            <w:r>
              <w:rPr>
                <w:rStyle w:val="IndexLink"/>
                <w:rtl w:val="true"/>
              </w:rPr>
              <w:t>بداة</w:t>
            </w:r>
            <w:r>
              <w:rPr>
                <w:rStyle w:val="IndexLink"/>
                <w:rtl w:val="true"/>
              </w:rPr>
              <w:tab/>
            </w:r>
            <w:r>
              <w:rPr>
                <w:rStyle w:val="IndexLink"/>
              </w:rPr>
              <w:t>80</w:t>
            </w:r>
          </w:hyperlink>
        </w:p>
        <w:p>
          <w:pPr>
            <w:pStyle w:val="Contents4"/>
            <w:tabs>
              <w:tab w:val="clear" w:pos="8176"/>
              <w:tab w:val="right" w:pos="9026" w:leader="dot"/>
            </w:tabs>
            <w:rPr/>
          </w:pPr>
          <w:hyperlink w:anchor="__RefHeading___Toc3584685_3650668749">
            <w:r>
              <w:rPr>
                <w:webHidden/>
                <w:rStyle w:val="IndexLink"/>
                <w:rtl w:val="true"/>
              </w:rPr>
              <w:t xml:space="preserve">شش </w:t>
            </w:r>
            <w:r>
              <w:rPr>
                <w:rStyle w:val="IndexLink"/>
                <w:rtl w:val="true"/>
              </w:rPr>
              <w:t xml:space="preserve">- </w:t>
            </w:r>
            <w:r>
              <w:rPr>
                <w:rStyle w:val="IndexLink"/>
                <w:rtl w:val="true"/>
              </w:rPr>
              <w:t>بَديق</w:t>
            </w:r>
            <w:r>
              <w:rPr>
                <w:rStyle w:val="IndexLink"/>
                <w:rtl w:val="true"/>
              </w:rPr>
              <w:tab/>
            </w:r>
            <w:r>
              <w:rPr>
                <w:rStyle w:val="IndexLink"/>
              </w:rPr>
              <w:t>80</w:t>
            </w:r>
          </w:hyperlink>
        </w:p>
        <w:p>
          <w:pPr>
            <w:pStyle w:val="Contents4"/>
            <w:tabs>
              <w:tab w:val="clear" w:pos="8176"/>
              <w:tab w:val="right" w:pos="9026" w:leader="dot"/>
            </w:tabs>
            <w:rPr/>
          </w:pPr>
          <w:hyperlink w:anchor="__RefHeading___Toc3584687_3650668749">
            <w:r>
              <w:rPr>
                <w:webHidden/>
                <w:rStyle w:val="IndexLink"/>
                <w:rtl w:val="true"/>
              </w:rPr>
              <w:t xml:space="preserve">هفت </w:t>
            </w:r>
            <w:r>
              <w:rPr>
                <w:rStyle w:val="IndexLink"/>
                <w:rtl w:val="true"/>
              </w:rPr>
              <w:t xml:space="preserve">- </w:t>
            </w:r>
            <w:r>
              <w:rPr>
                <w:rStyle w:val="IndexLink"/>
                <w:rtl w:val="true"/>
              </w:rPr>
              <w:t>بَرْثَه</w:t>
            </w:r>
            <w:r>
              <w:rPr>
                <w:rStyle w:val="IndexLink"/>
                <w:rtl w:val="true"/>
              </w:rPr>
              <w:tab/>
            </w:r>
            <w:r>
              <w:rPr>
                <w:rStyle w:val="IndexLink"/>
              </w:rPr>
              <w:t>81</w:t>
            </w:r>
          </w:hyperlink>
        </w:p>
        <w:p>
          <w:pPr>
            <w:pStyle w:val="Contents4"/>
            <w:tabs>
              <w:tab w:val="clear" w:pos="8176"/>
              <w:tab w:val="right" w:pos="9026" w:leader="dot"/>
            </w:tabs>
            <w:rPr/>
          </w:pPr>
          <w:hyperlink w:anchor="__RefHeading___Toc3584689_3650668749">
            <w:r>
              <w:rPr>
                <w:webHidden/>
                <w:rStyle w:val="IndexLink"/>
                <w:rtl w:val="true"/>
              </w:rPr>
              <w:t xml:space="preserve">هشت </w:t>
            </w:r>
            <w:r>
              <w:rPr>
                <w:rStyle w:val="IndexLink"/>
                <w:rtl w:val="true"/>
              </w:rPr>
              <w:t xml:space="preserve">- </w:t>
            </w:r>
            <w:r>
              <w:rPr>
                <w:rStyle w:val="IndexLink"/>
                <w:rtl w:val="true"/>
              </w:rPr>
              <w:t>بَرَدان</w:t>
            </w:r>
            <w:r>
              <w:rPr>
                <w:rStyle w:val="IndexLink"/>
                <w:rtl w:val="true"/>
              </w:rPr>
              <w:tab/>
            </w:r>
            <w:r>
              <w:rPr>
                <w:rStyle w:val="IndexLink"/>
              </w:rPr>
              <w:t>81</w:t>
            </w:r>
          </w:hyperlink>
        </w:p>
        <w:p>
          <w:pPr>
            <w:pStyle w:val="Contents4"/>
            <w:tabs>
              <w:tab w:val="clear" w:pos="8176"/>
              <w:tab w:val="right" w:pos="9026" w:leader="dot"/>
            </w:tabs>
            <w:rPr/>
          </w:pPr>
          <w:hyperlink w:anchor="__RefHeading___Toc3584691_3650668749">
            <w:r>
              <w:rPr>
                <w:webHidden/>
                <w:rStyle w:val="IndexLink"/>
                <w:rtl w:val="true"/>
              </w:rPr>
              <w:t xml:space="preserve">نه </w:t>
            </w:r>
            <w:r>
              <w:rPr>
                <w:rStyle w:val="IndexLink"/>
                <w:rtl w:val="true"/>
              </w:rPr>
              <w:t xml:space="preserve">- </w:t>
            </w:r>
            <w:r>
              <w:rPr>
                <w:rStyle w:val="IndexLink"/>
                <w:rtl w:val="true"/>
              </w:rPr>
              <w:t>بَقيقا</w:t>
            </w:r>
            <w:r>
              <w:rPr>
                <w:rStyle w:val="IndexLink"/>
                <w:rtl w:val="true"/>
              </w:rPr>
              <w:tab/>
            </w:r>
            <w:r>
              <w:rPr>
                <w:rStyle w:val="IndexLink"/>
              </w:rPr>
              <w:t>81</w:t>
            </w:r>
          </w:hyperlink>
        </w:p>
        <w:p>
          <w:pPr>
            <w:pStyle w:val="Contents4"/>
            <w:tabs>
              <w:tab w:val="clear" w:pos="8176"/>
              <w:tab w:val="right" w:pos="9026" w:leader="dot"/>
            </w:tabs>
            <w:rPr/>
          </w:pPr>
          <w:hyperlink w:anchor="__RefHeading___Toc3584693_3650668749">
            <w:r>
              <w:rPr>
                <w:webHidden/>
                <w:rStyle w:val="IndexLink"/>
                <w:rtl w:val="true"/>
              </w:rPr>
              <w:t xml:space="preserve">ده </w:t>
            </w:r>
            <w:r>
              <w:rPr>
                <w:rStyle w:val="IndexLink"/>
                <w:rtl w:val="true"/>
              </w:rPr>
              <w:t xml:space="preserve">- </w:t>
            </w:r>
            <w:r>
              <w:rPr>
                <w:rStyle w:val="IndexLink"/>
                <w:rtl w:val="true"/>
              </w:rPr>
              <w:t>تَلّبَوَنّا</w:t>
            </w:r>
            <w:r>
              <w:rPr>
                <w:rStyle w:val="IndexLink"/>
                <w:rtl w:val="true"/>
              </w:rPr>
              <w:tab/>
            </w:r>
            <w:r>
              <w:rPr>
                <w:rStyle w:val="IndexLink"/>
              </w:rPr>
              <w:t>81</w:t>
            </w:r>
          </w:hyperlink>
        </w:p>
        <w:p>
          <w:pPr>
            <w:pStyle w:val="Contents4"/>
            <w:tabs>
              <w:tab w:val="clear" w:pos="8176"/>
              <w:tab w:val="right" w:pos="9026" w:leader="dot"/>
            </w:tabs>
            <w:rPr/>
          </w:pPr>
          <w:hyperlink w:anchor="__RefHeading___Toc3584695_3650668749">
            <w:r>
              <w:rPr>
                <w:webHidden/>
                <w:rStyle w:val="IndexLink"/>
                <w:rtl w:val="true"/>
              </w:rPr>
              <w:t xml:space="preserve">يازده </w:t>
            </w:r>
            <w:r>
              <w:rPr>
                <w:rStyle w:val="IndexLink"/>
                <w:rtl w:val="true"/>
              </w:rPr>
              <w:t xml:space="preserve">- </w:t>
            </w:r>
            <w:r>
              <w:rPr>
                <w:rStyle w:val="IndexLink"/>
                <w:rtl w:val="true"/>
              </w:rPr>
              <w:t>جُبّه</w:t>
            </w:r>
            <w:r>
              <w:rPr>
                <w:rStyle w:val="IndexLink"/>
                <w:rtl w:val="true"/>
              </w:rPr>
              <w:tab/>
            </w:r>
            <w:r>
              <w:rPr>
                <w:rStyle w:val="IndexLink"/>
              </w:rPr>
              <w:t>81</w:t>
            </w:r>
          </w:hyperlink>
        </w:p>
        <w:p>
          <w:pPr>
            <w:pStyle w:val="Contents4"/>
            <w:tabs>
              <w:tab w:val="clear" w:pos="8176"/>
              <w:tab w:val="right" w:pos="9026" w:leader="dot"/>
            </w:tabs>
            <w:rPr/>
          </w:pPr>
          <w:hyperlink w:anchor="__RefHeading___Toc3584697_3650668749">
            <w:r>
              <w:rPr>
                <w:webHidden/>
                <w:rStyle w:val="IndexLink"/>
                <w:rtl w:val="true"/>
              </w:rPr>
              <w:t xml:space="preserve">دوازده </w:t>
            </w:r>
            <w:r>
              <w:rPr>
                <w:rStyle w:val="IndexLink"/>
                <w:rtl w:val="true"/>
              </w:rPr>
              <w:t xml:space="preserve">- </w:t>
            </w:r>
            <w:r>
              <w:rPr>
                <w:rStyle w:val="IndexLink"/>
                <w:rtl w:val="true"/>
              </w:rPr>
              <w:t>جُرْزَه</w:t>
            </w:r>
            <w:r>
              <w:rPr>
                <w:rStyle w:val="IndexLink"/>
                <w:rtl w:val="true"/>
              </w:rPr>
              <w:tab/>
            </w:r>
            <w:r>
              <w:rPr>
                <w:rStyle w:val="IndexLink"/>
              </w:rPr>
              <w:t>81</w:t>
            </w:r>
          </w:hyperlink>
        </w:p>
        <w:p>
          <w:pPr>
            <w:pStyle w:val="Contents4"/>
            <w:tabs>
              <w:tab w:val="clear" w:pos="8176"/>
              <w:tab w:val="right" w:pos="9026" w:leader="dot"/>
            </w:tabs>
            <w:rPr/>
          </w:pPr>
          <w:hyperlink w:anchor="__RefHeading___Toc3584699_3650668749">
            <w:r>
              <w:rPr>
                <w:webHidden/>
                <w:rStyle w:val="IndexLink"/>
                <w:rtl w:val="true"/>
              </w:rPr>
              <w:t xml:space="preserve">سيزده </w:t>
            </w:r>
            <w:r>
              <w:rPr>
                <w:rStyle w:val="IndexLink"/>
                <w:rtl w:val="true"/>
              </w:rPr>
              <w:t xml:space="preserve">- </w:t>
            </w:r>
            <w:r>
              <w:rPr>
                <w:rStyle w:val="IndexLink"/>
                <w:rtl w:val="true"/>
              </w:rPr>
              <w:t>جَرَعه</w:t>
            </w:r>
            <w:r>
              <w:rPr>
                <w:rStyle w:val="IndexLink"/>
                <w:rtl w:val="true"/>
              </w:rPr>
              <w:tab/>
            </w:r>
            <w:r>
              <w:rPr>
                <w:rStyle w:val="IndexLink"/>
              </w:rPr>
              <w:t>81</w:t>
            </w:r>
          </w:hyperlink>
        </w:p>
        <w:p>
          <w:pPr>
            <w:pStyle w:val="Contents4"/>
            <w:tabs>
              <w:tab w:val="clear" w:pos="8176"/>
              <w:tab w:val="right" w:pos="9026" w:leader="dot"/>
            </w:tabs>
            <w:rPr/>
          </w:pPr>
          <w:hyperlink w:anchor="__RefHeading___Toc3584701_3650668749">
            <w:r>
              <w:rPr>
                <w:webHidden/>
                <w:rStyle w:val="IndexLink"/>
                <w:rtl w:val="true"/>
              </w:rPr>
              <w:t xml:space="preserve">چهارده </w:t>
            </w:r>
            <w:r>
              <w:rPr>
                <w:rStyle w:val="IndexLink"/>
                <w:rtl w:val="true"/>
              </w:rPr>
              <w:t xml:space="preserve">- </w:t>
            </w:r>
            <w:r>
              <w:rPr>
                <w:rStyle w:val="IndexLink"/>
                <w:rtl w:val="true"/>
              </w:rPr>
              <w:t>جِسْر</w:t>
            </w:r>
            <w:r>
              <w:rPr>
                <w:rStyle w:val="IndexLink"/>
                <w:rtl w:val="true"/>
              </w:rPr>
              <w:tab/>
            </w:r>
            <w:r>
              <w:rPr>
                <w:rStyle w:val="IndexLink"/>
              </w:rPr>
              <w:t>82</w:t>
            </w:r>
          </w:hyperlink>
        </w:p>
        <w:p>
          <w:pPr>
            <w:pStyle w:val="Contents4"/>
            <w:tabs>
              <w:tab w:val="clear" w:pos="8176"/>
              <w:tab w:val="right" w:pos="9026" w:leader="dot"/>
            </w:tabs>
            <w:rPr/>
          </w:pPr>
          <w:hyperlink w:anchor="__RefHeading___Toc3584703_3650668749">
            <w:r>
              <w:rPr>
                <w:webHidden/>
                <w:rStyle w:val="IndexLink"/>
                <w:rtl w:val="true"/>
              </w:rPr>
              <w:t xml:space="preserve">پانزده </w:t>
            </w:r>
            <w:r>
              <w:rPr>
                <w:rStyle w:val="IndexLink"/>
                <w:rtl w:val="true"/>
              </w:rPr>
              <w:t xml:space="preserve">- </w:t>
            </w:r>
            <w:r>
              <w:rPr>
                <w:rStyle w:val="IndexLink"/>
                <w:rtl w:val="true"/>
              </w:rPr>
              <w:t>حَروراء</w:t>
            </w:r>
            <w:r>
              <w:rPr>
                <w:rStyle w:val="IndexLink"/>
                <w:rtl w:val="true"/>
              </w:rPr>
              <w:tab/>
            </w:r>
            <w:r>
              <w:rPr>
                <w:rStyle w:val="IndexLink"/>
              </w:rPr>
              <w:t>82</w:t>
            </w:r>
          </w:hyperlink>
        </w:p>
        <w:p>
          <w:pPr>
            <w:pStyle w:val="Contents4"/>
            <w:tabs>
              <w:tab w:val="clear" w:pos="8176"/>
              <w:tab w:val="right" w:pos="9026" w:leader="dot"/>
            </w:tabs>
            <w:rPr/>
          </w:pPr>
          <w:hyperlink w:anchor="__RefHeading___Toc3584705_3650668749">
            <w:r>
              <w:rPr>
                <w:webHidden/>
                <w:rStyle w:val="IndexLink"/>
                <w:rtl w:val="true"/>
              </w:rPr>
              <w:t xml:space="preserve">شانزده </w:t>
            </w:r>
            <w:r>
              <w:rPr>
                <w:rStyle w:val="IndexLink"/>
                <w:rtl w:val="true"/>
              </w:rPr>
              <w:t xml:space="preserve">- </w:t>
            </w:r>
            <w:r>
              <w:rPr>
                <w:rStyle w:val="IndexLink"/>
                <w:rtl w:val="true"/>
              </w:rPr>
              <w:t>جَصّاصه</w:t>
            </w:r>
            <w:r>
              <w:rPr>
                <w:rStyle w:val="IndexLink"/>
                <w:rtl w:val="true"/>
              </w:rPr>
              <w:tab/>
            </w:r>
            <w:r>
              <w:rPr>
                <w:rStyle w:val="IndexLink"/>
              </w:rPr>
              <w:t>82</w:t>
            </w:r>
          </w:hyperlink>
        </w:p>
        <w:p>
          <w:pPr>
            <w:pStyle w:val="Contents4"/>
            <w:tabs>
              <w:tab w:val="clear" w:pos="8176"/>
              <w:tab w:val="right" w:pos="9026" w:leader="dot"/>
            </w:tabs>
            <w:rPr/>
          </w:pPr>
          <w:hyperlink w:anchor="__RefHeading___Toc3584707_3650668749">
            <w:r>
              <w:rPr>
                <w:webHidden/>
                <w:rStyle w:val="IndexLink"/>
                <w:rtl w:val="true"/>
              </w:rPr>
              <w:t xml:space="preserve">هفده </w:t>
            </w:r>
            <w:r>
              <w:rPr>
                <w:rStyle w:val="IndexLink"/>
                <w:rtl w:val="true"/>
              </w:rPr>
              <w:t xml:space="preserve">- </w:t>
            </w:r>
            <w:r>
              <w:rPr>
                <w:rStyle w:val="IndexLink"/>
                <w:rtl w:val="true"/>
              </w:rPr>
              <w:t>حيره</w:t>
            </w:r>
            <w:r>
              <w:rPr>
                <w:rStyle w:val="IndexLink"/>
                <w:rtl w:val="true"/>
              </w:rPr>
              <w:tab/>
            </w:r>
            <w:r>
              <w:rPr>
                <w:rStyle w:val="IndexLink"/>
              </w:rPr>
              <w:t>82</w:t>
            </w:r>
          </w:hyperlink>
        </w:p>
        <w:p>
          <w:pPr>
            <w:pStyle w:val="Contents4"/>
            <w:tabs>
              <w:tab w:val="clear" w:pos="8176"/>
              <w:tab w:val="right" w:pos="9026" w:leader="dot"/>
            </w:tabs>
            <w:rPr/>
          </w:pPr>
          <w:hyperlink w:anchor="__RefHeading___Toc3584709_3650668749">
            <w:r>
              <w:rPr>
                <w:webHidden/>
                <w:rStyle w:val="IndexLink"/>
                <w:rtl w:val="true"/>
              </w:rPr>
              <w:t xml:space="preserve">هجده </w:t>
            </w:r>
            <w:r>
              <w:rPr>
                <w:rStyle w:val="IndexLink"/>
                <w:rtl w:val="true"/>
              </w:rPr>
              <w:t xml:space="preserve">- </w:t>
            </w:r>
            <w:r>
              <w:rPr>
                <w:rStyle w:val="IndexLink"/>
                <w:rtl w:val="true"/>
              </w:rPr>
              <w:t>خانِقَيْن</w:t>
            </w:r>
            <w:r>
              <w:rPr>
                <w:rStyle w:val="IndexLink"/>
                <w:rtl w:val="true"/>
              </w:rPr>
              <w:tab/>
            </w:r>
            <w:r>
              <w:rPr>
                <w:rStyle w:val="IndexLink"/>
              </w:rPr>
              <w:t>83</w:t>
            </w:r>
          </w:hyperlink>
        </w:p>
        <w:p>
          <w:pPr>
            <w:pStyle w:val="Contents4"/>
            <w:tabs>
              <w:tab w:val="clear" w:pos="8176"/>
              <w:tab w:val="right" w:pos="9026" w:leader="dot"/>
            </w:tabs>
            <w:rPr/>
          </w:pPr>
          <w:hyperlink w:anchor="__RefHeading___Toc3584711_3650668749">
            <w:r>
              <w:rPr>
                <w:webHidden/>
                <w:rStyle w:val="IndexLink"/>
                <w:rtl w:val="true"/>
              </w:rPr>
              <w:t xml:space="preserve">نوزده </w:t>
            </w:r>
            <w:r>
              <w:rPr>
                <w:rStyle w:val="IndexLink"/>
                <w:rtl w:val="true"/>
              </w:rPr>
              <w:t xml:space="preserve">- </w:t>
            </w:r>
            <w:r>
              <w:rPr>
                <w:rStyle w:val="IndexLink"/>
                <w:rtl w:val="true"/>
              </w:rPr>
              <w:t>خَرّاره</w:t>
            </w:r>
            <w:r>
              <w:rPr>
                <w:rStyle w:val="IndexLink"/>
                <w:rtl w:val="true"/>
              </w:rPr>
              <w:tab/>
            </w:r>
            <w:r>
              <w:rPr>
                <w:rStyle w:val="IndexLink"/>
              </w:rPr>
              <w:t>84</w:t>
            </w:r>
          </w:hyperlink>
        </w:p>
        <w:p>
          <w:pPr>
            <w:pStyle w:val="Contents4"/>
            <w:tabs>
              <w:tab w:val="clear" w:pos="8176"/>
              <w:tab w:val="right" w:pos="9026" w:leader="dot"/>
            </w:tabs>
            <w:rPr/>
          </w:pPr>
          <w:hyperlink w:anchor="__RefHeading___Toc3584713_3650668749">
            <w:r>
              <w:rPr>
                <w:webHidden/>
                <w:rStyle w:val="IndexLink"/>
                <w:rtl w:val="true"/>
              </w:rPr>
              <w:t xml:space="preserve">بيست </w:t>
            </w:r>
            <w:r>
              <w:rPr>
                <w:rStyle w:val="IndexLink"/>
                <w:rtl w:val="true"/>
              </w:rPr>
              <w:t xml:space="preserve">- </w:t>
            </w:r>
            <w:r>
              <w:rPr>
                <w:rStyle w:val="IndexLink"/>
                <w:rtl w:val="true"/>
              </w:rPr>
              <w:t>خُصوص</w:t>
            </w:r>
            <w:r>
              <w:rPr>
                <w:rStyle w:val="IndexLink"/>
                <w:rtl w:val="true"/>
              </w:rPr>
              <w:tab/>
            </w:r>
            <w:r>
              <w:rPr>
                <w:rStyle w:val="IndexLink"/>
              </w:rPr>
              <w:t>84</w:t>
            </w:r>
          </w:hyperlink>
        </w:p>
        <w:p>
          <w:pPr>
            <w:pStyle w:val="Contents4"/>
            <w:tabs>
              <w:tab w:val="clear" w:pos="8176"/>
              <w:tab w:val="right" w:pos="9026" w:leader="dot"/>
            </w:tabs>
            <w:rPr/>
          </w:pPr>
          <w:hyperlink w:anchor="__RefHeading___Toc3584715_3650668749">
            <w:r>
              <w:rPr>
                <w:webHidden/>
                <w:rStyle w:val="IndexLink"/>
                <w:rtl w:val="true"/>
              </w:rPr>
              <w:t xml:space="preserve">بيست و يك </w:t>
            </w:r>
            <w:r>
              <w:rPr>
                <w:rStyle w:val="IndexLink"/>
                <w:rtl w:val="true"/>
              </w:rPr>
              <w:t xml:space="preserve">- </w:t>
            </w:r>
            <w:r>
              <w:rPr>
                <w:rStyle w:val="IndexLink"/>
                <w:rtl w:val="true"/>
              </w:rPr>
              <w:t>خَفّان</w:t>
            </w:r>
            <w:r>
              <w:rPr>
                <w:rStyle w:val="IndexLink"/>
                <w:rtl w:val="true"/>
              </w:rPr>
              <w:tab/>
            </w:r>
            <w:r>
              <w:rPr>
                <w:rStyle w:val="IndexLink"/>
              </w:rPr>
              <w:t>84</w:t>
            </w:r>
          </w:hyperlink>
        </w:p>
        <w:p>
          <w:pPr>
            <w:pStyle w:val="Contents4"/>
            <w:tabs>
              <w:tab w:val="clear" w:pos="8176"/>
              <w:tab w:val="right" w:pos="9026" w:leader="dot"/>
            </w:tabs>
            <w:rPr/>
          </w:pPr>
          <w:hyperlink w:anchor="__RefHeading___Toc3584717_3650668749">
            <w:r>
              <w:rPr>
                <w:webHidden/>
                <w:rStyle w:val="IndexLink"/>
                <w:rtl w:val="true"/>
              </w:rPr>
              <w:t xml:space="preserve">بيست و دو </w:t>
            </w:r>
            <w:r>
              <w:rPr>
                <w:rStyle w:val="IndexLink"/>
                <w:rtl w:val="true"/>
              </w:rPr>
              <w:t xml:space="preserve">- </w:t>
            </w:r>
            <w:r>
              <w:rPr>
                <w:rStyle w:val="IndexLink"/>
                <w:rtl w:val="true"/>
              </w:rPr>
              <w:t>خَفيّه</w:t>
            </w:r>
            <w:r>
              <w:rPr>
                <w:rStyle w:val="IndexLink"/>
                <w:rtl w:val="true"/>
              </w:rPr>
              <w:tab/>
            </w:r>
            <w:r>
              <w:rPr>
                <w:rStyle w:val="IndexLink"/>
              </w:rPr>
              <w:t>84</w:t>
            </w:r>
          </w:hyperlink>
        </w:p>
        <w:p>
          <w:pPr>
            <w:pStyle w:val="Contents4"/>
            <w:tabs>
              <w:tab w:val="clear" w:pos="8176"/>
              <w:tab w:val="right" w:pos="9026" w:leader="dot"/>
            </w:tabs>
            <w:rPr/>
          </w:pPr>
          <w:hyperlink w:anchor="__RefHeading___Toc3584719_3650668749">
            <w:r>
              <w:rPr>
                <w:webHidden/>
                <w:rStyle w:val="IndexLink"/>
                <w:rtl w:val="true"/>
              </w:rPr>
              <w:t xml:space="preserve">بيست و سه </w:t>
            </w:r>
            <w:r>
              <w:rPr>
                <w:rStyle w:val="IndexLink"/>
                <w:rtl w:val="true"/>
              </w:rPr>
              <w:t xml:space="preserve">- </w:t>
            </w:r>
            <w:r>
              <w:rPr>
                <w:rStyle w:val="IndexLink"/>
                <w:rtl w:val="true"/>
              </w:rPr>
              <w:t xml:space="preserve">خَنْدَق سابور </w:t>
            </w:r>
            <w:r>
              <w:rPr>
                <w:rStyle w:val="IndexLink"/>
                <w:rtl w:val="true"/>
              </w:rPr>
              <w:t>(</w:t>
            </w:r>
            <w:r>
              <w:rPr>
                <w:rStyle w:val="IndexLink"/>
                <w:rtl w:val="true"/>
              </w:rPr>
              <w:t>خندق شاپور</w:t>
            </w:r>
            <w:r>
              <w:rPr>
                <w:rStyle w:val="IndexLink"/>
                <w:rtl w:val="true"/>
              </w:rPr>
              <w:t>)</w:t>
              <w:tab/>
            </w:r>
            <w:r>
              <w:rPr>
                <w:rStyle w:val="IndexLink"/>
              </w:rPr>
              <w:t>84</w:t>
            </w:r>
          </w:hyperlink>
        </w:p>
        <w:p>
          <w:pPr>
            <w:pStyle w:val="Contents4"/>
            <w:tabs>
              <w:tab w:val="clear" w:pos="8176"/>
              <w:tab w:val="right" w:pos="9026" w:leader="dot"/>
            </w:tabs>
            <w:rPr/>
          </w:pPr>
          <w:hyperlink w:anchor="__RefHeading___Toc3584721_3650668749">
            <w:r>
              <w:rPr>
                <w:webHidden/>
                <w:rStyle w:val="IndexLink"/>
                <w:rtl w:val="true"/>
              </w:rPr>
              <w:t xml:space="preserve">بيست و چهار </w:t>
            </w:r>
            <w:r>
              <w:rPr>
                <w:rStyle w:val="IndexLink"/>
                <w:rtl w:val="true"/>
              </w:rPr>
              <w:t xml:space="preserve">- </w:t>
            </w:r>
            <w:r>
              <w:rPr>
                <w:rStyle w:val="IndexLink"/>
                <w:rtl w:val="true"/>
              </w:rPr>
              <w:t>خَوَرْنَق</w:t>
            </w:r>
            <w:r>
              <w:rPr>
                <w:rStyle w:val="IndexLink"/>
                <w:rtl w:val="true"/>
              </w:rPr>
              <w:tab/>
            </w:r>
            <w:r>
              <w:rPr>
                <w:rStyle w:val="IndexLink"/>
              </w:rPr>
              <w:t>84</w:t>
            </w:r>
          </w:hyperlink>
        </w:p>
        <w:p>
          <w:pPr>
            <w:pStyle w:val="Contents4"/>
            <w:tabs>
              <w:tab w:val="clear" w:pos="8176"/>
              <w:tab w:val="right" w:pos="9026" w:leader="dot"/>
            </w:tabs>
            <w:rPr/>
          </w:pPr>
          <w:hyperlink w:anchor="__RefHeading___Toc3584723_3650668749">
            <w:r>
              <w:rPr>
                <w:webHidden/>
                <w:rStyle w:val="IndexLink"/>
                <w:rtl w:val="true"/>
              </w:rPr>
              <w:t xml:space="preserve">بيست و پنج </w:t>
            </w:r>
            <w:r>
              <w:rPr>
                <w:rStyle w:val="IndexLink"/>
                <w:rtl w:val="true"/>
              </w:rPr>
              <w:t xml:space="preserve">- </w:t>
            </w:r>
            <w:r>
              <w:rPr>
                <w:rStyle w:val="IndexLink"/>
                <w:rtl w:val="true"/>
              </w:rPr>
              <w:t>دُوران</w:t>
            </w:r>
            <w:r>
              <w:rPr>
                <w:rStyle w:val="IndexLink"/>
                <w:rtl w:val="true"/>
              </w:rPr>
              <w:tab/>
            </w:r>
            <w:r>
              <w:rPr>
                <w:rStyle w:val="IndexLink"/>
              </w:rPr>
              <w:t>85</w:t>
            </w:r>
          </w:hyperlink>
        </w:p>
        <w:p>
          <w:pPr>
            <w:pStyle w:val="Contents4"/>
            <w:tabs>
              <w:tab w:val="clear" w:pos="8176"/>
              <w:tab w:val="right" w:pos="9026" w:leader="dot"/>
            </w:tabs>
            <w:rPr/>
          </w:pPr>
          <w:hyperlink w:anchor="__RefHeading___Toc3584725_3650668749">
            <w:r>
              <w:rPr>
                <w:webHidden/>
                <w:rStyle w:val="IndexLink"/>
                <w:rtl w:val="true"/>
              </w:rPr>
              <w:t xml:space="preserve">بيست و شش </w:t>
            </w:r>
            <w:r>
              <w:rPr>
                <w:rStyle w:val="IndexLink"/>
                <w:rtl w:val="true"/>
              </w:rPr>
              <w:t xml:space="preserve">- </w:t>
            </w:r>
            <w:r>
              <w:rPr>
                <w:rStyle w:val="IndexLink"/>
                <w:rtl w:val="true"/>
              </w:rPr>
              <w:t xml:space="preserve">دُوما </w:t>
            </w:r>
            <w:r>
              <w:rPr>
                <w:rStyle w:val="IndexLink"/>
                <w:rtl w:val="true"/>
              </w:rPr>
              <w:t>(</w:t>
            </w:r>
            <w:r>
              <w:rPr>
                <w:rStyle w:val="IndexLink"/>
                <w:rtl w:val="true"/>
              </w:rPr>
              <w:t>دُرمَه</w:t>
            </w:r>
            <w:r>
              <w:rPr>
                <w:rStyle w:val="IndexLink"/>
                <w:rtl w:val="true"/>
              </w:rPr>
              <w:t>)</w:t>
              <w:tab/>
            </w:r>
            <w:r>
              <w:rPr>
                <w:rStyle w:val="IndexLink"/>
              </w:rPr>
              <w:t>85</w:t>
            </w:r>
          </w:hyperlink>
        </w:p>
        <w:p>
          <w:pPr>
            <w:pStyle w:val="Contents4"/>
            <w:tabs>
              <w:tab w:val="clear" w:pos="8176"/>
              <w:tab w:val="right" w:pos="9026" w:leader="dot"/>
            </w:tabs>
            <w:rPr/>
          </w:pPr>
          <w:hyperlink w:anchor="__RefHeading___Toc3584727_3650668749">
            <w:r>
              <w:rPr>
                <w:webHidden/>
                <w:rStyle w:val="IndexLink"/>
                <w:rtl w:val="true"/>
              </w:rPr>
              <w:t xml:space="preserve">بيست و هفت </w:t>
            </w:r>
            <w:r>
              <w:rPr>
                <w:rStyle w:val="IndexLink"/>
                <w:rtl w:val="true"/>
              </w:rPr>
              <w:t xml:space="preserve">- </w:t>
            </w:r>
            <w:r>
              <w:rPr>
                <w:rStyle w:val="IndexLink"/>
                <w:rtl w:val="true"/>
              </w:rPr>
              <w:t>زُرارَه</w:t>
            </w:r>
            <w:r>
              <w:rPr>
                <w:rStyle w:val="IndexLink"/>
                <w:rtl w:val="true"/>
              </w:rPr>
              <w:tab/>
            </w:r>
            <w:r>
              <w:rPr>
                <w:rStyle w:val="IndexLink"/>
              </w:rPr>
              <w:t>85</w:t>
            </w:r>
          </w:hyperlink>
        </w:p>
        <w:p>
          <w:pPr>
            <w:pStyle w:val="Contents4"/>
            <w:tabs>
              <w:tab w:val="clear" w:pos="8176"/>
              <w:tab w:val="right" w:pos="9026" w:leader="dot"/>
            </w:tabs>
            <w:rPr/>
          </w:pPr>
          <w:hyperlink w:anchor="__RefHeading___Toc3584729_3650668749">
            <w:r>
              <w:rPr>
                <w:webHidden/>
                <w:rStyle w:val="IndexLink"/>
                <w:rtl w:val="true"/>
              </w:rPr>
              <w:t xml:space="preserve">بيست و هشت </w:t>
            </w:r>
            <w:r>
              <w:rPr>
                <w:rStyle w:val="IndexLink"/>
                <w:rtl w:val="true"/>
              </w:rPr>
              <w:t xml:space="preserve">- </w:t>
            </w:r>
            <w:r>
              <w:rPr>
                <w:rStyle w:val="IndexLink"/>
                <w:rtl w:val="true"/>
              </w:rPr>
              <w:t>زَُوْرَه</w:t>
            </w:r>
            <w:r>
              <w:rPr>
                <w:rStyle w:val="IndexLink"/>
                <w:rtl w:val="true"/>
              </w:rPr>
              <w:tab/>
            </w:r>
            <w:r>
              <w:rPr>
                <w:rStyle w:val="IndexLink"/>
              </w:rPr>
              <w:t>86</w:t>
            </w:r>
          </w:hyperlink>
        </w:p>
        <w:p>
          <w:pPr>
            <w:pStyle w:val="Contents4"/>
            <w:tabs>
              <w:tab w:val="clear" w:pos="8176"/>
              <w:tab w:val="right" w:pos="9026" w:leader="dot"/>
            </w:tabs>
            <w:rPr/>
          </w:pPr>
          <w:hyperlink w:anchor="__RefHeading___Toc3584731_3650668749">
            <w:r>
              <w:rPr>
                <w:webHidden/>
                <w:rStyle w:val="IndexLink"/>
                <w:rtl w:val="true"/>
              </w:rPr>
              <w:t xml:space="preserve">بيست و نه </w:t>
            </w:r>
            <w:r>
              <w:rPr>
                <w:rStyle w:val="IndexLink"/>
                <w:rtl w:val="true"/>
              </w:rPr>
              <w:t xml:space="preserve">- </w:t>
            </w:r>
            <w:r>
              <w:rPr>
                <w:rStyle w:val="IndexLink"/>
                <w:rtl w:val="true"/>
              </w:rPr>
              <w:t>زَيْدان</w:t>
            </w:r>
            <w:r>
              <w:rPr>
                <w:rStyle w:val="IndexLink"/>
                <w:rtl w:val="true"/>
              </w:rPr>
              <w:tab/>
            </w:r>
            <w:r>
              <w:rPr>
                <w:rStyle w:val="IndexLink"/>
              </w:rPr>
              <w:t>86</w:t>
            </w:r>
          </w:hyperlink>
        </w:p>
        <w:p>
          <w:pPr>
            <w:pStyle w:val="Contents4"/>
            <w:tabs>
              <w:tab w:val="clear" w:pos="8176"/>
              <w:tab w:val="right" w:pos="9026" w:leader="dot"/>
            </w:tabs>
            <w:rPr/>
          </w:pPr>
          <w:hyperlink w:anchor="__RefHeading___Toc3584733_3650668749">
            <w:r>
              <w:rPr>
                <w:webHidden/>
                <w:rStyle w:val="IndexLink"/>
                <w:rtl w:val="true"/>
              </w:rPr>
              <w:t xml:space="preserve">سى </w:t>
            </w:r>
            <w:r>
              <w:rPr>
                <w:rStyle w:val="IndexLink"/>
                <w:rtl w:val="true"/>
              </w:rPr>
              <w:t xml:space="preserve">- </w:t>
            </w:r>
            <w:r>
              <w:rPr>
                <w:rStyle w:val="IndexLink"/>
                <w:rtl w:val="true"/>
              </w:rPr>
              <w:t>سَكِن</w:t>
            </w:r>
            <w:r>
              <w:rPr>
                <w:rStyle w:val="IndexLink"/>
                <w:rtl w:val="true"/>
              </w:rPr>
              <w:tab/>
            </w:r>
            <w:r>
              <w:rPr>
                <w:rStyle w:val="IndexLink"/>
              </w:rPr>
              <w:t>86</w:t>
            </w:r>
          </w:hyperlink>
        </w:p>
        <w:p>
          <w:pPr>
            <w:pStyle w:val="Contents4"/>
            <w:tabs>
              <w:tab w:val="clear" w:pos="8176"/>
              <w:tab w:val="right" w:pos="9026" w:leader="dot"/>
            </w:tabs>
            <w:rPr/>
          </w:pPr>
          <w:hyperlink w:anchor="__RefHeading___Toc3584735_3650668749">
            <w:r>
              <w:rPr>
                <w:webHidden/>
                <w:rStyle w:val="IndexLink"/>
                <w:rtl w:val="true"/>
              </w:rPr>
              <w:t xml:space="preserve">سى و يك </w:t>
            </w:r>
            <w:r>
              <w:rPr>
                <w:rStyle w:val="IndexLink"/>
                <w:rtl w:val="true"/>
              </w:rPr>
              <w:t xml:space="preserve">- </w:t>
            </w:r>
            <w:r>
              <w:rPr>
                <w:rStyle w:val="IndexLink"/>
                <w:rtl w:val="true"/>
              </w:rPr>
              <w:t>سَنينِيا</w:t>
            </w:r>
            <w:r>
              <w:rPr>
                <w:rStyle w:val="IndexLink"/>
                <w:rtl w:val="true"/>
              </w:rPr>
              <w:tab/>
            </w:r>
            <w:r>
              <w:rPr>
                <w:rStyle w:val="IndexLink"/>
              </w:rPr>
              <w:t>86</w:t>
            </w:r>
          </w:hyperlink>
        </w:p>
        <w:p>
          <w:pPr>
            <w:pStyle w:val="Contents4"/>
            <w:tabs>
              <w:tab w:val="clear" w:pos="8176"/>
              <w:tab w:val="right" w:pos="9026" w:leader="dot"/>
            </w:tabs>
            <w:rPr/>
          </w:pPr>
          <w:hyperlink w:anchor="__RefHeading___Toc3584737_3650668749">
            <w:r>
              <w:rPr>
                <w:webHidden/>
                <w:rStyle w:val="IndexLink"/>
                <w:rtl w:val="true"/>
              </w:rPr>
              <w:t xml:space="preserve">سى و دو </w:t>
            </w:r>
            <w:r>
              <w:rPr>
                <w:rStyle w:val="IndexLink"/>
                <w:rtl w:val="true"/>
              </w:rPr>
              <w:t xml:space="preserve">- </w:t>
            </w:r>
            <w:r>
              <w:rPr>
                <w:rStyle w:val="IndexLink"/>
                <w:rtl w:val="true"/>
              </w:rPr>
              <w:t>سَواديّه</w:t>
            </w:r>
            <w:r>
              <w:rPr>
                <w:rStyle w:val="IndexLink"/>
                <w:rtl w:val="true"/>
              </w:rPr>
              <w:tab/>
            </w:r>
            <w:r>
              <w:rPr>
                <w:rStyle w:val="IndexLink"/>
              </w:rPr>
              <w:t>86</w:t>
            </w:r>
          </w:hyperlink>
        </w:p>
        <w:p>
          <w:pPr>
            <w:pStyle w:val="Contents4"/>
            <w:tabs>
              <w:tab w:val="clear" w:pos="8176"/>
              <w:tab w:val="right" w:pos="9026" w:leader="dot"/>
            </w:tabs>
            <w:rPr/>
          </w:pPr>
          <w:hyperlink w:anchor="__RefHeading___Toc3584739_3650668749">
            <w:r>
              <w:rPr>
                <w:webHidden/>
                <w:rStyle w:val="IndexLink"/>
                <w:rtl w:val="true"/>
              </w:rPr>
              <w:t xml:space="preserve">سى و سه </w:t>
            </w:r>
            <w:r>
              <w:rPr>
                <w:rStyle w:val="IndexLink"/>
                <w:rtl w:val="true"/>
              </w:rPr>
              <w:t xml:space="preserve">- </w:t>
            </w:r>
            <w:r>
              <w:rPr>
                <w:rStyle w:val="IndexLink"/>
                <w:rtl w:val="true"/>
              </w:rPr>
              <w:t>سِيْب</w:t>
            </w:r>
            <w:r>
              <w:rPr>
                <w:rStyle w:val="IndexLink"/>
                <w:rtl w:val="true"/>
              </w:rPr>
              <w:tab/>
            </w:r>
            <w:r>
              <w:rPr>
                <w:rStyle w:val="IndexLink"/>
              </w:rPr>
              <w:t>87</w:t>
            </w:r>
          </w:hyperlink>
        </w:p>
        <w:p>
          <w:pPr>
            <w:pStyle w:val="Contents4"/>
            <w:tabs>
              <w:tab w:val="clear" w:pos="8176"/>
              <w:tab w:val="right" w:pos="9026" w:leader="dot"/>
            </w:tabs>
            <w:rPr/>
          </w:pPr>
          <w:hyperlink w:anchor="__RefHeading___Toc3584741_3650668749">
            <w:r>
              <w:rPr>
                <w:webHidden/>
                <w:rStyle w:val="IndexLink"/>
                <w:rtl w:val="true"/>
              </w:rPr>
              <w:t xml:space="preserve">سى و چهار </w:t>
            </w:r>
            <w:r>
              <w:rPr>
                <w:rStyle w:val="IndexLink"/>
                <w:rtl w:val="true"/>
              </w:rPr>
              <w:t xml:space="preserve">- </w:t>
            </w:r>
            <w:r>
              <w:rPr>
                <w:rStyle w:val="IndexLink"/>
                <w:rtl w:val="true"/>
              </w:rPr>
              <w:t xml:space="preserve">سَيْلَحون </w:t>
            </w:r>
            <w:r>
              <w:rPr>
                <w:rStyle w:val="IndexLink"/>
                <w:rtl w:val="true"/>
              </w:rPr>
              <w:t>(</w:t>
            </w:r>
            <w:r>
              <w:rPr>
                <w:rStyle w:val="IndexLink"/>
                <w:rtl w:val="true"/>
              </w:rPr>
              <w:t>سَيْلَحين</w:t>
            </w:r>
            <w:r>
              <w:rPr>
                <w:rStyle w:val="IndexLink"/>
                <w:rtl w:val="true"/>
              </w:rPr>
              <w:t>)</w:t>
              <w:tab/>
            </w:r>
            <w:r>
              <w:rPr>
                <w:rStyle w:val="IndexLink"/>
              </w:rPr>
              <w:t>87</w:t>
            </w:r>
          </w:hyperlink>
        </w:p>
        <w:p>
          <w:pPr>
            <w:pStyle w:val="Contents4"/>
            <w:tabs>
              <w:tab w:val="clear" w:pos="8176"/>
              <w:tab w:val="right" w:pos="9026" w:leader="dot"/>
            </w:tabs>
            <w:rPr/>
          </w:pPr>
          <w:hyperlink w:anchor="__RefHeading___Toc3584743_3650668749">
            <w:r>
              <w:rPr>
                <w:webHidden/>
                <w:rStyle w:val="IndexLink"/>
                <w:rtl w:val="true"/>
              </w:rPr>
              <w:t xml:space="preserve">سى و پنج </w:t>
            </w:r>
            <w:r>
              <w:rPr>
                <w:rStyle w:val="IndexLink"/>
                <w:rtl w:val="true"/>
              </w:rPr>
              <w:t xml:space="preserve">- </w:t>
            </w:r>
            <w:r>
              <w:rPr>
                <w:rStyle w:val="IndexLink"/>
                <w:rtl w:val="true"/>
              </w:rPr>
              <w:t>شانيا</w:t>
            </w:r>
            <w:r>
              <w:rPr>
                <w:rStyle w:val="IndexLink"/>
                <w:rtl w:val="true"/>
              </w:rPr>
              <w:tab/>
            </w:r>
            <w:r>
              <w:rPr>
                <w:rStyle w:val="IndexLink"/>
              </w:rPr>
              <w:t>87</w:t>
            </w:r>
          </w:hyperlink>
        </w:p>
        <w:p>
          <w:pPr>
            <w:pStyle w:val="Contents4"/>
            <w:tabs>
              <w:tab w:val="clear" w:pos="8176"/>
              <w:tab w:val="right" w:pos="9026" w:leader="dot"/>
            </w:tabs>
            <w:rPr/>
          </w:pPr>
          <w:hyperlink w:anchor="__RefHeading___Toc3584745_3650668749">
            <w:r>
              <w:rPr>
                <w:webHidden/>
                <w:rStyle w:val="IndexLink"/>
                <w:rtl w:val="true"/>
              </w:rPr>
              <w:t xml:space="preserve">سى و شش </w:t>
            </w:r>
            <w:r>
              <w:rPr>
                <w:rStyle w:val="IndexLink"/>
                <w:rtl w:val="true"/>
              </w:rPr>
              <w:t xml:space="preserve">- </w:t>
            </w:r>
            <w:r>
              <w:rPr>
                <w:rStyle w:val="IndexLink"/>
                <w:rtl w:val="true"/>
              </w:rPr>
              <w:t>شيلي</w:t>
            </w:r>
            <w:r>
              <w:rPr>
                <w:rStyle w:val="IndexLink"/>
                <w:rtl w:val="true"/>
              </w:rPr>
              <w:tab/>
            </w:r>
            <w:r>
              <w:rPr>
                <w:rStyle w:val="IndexLink"/>
              </w:rPr>
              <w:t>87</w:t>
            </w:r>
          </w:hyperlink>
        </w:p>
        <w:p>
          <w:pPr>
            <w:pStyle w:val="Contents4"/>
            <w:tabs>
              <w:tab w:val="clear" w:pos="8176"/>
              <w:tab w:val="right" w:pos="9026" w:leader="dot"/>
            </w:tabs>
            <w:rPr/>
          </w:pPr>
          <w:hyperlink w:anchor="__RefHeading___Toc3584747_3650668749">
            <w:r>
              <w:rPr>
                <w:webHidden/>
                <w:rStyle w:val="IndexLink"/>
                <w:rtl w:val="true"/>
              </w:rPr>
              <w:t xml:space="preserve">سى و هفت </w:t>
            </w:r>
            <w:r>
              <w:rPr>
                <w:rStyle w:val="IndexLink"/>
                <w:rtl w:val="true"/>
              </w:rPr>
              <w:t xml:space="preserve">- </w:t>
            </w:r>
            <w:r>
              <w:rPr>
                <w:rStyle w:val="IndexLink"/>
                <w:rtl w:val="true"/>
              </w:rPr>
              <w:t>صَريفين</w:t>
            </w:r>
            <w:r>
              <w:rPr>
                <w:rStyle w:val="IndexLink"/>
                <w:rtl w:val="true"/>
              </w:rPr>
              <w:tab/>
            </w:r>
            <w:r>
              <w:rPr>
                <w:rStyle w:val="IndexLink"/>
              </w:rPr>
              <w:t>87</w:t>
            </w:r>
          </w:hyperlink>
        </w:p>
        <w:p>
          <w:pPr>
            <w:pStyle w:val="Contents4"/>
            <w:tabs>
              <w:tab w:val="clear" w:pos="8176"/>
              <w:tab w:val="right" w:pos="9026" w:leader="dot"/>
            </w:tabs>
            <w:rPr/>
          </w:pPr>
          <w:hyperlink w:anchor="__RefHeading___Toc3584749_3650668749">
            <w:r>
              <w:rPr>
                <w:webHidden/>
                <w:rStyle w:val="IndexLink"/>
                <w:rtl w:val="true"/>
              </w:rPr>
              <w:t xml:space="preserve">سى و هشت </w:t>
            </w:r>
            <w:r>
              <w:rPr>
                <w:rStyle w:val="IndexLink"/>
                <w:rtl w:val="true"/>
              </w:rPr>
              <w:t xml:space="preserve">- </w:t>
            </w:r>
            <w:r>
              <w:rPr>
                <w:rStyle w:val="IndexLink"/>
                <w:rtl w:val="true"/>
              </w:rPr>
              <w:t>صِنّين</w:t>
            </w:r>
            <w:r>
              <w:rPr>
                <w:rStyle w:val="IndexLink"/>
                <w:rtl w:val="true"/>
              </w:rPr>
              <w:tab/>
            </w:r>
            <w:r>
              <w:rPr>
                <w:rStyle w:val="IndexLink"/>
              </w:rPr>
              <w:t>87</w:t>
            </w:r>
          </w:hyperlink>
        </w:p>
        <w:p>
          <w:pPr>
            <w:pStyle w:val="Contents4"/>
            <w:tabs>
              <w:tab w:val="clear" w:pos="8176"/>
              <w:tab w:val="right" w:pos="9026" w:leader="dot"/>
            </w:tabs>
            <w:rPr/>
          </w:pPr>
          <w:hyperlink w:anchor="__RefHeading___Toc3584751_3650668749">
            <w:r>
              <w:rPr>
                <w:webHidden/>
                <w:rStyle w:val="IndexLink"/>
                <w:rtl w:val="true"/>
              </w:rPr>
              <w:t xml:space="preserve">سى و نه </w:t>
            </w:r>
            <w:r>
              <w:rPr>
                <w:rStyle w:val="IndexLink"/>
                <w:rtl w:val="true"/>
              </w:rPr>
              <w:t xml:space="preserve">- </w:t>
            </w:r>
            <w:r>
              <w:rPr>
                <w:rStyle w:val="IndexLink"/>
                <w:rtl w:val="true"/>
              </w:rPr>
              <w:t xml:space="preserve">طِيَزناباذ </w:t>
            </w:r>
            <w:r>
              <w:rPr>
                <w:rStyle w:val="IndexLink"/>
                <w:rtl w:val="true"/>
              </w:rPr>
              <w:t>(</w:t>
            </w:r>
            <w:r>
              <w:rPr>
                <w:rStyle w:val="IndexLink"/>
                <w:rtl w:val="true"/>
              </w:rPr>
              <w:t>ضَيزَناباذ</w:t>
            </w:r>
            <w:r>
              <w:rPr>
                <w:rStyle w:val="IndexLink"/>
                <w:rtl w:val="true"/>
              </w:rPr>
              <w:t>)</w:t>
              <w:tab/>
            </w:r>
            <w:r>
              <w:rPr>
                <w:rStyle w:val="IndexLink"/>
              </w:rPr>
              <w:t>88</w:t>
            </w:r>
          </w:hyperlink>
        </w:p>
        <w:p>
          <w:pPr>
            <w:pStyle w:val="Contents4"/>
            <w:tabs>
              <w:tab w:val="clear" w:pos="8176"/>
              <w:tab w:val="right" w:pos="9026" w:leader="dot"/>
            </w:tabs>
            <w:rPr/>
          </w:pPr>
          <w:hyperlink w:anchor="__RefHeading___Toc3584753_3650668749">
            <w:r>
              <w:rPr>
                <w:webHidden/>
                <w:rStyle w:val="IndexLink"/>
                <w:rtl w:val="true"/>
              </w:rPr>
              <w:t xml:space="preserve">چهل </w:t>
            </w:r>
            <w:r>
              <w:rPr>
                <w:rStyle w:val="IndexLink"/>
                <w:rtl w:val="true"/>
              </w:rPr>
              <w:t xml:space="preserve">- </w:t>
            </w:r>
            <w:r>
              <w:rPr>
                <w:rStyle w:val="IndexLink"/>
                <w:rtl w:val="true"/>
              </w:rPr>
              <w:t xml:space="preserve">عَقْر </w:t>
            </w:r>
            <w:r>
              <w:rPr>
                <w:rStyle w:val="IndexLink"/>
                <w:rtl w:val="true"/>
              </w:rPr>
              <w:t>(</w:t>
            </w:r>
            <w:r>
              <w:rPr>
                <w:rStyle w:val="IndexLink"/>
                <w:rtl w:val="true"/>
              </w:rPr>
              <w:t>عقر بابل</w:t>
            </w:r>
            <w:r>
              <w:rPr>
                <w:rStyle w:val="IndexLink"/>
                <w:rtl w:val="true"/>
              </w:rPr>
              <w:t>)</w:t>
              <w:tab/>
            </w:r>
            <w:r>
              <w:rPr>
                <w:rStyle w:val="IndexLink"/>
              </w:rPr>
              <w:t>88</w:t>
            </w:r>
          </w:hyperlink>
        </w:p>
        <w:p>
          <w:pPr>
            <w:pStyle w:val="Contents4"/>
            <w:tabs>
              <w:tab w:val="clear" w:pos="8176"/>
              <w:tab w:val="right" w:pos="9026" w:leader="dot"/>
            </w:tabs>
            <w:rPr/>
          </w:pPr>
          <w:hyperlink w:anchor="__RefHeading___Toc3584755_3650668749">
            <w:r>
              <w:rPr>
                <w:webHidden/>
                <w:rStyle w:val="IndexLink"/>
                <w:rtl w:val="true"/>
              </w:rPr>
              <w:t xml:space="preserve">چهل و يك </w:t>
            </w:r>
            <w:r>
              <w:rPr>
                <w:rStyle w:val="IndexLink"/>
                <w:rtl w:val="true"/>
              </w:rPr>
              <w:t xml:space="preserve">- </w:t>
            </w:r>
            <w:r>
              <w:rPr>
                <w:rStyle w:val="IndexLink"/>
                <w:rtl w:val="true"/>
              </w:rPr>
              <w:t>عَين جَمَل</w:t>
            </w:r>
            <w:r>
              <w:rPr>
                <w:rStyle w:val="IndexLink"/>
                <w:rtl w:val="true"/>
              </w:rPr>
              <w:tab/>
            </w:r>
            <w:r>
              <w:rPr>
                <w:rStyle w:val="IndexLink"/>
              </w:rPr>
              <w:t>88</w:t>
            </w:r>
          </w:hyperlink>
        </w:p>
        <w:p>
          <w:pPr>
            <w:pStyle w:val="Contents4"/>
            <w:tabs>
              <w:tab w:val="clear" w:pos="8176"/>
              <w:tab w:val="right" w:pos="9026" w:leader="dot"/>
            </w:tabs>
            <w:rPr/>
          </w:pPr>
          <w:hyperlink w:anchor="__RefHeading___Toc3584757_3650668749">
            <w:r>
              <w:rPr>
                <w:webHidden/>
                <w:rStyle w:val="IndexLink"/>
                <w:rtl w:val="true"/>
              </w:rPr>
              <w:t xml:space="preserve">چهل و دو </w:t>
            </w:r>
            <w:r>
              <w:rPr>
                <w:rStyle w:val="IndexLink"/>
                <w:rtl w:val="true"/>
              </w:rPr>
              <w:t xml:space="preserve">- </w:t>
            </w:r>
            <w:r>
              <w:rPr>
                <w:rStyle w:val="IndexLink"/>
                <w:rtl w:val="true"/>
              </w:rPr>
              <w:t>عين صَيد</w:t>
            </w:r>
            <w:r>
              <w:rPr>
                <w:rStyle w:val="IndexLink"/>
                <w:rtl w:val="true"/>
              </w:rPr>
              <w:tab/>
            </w:r>
            <w:r>
              <w:rPr>
                <w:rStyle w:val="IndexLink"/>
              </w:rPr>
              <w:t>89</w:t>
            </w:r>
          </w:hyperlink>
        </w:p>
        <w:p>
          <w:pPr>
            <w:pStyle w:val="Contents4"/>
            <w:tabs>
              <w:tab w:val="clear" w:pos="8176"/>
              <w:tab w:val="right" w:pos="9026" w:leader="dot"/>
            </w:tabs>
            <w:rPr/>
          </w:pPr>
          <w:hyperlink w:anchor="__RefHeading___Toc3584759_3650668749">
            <w:r>
              <w:rPr>
                <w:webHidden/>
                <w:rStyle w:val="IndexLink"/>
                <w:rtl w:val="true"/>
              </w:rPr>
              <w:t xml:space="preserve">چهل و سه </w:t>
            </w:r>
            <w:r>
              <w:rPr>
                <w:rStyle w:val="IndexLink"/>
                <w:rtl w:val="true"/>
              </w:rPr>
              <w:t xml:space="preserve">- </w:t>
            </w:r>
            <w:r>
              <w:rPr>
                <w:rStyle w:val="IndexLink"/>
                <w:rtl w:val="true"/>
              </w:rPr>
              <w:t>عين ظَبْي</w:t>
            </w:r>
            <w:r>
              <w:rPr>
                <w:rStyle w:val="IndexLink"/>
                <w:rtl w:val="true"/>
              </w:rPr>
              <w:tab/>
            </w:r>
            <w:r>
              <w:rPr>
                <w:rStyle w:val="IndexLink"/>
              </w:rPr>
              <w:t>89</w:t>
            </w:r>
          </w:hyperlink>
        </w:p>
        <w:p>
          <w:pPr>
            <w:pStyle w:val="Contents4"/>
            <w:tabs>
              <w:tab w:val="clear" w:pos="8176"/>
              <w:tab w:val="right" w:pos="9026" w:leader="dot"/>
            </w:tabs>
            <w:rPr/>
          </w:pPr>
          <w:hyperlink w:anchor="__RefHeading___Toc3584761_3650668749">
            <w:r>
              <w:rPr>
                <w:webHidden/>
                <w:rStyle w:val="IndexLink"/>
                <w:rtl w:val="true"/>
              </w:rPr>
              <w:t xml:space="preserve">چهل و چهار </w:t>
            </w:r>
            <w:r>
              <w:rPr>
                <w:rStyle w:val="IndexLink"/>
                <w:rtl w:val="true"/>
              </w:rPr>
              <w:t xml:space="preserve">- </w:t>
            </w:r>
            <w:r>
              <w:rPr>
                <w:rStyle w:val="IndexLink"/>
                <w:rtl w:val="true"/>
              </w:rPr>
              <w:t>غاضِريَّه</w:t>
            </w:r>
            <w:r>
              <w:rPr>
                <w:rStyle w:val="IndexLink"/>
                <w:rtl w:val="true"/>
              </w:rPr>
              <w:tab/>
            </w:r>
            <w:r>
              <w:rPr>
                <w:rStyle w:val="IndexLink"/>
              </w:rPr>
              <w:t>89</w:t>
            </w:r>
          </w:hyperlink>
        </w:p>
        <w:p>
          <w:pPr>
            <w:pStyle w:val="Contents4"/>
            <w:tabs>
              <w:tab w:val="clear" w:pos="8176"/>
              <w:tab w:val="right" w:pos="9026" w:leader="dot"/>
            </w:tabs>
            <w:rPr/>
          </w:pPr>
          <w:hyperlink w:anchor="__RefHeading___Toc3584763_3650668749">
            <w:r>
              <w:rPr>
                <w:webHidden/>
                <w:rStyle w:val="IndexLink"/>
                <w:rtl w:val="true"/>
              </w:rPr>
              <w:t xml:space="preserve">چهل و پنج </w:t>
            </w:r>
            <w:r>
              <w:rPr>
                <w:rStyle w:val="IndexLink"/>
                <w:rtl w:val="true"/>
              </w:rPr>
              <w:t xml:space="preserve">- </w:t>
            </w:r>
            <w:r>
              <w:rPr>
                <w:rStyle w:val="IndexLink"/>
                <w:rtl w:val="true"/>
              </w:rPr>
              <w:t>غَرِيّان</w:t>
            </w:r>
            <w:r>
              <w:rPr>
                <w:rStyle w:val="IndexLink"/>
                <w:rtl w:val="true"/>
              </w:rPr>
              <w:tab/>
            </w:r>
            <w:r>
              <w:rPr>
                <w:rStyle w:val="IndexLink"/>
              </w:rPr>
              <w:t>89</w:t>
            </w:r>
          </w:hyperlink>
        </w:p>
        <w:p>
          <w:pPr>
            <w:pStyle w:val="Contents4"/>
            <w:tabs>
              <w:tab w:val="clear" w:pos="8176"/>
              <w:tab w:val="right" w:pos="9026" w:leader="dot"/>
            </w:tabs>
            <w:rPr/>
          </w:pPr>
          <w:hyperlink w:anchor="__RefHeading___Toc3584765_3650668749">
            <w:r>
              <w:rPr>
                <w:webHidden/>
                <w:rStyle w:val="IndexLink"/>
                <w:rtl w:val="true"/>
              </w:rPr>
              <w:t xml:space="preserve">چهل و شش </w:t>
            </w:r>
            <w:r>
              <w:rPr>
                <w:rStyle w:val="IndexLink"/>
                <w:rtl w:val="true"/>
              </w:rPr>
              <w:t xml:space="preserve">- </w:t>
            </w:r>
            <w:r>
              <w:rPr>
                <w:rStyle w:val="IndexLink"/>
                <w:rtl w:val="true"/>
              </w:rPr>
              <w:t>غَطَط</w:t>
            </w:r>
            <w:r>
              <w:rPr>
                <w:rStyle w:val="IndexLink"/>
                <w:rtl w:val="true"/>
              </w:rPr>
              <w:tab/>
            </w:r>
            <w:r>
              <w:rPr>
                <w:rStyle w:val="IndexLink"/>
              </w:rPr>
              <w:t>90</w:t>
            </w:r>
          </w:hyperlink>
        </w:p>
        <w:p>
          <w:pPr>
            <w:pStyle w:val="Contents4"/>
            <w:tabs>
              <w:tab w:val="clear" w:pos="8176"/>
              <w:tab w:val="right" w:pos="9026" w:leader="dot"/>
            </w:tabs>
            <w:rPr/>
          </w:pPr>
          <w:hyperlink w:anchor="__RefHeading___Toc3584767_3650668749">
            <w:r>
              <w:rPr>
                <w:webHidden/>
                <w:rStyle w:val="IndexLink"/>
                <w:rtl w:val="true"/>
              </w:rPr>
              <w:t xml:space="preserve">چهل و هفت </w:t>
            </w:r>
            <w:r>
              <w:rPr>
                <w:rStyle w:val="IndexLink"/>
                <w:rtl w:val="true"/>
              </w:rPr>
              <w:t xml:space="preserve">- </w:t>
            </w:r>
            <w:r>
              <w:rPr>
                <w:rStyle w:val="IndexLink"/>
                <w:rtl w:val="true"/>
              </w:rPr>
              <w:t>قادسيه</w:t>
            </w:r>
            <w:r>
              <w:rPr>
                <w:rStyle w:val="IndexLink"/>
                <w:rtl w:val="true"/>
              </w:rPr>
              <w:tab/>
            </w:r>
            <w:r>
              <w:rPr>
                <w:rStyle w:val="IndexLink"/>
              </w:rPr>
              <w:t>90</w:t>
            </w:r>
          </w:hyperlink>
        </w:p>
        <w:p>
          <w:pPr>
            <w:pStyle w:val="Contents4"/>
            <w:tabs>
              <w:tab w:val="clear" w:pos="8176"/>
              <w:tab w:val="right" w:pos="9026" w:leader="dot"/>
            </w:tabs>
            <w:rPr/>
          </w:pPr>
          <w:hyperlink w:anchor="__RefHeading___Toc3584769_3650668749">
            <w:r>
              <w:rPr>
                <w:webHidden/>
                <w:rStyle w:val="IndexLink"/>
                <w:rtl w:val="true"/>
              </w:rPr>
              <w:t xml:space="preserve">چهل و هشت </w:t>
            </w:r>
            <w:r>
              <w:rPr>
                <w:rStyle w:val="IndexLink"/>
                <w:rtl w:val="true"/>
              </w:rPr>
              <w:t xml:space="preserve">- </w:t>
            </w:r>
            <w:r>
              <w:rPr>
                <w:rStyle w:val="IndexLink"/>
                <w:rtl w:val="true"/>
              </w:rPr>
              <w:t>قَرْيَه اَبي صَلابَه</w:t>
            </w:r>
            <w:r>
              <w:rPr>
                <w:rStyle w:val="IndexLink"/>
                <w:rtl w:val="true"/>
              </w:rPr>
              <w:tab/>
            </w:r>
            <w:r>
              <w:rPr>
                <w:rStyle w:val="IndexLink"/>
              </w:rPr>
              <w:t>91</w:t>
            </w:r>
          </w:hyperlink>
        </w:p>
        <w:p>
          <w:pPr>
            <w:pStyle w:val="Contents4"/>
            <w:tabs>
              <w:tab w:val="clear" w:pos="8176"/>
              <w:tab w:val="right" w:pos="9026" w:leader="dot"/>
            </w:tabs>
            <w:rPr/>
          </w:pPr>
          <w:hyperlink w:anchor="__RefHeading___Toc3584771_3650668749">
            <w:r>
              <w:rPr>
                <w:webHidden/>
                <w:rStyle w:val="IndexLink"/>
                <w:rtl w:val="true"/>
              </w:rPr>
              <w:t xml:space="preserve">چهل و نه </w:t>
            </w:r>
            <w:r>
              <w:rPr>
                <w:rStyle w:val="IndexLink"/>
                <w:rtl w:val="true"/>
              </w:rPr>
              <w:t xml:space="preserve">- </w:t>
            </w:r>
            <w:r>
              <w:rPr>
                <w:rStyle w:val="IndexLink"/>
                <w:rtl w:val="true"/>
              </w:rPr>
              <w:t>قريه ذي الكفل</w:t>
            </w:r>
            <w:r>
              <w:rPr>
                <w:rStyle w:val="IndexLink"/>
                <w:rtl w:val="true"/>
              </w:rPr>
              <w:tab/>
            </w:r>
            <w:r>
              <w:rPr>
                <w:rStyle w:val="IndexLink"/>
              </w:rPr>
              <w:t>91</w:t>
            </w:r>
          </w:hyperlink>
        </w:p>
        <w:p>
          <w:pPr>
            <w:pStyle w:val="Contents4"/>
            <w:tabs>
              <w:tab w:val="clear" w:pos="8176"/>
              <w:tab w:val="right" w:pos="9026" w:leader="dot"/>
            </w:tabs>
            <w:rPr/>
          </w:pPr>
          <w:hyperlink w:anchor="__RefHeading___Toc3584773_3650668749">
            <w:r>
              <w:rPr>
                <w:webHidden/>
                <w:rStyle w:val="IndexLink"/>
                <w:rtl w:val="true"/>
              </w:rPr>
              <w:t xml:space="preserve">پنجاه </w:t>
            </w:r>
            <w:r>
              <w:rPr>
                <w:rStyle w:val="IndexLink"/>
                <w:rtl w:val="true"/>
              </w:rPr>
              <w:t xml:space="preserve">- </w:t>
            </w:r>
            <w:r>
              <w:rPr>
                <w:rStyle w:val="IndexLink"/>
                <w:rtl w:val="true"/>
              </w:rPr>
              <w:t>قَسّين</w:t>
            </w:r>
            <w:r>
              <w:rPr>
                <w:rStyle w:val="IndexLink"/>
                <w:rtl w:val="true"/>
              </w:rPr>
              <w:tab/>
            </w:r>
            <w:r>
              <w:rPr>
                <w:rStyle w:val="IndexLink"/>
              </w:rPr>
              <w:t>91</w:t>
            </w:r>
          </w:hyperlink>
        </w:p>
        <w:p>
          <w:pPr>
            <w:pStyle w:val="Contents4"/>
            <w:tabs>
              <w:tab w:val="clear" w:pos="8176"/>
              <w:tab w:val="right" w:pos="9026" w:leader="dot"/>
            </w:tabs>
            <w:rPr/>
          </w:pPr>
          <w:hyperlink w:anchor="__RefHeading___Toc3584775_3650668749">
            <w:r>
              <w:rPr>
                <w:webHidden/>
                <w:rStyle w:val="IndexLink"/>
                <w:rtl w:val="true"/>
              </w:rPr>
              <w:t xml:space="preserve">پنجاه و يك </w:t>
            </w:r>
            <w:r>
              <w:rPr>
                <w:rStyle w:val="IndexLink"/>
                <w:rtl w:val="true"/>
              </w:rPr>
              <w:t xml:space="preserve">- </w:t>
            </w:r>
            <w:r>
              <w:rPr>
                <w:rStyle w:val="IndexLink"/>
                <w:rtl w:val="true"/>
              </w:rPr>
              <w:t>قصرالعَدَسيّين</w:t>
            </w:r>
            <w:r>
              <w:rPr>
                <w:rStyle w:val="IndexLink"/>
                <w:rtl w:val="true"/>
              </w:rPr>
              <w:tab/>
            </w:r>
            <w:r>
              <w:rPr>
                <w:rStyle w:val="IndexLink"/>
              </w:rPr>
              <w:t>91</w:t>
            </w:r>
          </w:hyperlink>
        </w:p>
        <w:p>
          <w:pPr>
            <w:pStyle w:val="Contents4"/>
            <w:tabs>
              <w:tab w:val="clear" w:pos="8176"/>
              <w:tab w:val="right" w:pos="9026" w:leader="dot"/>
            </w:tabs>
            <w:rPr/>
          </w:pPr>
          <w:hyperlink w:anchor="__RefHeading___Toc3584777_3650668749">
            <w:r>
              <w:rPr>
                <w:webHidden/>
                <w:rStyle w:val="IndexLink"/>
                <w:rtl w:val="true"/>
              </w:rPr>
              <w:t xml:space="preserve">پنجاه و دو </w:t>
            </w:r>
            <w:r>
              <w:rPr>
                <w:rStyle w:val="IndexLink"/>
                <w:rtl w:val="true"/>
              </w:rPr>
              <w:t xml:space="preserve">- </w:t>
            </w:r>
            <w:r>
              <w:rPr>
                <w:rStyle w:val="IndexLink"/>
                <w:rtl w:val="true"/>
              </w:rPr>
              <w:t>قُطْقُطانه</w:t>
            </w:r>
            <w:r>
              <w:rPr>
                <w:rStyle w:val="IndexLink"/>
                <w:rtl w:val="true"/>
              </w:rPr>
              <w:tab/>
            </w:r>
            <w:r>
              <w:rPr>
                <w:rStyle w:val="IndexLink"/>
              </w:rPr>
              <w:t>91</w:t>
            </w:r>
          </w:hyperlink>
        </w:p>
        <w:p>
          <w:pPr>
            <w:pStyle w:val="Contents4"/>
            <w:tabs>
              <w:tab w:val="clear" w:pos="8176"/>
              <w:tab w:val="right" w:pos="9026" w:leader="dot"/>
            </w:tabs>
            <w:rPr/>
          </w:pPr>
          <w:hyperlink w:anchor="__RefHeading___Toc3584779_3650668749">
            <w:r>
              <w:rPr>
                <w:webHidden/>
                <w:rStyle w:val="IndexLink"/>
                <w:rtl w:val="true"/>
              </w:rPr>
              <w:t xml:space="preserve">پنجاه و سه </w:t>
            </w:r>
            <w:r>
              <w:rPr>
                <w:rStyle w:val="IndexLink"/>
                <w:rtl w:val="true"/>
              </w:rPr>
              <w:t xml:space="preserve">- </w:t>
            </w:r>
            <w:r>
              <w:rPr>
                <w:rStyle w:val="IndexLink"/>
                <w:rtl w:val="true"/>
              </w:rPr>
              <w:t>قَوْرا</w:t>
            </w:r>
            <w:r>
              <w:rPr>
                <w:rStyle w:val="IndexLink"/>
                <w:rtl w:val="true"/>
              </w:rPr>
              <w:tab/>
            </w:r>
            <w:r>
              <w:rPr>
                <w:rStyle w:val="IndexLink"/>
              </w:rPr>
              <w:t>92</w:t>
            </w:r>
          </w:hyperlink>
        </w:p>
        <w:p>
          <w:pPr>
            <w:pStyle w:val="Contents4"/>
            <w:tabs>
              <w:tab w:val="clear" w:pos="8176"/>
              <w:tab w:val="right" w:pos="9026" w:leader="dot"/>
            </w:tabs>
            <w:rPr/>
          </w:pPr>
          <w:hyperlink w:anchor="__RefHeading___Toc3584781_3650668749">
            <w:r>
              <w:rPr>
                <w:webHidden/>
                <w:rStyle w:val="IndexLink"/>
                <w:rtl w:val="true"/>
              </w:rPr>
              <w:t xml:space="preserve">پنجاه و چهار </w:t>
            </w:r>
            <w:r>
              <w:rPr>
                <w:rStyle w:val="IndexLink"/>
                <w:rtl w:val="true"/>
              </w:rPr>
              <w:t xml:space="preserve">- </w:t>
            </w:r>
            <w:r>
              <w:rPr>
                <w:rStyle w:val="IndexLink"/>
                <w:rtl w:val="true"/>
              </w:rPr>
              <w:t xml:space="preserve">كُوَيفه عمرو </w:t>
            </w:r>
            <w:r>
              <w:rPr>
                <w:rStyle w:val="IndexLink"/>
                <w:rtl w:val="true"/>
              </w:rPr>
              <w:t>(</w:t>
            </w:r>
            <w:r>
              <w:rPr>
                <w:rStyle w:val="IndexLink"/>
                <w:rtl w:val="true"/>
              </w:rPr>
              <w:t>كويفه ابن عُمَر</w:t>
            </w:r>
            <w:r>
              <w:rPr>
                <w:rStyle w:val="IndexLink"/>
                <w:rtl w:val="true"/>
              </w:rPr>
              <w:t>)</w:t>
              <w:tab/>
            </w:r>
            <w:r>
              <w:rPr>
                <w:rStyle w:val="IndexLink"/>
              </w:rPr>
              <w:t>92</w:t>
            </w:r>
          </w:hyperlink>
        </w:p>
        <w:p>
          <w:pPr>
            <w:pStyle w:val="Contents4"/>
            <w:tabs>
              <w:tab w:val="clear" w:pos="8176"/>
              <w:tab w:val="right" w:pos="9026" w:leader="dot"/>
            </w:tabs>
            <w:rPr/>
          </w:pPr>
          <w:hyperlink w:anchor="__RefHeading___Toc3584783_3650668749">
            <w:r>
              <w:rPr>
                <w:webHidden/>
                <w:rStyle w:val="IndexLink"/>
                <w:rtl w:val="true"/>
              </w:rPr>
              <w:t xml:space="preserve">پنجاه و پنج </w:t>
            </w:r>
            <w:r>
              <w:rPr>
                <w:rStyle w:val="IndexLink"/>
                <w:rtl w:val="true"/>
              </w:rPr>
              <w:t xml:space="preserve">- </w:t>
            </w:r>
            <w:r>
              <w:rPr>
                <w:rStyle w:val="IndexLink"/>
                <w:rtl w:val="true"/>
              </w:rPr>
              <w:t>لِسان</w:t>
            </w:r>
            <w:r>
              <w:rPr>
                <w:rStyle w:val="IndexLink"/>
                <w:rtl w:val="true"/>
              </w:rPr>
              <w:tab/>
            </w:r>
            <w:r>
              <w:rPr>
                <w:rStyle w:val="IndexLink"/>
              </w:rPr>
              <w:t>92</w:t>
            </w:r>
          </w:hyperlink>
        </w:p>
        <w:p>
          <w:pPr>
            <w:pStyle w:val="Contents4"/>
            <w:tabs>
              <w:tab w:val="clear" w:pos="8176"/>
              <w:tab w:val="right" w:pos="9026" w:leader="dot"/>
            </w:tabs>
            <w:rPr/>
          </w:pPr>
          <w:hyperlink w:anchor="__RefHeading___Toc3584785_3650668749">
            <w:r>
              <w:rPr>
                <w:webHidden/>
                <w:rStyle w:val="IndexLink"/>
                <w:rtl w:val="true"/>
              </w:rPr>
              <w:t xml:space="preserve">پنجاه و شش </w:t>
            </w:r>
            <w:r>
              <w:rPr>
                <w:rStyle w:val="IndexLink"/>
                <w:rtl w:val="true"/>
              </w:rPr>
              <w:t xml:space="preserve">- </w:t>
            </w:r>
            <w:r>
              <w:rPr>
                <w:rStyle w:val="IndexLink"/>
                <w:rtl w:val="true"/>
              </w:rPr>
              <w:t>لَعْلَع</w:t>
            </w:r>
            <w:r>
              <w:rPr>
                <w:rStyle w:val="IndexLink"/>
                <w:rtl w:val="true"/>
              </w:rPr>
              <w:tab/>
            </w:r>
            <w:r>
              <w:rPr>
                <w:rStyle w:val="IndexLink"/>
              </w:rPr>
              <w:t>92</w:t>
            </w:r>
          </w:hyperlink>
        </w:p>
        <w:p>
          <w:pPr>
            <w:pStyle w:val="Contents4"/>
            <w:tabs>
              <w:tab w:val="clear" w:pos="8176"/>
              <w:tab w:val="right" w:pos="9026" w:leader="dot"/>
            </w:tabs>
            <w:rPr/>
          </w:pPr>
          <w:hyperlink w:anchor="__RefHeading___Toc3584787_3650668749">
            <w:r>
              <w:rPr>
                <w:webHidden/>
                <w:rStyle w:val="IndexLink"/>
                <w:rtl w:val="true"/>
              </w:rPr>
              <w:t xml:space="preserve">پنجاه و هفت </w:t>
            </w:r>
            <w:r>
              <w:rPr>
                <w:rStyle w:val="IndexLink"/>
                <w:rtl w:val="true"/>
              </w:rPr>
              <w:t xml:space="preserve">- </w:t>
            </w:r>
            <w:r>
              <w:rPr>
                <w:rStyle w:val="IndexLink"/>
                <w:rtl w:val="true"/>
              </w:rPr>
              <w:t>مَلَح</w:t>
            </w:r>
            <w:r>
              <w:rPr>
                <w:rStyle w:val="IndexLink"/>
                <w:rtl w:val="true"/>
              </w:rPr>
              <w:tab/>
            </w:r>
            <w:r>
              <w:rPr>
                <w:rStyle w:val="IndexLink"/>
              </w:rPr>
              <w:t>93</w:t>
            </w:r>
          </w:hyperlink>
        </w:p>
        <w:p>
          <w:pPr>
            <w:pStyle w:val="Contents4"/>
            <w:tabs>
              <w:tab w:val="clear" w:pos="8176"/>
              <w:tab w:val="right" w:pos="9026" w:leader="dot"/>
            </w:tabs>
            <w:rPr/>
          </w:pPr>
          <w:hyperlink w:anchor="__RefHeading___Toc3584789_3650668749">
            <w:r>
              <w:rPr>
                <w:webHidden/>
                <w:rStyle w:val="IndexLink"/>
                <w:rtl w:val="true"/>
              </w:rPr>
              <w:t xml:space="preserve">پنجاه و هشت </w:t>
            </w:r>
            <w:r>
              <w:rPr>
                <w:rStyle w:val="IndexLink"/>
                <w:rtl w:val="true"/>
              </w:rPr>
              <w:t xml:space="preserve">- </w:t>
            </w:r>
            <w:r>
              <w:rPr>
                <w:rStyle w:val="IndexLink"/>
                <w:rtl w:val="true"/>
              </w:rPr>
              <w:t>مِلْطاط</w:t>
            </w:r>
            <w:r>
              <w:rPr>
                <w:rStyle w:val="IndexLink"/>
                <w:rtl w:val="true"/>
              </w:rPr>
              <w:tab/>
            </w:r>
            <w:r>
              <w:rPr>
                <w:rStyle w:val="IndexLink"/>
              </w:rPr>
              <w:t>93</w:t>
            </w:r>
          </w:hyperlink>
        </w:p>
        <w:p>
          <w:pPr>
            <w:pStyle w:val="Contents4"/>
            <w:tabs>
              <w:tab w:val="clear" w:pos="8176"/>
              <w:tab w:val="right" w:pos="9026" w:leader="dot"/>
            </w:tabs>
            <w:rPr/>
          </w:pPr>
          <w:hyperlink w:anchor="__RefHeading___Toc3584791_3650668749">
            <w:r>
              <w:rPr>
                <w:webHidden/>
                <w:rStyle w:val="IndexLink"/>
                <w:rtl w:val="true"/>
              </w:rPr>
              <w:t xml:space="preserve">پنجاه و نه </w:t>
            </w:r>
            <w:r>
              <w:rPr>
                <w:rStyle w:val="IndexLink"/>
                <w:rtl w:val="true"/>
              </w:rPr>
              <w:t xml:space="preserve">- </w:t>
            </w:r>
            <w:r>
              <w:rPr>
                <w:rStyle w:val="IndexLink"/>
                <w:rtl w:val="true"/>
              </w:rPr>
              <w:t>نَجَف</w:t>
            </w:r>
            <w:r>
              <w:rPr>
                <w:rStyle w:val="IndexLink"/>
                <w:rtl w:val="true"/>
              </w:rPr>
              <w:tab/>
            </w:r>
            <w:r>
              <w:rPr>
                <w:rStyle w:val="IndexLink"/>
              </w:rPr>
              <w:t>93</w:t>
            </w:r>
          </w:hyperlink>
        </w:p>
        <w:p>
          <w:pPr>
            <w:pStyle w:val="Contents4"/>
            <w:tabs>
              <w:tab w:val="clear" w:pos="8176"/>
              <w:tab w:val="right" w:pos="9026" w:leader="dot"/>
            </w:tabs>
            <w:rPr/>
          </w:pPr>
          <w:hyperlink w:anchor="__RefHeading___Toc3584793_3650668749">
            <w:r>
              <w:rPr>
                <w:webHidden/>
                <w:rStyle w:val="IndexLink"/>
                <w:rtl w:val="true"/>
              </w:rPr>
              <w:t xml:space="preserve">شصت </w:t>
            </w:r>
            <w:r>
              <w:rPr>
                <w:rStyle w:val="IndexLink"/>
                <w:rtl w:val="true"/>
              </w:rPr>
              <w:t xml:space="preserve">- </w:t>
            </w:r>
            <w:r>
              <w:rPr>
                <w:rStyle w:val="IndexLink"/>
                <w:rtl w:val="true"/>
              </w:rPr>
              <w:t>نُخَيْلَه</w:t>
            </w:r>
            <w:r>
              <w:rPr>
                <w:rStyle w:val="IndexLink"/>
                <w:rtl w:val="true"/>
              </w:rPr>
              <w:tab/>
            </w:r>
            <w:r>
              <w:rPr>
                <w:rStyle w:val="IndexLink"/>
              </w:rPr>
              <w:t>93</w:t>
            </w:r>
          </w:hyperlink>
        </w:p>
        <w:p>
          <w:pPr>
            <w:pStyle w:val="Contents4"/>
            <w:tabs>
              <w:tab w:val="clear" w:pos="8176"/>
              <w:tab w:val="right" w:pos="9026" w:leader="dot"/>
            </w:tabs>
            <w:rPr/>
          </w:pPr>
          <w:hyperlink w:anchor="__RefHeading___Toc3584795_3650668749">
            <w:r>
              <w:rPr>
                <w:webHidden/>
                <w:rStyle w:val="IndexLink"/>
                <w:rtl w:val="true"/>
              </w:rPr>
              <w:t xml:space="preserve">شصت و يك </w:t>
            </w:r>
            <w:r>
              <w:rPr>
                <w:rStyle w:val="IndexLink"/>
                <w:rtl w:val="true"/>
              </w:rPr>
              <w:t xml:space="preserve">- </w:t>
            </w:r>
            <w:r>
              <w:rPr>
                <w:rStyle w:val="IndexLink"/>
                <w:rtl w:val="true"/>
              </w:rPr>
              <w:t>نَشاسْتَج</w:t>
            </w:r>
            <w:r>
              <w:rPr>
                <w:rStyle w:val="IndexLink"/>
                <w:rtl w:val="true"/>
              </w:rPr>
              <w:tab/>
            </w:r>
            <w:r>
              <w:rPr>
                <w:rStyle w:val="IndexLink"/>
              </w:rPr>
              <w:t>94</w:t>
            </w:r>
          </w:hyperlink>
        </w:p>
        <w:p>
          <w:pPr>
            <w:pStyle w:val="Contents4"/>
            <w:tabs>
              <w:tab w:val="clear" w:pos="8176"/>
              <w:tab w:val="right" w:pos="9026" w:leader="dot"/>
            </w:tabs>
            <w:rPr/>
          </w:pPr>
          <w:hyperlink w:anchor="__RefHeading___Toc3584797_3650668749">
            <w:r>
              <w:rPr>
                <w:webHidden/>
                <w:rStyle w:val="IndexLink"/>
                <w:rtl w:val="true"/>
              </w:rPr>
              <w:t xml:space="preserve">شصت و دو </w:t>
            </w:r>
            <w:r>
              <w:rPr>
                <w:rStyle w:val="IndexLink"/>
                <w:rtl w:val="true"/>
              </w:rPr>
              <w:t xml:space="preserve">- </w:t>
            </w:r>
            <w:r>
              <w:rPr>
                <w:rStyle w:val="IndexLink"/>
                <w:rtl w:val="true"/>
              </w:rPr>
              <w:t>نُعْماباذ</w:t>
            </w:r>
            <w:r>
              <w:rPr>
                <w:rStyle w:val="IndexLink"/>
                <w:rtl w:val="true"/>
              </w:rPr>
              <w:tab/>
            </w:r>
            <w:r>
              <w:rPr>
                <w:rStyle w:val="IndexLink"/>
              </w:rPr>
              <w:t>94</w:t>
            </w:r>
          </w:hyperlink>
        </w:p>
        <w:p>
          <w:pPr>
            <w:pStyle w:val="Contents4"/>
            <w:tabs>
              <w:tab w:val="clear" w:pos="8176"/>
              <w:tab w:val="right" w:pos="9026" w:leader="dot"/>
            </w:tabs>
            <w:rPr/>
          </w:pPr>
          <w:hyperlink w:anchor="__RefHeading___Toc3584799_3650668749">
            <w:r>
              <w:rPr>
                <w:webHidden/>
                <w:rStyle w:val="IndexLink"/>
                <w:rtl w:val="true"/>
              </w:rPr>
              <w:t xml:space="preserve">شصت و سه </w:t>
            </w:r>
            <w:r>
              <w:rPr>
                <w:rStyle w:val="IndexLink"/>
                <w:rtl w:val="true"/>
              </w:rPr>
              <w:t xml:space="preserve">- </w:t>
            </w:r>
            <w:r>
              <w:rPr>
                <w:rStyle w:val="IndexLink"/>
                <w:rtl w:val="true"/>
              </w:rPr>
              <w:t>وادِي السِّباع</w:t>
            </w:r>
            <w:r>
              <w:rPr>
                <w:rStyle w:val="IndexLink"/>
                <w:rtl w:val="true"/>
              </w:rPr>
              <w:tab/>
            </w:r>
            <w:r>
              <w:rPr>
                <w:rStyle w:val="IndexLink"/>
              </w:rPr>
              <w:t>94</w:t>
            </w:r>
          </w:hyperlink>
        </w:p>
        <w:p>
          <w:pPr>
            <w:pStyle w:val="Contents3"/>
            <w:tabs>
              <w:tab w:val="clear" w:pos="8459"/>
              <w:tab w:val="right" w:pos="9026" w:leader="dot"/>
            </w:tabs>
            <w:rPr/>
          </w:pPr>
          <w:hyperlink w:anchor="__RefHeading___Toc3584801_3650668749">
            <w:r>
              <w:rPr>
                <w:webHidden/>
                <w:rStyle w:val="IndexLink"/>
              </w:rPr>
              <w:t>١٠</w:t>
            </w:r>
            <w:r>
              <w:rPr>
                <w:rStyle w:val="IndexLink"/>
                <w:rtl w:val="true"/>
              </w:rPr>
              <w:t xml:space="preserve">. </w:t>
            </w:r>
            <w:r>
              <w:rPr>
                <w:rStyle w:val="IndexLink"/>
                <w:rtl w:val="true"/>
              </w:rPr>
              <w:t>باغ‌ها‌ى كوفه</w:t>
            </w:r>
            <w:r>
              <w:rPr>
                <w:rStyle w:val="IndexLink"/>
                <w:rtl w:val="true"/>
              </w:rPr>
              <w:tab/>
            </w:r>
            <w:r>
              <w:rPr>
                <w:rStyle w:val="IndexLink"/>
              </w:rPr>
              <w:t>94</w:t>
            </w:r>
          </w:hyperlink>
        </w:p>
        <w:p>
          <w:pPr>
            <w:pStyle w:val="Contents3"/>
            <w:tabs>
              <w:tab w:val="clear" w:pos="8459"/>
              <w:tab w:val="right" w:pos="9026" w:leader="dot"/>
            </w:tabs>
            <w:rPr/>
          </w:pPr>
          <w:hyperlink w:anchor="__RefHeading___Toc3584803_3650668749">
            <w:r>
              <w:rPr>
                <w:webHidden/>
                <w:rStyle w:val="IndexLink"/>
              </w:rPr>
              <w:t>١١</w:t>
            </w:r>
            <w:r>
              <w:rPr>
                <w:rStyle w:val="IndexLink"/>
                <w:rtl w:val="true"/>
              </w:rPr>
              <w:t xml:space="preserve">. </w:t>
            </w:r>
            <w:r>
              <w:rPr>
                <w:rStyle w:val="IndexLink"/>
                <w:rtl w:val="true"/>
              </w:rPr>
              <w:t>دروازه‌ها‌ى كوفه</w:t>
            </w:r>
            <w:r>
              <w:rPr>
                <w:rStyle w:val="IndexLink"/>
                <w:rtl w:val="true"/>
              </w:rPr>
              <w:tab/>
            </w:r>
            <w:r>
              <w:rPr>
                <w:rStyle w:val="IndexLink"/>
              </w:rPr>
              <w:t>96</w:t>
            </w:r>
          </w:hyperlink>
        </w:p>
        <w:p>
          <w:pPr>
            <w:pStyle w:val="Contents3"/>
            <w:tabs>
              <w:tab w:val="clear" w:pos="8459"/>
              <w:tab w:val="right" w:pos="9026" w:leader="dot"/>
            </w:tabs>
            <w:rPr/>
          </w:pPr>
          <w:hyperlink w:anchor="__RefHeading___Toc3584805_3650668749">
            <w:r>
              <w:rPr>
                <w:webHidden/>
                <w:rStyle w:val="IndexLink"/>
              </w:rPr>
              <w:t>١٢</w:t>
            </w:r>
            <w:r>
              <w:rPr>
                <w:rStyle w:val="IndexLink"/>
                <w:rtl w:val="true"/>
              </w:rPr>
              <w:t xml:space="preserve">. </w:t>
            </w:r>
            <w:r>
              <w:rPr>
                <w:rStyle w:val="IndexLink"/>
                <w:rtl w:val="true"/>
              </w:rPr>
              <w:t xml:space="preserve">ديرها‌ى كوفه </w:t>
            </w:r>
            <w:r>
              <w:rPr>
                <w:rStyle w:val="IndexLink"/>
                <w:rtl w:val="true"/>
              </w:rPr>
              <w:t>(</w:t>
            </w:r>
            <w:r>
              <w:rPr>
                <w:rStyle w:val="IndexLink"/>
                <w:rtl w:val="true"/>
              </w:rPr>
              <w:t>ديارات كوفه</w:t>
            </w:r>
            <w:r>
              <w:rPr>
                <w:rStyle w:val="IndexLink"/>
                <w:rtl w:val="true"/>
              </w:rPr>
              <w:t>)</w:t>
              <w:tab/>
            </w:r>
            <w:r>
              <w:rPr>
                <w:rStyle w:val="IndexLink"/>
              </w:rPr>
              <w:t>96</w:t>
            </w:r>
          </w:hyperlink>
        </w:p>
        <w:p>
          <w:pPr>
            <w:pStyle w:val="Contents4"/>
            <w:tabs>
              <w:tab w:val="clear" w:pos="8176"/>
              <w:tab w:val="right" w:pos="9026" w:leader="dot"/>
            </w:tabs>
            <w:rPr/>
          </w:pPr>
          <w:hyperlink w:anchor="__RefHeading___Toc3584807_3650668749">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3584809_3650668749">
            <w:r>
              <w:rPr>
                <w:webHidden/>
                <w:rStyle w:val="IndexLink"/>
                <w:rtl w:val="true"/>
              </w:rPr>
              <w:t>الف</w:t>
            </w:r>
            <w:r>
              <w:rPr>
                <w:rStyle w:val="IndexLink"/>
                <w:rtl w:val="true"/>
              </w:rPr>
              <w:t xml:space="preserve">) </w:t>
            </w:r>
            <w:r>
              <w:rPr>
                <w:rStyle w:val="IndexLink"/>
                <w:rtl w:val="true"/>
              </w:rPr>
              <w:t>ديارات الأساقف</w:t>
            </w:r>
            <w:r>
              <w:rPr>
                <w:rStyle w:val="IndexLink"/>
                <w:rtl w:val="true"/>
              </w:rPr>
              <w:tab/>
            </w:r>
            <w:r>
              <w:rPr>
                <w:rStyle w:val="IndexLink"/>
              </w:rPr>
              <w:t>99</w:t>
            </w:r>
          </w:hyperlink>
        </w:p>
        <w:p>
          <w:pPr>
            <w:pStyle w:val="Contents4"/>
            <w:tabs>
              <w:tab w:val="clear" w:pos="8176"/>
              <w:tab w:val="right" w:pos="9026" w:leader="dot"/>
            </w:tabs>
            <w:rPr/>
          </w:pPr>
          <w:hyperlink w:anchor="__RefHeading___Toc3584811_3650668749">
            <w:r>
              <w:rPr>
                <w:webHidden/>
                <w:rStyle w:val="IndexLink"/>
                <w:rtl w:val="true"/>
              </w:rPr>
              <w:t>ب</w:t>
            </w:r>
            <w:r>
              <w:rPr>
                <w:rStyle w:val="IndexLink"/>
                <w:rtl w:val="true"/>
              </w:rPr>
              <w:t xml:space="preserve">) </w:t>
            </w:r>
            <w:r>
              <w:rPr>
                <w:rStyle w:val="IndexLink"/>
                <w:rtl w:val="true"/>
              </w:rPr>
              <w:t>دير اَعْوَر</w:t>
            </w:r>
            <w:r>
              <w:rPr>
                <w:rStyle w:val="IndexLink"/>
                <w:rtl w:val="true"/>
              </w:rPr>
              <w:tab/>
            </w:r>
            <w:r>
              <w:rPr>
                <w:rStyle w:val="IndexLink"/>
              </w:rPr>
              <w:t>99</w:t>
            </w:r>
          </w:hyperlink>
        </w:p>
        <w:p>
          <w:pPr>
            <w:pStyle w:val="Contents4"/>
            <w:tabs>
              <w:tab w:val="clear" w:pos="8176"/>
              <w:tab w:val="right" w:pos="9026" w:leader="dot"/>
            </w:tabs>
            <w:rPr/>
          </w:pPr>
          <w:hyperlink w:anchor="__RefHeading___Toc3584813_3650668749">
            <w:r>
              <w:rPr>
                <w:webHidden/>
                <w:rStyle w:val="IndexLink"/>
                <w:rtl w:val="true"/>
              </w:rPr>
              <w:t>ج</w:t>
            </w:r>
            <w:r>
              <w:rPr>
                <w:rStyle w:val="IndexLink"/>
                <w:rtl w:val="true"/>
              </w:rPr>
              <w:t xml:space="preserve">) </w:t>
            </w:r>
            <w:r>
              <w:rPr>
                <w:rStyle w:val="IndexLink"/>
                <w:rtl w:val="true"/>
              </w:rPr>
              <w:t>دير الجَماجِم</w:t>
            </w:r>
            <w:r>
              <w:rPr>
                <w:rStyle w:val="IndexLink"/>
                <w:rtl w:val="true"/>
              </w:rPr>
              <w:tab/>
            </w:r>
            <w:r>
              <w:rPr>
                <w:rStyle w:val="IndexLink"/>
              </w:rPr>
              <w:t>99</w:t>
            </w:r>
          </w:hyperlink>
        </w:p>
        <w:p>
          <w:pPr>
            <w:pStyle w:val="Contents4"/>
            <w:tabs>
              <w:tab w:val="clear" w:pos="8176"/>
              <w:tab w:val="right" w:pos="9026" w:leader="dot"/>
            </w:tabs>
            <w:rPr/>
          </w:pPr>
          <w:hyperlink w:anchor="__RefHeading___Toc3584815_3650668749">
            <w:r>
              <w:rPr>
                <w:webHidden/>
                <w:rStyle w:val="IndexLink"/>
                <w:rtl w:val="true"/>
              </w:rPr>
              <w:t>د</w:t>
            </w:r>
            <w:r>
              <w:rPr>
                <w:rStyle w:val="IndexLink"/>
                <w:rtl w:val="true"/>
              </w:rPr>
              <w:t xml:space="preserve">) </w:t>
            </w:r>
            <w:r>
              <w:rPr>
                <w:rStyle w:val="IndexLink"/>
                <w:rtl w:val="true"/>
              </w:rPr>
              <w:t>دير حُرْمه</w:t>
            </w:r>
            <w:r>
              <w:rPr>
                <w:rStyle w:val="IndexLink"/>
                <w:rtl w:val="true"/>
              </w:rPr>
              <w:tab/>
            </w:r>
            <w:r>
              <w:rPr>
                <w:rStyle w:val="IndexLink"/>
              </w:rPr>
              <w:t>100</w:t>
            </w:r>
          </w:hyperlink>
        </w:p>
        <w:p>
          <w:pPr>
            <w:pStyle w:val="Contents4"/>
            <w:tabs>
              <w:tab w:val="clear" w:pos="8176"/>
              <w:tab w:val="right" w:pos="9026" w:leader="dot"/>
            </w:tabs>
            <w:rPr/>
          </w:pPr>
          <w:hyperlink w:anchor="__RefHeading___Toc3584817_3650668749">
            <w:r>
              <w:rPr>
                <w:webHidden/>
                <w:rStyle w:val="IndexLink"/>
                <w:rtl w:val="true"/>
              </w:rPr>
              <w:t>ه</w:t>
            </w:r>
            <w:r>
              <w:rPr>
                <w:rStyle w:val="IndexLink"/>
                <w:rtl w:val="true"/>
              </w:rPr>
              <w:t xml:space="preserve">) </w:t>
            </w:r>
            <w:r>
              <w:rPr>
                <w:rStyle w:val="IndexLink"/>
                <w:rtl w:val="true"/>
              </w:rPr>
              <w:t>دير حِنَّه</w:t>
            </w:r>
            <w:r>
              <w:rPr>
                <w:rStyle w:val="IndexLink"/>
                <w:rtl w:val="true"/>
              </w:rPr>
              <w:tab/>
            </w:r>
            <w:r>
              <w:rPr>
                <w:rStyle w:val="IndexLink"/>
              </w:rPr>
              <w:t>100</w:t>
            </w:r>
          </w:hyperlink>
        </w:p>
        <w:p>
          <w:pPr>
            <w:pStyle w:val="Contents4"/>
            <w:tabs>
              <w:tab w:val="clear" w:pos="8176"/>
              <w:tab w:val="right" w:pos="9026" w:leader="dot"/>
            </w:tabs>
            <w:rPr/>
          </w:pPr>
          <w:hyperlink w:anchor="__RefHeading___Toc3584819_3650668749">
            <w:r>
              <w:rPr>
                <w:webHidden/>
                <w:rStyle w:val="IndexLink"/>
                <w:rtl w:val="true"/>
              </w:rPr>
              <w:t>و</w:t>
            </w:r>
            <w:r>
              <w:rPr>
                <w:rStyle w:val="IndexLink"/>
                <w:rtl w:val="true"/>
              </w:rPr>
              <w:t xml:space="preserve">) </w:t>
            </w:r>
            <w:r>
              <w:rPr>
                <w:rStyle w:val="IndexLink"/>
                <w:rtl w:val="true"/>
              </w:rPr>
              <w:t>دير زُراره</w:t>
            </w:r>
            <w:r>
              <w:rPr>
                <w:rStyle w:val="IndexLink"/>
                <w:rtl w:val="true"/>
              </w:rPr>
              <w:tab/>
            </w:r>
            <w:r>
              <w:rPr>
                <w:rStyle w:val="IndexLink"/>
              </w:rPr>
              <w:t>101</w:t>
            </w:r>
          </w:hyperlink>
        </w:p>
        <w:p>
          <w:pPr>
            <w:pStyle w:val="Contents4"/>
            <w:tabs>
              <w:tab w:val="clear" w:pos="8176"/>
              <w:tab w:val="right" w:pos="9026" w:leader="dot"/>
            </w:tabs>
            <w:rPr/>
          </w:pPr>
          <w:hyperlink w:anchor="__RefHeading___Toc3584821_3650668749">
            <w:r>
              <w:rPr>
                <w:webHidden/>
                <w:rStyle w:val="IndexLink"/>
                <w:rtl w:val="true"/>
              </w:rPr>
              <w:t>ز</w:t>
            </w:r>
            <w:r>
              <w:rPr>
                <w:rStyle w:val="IndexLink"/>
                <w:rtl w:val="true"/>
              </w:rPr>
              <w:t xml:space="preserve">) </w:t>
            </w:r>
            <w:r>
              <w:rPr>
                <w:rStyle w:val="IndexLink"/>
                <w:rtl w:val="true"/>
              </w:rPr>
              <w:t xml:space="preserve">دير سِرجِس </w:t>
            </w:r>
            <w:r>
              <w:rPr>
                <w:rStyle w:val="IndexLink"/>
                <w:rtl w:val="true"/>
              </w:rPr>
              <w:t>(</w:t>
            </w:r>
            <w:r>
              <w:rPr>
                <w:rStyle w:val="IndexLink"/>
                <w:rtl w:val="true"/>
              </w:rPr>
              <w:t>سرجيس</w:t>
            </w:r>
            <w:r>
              <w:rPr>
                <w:rStyle w:val="IndexLink"/>
                <w:rtl w:val="true"/>
              </w:rPr>
              <w:t>)</w:t>
              <w:tab/>
            </w:r>
            <w:r>
              <w:rPr>
                <w:rStyle w:val="IndexLink"/>
              </w:rPr>
              <w:t>101</w:t>
            </w:r>
          </w:hyperlink>
        </w:p>
        <w:p>
          <w:pPr>
            <w:pStyle w:val="Contents4"/>
            <w:tabs>
              <w:tab w:val="clear" w:pos="8176"/>
              <w:tab w:val="right" w:pos="9026" w:leader="dot"/>
            </w:tabs>
            <w:rPr/>
          </w:pPr>
          <w:hyperlink w:anchor="__RefHeading___Toc3584823_3650668749">
            <w:r>
              <w:rPr>
                <w:webHidden/>
                <w:rStyle w:val="IndexLink"/>
                <w:rtl w:val="true"/>
              </w:rPr>
              <w:t>ح</w:t>
            </w:r>
            <w:r>
              <w:rPr>
                <w:rStyle w:val="IndexLink"/>
                <w:rtl w:val="true"/>
              </w:rPr>
              <w:t xml:space="preserve">) </w:t>
            </w:r>
            <w:r>
              <w:rPr>
                <w:rStyle w:val="IndexLink"/>
                <w:rtl w:val="true"/>
              </w:rPr>
              <w:t>دير سلسله</w:t>
            </w:r>
            <w:r>
              <w:rPr>
                <w:rStyle w:val="IndexLink"/>
                <w:rtl w:val="true"/>
              </w:rPr>
              <w:tab/>
            </w:r>
            <w:r>
              <w:rPr>
                <w:rStyle w:val="IndexLink"/>
              </w:rPr>
              <w:t>101</w:t>
            </w:r>
          </w:hyperlink>
        </w:p>
        <w:p>
          <w:pPr>
            <w:pStyle w:val="Contents4"/>
            <w:tabs>
              <w:tab w:val="clear" w:pos="8176"/>
              <w:tab w:val="right" w:pos="9026" w:leader="dot"/>
            </w:tabs>
            <w:rPr/>
          </w:pPr>
          <w:hyperlink w:anchor="__RefHeading___Toc3584825_3650668749">
            <w:r>
              <w:rPr>
                <w:webHidden/>
                <w:rStyle w:val="IndexLink"/>
                <w:rtl w:val="true"/>
              </w:rPr>
              <w:t>ط</w:t>
            </w:r>
            <w:r>
              <w:rPr>
                <w:rStyle w:val="IndexLink"/>
                <w:rtl w:val="true"/>
              </w:rPr>
              <w:t xml:space="preserve">) </w:t>
            </w:r>
            <w:r>
              <w:rPr>
                <w:rStyle w:val="IndexLink"/>
                <w:rtl w:val="true"/>
              </w:rPr>
              <w:t>دير السَّوا</w:t>
            </w:r>
            <w:r>
              <w:rPr>
                <w:rStyle w:val="IndexLink"/>
                <w:rtl w:val="true"/>
              </w:rPr>
              <w:tab/>
            </w:r>
            <w:r>
              <w:rPr>
                <w:rStyle w:val="IndexLink"/>
              </w:rPr>
              <w:t>101</w:t>
            </w:r>
          </w:hyperlink>
        </w:p>
        <w:p>
          <w:pPr>
            <w:pStyle w:val="Contents4"/>
            <w:tabs>
              <w:tab w:val="clear" w:pos="8176"/>
              <w:tab w:val="right" w:pos="9026" w:leader="dot"/>
            </w:tabs>
            <w:rPr/>
          </w:pPr>
          <w:hyperlink w:anchor="__RefHeading___Toc3584827_3650668749">
            <w:r>
              <w:rPr>
                <w:webHidden/>
                <w:rStyle w:val="IndexLink"/>
                <w:rtl w:val="true"/>
              </w:rPr>
              <w:t>ي</w:t>
            </w:r>
            <w:r>
              <w:rPr>
                <w:rStyle w:val="IndexLink"/>
                <w:rtl w:val="true"/>
              </w:rPr>
              <w:t xml:space="preserve">) </w:t>
            </w:r>
            <w:r>
              <w:rPr>
                <w:rStyle w:val="IndexLink"/>
                <w:rtl w:val="true"/>
              </w:rPr>
              <w:t>دير الشّاء</w:t>
            </w:r>
            <w:r>
              <w:rPr>
                <w:rStyle w:val="IndexLink"/>
                <w:rtl w:val="true"/>
              </w:rPr>
              <w:tab/>
            </w:r>
            <w:r>
              <w:rPr>
                <w:rStyle w:val="IndexLink"/>
              </w:rPr>
              <w:t>102</w:t>
            </w:r>
          </w:hyperlink>
        </w:p>
        <w:p>
          <w:pPr>
            <w:pStyle w:val="Contents4"/>
            <w:tabs>
              <w:tab w:val="clear" w:pos="8176"/>
              <w:tab w:val="right" w:pos="9026" w:leader="dot"/>
            </w:tabs>
            <w:rPr/>
          </w:pPr>
          <w:hyperlink w:anchor="__RefHeading___Toc3584829_3650668749">
            <w:r>
              <w:rPr>
                <w:webHidden/>
                <w:rStyle w:val="IndexLink"/>
                <w:rtl w:val="true"/>
              </w:rPr>
              <w:t>ك</w:t>
            </w:r>
            <w:r>
              <w:rPr>
                <w:rStyle w:val="IndexLink"/>
                <w:rtl w:val="true"/>
              </w:rPr>
              <w:t xml:space="preserve">) </w:t>
            </w:r>
            <w:r>
              <w:rPr>
                <w:rStyle w:val="IndexLink"/>
                <w:rtl w:val="true"/>
              </w:rPr>
              <w:t>دير قُرَّه</w:t>
            </w:r>
            <w:r>
              <w:rPr>
                <w:rStyle w:val="IndexLink"/>
                <w:rtl w:val="true"/>
              </w:rPr>
              <w:tab/>
            </w:r>
            <w:r>
              <w:rPr>
                <w:rStyle w:val="IndexLink"/>
              </w:rPr>
              <w:t>102</w:t>
            </w:r>
          </w:hyperlink>
        </w:p>
        <w:p>
          <w:pPr>
            <w:pStyle w:val="Contents4"/>
            <w:tabs>
              <w:tab w:val="clear" w:pos="8176"/>
              <w:tab w:val="right" w:pos="9026" w:leader="dot"/>
            </w:tabs>
            <w:rPr/>
          </w:pPr>
          <w:hyperlink w:anchor="__RefHeading___Toc3584831_3650668749">
            <w:r>
              <w:rPr>
                <w:webHidden/>
                <w:rStyle w:val="IndexLink"/>
                <w:rtl w:val="true"/>
              </w:rPr>
              <w:t>ل</w:t>
            </w:r>
            <w:r>
              <w:rPr>
                <w:rStyle w:val="IndexLink"/>
                <w:rtl w:val="true"/>
              </w:rPr>
              <w:t xml:space="preserve">) </w:t>
            </w:r>
            <w:r>
              <w:rPr>
                <w:rStyle w:val="IndexLink"/>
                <w:rtl w:val="true"/>
              </w:rPr>
              <w:t>دير كعب</w:t>
            </w:r>
            <w:r>
              <w:rPr>
                <w:rStyle w:val="IndexLink"/>
                <w:rtl w:val="true"/>
              </w:rPr>
              <w:tab/>
            </w:r>
            <w:r>
              <w:rPr>
                <w:rStyle w:val="IndexLink"/>
              </w:rPr>
              <w:t>102</w:t>
            </w:r>
          </w:hyperlink>
        </w:p>
        <w:p>
          <w:pPr>
            <w:pStyle w:val="Contents4"/>
            <w:tabs>
              <w:tab w:val="clear" w:pos="8176"/>
              <w:tab w:val="right" w:pos="9026" w:leader="dot"/>
            </w:tabs>
            <w:rPr/>
          </w:pPr>
          <w:hyperlink w:anchor="__RefHeading___Toc3584833_3650668749">
            <w:r>
              <w:rPr>
                <w:webHidden/>
                <w:rStyle w:val="IndexLink"/>
                <w:rtl w:val="true"/>
              </w:rPr>
              <w:t>م</w:t>
            </w:r>
            <w:r>
              <w:rPr>
                <w:rStyle w:val="IndexLink"/>
                <w:rtl w:val="true"/>
              </w:rPr>
              <w:t xml:space="preserve">) </w:t>
            </w:r>
            <w:r>
              <w:rPr>
                <w:rStyle w:val="IndexLink"/>
                <w:rtl w:val="true"/>
              </w:rPr>
              <w:t>دير مَرْعَبْدا</w:t>
            </w:r>
            <w:r>
              <w:rPr>
                <w:rStyle w:val="IndexLink"/>
                <w:rtl w:val="true"/>
              </w:rPr>
              <w:tab/>
            </w:r>
            <w:r>
              <w:rPr>
                <w:rStyle w:val="IndexLink"/>
              </w:rPr>
              <w:t>102</w:t>
            </w:r>
          </w:hyperlink>
        </w:p>
        <w:p>
          <w:pPr>
            <w:pStyle w:val="Contents4"/>
            <w:tabs>
              <w:tab w:val="clear" w:pos="8176"/>
              <w:tab w:val="right" w:pos="9026" w:leader="dot"/>
            </w:tabs>
            <w:rPr/>
          </w:pPr>
          <w:hyperlink w:anchor="__RefHeading___Toc3584835_3650668749">
            <w:r>
              <w:rPr>
                <w:webHidden/>
                <w:rStyle w:val="IndexLink"/>
                <w:rtl w:val="true"/>
              </w:rPr>
              <w:t>ن</w:t>
            </w:r>
            <w:r>
              <w:rPr>
                <w:rStyle w:val="IndexLink"/>
                <w:rtl w:val="true"/>
              </w:rPr>
              <w:t xml:space="preserve">) </w:t>
            </w:r>
            <w:r>
              <w:rPr>
                <w:rStyle w:val="IndexLink"/>
                <w:rtl w:val="true"/>
              </w:rPr>
              <w:t>دير هند الصغري</w:t>
            </w:r>
            <w:r>
              <w:rPr>
                <w:rStyle w:val="IndexLink"/>
                <w:rtl w:val="true"/>
              </w:rPr>
              <w:tab/>
            </w:r>
            <w:r>
              <w:rPr>
                <w:rStyle w:val="IndexLink"/>
              </w:rPr>
              <w:t>102</w:t>
            </w:r>
          </w:hyperlink>
        </w:p>
        <w:p>
          <w:pPr>
            <w:pStyle w:val="Contents4"/>
            <w:tabs>
              <w:tab w:val="clear" w:pos="8176"/>
              <w:tab w:val="right" w:pos="9026" w:leader="dot"/>
            </w:tabs>
            <w:rPr/>
          </w:pPr>
          <w:hyperlink w:anchor="__RefHeading___Toc3584837_3650668749">
            <w:r>
              <w:rPr>
                <w:webHidden/>
                <w:rStyle w:val="IndexLink"/>
                <w:rtl w:val="true"/>
              </w:rPr>
              <w:t>س</w:t>
            </w:r>
            <w:r>
              <w:rPr>
                <w:rStyle w:val="IndexLink"/>
                <w:rtl w:val="true"/>
              </w:rPr>
              <w:t xml:space="preserve">) </w:t>
            </w:r>
            <w:r>
              <w:rPr>
                <w:rStyle w:val="IndexLink"/>
                <w:rtl w:val="true"/>
              </w:rPr>
              <w:t>دير هند الكبري</w:t>
            </w:r>
            <w:r>
              <w:rPr>
                <w:rStyle w:val="IndexLink"/>
                <w:rtl w:val="true"/>
              </w:rPr>
              <w:tab/>
            </w:r>
            <w:r>
              <w:rPr>
                <w:rStyle w:val="IndexLink"/>
              </w:rPr>
              <w:t>103</w:t>
            </w:r>
          </w:hyperlink>
        </w:p>
        <w:p>
          <w:pPr>
            <w:pStyle w:val="Contents2"/>
            <w:tabs>
              <w:tab w:val="clear" w:pos="8743"/>
              <w:tab w:val="right" w:pos="9026" w:leader="dot"/>
            </w:tabs>
            <w:rPr/>
          </w:pPr>
          <w:hyperlink w:anchor="__RefHeading___Toc3584839_3650668749">
            <w:r>
              <w:rPr>
                <w:webHidden/>
                <w:rStyle w:val="IndexLink"/>
                <w:rtl w:val="true"/>
              </w:rPr>
              <w:t>فصل دوم</w:t>
            </w:r>
            <w:r>
              <w:rPr>
                <w:rStyle w:val="IndexLink"/>
                <w:rtl w:val="true"/>
              </w:rPr>
              <w:t xml:space="preserve">: </w:t>
            </w:r>
            <w:r>
              <w:rPr>
                <w:rStyle w:val="IndexLink"/>
                <w:rtl w:val="true"/>
              </w:rPr>
              <w:t>شهرساز‌ى و معمار‌ى كوفه</w:t>
            </w:r>
            <w:r>
              <w:rPr>
                <w:rStyle w:val="IndexLink"/>
                <w:rtl w:val="true"/>
              </w:rPr>
              <w:tab/>
            </w:r>
            <w:r>
              <w:rPr>
                <w:rStyle w:val="IndexLink"/>
              </w:rPr>
              <w:t>104</w:t>
            </w:r>
          </w:hyperlink>
        </w:p>
        <w:p>
          <w:pPr>
            <w:pStyle w:val="Contents3"/>
            <w:tabs>
              <w:tab w:val="clear" w:pos="8459"/>
              <w:tab w:val="right" w:pos="9026" w:leader="dot"/>
            </w:tabs>
            <w:rPr/>
          </w:pPr>
          <w:hyperlink w:anchor="__RefHeading___Toc3584841_3650668749">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3584843_3650668749">
            <w:r>
              <w:rPr>
                <w:webHidden/>
                <w:rStyle w:val="IndexLink"/>
                <w:rtl w:val="true"/>
              </w:rPr>
              <w:t>مقدمه</w:t>
            </w:r>
            <w:r>
              <w:rPr>
                <w:rStyle w:val="IndexLink"/>
                <w:rtl w:val="true"/>
              </w:rPr>
              <w:tab/>
            </w:r>
            <w:r>
              <w:rPr>
                <w:rStyle w:val="IndexLink"/>
              </w:rPr>
              <w:t>105</w:t>
            </w:r>
          </w:hyperlink>
        </w:p>
        <w:p>
          <w:pPr>
            <w:pStyle w:val="Contents3"/>
            <w:tabs>
              <w:tab w:val="clear" w:pos="8459"/>
              <w:tab w:val="right" w:pos="9026" w:leader="dot"/>
            </w:tabs>
            <w:rPr/>
          </w:pPr>
          <w:hyperlink w:anchor="__RefHeading___Toc3584845_3650668749">
            <w:r>
              <w:rPr>
                <w:webHidden/>
                <w:rStyle w:val="IndexLink"/>
              </w:rPr>
              <w:t>١</w:t>
            </w:r>
            <w:r>
              <w:rPr>
                <w:rStyle w:val="IndexLink"/>
                <w:rtl w:val="true"/>
              </w:rPr>
              <w:t xml:space="preserve">. </w:t>
            </w:r>
            <w:r>
              <w:rPr>
                <w:rStyle w:val="IndexLink"/>
                <w:rtl w:val="true"/>
              </w:rPr>
              <w:t>خانه‌ها</w:t>
            </w:r>
            <w:r>
              <w:rPr>
                <w:rStyle w:val="IndexLink"/>
                <w:rtl w:val="true"/>
              </w:rPr>
              <w:tab/>
            </w:r>
            <w:r>
              <w:rPr>
                <w:rStyle w:val="IndexLink"/>
              </w:rPr>
              <w:t>106</w:t>
            </w:r>
          </w:hyperlink>
        </w:p>
        <w:p>
          <w:pPr>
            <w:pStyle w:val="Contents4"/>
            <w:tabs>
              <w:tab w:val="clear" w:pos="8176"/>
              <w:tab w:val="right" w:pos="9026" w:leader="dot"/>
            </w:tabs>
            <w:rPr/>
          </w:pPr>
          <w:hyperlink w:anchor="__RefHeading___Toc3584847_3650668749">
            <w:r>
              <w:rPr>
                <w:webHidden/>
                <w:rStyle w:val="IndexLink"/>
                <w:rtl w:val="true"/>
              </w:rPr>
              <w:t>الف</w:t>
            </w:r>
            <w:r>
              <w:rPr>
                <w:rStyle w:val="IndexLink"/>
                <w:rtl w:val="true"/>
              </w:rPr>
              <w:t xml:space="preserve">) </w:t>
            </w:r>
            <w:r>
              <w:rPr>
                <w:rStyle w:val="IndexLink"/>
                <w:rtl w:val="true"/>
              </w:rPr>
              <w:t>سبك و سياق خانه‌ساز‌ى</w:t>
            </w:r>
            <w:r>
              <w:rPr>
                <w:rStyle w:val="IndexLink"/>
                <w:rtl w:val="true"/>
              </w:rPr>
              <w:tab/>
            </w:r>
            <w:r>
              <w:rPr>
                <w:rStyle w:val="IndexLink"/>
              </w:rPr>
              <w:t>106</w:t>
            </w:r>
          </w:hyperlink>
        </w:p>
        <w:p>
          <w:pPr>
            <w:pStyle w:val="Contents5"/>
            <w:tabs>
              <w:tab w:val="clear" w:pos="7892"/>
              <w:tab w:val="right" w:pos="9026" w:leader="dot"/>
            </w:tabs>
            <w:rPr/>
          </w:pPr>
          <w:hyperlink w:anchor="__RefHeading___Toc3584849_3650668749">
            <w:r>
              <w:rPr>
                <w:webHidden/>
                <w:rStyle w:val="IndexLink"/>
                <w:rtl w:val="true"/>
              </w:rPr>
              <w:t xml:space="preserve">يك </w:t>
            </w:r>
            <w:r>
              <w:rPr>
                <w:rStyle w:val="IndexLink"/>
                <w:rtl w:val="true"/>
              </w:rPr>
              <w:t xml:space="preserve">- </w:t>
            </w:r>
            <w:r>
              <w:rPr>
                <w:rStyle w:val="IndexLink"/>
                <w:rtl w:val="true"/>
              </w:rPr>
              <w:t>شكل ظاهر‌ى، تعداد اتاق‌ها و وضعيت داخلى خانه‌ها</w:t>
            </w:r>
            <w:r>
              <w:rPr>
                <w:rStyle w:val="IndexLink"/>
                <w:rtl w:val="true"/>
              </w:rPr>
              <w:tab/>
            </w:r>
            <w:r>
              <w:rPr>
                <w:rStyle w:val="IndexLink"/>
              </w:rPr>
              <w:t>106</w:t>
            </w:r>
          </w:hyperlink>
        </w:p>
        <w:p>
          <w:pPr>
            <w:pStyle w:val="Contents5"/>
            <w:tabs>
              <w:tab w:val="clear" w:pos="7892"/>
              <w:tab w:val="right" w:pos="9026" w:leader="dot"/>
            </w:tabs>
            <w:rPr/>
          </w:pPr>
          <w:hyperlink w:anchor="__RefHeading___Toc3584851_3650668749">
            <w:r>
              <w:rPr>
                <w:webHidden/>
                <w:rStyle w:val="IndexLink"/>
                <w:rtl w:val="true"/>
              </w:rPr>
              <w:t xml:space="preserve">دو </w:t>
            </w:r>
            <w:r>
              <w:rPr>
                <w:rStyle w:val="IndexLink"/>
                <w:rtl w:val="true"/>
              </w:rPr>
              <w:t xml:space="preserve">- </w:t>
            </w:r>
            <w:r>
              <w:rPr>
                <w:rStyle w:val="IndexLink"/>
                <w:rtl w:val="true"/>
              </w:rPr>
              <w:t>نورگيرها</w:t>
            </w:r>
            <w:r>
              <w:rPr>
                <w:rStyle w:val="IndexLink"/>
                <w:rtl w:val="true"/>
              </w:rPr>
              <w:tab/>
            </w:r>
            <w:r>
              <w:rPr>
                <w:rStyle w:val="IndexLink"/>
              </w:rPr>
              <w:t>113</w:t>
            </w:r>
          </w:hyperlink>
        </w:p>
        <w:p>
          <w:pPr>
            <w:pStyle w:val="Contents4"/>
            <w:tabs>
              <w:tab w:val="clear" w:pos="8176"/>
              <w:tab w:val="right" w:pos="9026" w:leader="dot"/>
            </w:tabs>
            <w:rPr/>
          </w:pPr>
          <w:hyperlink w:anchor="__RefHeading___Toc3584853_3650668749">
            <w:r>
              <w:rPr>
                <w:webHidden/>
                <w:rStyle w:val="IndexLink"/>
                <w:rtl w:val="true"/>
              </w:rPr>
              <w:t>ب</w:t>
            </w:r>
            <w:r>
              <w:rPr>
                <w:rStyle w:val="IndexLink"/>
                <w:rtl w:val="true"/>
              </w:rPr>
              <w:t xml:space="preserve">) </w:t>
            </w:r>
            <w:r>
              <w:rPr>
                <w:rStyle w:val="IndexLink"/>
                <w:rtl w:val="true"/>
              </w:rPr>
              <w:t>مصالح ساختمانى</w:t>
            </w:r>
            <w:r>
              <w:rPr>
                <w:rStyle w:val="IndexLink"/>
                <w:rtl w:val="true"/>
              </w:rPr>
              <w:tab/>
            </w:r>
            <w:r>
              <w:rPr>
                <w:rStyle w:val="IndexLink"/>
              </w:rPr>
              <w:t>113</w:t>
            </w:r>
          </w:hyperlink>
        </w:p>
        <w:p>
          <w:pPr>
            <w:pStyle w:val="Contents4"/>
            <w:tabs>
              <w:tab w:val="clear" w:pos="8176"/>
              <w:tab w:val="right" w:pos="9026" w:leader="dot"/>
            </w:tabs>
            <w:rPr/>
          </w:pPr>
          <w:hyperlink w:anchor="__RefHeading___Toc3584855_3650668749">
            <w:r>
              <w:rPr>
                <w:webHidden/>
                <w:rStyle w:val="IndexLink"/>
                <w:rtl w:val="true"/>
              </w:rPr>
              <w:t>ج</w:t>
            </w:r>
            <w:r>
              <w:rPr>
                <w:rStyle w:val="IndexLink"/>
                <w:rtl w:val="true"/>
              </w:rPr>
              <w:t xml:space="preserve">) </w:t>
            </w:r>
            <w:r>
              <w:rPr>
                <w:rStyle w:val="IndexLink"/>
                <w:rtl w:val="true"/>
              </w:rPr>
              <w:t>خانه‌ها‌ى افراد مشهور و معروف</w:t>
            </w:r>
            <w:r>
              <w:rPr>
                <w:rStyle w:val="IndexLink"/>
                <w:rtl w:val="true"/>
              </w:rPr>
              <w:tab/>
            </w:r>
            <w:r>
              <w:rPr>
                <w:rStyle w:val="IndexLink"/>
              </w:rPr>
              <w:t>116</w:t>
            </w:r>
          </w:hyperlink>
        </w:p>
        <w:p>
          <w:pPr>
            <w:pStyle w:val="Contents5"/>
            <w:tabs>
              <w:tab w:val="clear" w:pos="7892"/>
              <w:tab w:val="right" w:pos="9026" w:leader="dot"/>
            </w:tabs>
            <w:rPr/>
          </w:pPr>
          <w:hyperlink w:anchor="__RefHeading___Toc3584857_3650668749">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3584859_3650668749">
            <w:r>
              <w:rPr>
                <w:webHidden/>
                <w:rStyle w:val="IndexLink"/>
                <w:rtl w:val="true"/>
              </w:rPr>
              <w:t xml:space="preserve">يك </w:t>
            </w:r>
            <w:r>
              <w:rPr>
                <w:rStyle w:val="IndexLink"/>
                <w:rtl w:val="true"/>
              </w:rPr>
              <w:t xml:space="preserve">- </w:t>
            </w:r>
            <w:r>
              <w:rPr>
                <w:rStyle w:val="IndexLink"/>
                <w:rtl w:val="true"/>
              </w:rPr>
              <w:t>خانه‌ها‌ى واقع در مركز شهر</w:t>
            </w:r>
            <w:r>
              <w:rPr>
                <w:rStyle w:val="IndexLink"/>
                <w:rtl w:val="true"/>
              </w:rPr>
              <w:tab/>
            </w:r>
            <w:r>
              <w:rPr>
                <w:rStyle w:val="IndexLink"/>
              </w:rPr>
              <w:t>116</w:t>
            </w:r>
          </w:hyperlink>
        </w:p>
        <w:p>
          <w:pPr>
            <w:pStyle w:val="Contents6"/>
            <w:tabs>
              <w:tab w:val="clear" w:pos="7609"/>
              <w:tab w:val="right" w:pos="9026" w:leader="dot"/>
            </w:tabs>
            <w:rPr/>
          </w:pPr>
          <w:hyperlink w:anchor="__RefHeading___Toc3584861_3650668749">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3584863_3650668749">
            <w:r>
              <w:rPr>
                <w:webHidden/>
                <w:rStyle w:val="IndexLink"/>
                <w:rtl w:val="true"/>
              </w:rPr>
              <w:t xml:space="preserve">اول </w:t>
            </w:r>
            <w:r>
              <w:rPr>
                <w:rStyle w:val="IndexLink"/>
                <w:rtl w:val="true"/>
              </w:rPr>
              <w:t xml:space="preserve">- </w:t>
            </w:r>
            <w:r>
              <w:rPr>
                <w:rStyle w:val="IndexLink"/>
                <w:rtl w:val="true"/>
              </w:rPr>
              <w:t xml:space="preserve">خانه حضرت على </w:t>
            </w:r>
            <w:r>
              <w:rPr>
                <w:rStyle w:val="IndexLink"/>
                <w:rtl w:val="true"/>
              </w:rPr>
              <w:t>(</w:t>
            </w:r>
            <w:r>
              <w:rPr>
                <w:rStyle w:val="IndexLink"/>
                <w:rtl w:val="true"/>
              </w:rPr>
              <w:t>عليه السلام</w:t>
            </w:r>
            <w:r>
              <w:rPr>
                <w:rStyle w:val="IndexLink"/>
                <w:rtl w:val="true"/>
              </w:rPr>
              <w:t>)</w:t>
              <w:tab/>
            </w:r>
            <w:r>
              <w:rPr>
                <w:rStyle w:val="IndexLink"/>
              </w:rPr>
              <w:t>116</w:t>
            </w:r>
          </w:hyperlink>
        </w:p>
        <w:p>
          <w:pPr>
            <w:pStyle w:val="Contents6"/>
            <w:tabs>
              <w:tab w:val="clear" w:pos="7609"/>
              <w:tab w:val="right" w:pos="9026" w:leader="dot"/>
            </w:tabs>
            <w:rPr/>
          </w:pPr>
          <w:hyperlink w:anchor="__RefHeading___Toc3584865_3650668749">
            <w:r>
              <w:rPr>
                <w:webHidden/>
                <w:rStyle w:val="IndexLink"/>
                <w:rtl w:val="true"/>
              </w:rPr>
              <w:t xml:space="preserve">دوم </w:t>
            </w:r>
            <w:r>
              <w:rPr>
                <w:rStyle w:val="IndexLink"/>
                <w:rtl w:val="true"/>
              </w:rPr>
              <w:t xml:space="preserve">- </w:t>
            </w:r>
            <w:r>
              <w:rPr>
                <w:rStyle w:val="IndexLink"/>
                <w:rtl w:val="true"/>
              </w:rPr>
              <w:t>خانه جُعْدَه بن هبيره مخزومي</w:t>
            </w:r>
            <w:r>
              <w:rPr>
                <w:rStyle w:val="IndexLink"/>
                <w:rtl w:val="true"/>
              </w:rPr>
              <w:tab/>
            </w:r>
            <w:r>
              <w:rPr>
                <w:rStyle w:val="IndexLink"/>
              </w:rPr>
              <w:t>118</w:t>
            </w:r>
          </w:hyperlink>
        </w:p>
        <w:p>
          <w:pPr>
            <w:pStyle w:val="Contents6"/>
            <w:tabs>
              <w:tab w:val="clear" w:pos="7609"/>
              <w:tab w:val="right" w:pos="9026" w:leader="dot"/>
            </w:tabs>
            <w:rPr/>
          </w:pPr>
          <w:hyperlink w:anchor="__RefHeading___Toc3584867_3650668749">
            <w:r>
              <w:rPr>
                <w:webHidden/>
                <w:rStyle w:val="IndexLink"/>
                <w:rtl w:val="true"/>
              </w:rPr>
              <w:t xml:space="preserve">سوم </w:t>
            </w:r>
            <w:r>
              <w:rPr>
                <w:rStyle w:val="IndexLink"/>
                <w:rtl w:val="true"/>
              </w:rPr>
              <w:t xml:space="preserve">- </w:t>
            </w:r>
            <w:r>
              <w:rPr>
                <w:rStyle w:val="IndexLink"/>
                <w:rtl w:val="true"/>
              </w:rPr>
              <w:t>خانه عبدالله بن مسعود</w:t>
            </w:r>
            <w:r>
              <w:rPr>
                <w:rStyle w:val="IndexLink"/>
                <w:rtl w:val="true"/>
              </w:rPr>
              <w:tab/>
            </w:r>
            <w:r>
              <w:rPr>
                <w:rStyle w:val="IndexLink"/>
              </w:rPr>
              <w:t>118</w:t>
            </w:r>
          </w:hyperlink>
        </w:p>
        <w:p>
          <w:pPr>
            <w:pStyle w:val="Contents6"/>
            <w:tabs>
              <w:tab w:val="clear" w:pos="7609"/>
              <w:tab w:val="right" w:pos="9026" w:leader="dot"/>
            </w:tabs>
            <w:rPr/>
          </w:pPr>
          <w:hyperlink w:anchor="__RefHeading___Toc3584869_3650668749">
            <w:r>
              <w:rPr>
                <w:webHidden/>
                <w:rStyle w:val="IndexLink"/>
                <w:rtl w:val="true"/>
              </w:rPr>
              <w:t xml:space="preserve">چهارم </w:t>
            </w:r>
            <w:r>
              <w:rPr>
                <w:rStyle w:val="IndexLink"/>
                <w:rtl w:val="true"/>
              </w:rPr>
              <w:t xml:space="preserve">- </w:t>
            </w:r>
            <w:r>
              <w:rPr>
                <w:rStyle w:val="IndexLink"/>
                <w:rtl w:val="true"/>
              </w:rPr>
              <w:t>خانه وليد بن عُقْبه</w:t>
            </w:r>
            <w:r>
              <w:rPr>
                <w:rStyle w:val="IndexLink"/>
                <w:rtl w:val="true"/>
              </w:rPr>
              <w:tab/>
            </w:r>
            <w:r>
              <w:rPr>
                <w:rStyle w:val="IndexLink"/>
              </w:rPr>
              <w:t>118</w:t>
            </w:r>
          </w:hyperlink>
        </w:p>
        <w:p>
          <w:pPr>
            <w:pStyle w:val="Contents6"/>
            <w:tabs>
              <w:tab w:val="clear" w:pos="7609"/>
              <w:tab w:val="right" w:pos="9026" w:leader="dot"/>
            </w:tabs>
            <w:rPr/>
          </w:pPr>
          <w:hyperlink w:anchor="__RefHeading___Toc3584871_3650668749">
            <w:r>
              <w:rPr>
                <w:webHidden/>
                <w:rStyle w:val="IndexLink"/>
                <w:rtl w:val="true"/>
              </w:rPr>
              <w:t xml:space="preserve">پنجم </w:t>
            </w:r>
            <w:r>
              <w:rPr>
                <w:rStyle w:val="IndexLink"/>
                <w:rtl w:val="true"/>
              </w:rPr>
              <w:t xml:space="preserve">- </w:t>
            </w:r>
            <w:r>
              <w:rPr>
                <w:rStyle w:val="IndexLink"/>
                <w:rtl w:val="true"/>
              </w:rPr>
              <w:t>خانه عُماره بن عُقْبَه</w:t>
            </w:r>
            <w:r>
              <w:rPr>
                <w:rStyle w:val="IndexLink"/>
                <w:rtl w:val="true"/>
              </w:rPr>
              <w:tab/>
            </w:r>
            <w:r>
              <w:rPr>
                <w:rStyle w:val="IndexLink"/>
              </w:rPr>
              <w:t>118</w:t>
            </w:r>
          </w:hyperlink>
        </w:p>
        <w:p>
          <w:pPr>
            <w:pStyle w:val="Contents6"/>
            <w:tabs>
              <w:tab w:val="clear" w:pos="7609"/>
              <w:tab w:val="right" w:pos="9026" w:leader="dot"/>
            </w:tabs>
            <w:rPr/>
          </w:pPr>
          <w:hyperlink w:anchor="__RefHeading___Toc3584873_3650668749">
            <w:r>
              <w:rPr>
                <w:webHidden/>
                <w:rStyle w:val="IndexLink"/>
                <w:rtl w:val="true"/>
              </w:rPr>
              <w:t xml:space="preserve">ششم </w:t>
            </w:r>
            <w:r>
              <w:rPr>
                <w:rStyle w:val="IndexLink"/>
                <w:rtl w:val="true"/>
              </w:rPr>
              <w:t xml:space="preserve">- </w:t>
            </w:r>
            <w:r>
              <w:rPr>
                <w:rStyle w:val="IndexLink"/>
                <w:rtl w:val="true"/>
              </w:rPr>
              <w:t>خانه ابوموسى اشعري</w:t>
            </w:r>
            <w:r>
              <w:rPr>
                <w:rStyle w:val="IndexLink"/>
                <w:rtl w:val="true"/>
              </w:rPr>
              <w:tab/>
            </w:r>
            <w:r>
              <w:rPr>
                <w:rStyle w:val="IndexLink"/>
              </w:rPr>
              <w:t>119</w:t>
            </w:r>
          </w:hyperlink>
        </w:p>
        <w:p>
          <w:pPr>
            <w:pStyle w:val="Contents6"/>
            <w:tabs>
              <w:tab w:val="clear" w:pos="7609"/>
              <w:tab w:val="right" w:pos="9026" w:leader="dot"/>
            </w:tabs>
            <w:rPr/>
          </w:pPr>
          <w:hyperlink w:anchor="__RefHeading___Toc3584875_3650668749">
            <w:r>
              <w:rPr>
                <w:webHidden/>
                <w:rStyle w:val="IndexLink"/>
                <w:rtl w:val="true"/>
              </w:rPr>
              <w:t xml:space="preserve">هفتم </w:t>
            </w:r>
            <w:r>
              <w:rPr>
                <w:rStyle w:val="IndexLink"/>
                <w:rtl w:val="true"/>
              </w:rPr>
              <w:t xml:space="preserve">- </w:t>
            </w:r>
            <w:r>
              <w:rPr>
                <w:rStyle w:val="IndexLink"/>
                <w:rtl w:val="true"/>
              </w:rPr>
              <w:t>خانه حُذَيفة بن يَمان</w:t>
            </w:r>
            <w:r>
              <w:rPr>
                <w:rStyle w:val="IndexLink"/>
                <w:rtl w:val="true"/>
              </w:rPr>
              <w:tab/>
            </w:r>
            <w:r>
              <w:rPr>
                <w:rStyle w:val="IndexLink"/>
              </w:rPr>
              <w:t>119</w:t>
            </w:r>
          </w:hyperlink>
        </w:p>
        <w:p>
          <w:pPr>
            <w:pStyle w:val="Contents6"/>
            <w:tabs>
              <w:tab w:val="clear" w:pos="7609"/>
              <w:tab w:val="right" w:pos="9026" w:leader="dot"/>
            </w:tabs>
            <w:rPr/>
          </w:pPr>
          <w:hyperlink w:anchor="__RefHeading___Toc3584877_3650668749">
            <w:r>
              <w:rPr>
                <w:webHidden/>
                <w:rStyle w:val="IndexLink"/>
                <w:rtl w:val="true"/>
              </w:rPr>
              <w:t xml:space="preserve">هشتم و نهم </w:t>
            </w:r>
            <w:r>
              <w:rPr>
                <w:rStyle w:val="IndexLink"/>
                <w:rtl w:val="true"/>
              </w:rPr>
              <w:t xml:space="preserve">- </w:t>
            </w:r>
            <w:r>
              <w:rPr>
                <w:rStyle w:val="IndexLink"/>
                <w:rtl w:val="true"/>
              </w:rPr>
              <w:t>خانه سلمان بن ربيعه باهلي و مُسَيّب بن نَجْبَه فَزاريّ</w:t>
            </w:r>
            <w:r>
              <w:rPr>
                <w:rStyle w:val="IndexLink"/>
                <w:rtl w:val="true"/>
              </w:rPr>
              <w:tab/>
            </w:r>
            <w:r>
              <w:rPr>
                <w:rStyle w:val="IndexLink"/>
              </w:rPr>
              <w:t>119</w:t>
            </w:r>
          </w:hyperlink>
        </w:p>
        <w:p>
          <w:pPr>
            <w:pStyle w:val="Contents6"/>
            <w:tabs>
              <w:tab w:val="clear" w:pos="7609"/>
              <w:tab w:val="right" w:pos="9026" w:leader="dot"/>
            </w:tabs>
            <w:rPr/>
          </w:pPr>
          <w:hyperlink w:anchor="__RefHeading___Toc3584879_3650668749">
            <w:r>
              <w:rPr>
                <w:webHidden/>
                <w:rStyle w:val="IndexLink"/>
                <w:rtl w:val="true"/>
              </w:rPr>
              <w:t xml:space="preserve">دهم </w:t>
            </w:r>
            <w:r>
              <w:rPr>
                <w:rStyle w:val="IndexLink"/>
                <w:rtl w:val="true"/>
              </w:rPr>
              <w:t xml:space="preserve">- </w:t>
            </w:r>
            <w:r>
              <w:rPr>
                <w:rStyle w:val="IndexLink"/>
                <w:rtl w:val="true"/>
              </w:rPr>
              <w:t>خانه عمرو بن حُرَيث</w:t>
            </w:r>
            <w:r>
              <w:rPr>
                <w:rStyle w:val="IndexLink"/>
                <w:rtl w:val="true"/>
              </w:rPr>
              <w:tab/>
            </w:r>
            <w:r>
              <w:rPr>
                <w:rStyle w:val="IndexLink"/>
              </w:rPr>
              <w:t>119</w:t>
            </w:r>
          </w:hyperlink>
        </w:p>
        <w:p>
          <w:pPr>
            <w:pStyle w:val="Contents6"/>
            <w:tabs>
              <w:tab w:val="clear" w:pos="7609"/>
              <w:tab w:val="right" w:pos="9026" w:leader="dot"/>
            </w:tabs>
            <w:rPr/>
          </w:pPr>
          <w:hyperlink w:anchor="__RefHeading___Toc3584881_3650668749">
            <w:r>
              <w:rPr>
                <w:webHidden/>
                <w:rStyle w:val="IndexLink"/>
                <w:rtl w:val="true"/>
              </w:rPr>
              <w:t xml:space="preserve">يازدهم </w:t>
            </w:r>
            <w:r>
              <w:rPr>
                <w:rStyle w:val="IndexLink"/>
                <w:rtl w:val="true"/>
              </w:rPr>
              <w:t xml:space="preserve">- </w:t>
            </w:r>
            <w:r>
              <w:rPr>
                <w:rStyle w:val="IndexLink"/>
                <w:rtl w:val="true"/>
              </w:rPr>
              <w:t>خانه طَلْحة بن عبيدالله</w:t>
            </w:r>
            <w:r>
              <w:rPr>
                <w:rStyle w:val="IndexLink"/>
                <w:rtl w:val="true"/>
              </w:rPr>
              <w:tab/>
            </w:r>
            <w:r>
              <w:rPr>
                <w:rStyle w:val="IndexLink"/>
              </w:rPr>
              <w:t>120</w:t>
            </w:r>
          </w:hyperlink>
        </w:p>
        <w:p>
          <w:pPr>
            <w:pStyle w:val="Contents6"/>
            <w:tabs>
              <w:tab w:val="clear" w:pos="7609"/>
              <w:tab w:val="right" w:pos="9026" w:leader="dot"/>
            </w:tabs>
            <w:rPr/>
          </w:pPr>
          <w:hyperlink w:anchor="__RefHeading___Toc3584883_3650668749">
            <w:r>
              <w:rPr>
                <w:webHidden/>
                <w:rStyle w:val="IndexLink"/>
                <w:rtl w:val="true"/>
              </w:rPr>
              <w:t xml:space="preserve">دوازدهم </w:t>
            </w:r>
            <w:r>
              <w:rPr>
                <w:rStyle w:val="IndexLink"/>
                <w:rtl w:val="true"/>
              </w:rPr>
              <w:t xml:space="preserve">- </w:t>
            </w:r>
            <w:r>
              <w:rPr>
                <w:rStyle w:val="IndexLink"/>
                <w:rtl w:val="true"/>
              </w:rPr>
              <w:t>خانه خالد بن عرفطه</w:t>
            </w:r>
            <w:r>
              <w:rPr>
                <w:rStyle w:val="IndexLink"/>
                <w:rtl w:val="true"/>
              </w:rPr>
              <w:tab/>
            </w:r>
            <w:r>
              <w:rPr>
                <w:rStyle w:val="IndexLink"/>
              </w:rPr>
              <w:t>120</w:t>
            </w:r>
          </w:hyperlink>
        </w:p>
        <w:p>
          <w:pPr>
            <w:pStyle w:val="Contents6"/>
            <w:tabs>
              <w:tab w:val="clear" w:pos="7609"/>
              <w:tab w:val="right" w:pos="9026" w:leader="dot"/>
            </w:tabs>
            <w:rPr/>
          </w:pPr>
          <w:hyperlink w:anchor="__RefHeading___Toc3584885_3650668749">
            <w:r>
              <w:rPr>
                <w:webHidden/>
                <w:rStyle w:val="IndexLink"/>
                <w:rtl w:val="true"/>
              </w:rPr>
              <w:t xml:space="preserve">سيزدهم </w:t>
            </w:r>
            <w:r>
              <w:rPr>
                <w:rStyle w:val="IndexLink"/>
                <w:rtl w:val="true"/>
              </w:rPr>
              <w:t xml:space="preserve">- </w:t>
            </w:r>
            <w:r>
              <w:rPr>
                <w:rStyle w:val="IndexLink"/>
                <w:rtl w:val="true"/>
              </w:rPr>
              <w:t>خانه سَعد بن قيس</w:t>
            </w:r>
            <w:r>
              <w:rPr>
                <w:rStyle w:val="IndexLink"/>
                <w:rtl w:val="true"/>
              </w:rPr>
              <w:tab/>
            </w:r>
            <w:r>
              <w:rPr>
                <w:rStyle w:val="IndexLink"/>
              </w:rPr>
              <w:t>120</w:t>
            </w:r>
          </w:hyperlink>
        </w:p>
        <w:p>
          <w:pPr>
            <w:pStyle w:val="Contents6"/>
            <w:tabs>
              <w:tab w:val="clear" w:pos="7609"/>
              <w:tab w:val="right" w:pos="9026" w:leader="dot"/>
            </w:tabs>
            <w:rPr/>
          </w:pPr>
          <w:hyperlink w:anchor="__RefHeading___Toc3584887_3650668749">
            <w:r>
              <w:rPr>
                <w:webHidden/>
                <w:rStyle w:val="IndexLink"/>
                <w:rtl w:val="true"/>
              </w:rPr>
              <w:t xml:space="preserve">چهاردهم </w:t>
            </w:r>
            <w:r>
              <w:rPr>
                <w:rStyle w:val="IndexLink"/>
                <w:rtl w:val="true"/>
              </w:rPr>
              <w:t xml:space="preserve">- </w:t>
            </w:r>
            <w:r>
              <w:rPr>
                <w:rStyle w:val="IndexLink"/>
                <w:rtl w:val="true"/>
              </w:rPr>
              <w:t>خانه ابن‌حكيم</w:t>
            </w:r>
            <w:r>
              <w:rPr>
                <w:rStyle w:val="IndexLink"/>
                <w:rtl w:val="true"/>
              </w:rPr>
              <w:tab/>
            </w:r>
            <w:r>
              <w:rPr>
                <w:rStyle w:val="IndexLink"/>
              </w:rPr>
              <w:t>120</w:t>
            </w:r>
          </w:hyperlink>
        </w:p>
        <w:p>
          <w:pPr>
            <w:pStyle w:val="Contents6"/>
            <w:tabs>
              <w:tab w:val="clear" w:pos="7609"/>
              <w:tab w:val="right" w:pos="9026" w:leader="dot"/>
            </w:tabs>
            <w:rPr/>
          </w:pPr>
          <w:hyperlink w:anchor="__RefHeading___Toc3584889_3650668749">
            <w:r>
              <w:rPr>
                <w:webHidden/>
                <w:rStyle w:val="IndexLink"/>
                <w:rtl w:val="true"/>
              </w:rPr>
              <w:t xml:space="preserve">پانزدهم </w:t>
            </w:r>
            <w:r>
              <w:rPr>
                <w:rStyle w:val="IndexLink"/>
                <w:rtl w:val="true"/>
              </w:rPr>
              <w:t xml:space="preserve">- </w:t>
            </w:r>
            <w:r>
              <w:rPr>
                <w:rStyle w:val="IndexLink"/>
                <w:rtl w:val="true"/>
              </w:rPr>
              <w:t>خانه مختار بن ابي‌عُبَيده ثَقَفي</w:t>
            </w:r>
            <w:r>
              <w:rPr>
                <w:rStyle w:val="IndexLink"/>
                <w:rtl w:val="true"/>
              </w:rPr>
              <w:tab/>
            </w:r>
            <w:r>
              <w:rPr>
                <w:rStyle w:val="IndexLink"/>
              </w:rPr>
              <w:t>121</w:t>
            </w:r>
          </w:hyperlink>
        </w:p>
        <w:p>
          <w:pPr>
            <w:pStyle w:val="Contents5"/>
            <w:tabs>
              <w:tab w:val="clear" w:pos="7892"/>
              <w:tab w:val="right" w:pos="9026" w:leader="dot"/>
            </w:tabs>
            <w:rPr/>
          </w:pPr>
          <w:hyperlink w:anchor="__RefHeading___Toc3584891_3650668749">
            <w:r>
              <w:rPr>
                <w:webHidden/>
                <w:rStyle w:val="IndexLink"/>
                <w:rtl w:val="true"/>
              </w:rPr>
              <w:t xml:space="preserve">دو </w:t>
            </w:r>
            <w:r>
              <w:rPr>
                <w:rStyle w:val="IndexLink"/>
                <w:rtl w:val="true"/>
              </w:rPr>
              <w:t xml:space="preserve">- </w:t>
            </w:r>
            <w:r>
              <w:rPr>
                <w:rStyle w:val="IndexLink"/>
                <w:rtl w:val="true"/>
              </w:rPr>
              <w:t>خانه‌ها‌ى واقع در محله‌ها‌ى شهر</w:t>
            </w:r>
            <w:r>
              <w:rPr>
                <w:rStyle w:val="IndexLink"/>
                <w:rtl w:val="true"/>
              </w:rPr>
              <w:tab/>
            </w:r>
            <w:r>
              <w:rPr>
                <w:rStyle w:val="IndexLink"/>
              </w:rPr>
              <w:t>121</w:t>
            </w:r>
          </w:hyperlink>
        </w:p>
        <w:p>
          <w:pPr>
            <w:pStyle w:val="Contents6"/>
            <w:tabs>
              <w:tab w:val="clear" w:pos="7609"/>
              <w:tab w:val="right" w:pos="9026" w:leader="dot"/>
            </w:tabs>
            <w:rPr/>
          </w:pPr>
          <w:hyperlink w:anchor="__RefHeading___Toc3584893_3650668749">
            <w:r>
              <w:rPr>
                <w:webHidden/>
                <w:rStyle w:val="IndexLink"/>
                <w:rtl w:val="true"/>
              </w:rPr>
              <w:t xml:space="preserve">اول </w:t>
            </w:r>
            <w:r>
              <w:rPr>
                <w:rStyle w:val="IndexLink"/>
                <w:rtl w:val="true"/>
              </w:rPr>
              <w:t xml:space="preserve">- </w:t>
            </w:r>
            <w:r>
              <w:rPr>
                <w:rStyle w:val="IndexLink"/>
                <w:rtl w:val="true"/>
              </w:rPr>
              <w:t>خانه خَبّاب بن اَرَت</w:t>
            </w:r>
            <w:r>
              <w:rPr>
                <w:rStyle w:val="IndexLink"/>
                <w:rtl w:val="true"/>
              </w:rPr>
              <w:tab/>
            </w:r>
            <w:r>
              <w:rPr>
                <w:rStyle w:val="IndexLink"/>
              </w:rPr>
              <w:t>121</w:t>
            </w:r>
          </w:hyperlink>
        </w:p>
        <w:p>
          <w:pPr>
            <w:pStyle w:val="Contents6"/>
            <w:tabs>
              <w:tab w:val="clear" w:pos="7609"/>
              <w:tab w:val="right" w:pos="9026" w:leader="dot"/>
            </w:tabs>
            <w:rPr/>
          </w:pPr>
          <w:hyperlink w:anchor="__RefHeading___Toc3584895_3650668749">
            <w:r>
              <w:rPr>
                <w:webHidden/>
                <w:rStyle w:val="IndexLink"/>
                <w:rtl w:val="true"/>
              </w:rPr>
              <w:t xml:space="preserve">دوم </w:t>
            </w:r>
            <w:r>
              <w:rPr>
                <w:rStyle w:val="IndexLink"/>
                <w:rtl w:val="true"/>
              </w:rPr>
              <w:t xml:space="preserve">- </w:t>
            </w:r>
            <w:r>
              <w:rPr>
                <w:rStyle w:val="IndexLink"/>
                <w:rtl w:val="true"/>
              </w:rPr>
              <w:t>خانه زيد بن ارْقَم انصاري</w:t>
            </w:r>
            <w:r>
              <w:rPr>
                <w:rStyle w:val="IndexLink"/>
                <w:rtl w:val="true"/>
              </w:rPr>
              <w:tab/>
            </w:r>
            <w:r>
              <w:rPr>
                <w:rStyle w:val="IndexLink"/>
              </w:rPr>
              <w:t>121</w:t>
            </w:r>
          </w:hyperlink>
        </w:p>
        <w:p>
          <w:pPr>
            <w:pStyle w:val="Contents6"/>
            <w:tabs>
              <w:tab w:val="clear" w:pos="7609"/>
              <w:tab w:val="right" w:pos="9026" w:leader="dot"/>
            </w:tabs>
            <w:rPr/>
          </w:pPr>
          <w:hyperlink w:anchor="__RefHeading___Toc3584897_3650668749">
            <w:r>
              <w:rPr>
                <w:webHidden/>
                <w:rStyle w:val="IndexLink"/>
                <w:rtl w:val="true"/>
              </w:rPr>
              <w:t xml:space="preserve">سوم </w:t>
            </w:r>
            <w:r>
              <w:rPr>
                <w:rStyle w:val="IndexLink"/>
                <w:rtl w:val="true"/>
              </w:rPr>
              <w:t xml:space="preserve">- </w:t>
            </w:r>
            <w:r>
              <w:rPr>
                <w:rStyle w:val="IndexLink"/>
                <w:rtl w:val="true"/>
              </w:rPr>
              <w:t>خانه جَرير بن عبدالله بجلي</w:t>
            </w:r>
            <w:r>
              <w:rPr>
                <w:rStyle w:val="IndexLink"/>
                <w:rtl w:val="true"/>
              </w:rPr>
              <w:tab/>
            </w:r>
            <w:r>
              <w:rPr>
                <w:rStyle w:val="IndexLink"/>
              </w:rPr>
              <w:t>121</w:t>
            </w:r>
          </w:hyperlink>
        </w:p>
        <w:p>
          <w:pPr>
            <w:pStyle w:val="Contents6"/>
            <w:tabs>
              <w:tab w:val="clear" w:pos="7609"/>
              <w:tab w:val="right" w:pos="9026" w:leader="dot"/>
            </w:tabs>
            <w:rPr/>
          </w:pPr>
          <w:hyperlink w:anchor="__RefHeading___Toc3584899_3650668749">
            <w:r>
              <w:rPr>
                <w:webHidden/>
                <w:rStyle w:val="IndexLink"/>
                <w:rtl w:val="true"/>
              </w:rPr>
              <w:t xml:space="preserve">چهارم </w:t>
            </w:r>
            <w:r>
              <w:rPr>
                <w:rStyle w:val="IndexLink"/>
                <w:rtl w:val="true"/>
              </w:rPr>
              <w:t xml:space="preserve">- </w:t>
            </w:r>
            <w:r>
              <w:rPr>
                <w:rStyle w:val="IndexLink"/>
                <w:rtl w:val="true"/>
              </w:rPr>
              <w:t>خانه عدي بن حاتم طائي</w:t>
            </w:r>
            <w:r>
              <w:rPr>
                <w:rStyle w:val="IndexLink"/>
                <w:rtl w:val="true"/>
              </w:rPr>
              <w:tab/>
            </w:r>
            <w:r>
              <w:rPr>
                <w:rStyle w:val="IndexLink"/>
              </w:rPr>
              <w:t>121</w:t>
            </w:r>
          </w:hyperlink>
        </w:p>
        <w:p>
          <w:pPr>
            <w:pStyle w:val="Contents6"/>
            <w:tabs>
              <w:tab w:val="clear" w:pos="7609"/>
              <w:tab w:val="right" w:pos="9026" w:leader="dot"/>
            </w:tabs>
            <w:rPr/>
          </w:pPr>
          <w:hyperlink w:anchor="__RefHeading___Toc3584901_3650668749">
            <w:r>
              <w:rPr>
                <w:webHidden/>
                <w:rStyle w:val="IndexLink"/>
                <w:rtl w:val="true"/>
              </w:rPr>
              <w:t xml:space="preserve">پنجم </w:t>
            </w:r>
            <w:r>
              <w:rPr>
                <w:rStyle w:val="IndexLink"/>
                <w:rtl w:val="true"/>
              </w:rPr>
              <w:t xml:space="preserve">- </w:t>
            </w:r>
            <w:r>
              <w:rPr>
                <w:rStyle w:val="IndexLink"/>
                <w:rtl w:val="true"/>
              </w:rPr>
              <w:t>خانه خُنَيْس بن سَعد</w:t>
            </w:r>
            <w:r>
              <w:rPr>
                <w:rStyle w:val="IndexLink"/>
                <w:rtl w:val="true"/>
              </w:rPr>
              <w:tab/>
            </w:r>
            <w:r>
              <w:rPr>
                <w:rStyle w:val="IndexLink"/>
              </w:rPr>
              <w:t>122</w:t>
            </w:r>
          </w:hyperlink>
        </w:p>
        <w:p>
          <w:pPr>
            <w:pStyle w:val="Contents6"/>
            <w:tabs>
              <w:tab w:val="clear" w:pos="7609"/>
              <w:tab w:val="right" w:pos="9026" w:leader="dot"/>
            </w:tabs>
            <w:rPr/>
          </w:pPr>
          <w:hyperlink w:anchor="__RefHeading___Toc3584903_3650668749">
            <w:r>
              <w:rPr>
                <w:webHidden/>
                <w:rStyle w:val="IndexLink"/>
                <w:rtl w:val="true"/>
              </w:rPr>
              <w:t xml:space="preserve">ششم </w:t>
            </w:r>
            <w:r>
              <w:rPr>
                <w:rStyle w:val="IndexLink"/>
                <w:rtl w:val="true"/>
              </w:rPr>
              <w:t xml:space="preserve">- </w:t>
            </w:r>
            <w:r>
              <w:rPr>
                <w:rStyle w:val="IndexLink"/>
                <w:rtl w:val="true"/>
              </w:rPr>
              <w:t>خانه هاني بن عُرْوه</w:t>
            </w:r>
            <w:r>
              <w:rPr>
                <w:rStyle w:val="IndexLink"/>
                <w:rtl w:val="true"/>
              </w:rPr>
              <w:tab/>
            </w:r>
            <w:r>
              <w:rPr>
                <w:rStyle w:val="IndexLink"/>
              </w:rPr>
              <w:t>122</w:t>
            </w:r>
          </w:hyperlink>
        </w:p>
        <w:p>
          <w:pPr>
            <w:pStyle w:val="Contents6"/>
            <w:tabs>
              <w:tab w:val="clear" w:pos="7609"/>
              <w:tab w:val="right" w:pos="9026" w:leader="dot"/>
            </w:tabs>
            <w:rPr/>
          </w:pPr>
          <w:hyperlink w:anchor="__RefHeading___Toc3584905_3650668749">
            <w:r>
              <w:rPr>
                <w:webHidden/>
                <w:rStyle w:val="IndexLink"/>
                <w:rtl w:val="true"/>
              </w:rPr>
              <w:t xml:space="preserve">هفتم </w:t>
            </w:r>
            <w:r>
              <w:rPr>
                <w:rStyle w:val="IndexLink"/>
                <w:rtl w:val="true"/>
              </w:rPr>
              <w:t xml:space="preserve">- </w:t>
            </w:r>
            <w:r>
              <w:rPr>
                <w:rStyle w:val="IndexLink"/>
                <w:rtl w:val="true"/>
              </w:rPr>
              <w:t>خانه اَشْعث بن قيس</w:t>
            </w:r>
            <w:r>
              <w:rPr>
                <w:rStyle w:val="IndexLink"/>
                <w:rtl w:val="true"/>
              </w:rPr>
              <w:tab/>
            </w:r>
            <w:r>
              <w:rPr>
                <w:rStyle w:val="IndexLink"/>
              </w:rPr>
              <w:t>122</w:t>
            </w:r>
          </w:hyperlink>
        </w:p>
        <w:p>
          <w:pPr>
            <w:pStyle w:val="Contents6"/>
            <w:tabs>
              <w:tab w:val="clear" w:pos="7609"/>
              <w:tab w:val="right" w:pos="9026" w:leader="dot"/>
            </w:tabs>
            <w:rPr/>
          </w:pPr>
          <w:hyperlink w:anchor="__RefHeading___Toc3584907_3650668749">
            <w:r>
              <w:rPr>
                <w:webHidden/>
                <w:rStyle w:val="IndexLink"/>
                <w:rtl w:val="true"/>
              </w:rPr>
              <w:t xml:space="preserve">هشتم </w:t>
            </w:r>
            <w:r>
              <w:rPr>
                <w:rStyle w:val="IndexLink"/>
                <w:rtl w:val="true"/>
              </w:rPr>
              <w:t xml:space="preserve">- </w:t>
            </w:r>
            <w:r>
              <w:rPr>
                <w:rStyle w:val="IndexLink"/>
                <w:rtl w:val="true"/>
              </w:rPr>
              <w:t>خانه قُرظَة بن كَعْب انصاري</w:t>
            </w:r>
            <w:r>
              <w:rPr>
                <w:rStyle w:val="IndexLink"/>
                <w:rtl w:val="true"/>
              </w:rPr>
              <w:tab/>
            </w:r>
            <w:r>
              <w:rPr>
                <w:rStyle w:val="IndexLink"/>
              </w:rPr>
              <w:t>122</w:t>
            </w:r>
          </w:hyperlink>
        </w:p>
        <w:p>
          <w:pPr>
            <w:pStyle w:val="Contents3"/>
            <w:tabs>
              <w:tab w:val="clear" w:pos="8459"/>
              <w:tab w:val="right" w:pos="9026" w:leader="dot"/>
            </w:tabs>
            <w:rPr/>
          </w:pPr>
          <w:hyperlink w:anchor="__RefHeading___Toc3584909_3650668749">
            <w:r>
              <w:rPr>
                <w:webHidden/>
                <w:rStyle w:val="IndexLink"/>
              </w:rPr>
              <w:t>٢</w:t>
            </w:r>
            <w:r>
              <w:rPr>
                <w:rStyle w:val="IndexLink"/>
                <w:rtl w:val="true"/>
              </w:rPr>
              <w:t xml:space="preserve">. </w:t>
            </w:r>
            <w:r>
              <w:rPr>
                <w:rStyle w:val="IndexLink"/>
                <w:rtl w:val="true"/>
              </w:rPr>
              <w:t>بازارها</w:t>
            </w:r>
            <w:r>
              <w:rPr>
                <w:rStyle w:val="IndexLink"/>
                <w:rtl w:val="true"/>
              </w:rPr>
              <w:tab/>
            </w:r>
            <w:r>
              <w:rPr>
                <w:rStyle w:val="IndexLink"/>
              </w:rPr>
              <w:t>123</w:t>
            </w:r>
          </w:hyperlink>
        </w:p>
        <w:p>
          <w:pPr>
            <w:pStyle w:val="Contents4"/>
            <w:tabs>
              <w:tab w:val="clear" w:pos="8176"/>
              <w:tab w:val="right" w:pos="9026" w:leader="dot"/>
            </w:tabs>
            <w:rPr/>
          </w:pPr>
          <w:hyperlink w:anchor="__RefHeading___Toc3584911_3650668749">
            <w:r>
              <w:rPr>
                <w:webHidden/>
                <w:rStyle w:val="IndexLink"/>
                <w:rtl w:val="true"/>
              </w:rPr>
              <w:t>الف</w:t>
            </w:r>
            <w:r>
              <w:rPr>
                <w:rStyle w:val="IndexLink"/>
                <w:rtl w:val="true"/>
              </w:rPr>
              <w:t xml:space="preserve">) </w:t>
            </w:r>
            <w:r>
              <w:rPr>
                <w:rStyle w:val="IndexLink"/>
                <w:rtl w:val="true"/>
              </w:rPr>
              <w:t>موقعيت بازارها</w:t>
            </w:r>
            <w:r>
              <w:rPr>
                <w:rStyle w:val="IndexLink"/>
                <w:rtl w:val="true"/>
              </w:rPr>
              <w:tab/>
            </w:r>
            <w:r>
              <w:rPr>
                <w:rStyle w:val="IndexLink"/>
              </w:rPr>
              <w:t>123</w:t>
            </w:r>
          </w:hyperlink>
        </w:p>
        <w:p>
          <w:pPr>
            <w:pStyle w:val="Contents4"/>
            <w:tabs>
              <w:tab w:val="clear" w:pos="8176"/>
              <w:tab w:val="right" w:pos="9026" w:leader="dot"/>
            </w:tabs>
            <w:rPr/>
          </w:pPr>
          <w:hyperlink w:anchor="__RefHeading___Toc3584913_3650668749">
            <w:r>
              <w:rPr>
                <w:webHidden/>
                <w:rStyle w:val="IndexLink"/>
                <w:rtl w:val="true"/>
              </w:rPr>
              <w:t>ب</w:t>
            </w:r>
            <w:r>
              <w:rPr>
                <w:rStyle w:val="IndexLink"/>
                <w:rtl w:val="true"/>
              </w:rPr>
              <w:t xml:space="preserve">) </w:t>
            </w:r>
            <w:r>
              <w:rPr>
                <w:rStyle w:val="IndexLink"/>
                <w:rtl w:val="true"/>
              </w:rPr>
              <w:t>وضعيت ظاهر‌ى دكان‌ها</w:t>
            </w:r>
            <w:r>
              <w:rPr>
                <w:rStyle w:val="IndexLink"/>
                <w:rtl w:val="true"/>
              </w:rPr>
              <w:tab/>
            </w:r>
            <w:r>
              <w:rPr>
                <w:rStyle w:val="IndexLink"/>
              </w:rPr>
              <w:t>123</w:t>
            </w:r>
          </w:hyperlink>
        </w:p>
        <w:p>
          <w:pPr>
            <w:pStyle w:val="Contents4"/>
            <w:tabs>
              <w:tab w:val="clear" w:pos="8176"/>
              <w:tab w:val="right" w:pos="9026" w:leader="dot"/>
            </w:tabs>
            <w:rPr/>
          </w:pPr>
          <w:hyperlink w:anchor="__RefHeading___Toc3584915_3650668749">
            <w:r>
              <w:rPr>
                <w:webHidden/>
                <w:rStyle w:val="IndexLink"/>
                <w:rtl w:val="true"/>
              </w:rPr>
              <w:t>ج</w:t>
            </w:r>
            <w:r>
              <w:rPr>
                <w:rStyle w:val="IndexLink"/>
                <w:rtl w:val="true"/>
              </w:rPr>
              <w:t xml:space="preserve">) </w:t>
            </w:r>
            <w:r>
              <w:rPr>
                <w:rStyle w:val="IndexLink"/>
                <w:rtl w:val="true"/>
              </w:rPr>
              <w:t>بازارها‌ى تخصصى</w:t>
            </w:r>
            <w:r>
              <w:rPr>
                <w:rStyle w:val="IndexLink"/>
                <w:rtl w:val="true"/>
              </w:rPr>
              <w:tab/>
            </w:r>
            <w:r>
              <w:rPr>
                <w:rStyle w:val="IndexLink"/>
              </w:rPr>
              <w:t>124</w:t>
            </w:r>
          </w:hyperlink>
        </w:p>
        <w:p>
          <w:pPr>
            <w:pStyle w:val="Contents5"/>
            <w:tabs>
              <w:tab w:val="clear" w:pos="7892"/>
              <w:tab w:val="right" w:pos="9026" w:leader="dot"/>
            </w:tabs>
            <w:rPr/>
          </w:pPr>
          <w:hyperlink w:anchor="__RefHeading___Toc3584917_3650668749">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3584919_3650668749">
            <w:r>
              <w:rPr>
                <w:webHidden/>
                <w:rStyle w:val="IndexLink"/>
                <w:rtl w:val="true"/>
              </w:rPr>
              <w:t xml:space="preserve">يك </w:t>
            </w:r>
            <w:r>
              <w:rPr>
                <w:rStyle w:val="IndexLink"/>
                <w:rtl w:val="true"/>
              </w:rPr>
              <w:t xml:space="preserve">- </w:t>
            </w:r>
            <w:r>
              <w:rPr>
                <w:rStyle w:val="IndexLink"/>
                <w:rtl w:val="true"/>
              </w:rPr>
              <w:t xml:space="preserve">بازار شترفروشان </w:t>
            </w:r>
            <w:r>
              <w:rPr>
                <w:rStyle w:val="IndexLink"/>
                <w:rtl w:val="true"/>
              </w:rPr>
              <w:t>(</w:t>
            </w:r>
            <w:r>
              <w:rPr>
                <w:rStyle w:val="IndexLink"/>
                <w:rtl w:val="true"/>
              </w:rPr>
              <w:t>سوق الابِلْ</w:t>
            </w:r>
            <w:r>
              <w:rPr>
                <w:rStyle w:val="IndexLink"/>
                <w:rtl w:val="true"/>
              </w:rPr>
              <w:t>)</w:t>
              <w:tab/>
            </w:r>
            <w:r>
              <w:rPr>
                <w:rStyle w:val="IndexLink"/>
              </w:rPr>
              <w:t>125</w:t>
            </w:r>
          </w:hyperlink>
        </w:p>
        <w:p>
          <w:pPr>
            <w:pStyle w:val="Contents5"/>
            <w:tabs>
              <w:tab w:val="clear" w:pos="7892"/>
              <w:tab w:val="right" w:pos="9026" w:leader="dot"/>
            </w:tabs>
            <w:rPr/>
          </w:pPr>
          <w:hyperlink w:anchor="__RefHeading___Toc3584921_3650668749">
            <w:r>
              <w:rPr>
                <w:webHidden/>
                <w:rStyle w:val="IndexLink"/>
                <w:rtl w:val="true"/>
              </w:rPr>
              <w:t xml:space="preserve">دو </w:t>
            </w:r>
            <w:r>
              <w:rPr>
                <w:rStyle w:val="IndexLink"/>
                <w:rtl w:val="true"/>
              </w:rPr>
              <w:t xml:space="preserve">- </w:t>
            </w:r>
            <w:r>
              <w:rPr>
                <w:rStyle w:val="IndexLink"/>
                <w:rtl w:val="true"/>
              </w:rPr>
              <w:t xml:space="preserve">بازار خرمافروشان </w:t>
            </w:r>
            <w:r>
              <w:rPr>
                <w:rStyle w:val="IndexLink"/>
                <w:rtl w:val="true"/>
              </w:rPr>
              <w:t>(</w:t>
            </w:r>
            <w:r>
              <w:rPr>
                <w:rStyle w:val="IndexLink"/>
                <w:rtl w:val="true"/>
              </w:rPr>
              <w:t>سوق التّمارين</w:t>
            </w:r>
            <w:r>
              <w:rPr>
                <w:rStyle w:val="IndexLink"/>
                <w:rtl w:val="true"/>
              </w:rPr>
              <w:t>)</w:t>
              <w:tab/>
            </w:r>
            <w:r>
              <w:rPr>
                <w:rStyle w:val="IndexLink"/>
              </w:rPr>
              <w:t>125</w:t>
            </w:r>
          </w:hyperlink>
        </w:p>
        <w:p>
          <w:pPr>
            <w:pStyle w:val="Contents5"/>
            <w:tabs>
              <w:tab w:val="clear" w:pos="7892"/>
              <w:tab w:val="right" w:pos="9026" w:leader="dot"/>
            </w:tabs>
            <w:rPr/>
          </w:pPr>
          <w:hyperlink w:anchor="__RefHeading___Toc3584923_3650668749">
            <w:r>
              <w:rPr>
                <w:webHidden/>
                <w:rStyle w:val="IndexLink"/>
                <w:rtl w:val="true"/>
              </w:rPr>
              <w:t xml:space="preserve">سه </w:t>
            </w:r>
            <w:r>
              <w:rPr>
                <w:rStyle w:val="IndexLink"/>
                <w:rtl w:val="true"/>
              </w:rPr>
              <w:t xml:space="preserve">- </w:t>
            </w:r>
            <w:r>
              <w:rPr>
                <w:rStyle w:val="IndexLink"/>
                <w:rtl w:val="true"/>
              </w:rPr>
              <w:t>بازار ماهى‌فروشان</w:t>
            </w:r>
            <w:r>
              <w:rPr>
                <w:rStyle w:val="IndexLink"/>
                <w:rtl w:val="true"/>
              </w:rPr>
              <w:tab/>
            </w:r>
            <w:r>
              <w:rPr>
                <w:rStyle w:val="IndexLink"/>
              </w:rPr>
              <w:t>126</w:t>
            </w:r>
          </w:hyperlink>
        </w:p>
        <w:p>
          <w:pPr>
            <w:pStyle w:val="Contents5"/>
            <w:tabs>
              <w:tab w:val="clear" w:pos="7892"/>
              <w:tab w:val="right" w:pos="9026" w:leader="dot"/>
            </w:tabs>
            <w:rPr/>
          </w:pPr>
          <w:hyperlink w:anchor="__RefHeading___Toc3584925_3650668749">
            <w:r>
              <w:rPr>
                <w:webHidden/>
                <w:rStyle w:val="IndexLink"/>
                <w:rtl w:val="true"/>
              </w:rPr>
              <w:t xml:space="preserve">چهار </w:t>
            </w:r>
            <w:r>
              <w:rPr>
                <w:rStyle w:val="IndexLink"/>
                <w:rtl w:val="true"/>
              </w:rPr>
              <w:t xml:space="preserve">- </w:t>
            </w:r>
            <w:r>
              <w:rPr>
                <w:rStyle w:val="IndexLink"/>
                <w:rtl w:val="true"/>
              </w:rPr>
              <w:t>بازار كرباس‌فروشان</w:t>
            </w:r>
            <w:r>
              <w:rPr>
                <w:rStyle w:val="IndexLink"/>
                <w:rtl w:val="true"/>
              </w:rPr>
              <w:tab/>
            </w:r>
            <w:r>
              <w:rPr>
                <w:rStyle w:val="IndexLink"/>
              </w:rPr>
              <w:t>126</w:t>
            </w:r>
          </w:hyperlink>
        </w:p>
        <w:p>
          <w:pPr>
            <w:pStyle w:val="Contents5"/>
            <w:tabs>
              <w:tab w:val="clear" w:pos="7892"/>
              <w:tab w:val="right" w:pos="9026" w:leader="dot"/>
            </w:tabs>
            <w:rPr/>
          </w:pPr>
          <w:hyperlink w:anchor="__RefHeading___Toc3584927_3650668749">
            <w:r>
              <w:rPr>
                <w:webHidden/>
                <w:rStyle w:val="IndexLink"/>
                <w:rtl w:val="true"/>
              </w:rPr>
              <w:t xml:space="preserve">پنج </w:t>
            </w:r>
            <w:r>
              <w:rPr>
                <w:rStyle w:val="IndexLink"/>
                <w:rtl w:val="true"/>
              </w:rPr>
              <w:t xml:space="preserve">- </w:t>
            </w:r>
            <w:r>
              <w:rPr>
                <w:rStyle w:val="IndexLink"/>
                <w:rtl w:val="true"/>
              </w:rPr>
              <w:t xml:space="preserve">بازار كفش‌فروشان </w:t>
            </w:r>
            <w:r>
              <w:rPr>
                <w:rStyle w:val="IndexLink"/>
                <w:rtl w:val="true"/>
              </w:rPr>
              <w:t>(</w:t>
            </w:r>
            <w:r>
              <w:rPr>
                <w:rStyle w:val="IndexLink"/>
                <w:rtl w:val="true"/>
              </w:rPr>
              <w:t>سوق الحَذّائين</w:t>
            </w:r>
            <w:r>
              <w:rPr>
                <w:rStyle w:val="IndexLink"/>
                <w:rtl w:val="true"/>
              </w:rPr>
              <w:t>)</w:t>
              <w:tab/>
            </w:r>
            <w:r>
              <w:rPr>
                <w:rStyle w:val="IndexLink"/>
              </w:rPr>
              <w:t>126</w:t>
            </w:r>
          </w:hyperlink>
        </w:p>
        <w:p>
          <w:pPr>
            <w:pStyle w:val="Contents5"/>
            <w:tabs>
              <w:tab w:val="clear" w:pos="7892"/>
              <w:tab w:val="right" w:pos="9026" w:leader="dot"/>
            </w:tabs>
            <w:rPr/>
          </w:pPr>
          <w:hyperlink w:anchor="__RefHeading___Toc3584929_3650668749">
            <w:r>
              <w:rPr>
                <w:webHidden/>
                <w:rStyle w:val="IndexLink"/>
                <w:rtl w:val="true"/>
              </w:rPr>
              <w:t xml:space="preserve">شش </w:t>
            </w:r>
            <w:r>
              <w:rPr>
                <w:rStyle w:val="IndexLink"/>
                <w:rtl w:val="true"/>
              </w:rPr>
              <w:t xml:space="preserve">- </w:t>
            </w:r>
            <w:r>
              <w:rPr>
                <w:rStyle w:val="IndexLink"/>
                <w:rtl w:val="true"/>
              </w:rPr>
              <w:t xml:space="preserve">بازار اسب‌فروشان </w:t>
            </w:r>
            <w:r>
              <w:rPr>
                <w:rStyle w:val="IndexLink"/>
                <w:rtl w:val="true"/>
              </w:rPr>
              <w:t>(</w:t>
            </w:r>
            <w:r>
              <w:rPr>
                <w:rStyle w:val="IndexLink"/>
                <w:rtl w:val="true"/>
              </w:rPr>
              <w:t>سوق البَراذين</w:t>
            </w:r>
            <w:r>
              <w:rPr>
                <w:rStyle w:val="IndexLink"/>
                <w:rtl w:val="true"/>
              </w:rPr>
              <w:t>)</w:t>
              <w:tab/>
            </w:r>
            <w:r>
              <w:rPr>
                <w:rStyle w:val="IndexLink"/>
              </w:rPr>
              <w:t>126</w:t>
            </w:r>
          </w:hyperlink>
        </w:p>
        <w:p>
          <w:pPr>
            <w:pStyle w:val="Contents5"/>
            <w:tabs>
              <w:tab w:val="clear" w:pos="7892"/>
              <w:tab w:val="right" w:pos="9026" w:leader="dot"/>
            </w:tabs>
            <w:rPr/>
          </w:pPr>
          <w:hyperlink w:anchor="__RefHeading___Toc3584931_3650668749">
            <w:r>
              <w:rPr>
                <w:webHidden/>
                <w:rStyle w:val="IndexLink"/>
                <w:rtl w:val="true"/>
              </w:rPr>
              <w:t xml:space="preserve">هفت </w:t>
            </w:r>
            <w:r>
              <w:rPr>
                <w:rStyle w:val="IndexLink"/>
                <w:rtl w:val="true"/>
              </w:rPr>
              <w:t xml:space="preserve">- </w:t>
            </w:r>
            <w:r>
              <w:rPr>
                <w:rStyle w:val="IndexLink"/>
                <w:rtl w:val="true"/>
              </w:rPr>
              <w:t xml:space="preserve">بازار صيرفى‌ها </w:t>
            </w:r>
            <w:r>
              <w:rPr>
                <w:rStyle w:val="IndexLink"/>
                <w:rtl w:val="true"/>
              </w:rPr>
              <w:t>(</w:t>
            </w:r>
            <w:r>
              <w:rPr>
                <w:rStyle w:val="IndexLink"/>
                <w:rtl w:val="true"/>
              </w:rPr>
              <w:t>رَحْبَةُ الصيارف</w:t>
            </w:r>
            <w:r>
              <w:rPr>
                <w:rStyle w:val="IndexLink"/>
                <w:rtl w:val="true"/>
              </w:rPr>
              <w:t>)</w:t>
              <w:tab/>
            </w:r>
            <w:r>
              <w:rPr>
                <w:rStyle w:val="IndexLink"/>
              </w:rPr>
              <w:t>127</w:t>
            </w:r>
          </w:hyperlink>
        </w:p>
        <w:p>
          <w:pPr>
            <w:pStyle w:val="Contents5"/>
            <w:tabs>
              <w:tab w:val="clear" w:pos="7892"/>
              <w:tab w:val="right" w:pos="9026" w:leader="dot"/>
            </w:tabs>
            <w:rPr/>
          </w:pPr>
          <w:hyperlink w:anchor="__RefHeading___Toc3584933_3650668749">
            <w:r>
              <w:rPr>
                <w:webHidden/>
                <w:rStyle w:val="IndexLink"/>
                <w:rtl w:val="true"/>
              </w:rPr>
              <w:t xml:space="preserve">هشت </w:t>
            </w:r>
            <w:r>
              <w:rPr>
                <w:rStyle w:val="IndexLink"/>
                <w:rtl w:val="true"/>
              </w:rPr>
              <w:t xml:space="preserve">- </w:t>
            </w:r>
            <w:r>
              <w:rPr>
                <w:rStyle w:val="IndexLink"/>
                <w:rtl w:val="true"/>
              </w:rPr>
              <w:t xml:space="preserve">بازار شمشيرفروشان </w:t>
            </w:r>
            <w:r>
              <w:rPr>
                <w:rStyle w:val="IndexLink"/>
                <w:rtl w:val="true"/>
              </w:rPr>
              <w:t>(</w:t>
            </w:r>
            <w:r>
              <w:rPr>
                <w:rStyle w:val="IndexLink"/>
                <w:rtl w:val="true"/>
              </w:rPr>
              <w:t>صَياقله</w:t>
            </w:r>
            <w:r>
              <w:rPr>
                <w:rStyle w:val="IndexLink"/>
                <w:rtl w:val="true"/>
              </w:rPr>
              <w:t>)</w:t>
              <w:tab/>
            </w:r>
            <w:r>
              <w:rPr>
                <w:rStyle w:val="IndexLink"/>
              </w:rPr>
              <w:t>127</w:t>
            </w:r>
          </w:hyperlink>
        </w:p>
        <w:p>
          <w:pPr>
            <w:pStyle w:val="Contents5"/>
            <w:tabs>
              <w:tab w:val="clear" w:pos="7892"/>
              <w:tab w:val="right" w:pos="9026" w:leader="dot"/>
            </w:tabs>
            <w:rPr/>
          </w:pPr>
          <w:hyperlink w:anchor="__RefHeading___Toc3584935_3650668749">
            <w:r>
              <w:rPr>
                <w:webHidden/>
                <w:rStyle w:val="IndexLink"/>
                <w:rtl w:val="true"/>
              </w:rPr>
              <w:t xml:space="preserve">نه </w:t>
            </w:r>
            <w:r>
              <w:rPr>
                <w:rStyle w:val="IndexLink"/>
                <w:rtl w:val="true"/>
              </w:rPr>
              <w:t xml:space="preserve">- </w:t>
            </w:r>
            <w:r>
              <w:rPr>
                <w:rStyle w:val="IndexLink"/>
                <w:rtl w:val="true"/>
              </w:rPr>
              <w:t xml:space="preserve">بازار روغن‌فروشان </w:t>
            </w:r>
            <w:r>
              <w:rPr>
                <w:rStyle w:val="IndexLink"/>
                <w:rtl w:val="true"/>
              </w:rPr>
              <w:t>(</w:t>
            </w:r>
            <w:r>
              <w:rPr>
                <w:rStyle w:val="IndexLink"/>
                <w:rtl w:val="true"/>
              </w:rPr>
              <w:t>سوق الزيّاتين</w:t>
            </w:r>
            <w:r>
              <w:rPr>
                <w:rStyle w:val="IndexLink"/>
                <w:rtl w:val="true"/>
              </w:rPr>
              <w:t>)</w:t>
              <w:tab/>
            </w:r>
            <w:r>
              <w:rPr>
                <w:rStyle w:val="IndexLink"/>
              </w:rPr>
              <w:t>127</w:t>
            </w:r>
          </w:hyperlink>
        </w:p>
        <w:p>
          <w:pPr>
            <w:pStyle w:val="Contents5"/>
            <w:tabs>
              <w:tab w:val="clear" w:pos="7892"/>
              <w:tab w:val="right" w:pos="9026" w:leader="dot"/>
            </w:tabs>
            <w:rPr/>
          </w:pPr>
          <w:hyperlink w:anchor="__RefHeading___Toc3584937_3650668749">
            <w:r>
              <w:rPr>
                <w:webHidden/>
                <w:rStyle w:val="IndexLink"/>
                <w:rtl w:val="true"/>
              </w:rPr>
              <w:t xml:space="preserve">ده </w:t>
            </w:r>
            <w:r>
              <w:rPr>
                <w:rStyle w:val="IndexLink"/>
                <w:rtl w:val="true"/>
              </w:rPr>
              <w:t xml:space="preserve">- </w:t>
            </w:r>
            <w:r>
              <w:rPr>
                <w:rStyle w:val="IndexLink"/>
                <w:rtl w:val="true"/>
              </w:rPr>
              <w:t xml:space="preserve">بازار صابون‌سازان </w:t>
            </w:r>
            <w:r>
              <w:rPr>
                <w:rStyle w:val="IndexLink"/>
                <w:rtl w:val="true"/>
              </w:rPr>
              <w:t>(</w:t>
            </w:r>
            <w:r>
              <w:rPr>
                <w:rStyle w:val="IndexLink"/>
                <w:rtl w:val="true"/>
              </w:rPr>
              <w:t>اصحاب الصابون</w:t>
            </w:r>
            <w:r>
              <w:rPr>
                <w:rStyle w:val="IndexLink"/>
                <w:rtl w:val="true"/>
              </w:rPr>
              <w:t>)</w:t>
              <w:tab/>
            </w:r>
            <w:r>
              <w:rPr>
                <w:rStyle w:val="IndexLink"/>
              </w:rPr>
              <w:t>128</w:t>
            </w:r>
          </w:hyperlink>
        </w:p>
        <w:p>
          <w:pPr>
            <w:pStyle w:val="Contents5"/>
            <w:tabs>
              <w:tab w:val="clear" w:pos="7892"/>
              <w:tab w:val="right" w:pos="9026" w:leader="dot"/>
            </w:tabs>
            <w:rPr/>
          </w:pPr>
          <w:hyperlink w:anchor="__RefHeading___Toc3584939_3650668749">
            <w:r>
              <w:rPr>
                <w:webHidden/>
                <w:rStyle w:val="IndexLink"/>
                <w:rtl w:val="true"/>
              </w:rPr>
              <w:t xml:space="preserve">يازده </w:t>
            </w:r>
            <w:r>
              <w:rPr>
                <w:rStyle w:val="IndexLink"/>
                <w:rtl w:val="true"/>
              </w:rPr>
              <w:t xml:space="preserve">- </w:t>
            </w:r>
            <w:r>
              <w:rPr>
                <w:rStyle w:val="IndexLink"/>
                <w:rtl w:val="true"/>
              </w:rPr>
              <w:t xml:space="preserve">بازار گوسفند </w:t>
            </w:r>
            <w:r>
              <w:rPr>
                <w:rStyle w:val="IndexLink"/>
                <w:rtl w:val="true"/>
              </w:rPr>
              <w:t>(</w:t>
            </w:r>
            <w:r>
              <w:rPr>
                <w:rStyle w:val="IndexLink"/>
                <w:rtl w:val="true"/>
              </w:rPr>
              <w:t>سَوْق الغَنَم</w:t>
            </w:r>
            <w:r>
              <w:rPr>
                <w:rStyle w:val="IndexLink"/>
                <w:rtl w:val="true"/>
              </w:rPr>
              <w:t>)</w:t>
              <w:tab/>
            </w:r>
            <w:r>
              <w:rPr>
                <w:rStyle w:val="IndexLink"/>
              </w:rPr>
              <w:t>128</w:t>
            </w:r>
          </w:hyperlink>
        </w:p>
        <w:p>
          <w:pPr>
            <w:pStyle w:val="Contents5"/>
            <w:tabs>
              <w:tab w:val="clear" w:pos="7892"/>
              <w:tab w:val="right" w:pos="9026" w:leader="dot"/>
            </w:tabs>
            <w:rPr/>
          </w:pPr>
          <w:hyperlink w:anchor="__RefHeading___Toc3584941_3650668749">
            <w:r>
              <w:rPr>
                <w:webHidden/>
                <w:rStyle w:val="IndexLink"/>
                <w:rtl w:val="true"/>
              </w:rPr>
              <w:t xml:space="preserve">دوازده </w:t>
            </w:r>
            <w:r>
              <w:rPr>
                <w:rStyle w:val="IndexLink"/>
                <w:rtl w:val="true"/>
              </w:rPr>
              <w:t xml:space="preserve">- </w:t>
            </w:r>
            <w:r>
              <w:rPr>
                <w:rStyle w:val="IndexLink"/>
                <w:rtl w:val="true"/>
              </w:rPr>
              <w:t>بازار گربه‌فروشان</w:t>
            </w:r>
            <w:r>
              <w:rPr>
                <w:rStyle w:val="IndexLink"/>
                <w:rtl w:val="true"/>
              </w:rPr>
              <w:tab/>
            </w:r>
            <w:r>
              <w:rPr>
                <w:rStyle w:val="IndexLink"/>
              </w:rPr>
              <w:t>128</w:t>
            </w:r>
          </w:hyperlink>
        </w:p>
        <w:p>
          <w:pPr>
            <w:pStyle w:val="Contents5"/>
            <w:tabs>
              <w:tab w:val="clear" w:pos="7892"/>
              <w:tab w:val="right" w:pos="9026" w:leader="dot"/>
            </w:tabs>
            <w:rPr/>
          </w:pPr>
          <w:hyperlink w:anchor="__RefHeading___Toc3584943_3650668749">
            <w:r>
              <w:rPr>
                <w:webHidden/>
                <w:rStyle w:val="IndexLink"/>
                <w:rtl w:val="true"/>
              </w:rPr>
              <w:t xml:space="preserve">سيزده </w:t>
            </w:r>
            <w:r>
              <w:rPr>
                <w:rStyle w:val="IndexLink"/>
                <w:rtl w:val="true"/>
              </w:rPr>
              <w:t xml:space="preserve">- </w:t>
            </w:r>
            <w:r>
              <w:rPr>
                <w:rStyle w:val="IndexLink"/>
                <w:rtl w:val="true"/>
              </w:rPr>
              <w:t>بازار خريد و فروش مرغ</w:t>
            </w:r>
            <w:r>
              <w:rPr>
                <w:rStyle w:val="IndexLink"/>
                <w:rtl w:val="true"/>
              </w:rPr>
              <w:tab/>
            </w:r>
            <w:r>
              <w:rPr>
                <w:rStyle w:val="IndexLink"/>
              </w:rPr>
              <w:t>128</w:t>
            </w:r>
          </w:hyperlink>
        </w:p>
        <w:p>
          <w:pPr>
            <w:pStyle w:val="Contents5"/>
            <w:tabs>
              <w:tab w:val="clear" w:pos="7892"/>
              <w:tab w:val="right" w:pos="9026" w:leader="dot"/>
            </w:tabs>
            <w:rPr/>
          </w:pPr>
          <w:hyperlink w:anchor="__RefHeading___Toc3584945_3650668749">
            <w:r>
              <w:rPr>
                <w:webHidden/>
                <w:rStyle w:val="IndexLink"/>
                <w:rtl w:val="true"/>
              </w:rPr>
              <w:t xml:space="preserve">چهارده </w:t>
            </w:r>
            <w:r>
              <w:rPr>
                <w:rStyle w:val="IndexLink"/>
                <w:rtl w:val="true"/>
              </w:rPr>
              <w:t xml:space="preserve">- </w:t>
            </w:r>
            <w:r>
              <w:rPr>
                <w:rStyle w:val="IndexLink"/>
                <w:rtl w:val="true"/>
              </w:rPr>
              <w:t xml:space="preserve">بازار زين‌سازان يا زين‌فروشان </w:t>
            </w:r>
            <w:r>
              <w:rPr>
                <w:rStyle w:val="IndexLink"/>
                <w:rtl w:val="true"/>
              </w:rPr>
              <w:t>(</w:t>
            </w:r>
            <w:r>
              <w:rPr>
                <w:rStyle w:val="IndexLink"/>
                <w:rtl w:val="true"/>
              </w:rPr>
              <w:t>سوق السَرّاجين</w:t>
            </w:r>
            <w:r>
              <w:rPr>
                <w:rStyle w:val="IndexLink"/>
                <w:rtl w:val="true"/>
              </w:rPr>
              <w:t>)</w:t>
              <w:tab/>
            </w:r>
            <w:r>
              <w:rPr>
                <w:rStyle w:val="IndexLink"/>
              </w:rPr>
              <w:t>129</w:t>
            </w:r>
          </w:hyperlink>
        </w:p>
        <w:p>
          <w:pPr>
            <w:pStyle w:val="Contents5"/>
            <w:tabs>
              <w:tab w:val="clear" w:pos="7892"/>
              <w:tab w:val="right" w:pos="9026" w:leader="dot"/>
            </w:tabs>
            <w:rPr/>
          </w:pPr>
          <w:hyperlink w:anchor="__RefHeading___Toc3584947_3650668749">
            <w:r>
              <w:rPr>
                <w:webHidden/>
                <w:rStyle w:val="IndexLink"/>
                <w:rtl w:val="true"/>
              </w:rPr>
              <w:t xml:space="preserve">پانزده </w:t>
            </w:r>
            <w:r>
              <w:rPr>
                <w:rStyle w:val="IndexLink"/>
                <w:rtl w:val="true"/>
              </w:rPr>
              <w:t xml:space="preserve">- </w:t>
            </w:r>
            <w:r>
              <w:rPr>
                <w:rStyle w:val="IndexLink"/>
                <w:rtl w:val="true"/>
              </w:rPr>
              <w:t xml:space="preserve">بازار رفوگرها </w:t>
            </w:r>
            <w:r>
              <w:rPr>
                <w:rStyle w:val="IndexLink"/>
                <w:rtl w:val="true"/>
              </w:rPr>
              <w:t>(</w:t>
            </w:r>
            <w:r>
              <w:rPr>
                <w:rStyle w:val="IndexLink"/>
                <w:rtl w:val="true"/>
              </w:rPr>
              <w:t>سوق الرفّاثين</w:t>
            </w:r>
            <w:r>
              <w:rPr>
                <w:rStyle w:val="IndexLink"/>
                <w:rtl w:val="true"/>
              </w:rPr>
              <w:t>)</w:t>
              <w:tab/>
            </w:r>
            <w:r>
              <w:rPr>
                <w:rStyle w:val="IndexLink"/>
              </w:rPr>
              <w:t>129</w:t>
            </w:r>
          </w:hyperlink>
        </w:p>
        <w:p>
          <w:pPr>
            <w:pStyle w:val="Contents5"/>
            <w:tabs>
              <w:tab w:val="clear" w:pos="7892"/>
              <w:tab w:val="right" w:pos="9026" w:leader="dot"/>
            </w:tabs>
            <w:rPr/>
          </w:pPr>
          <w:hyperlink w:anchor="__RefHeading___Toc3584949_3650668749">
            <w:r>
              <w:rPr>
                <w:webHidden/>
                <w:rStyle w:val="IndexLink"/>
                <w:rtl w:val="true"/>
              </w:rPr>
              <w:t xml:space="preserve">شانزده </w:t>
            </w:r>
            <w:r>
              <w:rPr>
                <w:rStyle w:val="IndexLink"/>
                <w:rtl w:val="true"/>
              </w:rPr>
              <w:t xml:space="preserve">- </w:t>
            </w:r>
            <w:r>
              <w:rPr>
                <w:rStyle w:val="IndexLink"/>
                <w:rtl w:val="true"/>
              </w:rPr>
              <w:t>بازار انواع گستردنى‌ها مانند فرش، گليم و</w:t>
            </w:r>
            <w:r>
              <w:rPr>
                <w:rStyle w:val="IndexLink"/>
                <w:rtl w:val="true"/>
              </w:rPr>
              <w:t>. . . (</w:t>
            </w:r>
            <w:r>
              <w:rPr>
                <w:rStyle w:val="IndexLink"/>
                <w:rtl w:val="true"/>
              </w:rPr>
              <w:t>اصحاب الأنماط</w:t>
            </w:r>
            <w:r>
              <w:rPr>
                <w:rStyle w:val="IndexLink"/>
                <w:rtl w:val="true"/>
              </w:rPr>
              <w:t>)</w:t>
              <w:tab/>
            </w:r>
            <w:r>
              <w:rPr>
                <w:rStyle w:val="IndexLink"/>
              </w:rPr>
              <w:t>129</w:t>
            </w:r>
          </w:hyperlink>
        </w:p>
        <w:p>
          <w:pPr>
            <w:pStyle w:val="Contents5"/>
            <w:tabs>
              <w:tab w:val="clear" w:pos="7892"/>
              <w:tab w:val="right" w:pos="9026" w:leader="dot"/>
            </w:tabs>
            <w:rPr/>
          </w:pPr>
          <w:hyperlink w:anchor="__RefHeading___Toc3584951_3650668749">
            <w:r>
              <w:rPr>
                <w:webHidden/>
                <w:rStyle w:val="IndexLink"/>
                <w:rtl w:val="true"/>
              </w:rPr>
              <w:t xml:space="preserve">هفده </w:t>
            </w:r>
            <w:r>
              <w:rPr>
                <w:rStyle w:val="IndexLink"/>
                <w:rtl w:val="true"/>
              </w:rPr>
              <w:t xml:space="preserve">- </w:t>
            </w:r>
            <w:r>
              <w:rPr>
                <w:rStyle w:val="IndexLink"/>
                <w:rtl w:val="true"/>
              </w:rPr>
              <w:t xml:space="preserve">بازار خَزّفروشان </w:t>
            </w:r>
            <w:r>
              <w:rPr>
                <w:rStyle w:val="IndexLink"/>
                <w:rtl w:val="true"/>
              </w:rPr>
              <w:t>(</w:t>
            </w:r>
            <w:r>
              <w:rPr>
                <w:rStyle w:val="IndexLink"/>
                <w:rtl w:val="true"/>
              </w:rPr>
              <w:t>اصحاب الخزّ</w:t>
            </w:r>
            <w:r>
              <w:rPr>
                <w:rStyle w:val="IndexLink"/>
                <w:rtl w:val="true"/>
              </w:rPr>
              <w:t>)</w:t>
              <w:tab/>
            </w:r>
            <w:r>
              <w:rPr>
                <w:rStyle w:val="IndexLink"/>
              </w:rPr>
              <w:t>129</w:t>
            </w:r>
          </w:hyperlink>
        </w:p>
        <w:p>
          <w:pPr>
            <w:pStyle w:val="Contents5"/>
            <w:tabs>
              <w:tab w:val="clear" w:pos="7892"/>
              <w:tab w:val="right" w:pos="9026" w:leader="dot"/>
            </w:tabs>
            <w:rPr/>
          </w:pPr>
          <w:hyperlink w:anchor="__RefHeading___Toc3584953_3650668749">
            <w:r>
              <w:rPr>
                <w:webHidden/>
                <w:rStyle w:val="IndexLink"/>
                <w:rtl w:val="true"/>
              </w:rPr>
              <w:t xml:space="preserve">هيجده </w:t>
            </w:r>
            <w:r>
              <w:rPr>
                <w:rStyle w:val="IndexLink"/>
                <w:rtl w:val="true"/>
              </w:rPr>
              <w:t xml:space="preserve">- </w:t>
            </w:r>
            <w:r>
              <w:rPr>
                <w:rStyle w:val="IndexLink"/>
                <w:rtl w:val="true"/>
              </w:rPr>
              <w:t xml:space="preserve">بازار سويق‌فروشان </w:t>
            </w:r>
            <w:r>
              <w:rPr>
                <w:rStyle w:val="IndexLink"/>
                <w:rtl w:val="true"/>
              </w:rPr>
              <w:t>(</w:t>
            </w:r>
            <w:r>
              <w:rPr>
                <w:rStyle w:val="IndexLink"/>
                <w:rtl w:val="true"/>
              </w:rPr>
              <w:t>قاووت‌فروشان</w:t>
            </w:r>
            <w:r>
              <w:rPr>
                <w:rStyle w:val="IndexLink"/>
                <w:rtl w:val="true"/>
              </w:rPr>
              <w:t>) (</w:t>
            </w:r>
            <w:r>
              <w:rPr>
                <w:rStyle w:val="IndexLink"/>
                <w:rtl w:val="true"/>
              </w:rPr>
              <w:t>سوق السوّاقين</w:t>
            </w:r>
            <w:r>
              <w:rPr>
                <w:rStyle w:val="IndexLink"/>
                <w:rtl w:val="true"/>
              </w:rPr>
              <w:t>)</w:t>
              <w:tab/>
            </w:r>
            <w:r>
              <w:rPr>
                <w:rStyle w:val="IndexLink"/>
              </w:rPr>
              <w:t>129</w:t>
            </w:r>
          </w:hyperlink>
        </w:p>
        <w:p>
          <w:pPr>
            <w:pStyle w:val="Contents5"/>
            <w:tabs>
              <w:tab w:val="clear" w:pos="7892"/>
              <w:tab w:val="right" w:pos="9026" w:leader="dot"/>
            </w:tabs>
            <w:rPr/>
          </w:pPr>
          <w:hyperlink w:anchor="__RefHeading___Toc3584955_3650668749">
            <w:r>
              <w:rPr>
                <w:webHidden/>
                <w:rStyle w:val="IndexLink"/>
                <w:rtl w:val="true"/>
              </w:rPr>
              <w:t xml:space="preserve">نوزده </w:t>
            </w:r>
            <w:r>
              <w:rPr>
                <w:rStyle w:val="IndexLink"/>
                <w:rtl w:val="true"/>
              </w:rPr>
              <w:t xml:space="preserve">- </w:t>
            </w:r>
            <w:r>
              <w:rPr>
                <w:rStyle w:val="IndexLink"/>
                <w:rtl w:val="true"/>
              </w:rPr>
              <w:t xml:space="preserve">بازار سركه‌فروش‌ها </w:t>
            </w:r>
            <w:r>
              <w:rPr>
                <w:rStyle w:val="IndexLink"/>
                <w:rtl w:val="true"/>
              </w:rPr>
              <w:t>(</w:t>
            </w:r>
            <w:r>
              <w:rPr>
                <w:rStyle w:val="IndexLink"/>
                <w:rtl w:val="true"/>
              </w:rPr>
              <w:t>سوق الخلاّلين</w:t>
            </w:r>
            <w:r>
              <w:rPr>
                <w:rStyle w:val="IndexLink"/>
                <w:rtl w:val="true"/>
              </w:rPr>
              <w:t>)</w:t>
              <w:tab/>
            </w:r>
            <w:r>
              <w:rPr>
                <w:rStyle w:val="IndexLink"/>
              </w:rPr>
              <w:t>129</w:t>
            </w:r>
          </w:hyperlink>
        </w:p>
        <w:p>
          <w:pPr>
            <w:pStyle w:val="Contents5"/>
            <w:tabs>
              <w:tab w:val="clear" w:pos="7892"/>
              <w:tab w:val="right" w:pos="9026" w:leader="dot"/>
            </w:tabs>
            <w:rPr/>
          </w:pPr>
          <w:hyperlink w:anchor="__RefHeading___Toc3584957_3650668749">
            <w:r>
              <w:rPr>
                <w:webHidden/>
                <w:rStyle w:val="IndexLink"/>
                <w:rtl w:val="true"/>
              </w:rPr>
              <w:t xml:space="preserve">بيست </w:t>
            </w:r>
            <w:r>
              <w:rPr>
                <w:rStyle w:val="IndexLink"/>
                <w:rtl w:val="true"/>
              </w:rPr>
              <w:t xml:space="preserve">- </w:t>
            </w:r>
            <w:r>
              <w:rPr>
                <w:rStyle w:val="IndexLink"/>
                <w:rtl w:val="true"/>
              </w:rPr>
              <w:t xml:space="preserve">بازار زرگرها </w:t>
            </w:r>
            <w:r>
              <w:rPr>
                <w:rStyle w:val="IndexLink"/>
                <w:rtl w:val="true"/>
              </w:rPr>
              <w:t>(</w:t>
            </w:r>
            <w:r>
              <w:rPr>
                <w:rStyle w:val="IndexLink"/>
                <w:rtl w:val="true"/>
              </w:rPr>
              <w:t>سوق الصاغه</w:t>
            </w:r>
            <w:r>
              <w:rPr>
                <w:rStyle w:val="IndexLink"/>
                <w:rtl w:val="true"/>
              </w:rPr>
              <w:t>)</w:t>
              <w:tab/>
            </w:r>
            <w:r>
              <w:rPr>
                <w:rStyle w:val="IndexLink"/>
              </w:rPr>
              <w:t>130</w:t>
            </w:r>
          </w:hyperlink>
        </w:p>
        <w:p>
          <w:pPr>
            <w:pStyle w:val="Contents5"/>
            <w:tabs>
              <w:tab w:val="clear" w:pos="7892"/>
              <w:tab w:val="right" w:pos="9026" w:leader="dot"/>
            </w:tabs>
            <w:rPr/>
          </w:pPr>
          <w:hyperlink w:anchor="__RefHeading___Toc3584959_3650668749">
            <w:r>
              <w:rPr>
                <w:webHidden/>
                <w:rStyle w:val="IndexLink"/>
                <w:rtl w:val="true"/>
              </w:rPr>
              <w:t xml:space="preserve">بيست و يك </w:t>
            </w:r>
            <w:r>
              <w:rPr>
                <w:rStyle w:val="IndexLink"/>
                <w:rtl w:val="true"/>
              </w:rPr>
              <w:t xml:space="preserve">- </w:t>
            </w:r>
            <w:r>
              <w:rPr>
                <w:rStyle w:val="IndexLink"/>
                <w:rtl w:val="true"/>
              </w:rPr>
              <w:t xml:space="preserve">بازار عطرفروشان </w:t>
            </w:r>
            <w:r>
              <w:rPr>
                <w:rStyle w:val="IndexLink"/>
                <w:rtl w:val="true"/>
              </w:rPr>
              <w:t>(</w:t>
            </w:r>
            <w:r>
              <w:rPr>
                <w:rStyle w:val="IndexLink"/>
                <w:rtl w:val="true"/>
              </w:rPr>
              <w:t>سوق الحَنّاطين</w:t>
            </w:r>
            <w:r>
              <w:rPr>
                <w:rStyle w:val="IndexLink"/>
                <w:rtl w:val="true"/>
              </w:rPr>
              <w:t>)</w:t>
              <w:tab/>
            </w:r>
            <w:r>
              <w:rPr>
                <w:rStyle w:val="IndexLink"/>
              </w:rPr>
              <w:t>130</w:t>
            </w:r>
          </w:hyperlink>
        </w:p>
        <w:p>
          <w:pPr>
            <w:pStyle w:val="Contents5"/>
            <w:tabs>
              <w:tab w:val="clear" w:pos="7892"/>
              <w:tab w:val="right" w:pos="9026" w:leader="dot"/>
            </w:tabs>
            <w:rPr/>
          </w:pPr>
          <w:hyperlink w:anchor="__RefHeading___Toc3584961_3650668749">
            <w:r>
              <w:rPr>
                <w:webHidden/>
                <w:rStyle w:val="IndexLink"/>
                <w:rtl w:val="true"/>
              </w:rPr>
              <w:t>بيست و دو</w:t>
            </w:r>
            <w:r>
              <w:rPr>
                <w:rStyle w:val="IndexLink"/>
                <w:rtl w:val="true"/>
              </w:rPr>
              <w:t xml:space="preserve">- </w:t>
            </w:r>
            <w:r>
              <w:rPr>
                <w:rStyle w:val="IndexLink"/>
                <w:rtl w:val="true"/>
              </w:rPr>
              <w:t xml:space="preserve">بازار آهنگران </w:t>
            </w:r>
            <w:r>
              <w:rPr>
                <w:rStyle w:val="IndexLink"/>
                <w:rtl w:val="true"/>
              </w:rPr>
              <w:t>(</w:t>
            </w:r>
            <w:r>
              <w:rPr>
                <w:rStyle w:val="IndexLink"/>
                <w:rtl w:val="true"/>
              </w:rPr>
              <w:t>سوق الحدّادين</w:t>
            </w:r>
            <w:r>
              <w:rPr>
                <w:rStyle w:val="IndexLink"/>
                <w:rtl w:val="true"/>
              </w:rPr>
              <w:t>)</w:t>
              <w:tab/>
            </w:r>
            <w:r>
              <w:rPr>
                <w:rStyle w:val="IndexLink"/>
              </w:rPr>
              <w:t>130</w:t>
            </w:r>
          </w:hyperlink>
        </w:p>
        <w:p>
          <w:pPr>
            <w:pStyle w:val="Contents5"/>
            <w:tabs>
              <w:tab w:val="clear" w:pos="7892"/>
              <w:tab w:val="right" w:pos="9026" w:leader="dot"/>
            </w:tabs>
            <w:rPr/>
          </w:pPr>
          <w:hyperlink w:anchor="__RefHeading___Toc3584963_3650668749">
            <w:r>
              <w:rPr>
                <w:webHidden/>
                <w:rStyle w:val="IndexLink"/>
                <w:rtl w:val="true"/>
              </w:rPr>
              <w:t xml:space="preserve">بيست و سه </w:t>
            </w:r>
            <w:r>
              <w:rPr>
                <w:rStyle w:val="IndexLink"/>
                <w:rtl w:val="true"/>
              </w:rPr>
              <w:t xml:space="preserve">- </w:t>
            </w:r>
            <w:r>
              <w:rPr>
                <w:rStyle w:val="IndexLink"/>
                <w:rtl w:val="true"/>
              </w:rPr>
              <w:t xml:space="preserve">بازار گل‌فروشان </w:t>
            </w:r>
            <w:r>
              <w:rPr>
                <w:rStyle w:val="IndexLink"/>
                <w:rtl w:val="true"/>
              </w:rPr>
              <w:t>(</w:t>
            </w:r>
            <w:r>
              <w:rPr>
                <w:rStyle w:val="IndexLink"/>
                <w:rtl w:val="true"/>
              </w:rPr>
              <w:t>باعَة الأزْهار</w:t>
            </w:r>
            <w:r>
              <w:rPr>
                <w:rStyle w:val="IndexLink"/>
                <w:rtl w:val="true"/>
              </w:rPr>
              <w:t>)</w:t>
              <w:tab/>
            </w:r>
            <w:r>
              <w:rPr>
                <w:rStyle w:val="IndexLink"/>
              </w:rPr>
              <w:t>130</w:t>
            </w:r>
          </w:hyperlink>
        </w:p>
        <w:p>
          <w:pPr>
            <w:pStyle w:val="Contents5"/>
            <w:tabs>
              <w:tab w:val="clear" w:pos="7892"/>
              <w:tab w:val="right" w:pos="9026" w:leader="dot"/>
            </w:tabs>
            <w:rPr/>
          </w:pPr>
          <w:hyperlink w:anchor="__RefHeading___Toc3584965_3650668749">
            <w:r>
              <w:rPr>
                <w:webHidden/>
                <w:rStyle w:val="IndexLink"/>
                <w:rtl w:val="true"/>
              </w:rPr>
              <w:t xml:space="preserve">بيست و چهار </w:t>
            </w:r>
            <w:r>
              <w:rPr>
                <w:rStyle w:val="IndexLink"/>
                <w:rtl w:val="true"/>
              </w:rPr>
              <w:t xml:space="preserve">- </w:t>
            </w:r>
            <w:r>
              <w:rPr>
                <w:rStyle w:val="IndexLink"/>
                <w:rtl w:val="true"/>
              </w:rPr>
              <w:t xml:space="preserve">بازار خياطها </w:t>
            </w:r>
            <w:r>
              <w:rPr>
                <w:rStyle w:val="IndexLink"/>
                <w:rtl w:val="true"/>
              </w:rPr>
              <w:t>(</w:t>
            </w:r>
            <w:r>
              <w:rPr>
                <w:rStyle w:val="IndexLink"/>
                <w:rtl w:val="true"/>
              </w:rPr>
              <w:t>سوق الخياطين</w:t>
            </w:r>
            <w:r>
              <w:rPr>
                <w:rStyle w:val="IndexLink"/>
                <w:rtl w:val="true"/>
              </w:rPr>
              <w:t>)</w:t>
              <w:tab/>
            </w:r>
            <w:r>
              <w:rPr>
                <w:rStyle w:val="IndexLink"/>
              </w:rPr>
              <w:t>130</w:t>
            </w:r>
          </w:hyperlink>
        </w:p>
        <w:p>
          <w:pPr>
            <w:pStyle w:val="Contents5"/>
            <w:tabs>
              <w:tab w:val="clear" w:pos="7892"/>
              <w:tab w:val="right" w:pos="9026" w:leader="dot"/>
            </w:tabs>
            <w:rPr/>
          </w:pPr>
          <w:hyperlink w:anchor="__RefHeading___Toc3584967_3650668749">
            <w:r>
              <w:rPr>
                <w:webHidden/>
                <w:rStyle w:val="IndexLink"/>
                <w:rtl w:val="true"/>
              </w:rPr>
              <w:t xml:space="preserve">بيست و پنج </w:t>
            </w:r>
            <w:r>
              <w:rPr>
                <w:rStyle w:val="IndexLink"/>
                <w:rtl w:val="true"/>
              </w:rPr>
              <w:t xml:space="preserve">- </w:t>
            </w:r>
            <w:r>
              <w:rPr>
                <w:rStyle w:val="IndexLink"/>
                <w:rtl w:val="true"/>
              </w:rPr>
              <w:t xml:space="preserve">بازار صحّاف‌ها </w:t>
            </w:r>
            <w:r>
              <w:rPr>
                <w:rStyle w:val="IndexLink"/>
                <w:rtl w:val="true"/>
              </w:rPr>
              <w:t xml:space="preserve">( </w:t>
            </w:r>
            <w:r>
              <w:rPr>
                <w:rStyle w:val="IndexLink"/>
                <w:rtl w:val="true"/>
              </w:rPr>
              <w:t>سوق الورّاقين</w:t>
            </w:r>
            <w:r>
              <w:rPr>
                <w:rStyle w:val="IndexLink"/>
                <w:rtl w:val="true"/>
              </w:rPr>
              <w:t>)</w:t>
              <w:tab/>
            </w:r>
            <w:r>
              <w:rPr>
                <w:rStyle w:val="IndexLink"/>
              </w:rPr>
              <w:t>130</w:t>
            </w:r>
          </w:hyperlink>
        </w:p>
        <w:p>
          <w:pPr>
            <w:pStyle w:val="Contents5"/>
            <w:tabs>
              <w:tab w:val="clear" w:pos="7892"/>
              <w:tab w:val="right" w:pos="9026" w:leader="dot"/>
            </w:tabs>
            <w:rPr/>
          </w:pPr>
          <w:hyperlink w:anchor="__RefHeading___Toc3584969_3650668749">
            <w:r>
              <w:rPr>
                <w:webHidden/>
                <w:rStyle w:val="IndexLink"/>
                <w:rtl w:val="true"/>
              </w:rPr>
              <w:t xml:space="preserve">بيست و شش </w:t>
            </w:r>
            <w:r>
              <w:rPr>
                <w:rStyle w:val="IndexLink"/>
                <w:rtl w:val="true"/>
              </w:rPr>
              <w:t xml:space="preserve">- </w:t>
            </w:r>
            <w:r>
              <w:rPr>
                <w:rStyle w:val="IndexLink"/>
                <w:rtl w:val="true"/>
              </w:rPr>
              <w:t xml:space="preserve">بازار گازران يا رخت‌شويان </w:t>
            </w:r>
            <w:r>
              <w:rPr>
                <w:rStyle w:val="IndexLink"/>
                <w:rtl w:val="true"/>
              </w:rPr>
              <w:t>(</w:t>
            </w:r>
            <w:r>
              <w:rPr>
                <w:rStyle w:val="IndexLink"/>
                <w:rtl w:val="true"/>
              </w:rPr>
              <w:t>سوق القَصّارين</w:t>
            </w:r>
            <w:r>
              <w:rPr>
                <w:rStyle w:val="IndexLink"/>
                <w:rtl w:val="true"/>
              </w:rPr>
              <w:t>)</w:t>
              <w:tab/>
            </w:r>
            <w:r>
              <w:rPr>
                <w:rStyle w:val="IndexLink"/>
              </w:rPr>
              <w:t>130</w:t>
            </w:r>
          </w:hyperlink>
        </w:p>
        <w:p>
          <w:pPr>
            <w:pStyle w:val="Contents4"/>
            <w:tabs>
              <w:tab w:val="clear" w:pos="8176"/>
              <w:tab w:val="right" w:pos="9026" w:leader="dot"/>
            </w:tabs>
            <w:rPr/>
          </w:pPr>
          <w:hyperlink w:anchor="__RefHeading___Toc3584971_3650668749">
            <w:r>
              <w:rPr>
                <w:webHidden/>
                <w:rStyle w:val="IndexLink"/>
                <w:rtl w:val="true"/>
              </w:rPr>
              <w:t>د</w:t>
            </w:r>
            <w:r>
              <w:rPr>
                <w:rStyle w:val="IndexLink"/>
                <w:rtl w:val="true"/>
              </w:rPr>
              <w:t xml:space="preserve">) </w:t>
            </w:r>
            <w:r>
              <w:rPr>
                <w:rStyle w:val="IndexLink"/>
                <w:rtl w:val="true"/>
              </w:rPr>
              <w:t>نظارت بر بازار</w:t>
            </w:r>
            <w:r>
              <w:rPr>
                <w:rStyle w:val="IndexLink"/>
                <w:rtl w:val="true"/>
              </w:rPr>
              <w:tab/>
            </w:r>
            <w:r>
              <w:rPr>
                <w:rStyle w:val="IndexLink"/>
              </w:rPr>
              <w:t>130</w:t>
            </w:r>
          </w:hyperlink>
        </w:p>
        <w:p>
          <w:pPr>
            <w:pStyle w:val="Contents3"/>
            <w:tabs>
              <w:tab w:val="clear" w:pos="8459"/>
              <w:tab w:val="right" w:pos="9026" w:leader="dot"/>
            </w:tabs>
            <w:rPr/>
          </w:pPr>
          <w:hyperlink w:anchor="__RefHeading___Toc3584973_3650668749">
            <w:r>
              <w:rPr>
                <w:webHidden/>
                <w:rStyle w:val="IndexLink"/>
              </w:rPr>
              <w:t>٣</w:t>
            </w:r>
            <w:r>
              <w:rPr>
                <w:rStyle w:val="IndexLink"/>
                <w:rtl w:val="true"/>
              </w:rPr>
              <w:t xml:space="preserve">. </w:t>
            </w:r>
            <w:r>
              <w:rPr>
                <w:rStyle w:val="IndexLink"/>
                <w:rtl w:val="true"/>
              </w:rPr>
              <w:t>مساجدكوفه</w:t>
            </w:r>
            <w:r>
              <w:rPr>
                <w:rStyle w:val="IndexLink"/>
                <w:rtl w:val="true"/>
              </w:rPr>
              <w:tab/>
            </w:r>
            <w:r>
              <w:rPr>
                <w:rStyle w:val="IndexLink"/>
              </w:rPr>
              <w:t>133</w:t>
            </w:r>
          </w:hyperlink>
        </w:p>
        <w:p>
          <w:pPr>
            <w:pStyle w:val="Contents4"/>
            <w:tabs>
              <w:tab w:val="clear" w:pos="8176"/>
              <w:tab w:val="right" w:pos="9026" w:leader="dot"/>
            </w:tabs>
            <w:rPr/>
          </w:pPr>
          <w:hyperlink w:anchor="__RefHeading___Toc3584975_3650668749">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3584977_3650668749">
            <w:r>
              <w:rPr>
                <w:webHidden/>
                <w:rStyle w:val="IndexLink"/>
                <w:rtl w:val="true"/>
              </w:rPr>
              <w:t>الف</w:t>
            </w:r>
            <w:r>
              <w:rPr>
                <w:rStyle w:val="IndexLink"/>
                <w:rtl w:val="true"/>
              </w:rPr>
              <w:t xml:space="preserve">) </w:t>
            </w:r>
            <w:r>
              <w:rPr>
                <w:rStyle w:val="IndexLink"/>
                <w:rtl w:val="true"/>
              </w:rPr>
              <w:t xml:space="preserve">مسجد جامع كوفه </w:t>
            </w:r>
            <w:r>
              <w:rPr>
                <w:rStyle w:val="IndexLink"/>
                <w:rtl w:val="true"/>
              </w:rPr>
              <w:t>(</w:t>
            </w:r>
            <w:r>
              <w:rPr>
                <w:rStyle w:val="IndexLink"/>
                <w:rtl w:val="true"/>
              </w:rPr>
              <w:t xml:space="preserve">تصويرهاي شماره </w:t>
            </w:r>
            <w:r>
              <w:rPr>
                <w:rStyle w:val="IndexLink"/>
              </w:rPr>
              <w:t>۵</w:t>
            </w:r>
            <w:r>
              <w:rPr>
                <w:rStyle w:val="IndexLink"/>
                <w:rtl w:val="true"/>
              </w:rPr>
              <w:t xml:space="preserve"> </w:t>
            </w:r>
            <w:r>
              <w:rPr>
                <w:rStyle w:val="IndexLink"/>
                <w:rtl w:val="true"/>
              </w:rPr>
              <w:t xml:space="preserve">- </w:t>
            </w:r>
            <w:r>
              <w:rPr>
                <w:rStyle w:val="IndexLink"/>
              </w:rPr>
              <w:t>١</w:t>
            </w:r>
            <w:r>
              <w:rPr>
                <w:rStyle w:val="IndexLink"/>
                <w:rtl w:val="true"/>
              </w:rPr>
              <w:t>)</w:t>
              <w:tab/>
            </w:r>
            <w:r>
              <w:rPr>
                <w:rStyle w:val="IndexLink"/>
              </w:rPr>
              <w:t>134</w:t>
            </w:r>
          </w:hyperlink>
        </w:p>
        <w:p>
          <w:pPr>
            <w:pStyle w:val="Contents5"/>
            <w:tabs>
              <w:tab w:val="clear" w:pos="7892"/>
              <w:tab w:val="right" w:pos="9026" w:leader="dot"/>
            </w:tabs>
            <w:rPr/>
          </w:pPr>
          <w:hyperlink w:anchor="__RefHeading___Toc3584979_3650668749">
            <w:r>
              <w:rPr>
                <w:webHidden/>
                <w:rStyle w:val="IndexLink"/>
                <w:rtl w:val="true"/>
              </w:rPr>
              <w:t>يك</w:t>
            </w:r>
            <w:r>
              <w:rPr>
                <w:rStyle w:val="IndexLink"/>
                <w:rtl w:val="true"/>
              </w:rPr>
              <w:t xml:space="preserve">- </w:t>
            </w:r>
            <w:r>
              <w:rPr>
                <w:rStyle w:val="IndexLink"/>
                <w:rtl w:val="true"/>
              </w:rPr>
              <w:t>مسجد جامع كوفه در گذر تاريخ</w:t>
            </w:r>
            <w:r>
              <w:rPr>
                <w:rStyle w:val="IndexLink"/>
                <w:rtl w:val="true"/>
              </w:rPr>
              <w:tab/>
            </w:r>
            <w:r>
              <w:rPr>
                <w:rStyle w:val="IndexLink"/>
              </w:rPr>
              <w:t>134</w:t>
            </w:r>
          </w:hyperlink>
        </w:p>
        <w:p>
          <w:pPr>
            <w:pStyle w:val="Contents6"/>
            <w:tabs>
              <w:tab w:val="clear" w:pos="7609"/>
              <w:tab w:val="right" w:pos="9026" w:leader="dot"/>
            </w:tabs>
            <w:rPr/>
          </w:pPr>
          <w:hyperlink w:anchor="__RefHeading___Toc3584981_3650668749">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3584983_3650668749">
            <w:r>
              <w:rPr>
                <w:webHidden/>
                <w:rStyle w:val="IndexLink"/>
                <w:rtl w:val="true"/>
              </w:rPr>
              <w:t xml:space="preserve">اول </w:t>
            </w:r>
            <w:r>
              <w:rPr>
                <w:rStyle w:val="IndexLink"/>
                <w:rtl w:val="true"/>
              </w:rPr>
              <w:t xml:space="preserve">- </w:t>
            </w:r>
            <w:r>
              <w:rPr>
                <w:rStyle w:val="IndexLink"/>
                <w:rtl w:val="true"/>
              </w:rPr>
              <w:t>مسجد جامع كوفه قبل از اسلام</w:t>
            </w:r>
            <w:r>
              <w:rPr>
                <w:rStyle w:val="IndexLink"/>
                <w:rtl w:val="true"/>
              </w:rPr>
              <w:tab/>
            </w:r>
            <w:r>
              <w:rPr>
                <w:rStyle w:val="IndexLink"/>
              </w:rPr>
              <w:t>134</w:t>
            </w:r>
          </w:hyperlink>
        </w:p>
        <w:p>
          <w:pPr>
            <w:pStyle w:val="Contents6"/>
            <w:tabs>
              <w:tab w:val="clear" w:pos="7609"/>
              <w:tab w:val="right" w:pos="9026" w:leader="dot"/>
            </w:tabs>
            <w:rPr/>
          </w:pPr>
          <w:hyperlink w:anchor="__RefHeading___Toc3584985_3650668749">
            <w:r>
              <w:rPr>
                <w:webHidden/>
                <w:rStyle w:val="IndexLink"/>
                <w:rtl w:val="true"/>
              </w:rPr>
              <w:t>دوم</w:t>
            </w:r>
            <w:r>
              <w:rPr>
                <w:rStyle w:val="IndexLink"/>
                <w:rtl w:val="true"/>
              </w:rPr>
              <w:t xml:space="preserve">- </w:t>
            </w:r>
            <w:r>
              <w:rPr>
                <w:rStyle w:val="IndexLink"/>
                <w:rtl w:val="true"/>
              </w:rPr>
              <w:t>مسجد در زمان سعد بن ابي‌وقاص</w:t>
            </w:r>
            <w:r>
              <w:rPr>
                <w:rStyle w:val="IndexLink"/>
                <w:rtl w:val="true"/>
              </w:rPr>
              <w:tab/>
            </w:r>
            <w:r>
              <w:rPr>
                <w:rStyle w:val="IndexLink"/>
              </w:rPr>
              <w:t>135</w:t>
            </w:r>
          </w:hyperlink>
        </w:p>
        <w:p>
          <w:pPr>
            <w:pStyle w:val="Contents6"/>
            <w:tabs>
              <w:tab w:val="clear" w:pos="7609"/>
              <w:tab w:val="right" w:pos="9026" w:leader="dot"/>
            </w:tabs>
            <w:rPr/>
          </w:pPr>
          <w:hyperlink w:anchor="__RefHeading___Toc3584987_3650668749">
            <w:r>
              <w:rPr>
                <w:webHidden/>
                <w:rStyle w:val="IndexLink"/>
                <w:rtl w:val="true"/>
              </w:rPr>
              <w:t xml:space="preserve">سوم </w:t>
            </w:r>
            <w:r>
              <w:rPr>
                <w:rStyle w:val="IndexLink"/>
                <w:rtl w:val="true"/>
              </w:rPr>
              <w:t xml:space="preserve">- </w:t>
            </w:r>
            <w:r>
              <w:rPr>
                <w:rStyle w:val="IndexLink"/>
                <w:rtl w:val="true"/>
              </w:rPr>
              <w:t>مسجد در زمان زياد بن ابيه</w:t>
            </w:r>
            <w:r>
              <w:rPr>
                <w:rStyle w:val="IndexLink"/>
                <w:rtl w:val="true"/>
              </w:rPr>
              <w:tab/>
            </w:r>
            <w:r>
              <w:rPr>
                <w:rStyle w:val="IndexLink"/>
              </w:rPr>
              <w:t>139</w:t>
            </w:r>
          </w:hyperlink>
        </w:p>
        <w:p>
          <w:pPr>
            <w:pStyle w:val="Contents5"/>
            <w:tabs>
              <w:tab w:val="clear" w:pos="7892"/>
              <w:tab w:val="right" w:pos="9026" w:leader="dot"/>
            </w:tabs>
            <w:rPr/>
          </w:pPr>
          <w:hyperlink w:anchor="__RefHeading___Toc3584989_3650668749">
            <w:r>
              <w:rPr>
                <w:webHidden/>
                <w:rStyle w:val="IndexLink"/>
                <w:rtl w:val="true"/>
              </w:rPr>
              <w:t xml:space="preserve">دو </w:t>
            </w:r>
            <w:r>
              <w:rPr>
                <w:rStyle w:val="IndexLink"/>
                <w:rtl w:val="true"/>
              </w:rPr>
              <w:t xml:space="preserve">- </w:t>
            </w:r>
            <w:r>
              <w:rPr>
                <w:rStyle w:val="IndexLink"/>
                <w:rtl w:val="true"/>
              </w:rPr>
              <w:t>درها‌ى مسجد جامع</w:t>
            </w:r>
            <w:r>
              <w:rPr>
                <w:rStyle w:val="IndexLink"/>
                <w:rtl w:val="true"/>
              </w:rPr>
              <w:tab/>
            </w:r>
            <w:r>
              <w:rPr>
                <w:rStyle w:val="IndexLink"/>
              </w:rPr>
              <w:t>141</w:t>
            </w:r>
          </w:hyperlink>
        </w:p>
        <w:p>
          <w:pPr>
            <w:pStyle w:val="Contents6"/>
            <w:tabs>
              <w:tab w:val="clear" w:pos="7609"/>
              <w:tab w:val="right" w:pos="9026" w:leader="dot"/>
            </w:tabs>
            <w:rPr/>
          </w:pPr>
          <w:hyperlink w:anchor="__RefHeading___Toc3584991_3650668749">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3584993_3650668749">
            <w:r>
              <w:rPr>
                <w:webHidden/>
                <w:rStyle w:val="IndexLink"/>
                <w:rtl w:val="true"/>
              </w:rPr>
              <w:t xml:space="preserve">اول </w:t>
            </w:r>
            <w:r>
              <w:rPr>
                <w:rStyle w:val="IndexLink"/>
                <w:rtl w:val="true"/>
              </w:rPr>
              <w:t xml:space="preserve">- </w:t>
            </w:r>
            <w:r>
              <w:rPr>
                <w:rStyle w:val="IndexLink"/>
                <w:rtl w:val="true"/>
              </w:rPr>
              <w:t>باب السُدَّه</w:t>
            </w:r>
            <w:r>
              <w:rPr>
                <w:rStyle w:val="IndexLink"/>
                <w:rtl w:val="true"/>
              </w:rPr>
              <w:tab/>
            </w:r>
            <w:r>
              <w:rPr>
                <w:rStyle w:val="IndexLink"/>
              </w:rPr>
              <w:t>141</w:t>
            </w:r>
          </w:hyperlink>
        </w:p>
        <w:p>
          <w:pPr>
            <w:pStyle w:val="Contents6"/>
            <w:tabs>
              <w:tab w:val="clear" w:pos="7609"/>
              <w:tab w:val="right" w:pos="9026" w:leader="dot"/>
            </w:tabs>
            <w:rPr/>
          </w:pPr>
          <w:hyperlink w:anchor="__RefHeading___Toc3584995_3650668749">
            <w:r>
              <w:rPr>
                <w:webHidden/>
                <w:rStyle w:val="IndexLink"/>
                <w:rtl w:val="true"/>
              </w:rPr>
              <w:t xml:space="preserve">دوم </w:t>
            </w:r>
            <w:r>
              <w:rPr>
                <w:rStyle w:val="IndexLink"/>
                <w:rtl w:val="true"/>
              </w:rPr>
              <w:t xml:space="preserve">- </w:t>
            </w:r>
            <w:r>
              <w:rPr>
                <w:rStyle w:val="IndexLink"/>
                <w:rtl w:val="true"/>
              </w:rPr>
              <w:t>باب الفيل</w:t>
            </w:r>
            <w:r>
              <w:rPr>
                <w:rStyle w:val="IndexLink"/>
                <w:rtl w:val="true"/>
              </w:rPr>
              <w:tab/>
            </w:r>
            <w:r>
              <w:rPr>
                <w:rStyle w:val="IndexLink"/>
              </w:rPr>
              <w:t>141</w:t>
            </w:r>
          </w:hyperlink>
        </w:p>
        <w:p>
          <w:pPr>
            <w:pStyle w:val="Contents6"/>
            <w:tabs>
              <w:tab w:val="clear" w:pos="7609"/>
              <w:tab w:val="right" w:pos="9026" w:leader="dot"/>
            </w:tabs>
            <w:rPr/>
          </w:pPr>
          <w:hyperlink w:anchor="__RefHeading___Toc3584997_3650668749">
            <w:r>
              <w:rPr>
                <w:webHidden/>
                <w:rStyle w:val="IndexLink"/>
                <w:rtl w:val="true"/>
              </w:rPr>
              <w:t>سوم</w:t>
            </w:r>
            <w:r>
              <w:rPr>
                <w:rStyle w:val="IndexLink"/>
                <w:rtl w:val="true"/>
              </w:rPr>
              <w:t xml:space="preserve">- </w:t>
            </w:r>
            <w:r>
              <w:rPr>
                <w:rStyle w:val="IndexLink"/>
                <w:rtl w:val="true"/>
              </w:rPr>
              <w:t>باب الكنده</w:t>
            </w:r>
            <w:r>
              <w:rPr>
                <w:rStyle w:val="IndexLink"/>
                <w:rtl w:val="true"/>
              </w:rPr>
              <w:tab/>
            </w:r>
            <w:r>
              <w:rPr>
                <w:rStyle w:val="IndexLink"/>
              </w:rPr>
              <w:t>142</w:t>
            </w:r>
          </w:hyperlink>
        </w:p>
        <w:p>
          <w:pPr>
            <w:pStyle w:val="Contents6"/>
            <w:tabs>
              <w:tab w:val="clear" w:pos="7609"/>
              <w:tab w:val="right" w:pos="9026" w:leader="dot"/>
            </w:tabs>
            <w:rPr/>
          </w:pPr>
          <w:hyperlink w:anchor="__RefHeading___Toc3584999_3650668749">
            <w:r>
              <w:rPr>
                <w:webHidden/>
                <w:rStyle w:val="IndexLink"/>
                <w:rtl w:val="true"/>
              </w:rPr>
              <w:t>چهارم</w:t>
            </w:r>
            <w:r>
              <w:rPr>
                <w:rStyle w:val="IndexLink"/>
                <w:rtl w:val="true"/>
              </w:rPr>
              <w:t xml:space="preserve">- </w:t>
            </w:r>
            <w:r>
              <w:rPr>
                <w:rStyle w:val="IndexLink"/>
                <w:rtl w:val="true"/>
              </w:rPr>
              <w:t>باب الأنماط</w:t>
            </w:r>
            <w:r>
              <w:rPr>
                <w:rStyle w:val="IndexLink"/>
                <w:rtl w:val="true"/>
              </w:rPr>
              <w:tab/>
            </w:r>
            <w:r>
              <w:rPr>
                <w:rStyle w:val="IndexLink"/>
              </w:rPr>
              <w:t>143</w:t>
            </w:r>
          </w:hyperlink>
        </w:p>
        <w:p>
          <w:pPr>
            <w:pStyle w:val="Contents5"/>
            <w:tabs>
              <w:tab w:val="clear" w:pos="7892"/>
              <w:tab w:val="right" w:pos="9026" w:leader="dot"/>
            </w:tabs>
            <w:rPr/>
          </w:pPr>
          <w:hyperlink w:anchor="__RefHeading___Toc3585001_3650668749">
            <w:r>
              <w:rPr>
                <w:webHidden/>
                <w:rStyle w:val="IndexLink"/>
                <w:rtl w:val="true"/>
              </w:rPr>
              <w:t xml:space="preserve">سه </w:t>
            </w:r>
            <w:r>
              <w:rPr>
                <w:rStyle w:val="IndexLink"/>
                <w:rtl w:val="true"/>
              </w:rPr>
              <w:t xml:space="preserve">- </w:t>
            </w:r>
            <w:r>
              <w:rPr>
                <w:rStyle w:val="IndexLink"/>
                <w:rtl w:val="true"/>
              </w:rPr>
              <w:t>ستون‌ها‌ى مسجد جامع</w:t>
            </w:r>
            <w:r>
              <w:rPr>
                <w:rStyle w:val="IndexLink"/>
                <w:rtl w:val="true"/>
              </w:rPr>
              <w:tab/>
            </w:r>
            <w:r>
              <w:rPr>
                <w:rStyle w:val="IndexLink"/>
              </w:rPr>
              <w:t>143</w:t>
            </w:r>
          </w:hyperlink>
        </w:p>
        <w:p>
          <w:pPr>
            <w:pStyle w:val="Contents5"/>
            <w:tabs>
              <w:tab w:val="clear" w:pos="7892"/>
              <w:tab w:val="right" w:pos="9026" w:leader="dot"/>
            </w:tabs>
            <w:rPr/>
          </w:pPr>
          <w:hyperlink w:anchor="__RefHeading___Toc3585003_3650668749">
            <w:r>
              <w:rPr>
                <w:webHidden/>
                <w:rStyle w:val="IndexLink"/>
                <w:rtl w:val="true"/>
              </w:rPr>
              <w:t xml:space="preserve">چهار </w:t>
            </w:r>
            <w:r>
              <w:rPr>
                <w:rStyle w:val="IndexLink"/>
                <w:rtl w:val="true"/>
              </w:rPr>
              <w:t xml:space="preserve">- </w:t>
            </w:r>
            <w:r>
              <w:rPr>
                <w:rStyle w:val="IndexLink"/>
                <w:rtl w:val="true"/>
              </w:rPr>
              <w:t>مكان‌ها‌ى تاريخى در مسجد جامع</w:t>
            </w:r>
            <w:r>
              <w:rPr>
                <w:rStyle w:val="IndexLink"/>
                <w:rtl w:val="true"/>
              </w:rPr>
              <w:tab/>
            </w:r>
            <w:r>
              <w:rPr>
                <w:rStyle w:val="IndexLink"/>
              </w:rPr>
              <w:t>144</w:t>
            </w:r>
          </w:hyperlink>
        </w:p>
        <w:p>
          <w:pPr>
            <w:pStyle w:val="Contents6"/>
            <w:tabs>
              <w:tab w:val="clear" w:pos="7609"/>
              <w:tab w:val="right" w:pos="9026" w:leader="dot"/>
            </w:tabs>
            <w:rPr/>
          </w:pPr>
          <w:hyperlink w:anchor="__RefHeading___Toc3585005_3650668749">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3585007_3650668749">
            <w:r>
              <w:rPr>
                <w:webHidden/>
                <w:rStyle w:val="IndexLink"/>
                <w:rtl w:val="true"/>
              </w:rPr>
              <w:t xml:space="preserve">اول </w:t>
            </w:r>
            <w:r>
              <w:rPr>
                <w:rStyle w:val="IndexLink"/>
                <w:rtl w:val="true"/>
              </w:rPr>
              <w:t xml:space="preserve">- </w:t>
            </w:r>
            <w:r>
              <w:rPr>
                <w:rStyle w:val="IndexLink"/>
                <w:rtl w:val="true"/>
              </w:rPr>
              <w:t>دكّة القضاء</w:t>
            </w:r>
            <w:r>
              <w:rPr>
                <w:rStyle w:val="IndexLink"/>
                <w:rtl w:val="true"/>
              </w:rPr>
              <w:tab/>
            </w:r>
            <w:r>
              <w:rPr>
                <w:rStyle w:val="IndexLink"/>
              </w:rPr>
              <w:t>144</w:t>
            </w:r>
          </w:hyperlink>
        </w:p>
        <w:p>
          <w:pPr>
            <w:pStyle w:val="Contents6"/>
            <w:tabs>
              <w:tab w:val="clear" w:pos="7609"/>
              <w:tab w:val="right" w:pos="9026" w:leader="dot"/>
            </w:tabs>
            <w:rPr/>
          </w:pPr>
          <w:hyperlink w:anchor="__RefHeading___Toc3585009_3650668749">
            <w:r>
              <w:rPr>
                <w:webHidden/>
                <w:rStyle w:val="IndexLink"/>
                <w:rtl w:val="true"/>
              </w:rPr>
              <w:t xml:space="preserve">دوم </w:t>
            </w:r>
            <w:r>
              <w:rPr>
                <w:rStyle w:val="IndexLink"/>
                <w:rtl w:val="true"/>
              </w:rPr>
              <w:t xml:space="preserve">- </w:t>
            </w:r>
            <w:r>
              <w:rPr>
                <w:rStyle w:val="IndexLink"/>
                <w:rtl w:val="true"/>
              </w:rPr>
              <w:t>بيت الطشت</w:t>
            </w:r>
            <w:r>
              <w:rPr>
                <w:rStyle w:val="IndexLink"/>
                <w:rtl w:val="true"/>
              </w:rPr>
              <w:tab/>
            </w:r>
            <w:r>
              <w:rPr>
                <w:rStyle w:val="IndexLink"/>
              </w:rPr>
              <w:t>144</w:t>
            </w:r>
          </w:hyperlink>
        </w:p>
        <w:p>
          <w:pPr>
            <w:pStyle w:val="Contents6"/>
            <w:tabs>
              <w:tab w:val="clear" w:pos="7609"/>
              <w:tab w:val="right" w:pos="9026" w:leader="dot"/>
            </w:tabs>
            <w:rPr/>
          </w:pPr>
          <w:hyperlink w:anchor="__RefHeading___Toc3585011_3650668749">
            <w:r>
              <w:rPr>
                <w:webHidden/>
                <w:rStyle w:val="IndexLink"/>
                <w:rtl w:val="true"/>
              </w:rPr>
              <w:t xml:space="preserve">سوم </w:t>
            </w:r>
            <w:r>
              <w:rPr>
                <w:rStyle w:val="IndexLink"/>
                <w:rtl w:val="true"/>
              </w:rPr>
              <w:t xml:space="preserve">- </w:t>
            </w:r>
            <w:r>
              <w:rPr>
                <w:rStyle w:val="IndexLink"/>
                <w:rtl w:val="true"/>
              </w:rPr>
              <w:t>سفينه نوح</w:t>
            </w:r>
            <w:r>
              <w:rPr>
                <w:rStyle w:val="IndexLink"/>
                <w:rtl w:val="true"/>
              </w:rPr>
              <w:tab/>
            </w:r>
            <w:r>
              <w:rPr>
                <w:rStyle w:val="IndexLink"/>
              </w:rPr>
              <w:t>145</w:t>
            </w:r>
          </w:hyperlink>
        </w:p>
        <w:p>
          <w:pPr>
            <w:pStyle w:val="Contents6"/>
            <w:tabs>
              <w:tab w:val="clear" w:pos="7609"/>
              <w:tab w:val="right" w:pos="9026" w:leader="dot"/>
            </w:tabs>
            <w:rPr/>
          </w:pPr>
          <w:hyperlink w:anchor="__RefHeading___Toc3585013_3650668749">
            <w:r>
              <w:rPr>
                <w:webHidden/>
                <w:rStyle w:val="IndexLink"/>
                <w:rtl w:val="true"/>
              </w:rPr>
              <w:t xml:space="preserve">چهارم </w:t>
            </w:r>
            <w:r>
              <w:rPr>
                <w:rStyle w:val="IndexLink"/>
                <w:rtl w:val="true"/>
              </w:rPr>
              <w:t xml:space="preserve">- </w:t>
            </w:r>
            <w:r>
              <w:rPr>
                <w:rStyle w:val="IndexLink"/>
                <w:rtl w:val="true"/>
              </w:rPr>
              <w:t>تَنُّور</w:t>
            </w:r>
            <w:r>
              <w:rPr>
                <w:rStyle w:val="IndexLink"/>
                <w:rtl w:val="true"/>
              </w:rPr>
              <w:tab/>
            </w:r>
            <w:r>
              <w:rPr>
                <w:rStyle w:val="IndexLink"/>
              </w:rPr>
              <w:t>145</w:t>
            </w:r>
          </w:hyperlink>
        </w:p>
        <w:p>
          <w:pPr>
            <w:pStyle w:val="Contents6"/>
            <w:tabs>
              <w:tab w:val="clear" w:pos="7609"/>
              <w:tab w:val="right" w:pos="9026" w:leader="dot"/>
            </w:tabs>
            <w:rPr/>
          </w:pPr>
          <w:hyperlink w:anchor="__RefHeading___Toc3585015_3650668749">
            <w:r>
              <w:rPr>
                <w:webHidden/>
                <w:rStyle w:val="IndexLink"/>
                <w:rtl w:val="true"/>
              </w:rPr>
              <w:t xml:space="preserve">پنجم </w:t>
            </w:r>
            <w:r>
              <w:rPr>
                <w:rStyle w:val="IndexLink"/>
                <w:rtl w:val="true"/>
              </w:rPr>
              <w:t xml:space="preserve">- </w:t>
            </w:r>
            <w:r>
              <w:rPr>
                <w:rStyle w:val="IndexLink"/>
                <w:rtl w:val="true"/>
              </w:rPr>
              <w:t xml:space="preserve">محراب حضرت علي </w:t>
            </w:r>
            <w:r>
              <w:rPr>
                <w:rStyle w:val="IndexLink"/>
                <w:rtl w:val="true"/>
              </w:rPr>
              <w:t>(</w:t>
            </w:r>
            <w:r>
              <w:rPr>
                <w:rStyle w:val="IndexLink"/>
                <w:rtl w:val="true"/>
              </w:rPr>
              <w:t>عليه السلام</w:t>
            </w:r>
            <w:r>
              <w:rPr>
                <w:rStyle w:val="IndexLink"/>
                <w:rtl w:val="true"/>
              </w:rPr>
              <w:t>)</w:t>
              <w:tab/>
            </w:r>
            <w:r>
              <w:rPr>
                <w:rStyle w:val="IndexLink"/>
              </w:rPr>
              <w:t>145</w:t>
            </w:r>
          </w:hyperlink>
        </w:p>
        <w:p>
          <w:pPr>
            <w:pStyle w:val="Contents5"/>
            <w:tabs>
              <w:tab w:val="clear" w:pos="7892"/>
              <w:tab w:val="right" w:pos="9026" w:leader="dot"/>
            </w:tabs>
            <w:rPr/>
          </w:pPr>
          <w:hyperlink w:anchor="__RefHeading___Toc3585017_3650668749">
            <w:r>
              <w:rPr>
                <w:webHidden/>
                <w:rStyle w:val="IndexLink"/>
                <w:rtl w:val="true"/>
              </w:rPr>
              <w:t xml:space="preserve">پنج </w:t>
            </w:r>
            <w:r>
              <w:rPr>
                <w:rStyle w:val="IndexLink"/>
                <w:rtl w:val="true"/>
              </w:rPr>
              <w:t xml:space="preserve">- </w:t>
            </w:r>
            <w:r>
              <w:rPr>
                <w:rStyle w:val="IndexLink"/>
                <w:rtl w:val="true"/>
              </w:rPr>
              <w:t>دستشويى و وضوخانه مسجد جامع كوفه</w:t>
            </w:r>
            <w:r>
              <w:rPr>
                <w:rStyle w:val="IndexLink"/>
                <w:rtl w:val="true"/>
              </w:rPr>
              <w:tab/>
            </w:r>
            <w:r>
              <w:rPr>
                <w:rStyle w:val="IndexLink"/>
              </w:rPr>
              <w:t>146</w:t>
            </w:r>
          </w:hyperlink>
        </w:p>
        <w:p>
          <w:pPr>
            <w:pStyle w:val="Contents5"/>
            <w:tabs>
              <w:tab w:val="clear" w:pos="7892"/>
              <w:tab w:val="right" w:pos="9026" w:leader="dot"/>
            </w:tabs>
            <w:rPr/>
          </w:pPr>
          <w:hyperlink w:anchor="__RefHeading___Toc3585019_3650668749">
            <w:r>
              <w:rPr>
                <w:webHidden/>
                <w:rStyle w:val="IndexLink"/>
                <w:rtl w:val="true"/>
              </w:rPr>
              <w:t xml:space="preserve">شش </w:t>
            </w:r>
            <w:r>
              <w:rPr>
                <w:rStyle w:val="IndexLink"/>
                <w:rtl w:val="true"/>
              </w:rPr>
              <w:t xml:space="preserve">- </w:t>
            </w:r>
            <w:r>
              <w:rPr>
                <w:rStyle w:val="IndexLink"/>
                <w:rtl w:val="true"/>
              </w:rPr>
              <w:t>فاصله مسجد تا دارالاماره</w:t>
            </w:r>
            <w:r>
              <w:rPr>
                <w:rStyle w:val="IndexLink"/>
                <w:rtl w:val="true"/>
              </w:rPr>
              <w:tab/>
            </w:r>
            <w:r>
              <w:rPr>
                <w:rStyle w:val="IndexLink"/>
              </w:rPr>
              <w:t>146</w:t>
            </w:r>
          </w:hyperlink>
        </w:p>
        <w:p>
          <w:pPr>
            <w:pStyle w:val="Contents5"/>
            <w:tabs>
              <w:tab w:val="clear" w:pos="7892"/>
              <w:tab w:val="right" w:pos="9026" w:leader="dot"/>
            </w:tabs>
            <w:rPr/>
          </w:pPr>
          <w:hyperlink w:anchor="__RefHeading___Toc3585021_3650668749">
            <w:r>
              <w:rPr>
                <w:webHidden/>
                <w:rStyle w:val="IndexLink"/>
                <w:rtl w:val="true"/>
              </w:rPr>
              <w:t xml:space="preserve">هفت </w:t>
            </w:r>
            <w:r>
              <w:rPr>
                <w:rStyle w:val="IndexLink"/>
                <w:rtl w:val="true"/>
              </w:rPr>
              <w:t xml:space="preserve">- </w:t>
            </w:r>
            <w:r>
              <w:rPr>
                <w:rStyle w:val="IndexLink"/>
                <w:rtl w:val="true"/>
              </w:rPr>
              <w:t>مسجد جامع كوفه از منظر باستان‌شناسي</w:t>
            </w:r>
            <w:r>
              <w:rPr>
                <w:rStyle w:val="IndexLink"/>
                <w:rtl w:val="true"/>
              </w:rPr>
              <w:tab/>
            </w:r>
            <w:r>
              <w:rPr>
                <w:rStyle w:val="IndexLink"/>
              </w:rPr>
              <w:t>147</w:t>
            </w:r>
          </w:hyperlink>
        </w:p>
        <w:p>
          <w:pPr>
            <w:pStyle w:val="Contents4"/>
            <w:tabs>
              <w:tab w:val="clear" w:pos="8176"/>
              <w:tab w:val="right" w:pos="9026" w:leader="dot"/>
            </w:tabs>
            <w:rPr/>
          </w:pPr>
          <w:hyperlink w:anchor="__RefHeading___Toc3585023_3650668749">
            <w:r>
              <w:rPr>
                <w:webHidden/>
                <w:rStyle w:val="IndexLink"/>
                <w:rtl w:val="true"/>
              </w:rPr>
              <w:t>ب</w:t>
            </w:r>
            <w:r>
              <w:rPr>
                <w:rStyle w:val="IndexLink"/>
                <w:rtl w:val="true"/>
              </w:rPr>
              <w:t xml:space="preserve">) </w:t>
            </w:r>
            <w:r>
              <w:rPr>
                <w:rStyle w:val="IndexLink"/>
                <w:rtl w:val="true"/>
              </w:rPr>
              <w:t>ديگر مساجد</w:t>
            </w:r>
            <w:r>
              <w:rPr>
                <w:rStyle w:val="IndexLink"/>
                <w:rtl w:val="true"/>
              </w:rPr>
              <w:tab/>
            </w:r>
            <w:r>
              <w:rPr>
                <w:rStyle w:val="IndexLink"/>
              </w:rPr>
              <w:t>149</w:t>
            </w:r>
          </w:hyperlink>
        </w:p>
        <w:p>
          <w:pPr>
            <w:pStyle w:val="Contents5"/>
            <w:tabs>
              <w:tab w:val="clear" w:pos="7892"/>
              <w:tab w:val="right" w:pos="9026" w:leader="dot"/>
            </w:tabs>
            <w:rPr/>
          </w:pPr>
          <w:hyperlink w:anchor="__RefHeading___Toc3585025_3650668749">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3585027_3650668749">
            <w:r>
              <w:rPr>
                <w:webHidden/>
                <w:rStyle w:val="IndexLink"/>
                <w:rtl w:val="true"/>
              </w:rPr>
              <w:t xml:space="preserve">يك </w:t>
            </w:r>
            <w:r>
              <w:rPr>
                <w:rStyle w:val="IndexLink"/>
                <w:rtl w:val="true"/>
              </w:rPr>
              <w:t xml:space="preserve">- </w:t>
            </w:r>
            <w:r>
              <w:rPr>
                <w:rStyle w:val="IndexLink"/>
                <w:rtl w:val="true"/>
              </w:rPr>
              <w:t>مساجد مباركه</w:t>
            </w:r>
            <w:r>
              <w:rPr>
                <w:rStyle w:val="IndexLink"/>
                <w:rtl w:val="true"/>
              </w:rPr>
              <w:tab/>
            </w:r>
            <w:r>
              <w:rPr>
                <w:rStyle w:val="IndexLink"/>
              </w:rPr>
              <w:t>150</w:t>
            </w:r>
          </w:hyperlink>
        </w:p>
        <w:p>
          <w:pPr>
            <w:pStyle w:val="Contents6"/>
            <w:tabs>
              <w:tab w:val="clear" w:pos="7609"/>
              <w:tab w:val="right" w:pos="9026" w:leader="dot"/>
            </w:tabs>
            <w:rPr/>
          </w:pPr>
          <w:hyperlink w:anchor="__RefHeading___Toc3585029_3650668749">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3585031_3650668749">
            <w:r>
              <w:rPr>
                <w:webHidden/>
                <w:rStyle w:val="IndexLink"/>
                <w:rtl w:val="true"/>
              </w:rPr>
              <w:t xml:space="preserve">اول </w:t>
            </w:r>
            <w:r>
              <w:rPr>
                <w:rStyle w:val="IndexLink"/>
                <w:rtl w:val="true"/>
              </w:rPr>
              <w:t xml:space="preserve">- </w:t>
            </w:r>
            <w:r>
              <w:rPr>
                <w:rStyle w:val="IndexLink"/>
                <w:rtl w:val="true"/>
              </w:rPr>
              <w:t>مسجد سَهْلَه</w:t>
            </w:r>
            <w:r>
              <w:rPr>
                <w:rStyle w:val="IndexLink"/>
                <w:rtl w:val="true"/>
              </w:rPr>
              <w:tab/>
            </w:r>
            <w:r>
              <w:rPr>
                <w:rStyle w:val="IndexLink"/>
              </w:rPr>
              <w:t>150</w:t>
            </w:r>
          </w:hyperlink>
        </w:p>
        <w:p>
          <w:pPr>
            <w:pStyle w:val="Contents6"/>
            <w:tabs>
              <w:tab w:val="clear" w:pos="7609"/>
              <w:tab w:val="right" w:pos="9026" w:leader="dot"/>
            </w:tabs>
            <w:rPr/>
          </w:pPr>
          <w:hyperlink w:anchor="__RefHeading___Toc3585033_3650668749">
            <w:r>
              <w:rPr>
                <w:webHidden/>
                <w:rStyle w:val="IndexLink"/>
                <w:rtl w:val="true"/>
              </w:rPr>
              <w:t>دوم</w:t>
            </w:r>
            <w:r>
              <w:rPr>
                <w:rStyle w:val="IndexLink"/>
                <w:rtl w:val="true"/>
              </w:rPr>
              <w:t xml:space="preserve">- </w:t>
            </w:r>
            <w:r>
              <w:rPr>
                <w:rStyle w:val="IndexLink"/>
                <w:rtl w:val="true"/>
              </w:rPr>
              <w:t>مسجد بني‌كاهل</w:t>
            </w:r>
            <w:r>
              <w:rPr>
                <w:rStyle w:val="IndexLink"/>
                <w:rtl w:val="true"/>
              </w:rPr>
              <w:tab/>
            </w:r>
            <w:r>
              <w:rPr>
                <w:rStyle w:val="IndexLink"/>
              </w:rPr>
              <w:t>151</w:t>
            </w:r>
          </w:hyperlink>
        </w:p>
        <w:p>
          <w:pPr>
            <w:pStyle w:val="Contents6"/>
            <w:tabs>
              <w:tab w:val="clear" w:pos="7609"/>
              <w:tab w:val="right" w:pos="9026" w:leader="dot"/>
            </w:tabs>
            <w:rPr/>
          </w:pPr>
          <w:hyperlink w:anchor="__RefHeading___Toc3585035_3650668749">
            <w:r>
              <w:rPr>
                <w:webHidden/>
                <w:rStyle w:val="IndexLink"/>
                <w:rtl w:val="true"/>
              </w:rPr>
              <w:t xml:space="preserve">سوم </w:t>
            </w:r>
            <w:r>
              <w:rPr>
                <w:rStyle w:val="IndexLink"/>
                <w:rtl w:val="true"/>
              </w:rPr>
              <w:t xml:space="preserve">- </w:t>
            </w:r>
            <w:r>
              <w:rPr>
                <w:rStyle w:val="IndexLink"/>
                <w:rtl w:val="true"/>
              </w:rPr>
              <w:t>مسجد صَعْصَعَة بن صوحان</w:t>
            </w:r>
            <w:r>
              <w:rPr>
                <w:rStyle w:val="IndexLink"/>
                <w:rtl w:val="true"/>
              </w:rPr>
              <w:tab/>
            </w:r>
            <w:r>
              <w:rPr>
                <w:rStyle w:val="IndexLink"/>
              </w:rPr>
              <w:t>152</w:t>
            </w:r>
          </w:hyperlink>
        </w:p>
        <w:p>
          <w:pPr>
            <w:pStyle w:val="Contents6"/>
            <w:tabs>
              <w:tab w:val="clear" w:pos="7609"/>
              <w:tab w:val="right" w:pos="9026" w:leader="dot"/>
            </w:tabs>
            <w:rPr/>
          </w:pPr>
          <w:hyperlink w:anchor="__RefHeading___Toc3585037_3650668749">
            <w:r>
              <w:rPr>
                <w:webHidden/>
                <w:rStyle w:val="IndexLink"/>
                <w:rtl w:val="true"/>
              </w:rPr>
              <w:t xml:space="preserve">چهارم </w:t>
            </w:r>
            <w:r>
              <w:rPr>
                <w:rStyle w:val="IndexLink"/>
                <w:rtl w:val="true"/>
              </w:rPr>
              <w:t xml:space="preserve">- </w:t>
            </w:r>
            <w:r>
              <w:rPr>
                <w:rStyle w:val="IndexLink"/>
                <w:rtl w:val="true"/>
              </w:rPr>
              <w:t>مسجد زيد بن صوحان</w:t>
            </w:r>
            <w:r>
              <w:rPr>
                <w:rStyle w:val="IndexLink"/>
                <w:rtl w:val="true"/>
              </w:rPr>
              <w:tab/>
            </w:r>
            <w:r>
              <w:rPr>
                <w:rStyle w:val="IndexLink"/>
              </w:rPr>
              <w:t>152</w:t>
            </w:r>
          </w:hyperlink>
        </w:p>
        <w:p>
          <w:pPr>
            <w:pStyle w:val="Contents6"/>
            <w:tabs>
              <w:tab w:val="clear" w:pos="7609"/>
              <w:tab w:val="right" w:pos="9026" w:leader="dot"/>
            </w:tabs>
            <w:rPr/>
          </w:pPr>
          <w:hyperlink w:anchor="__RefHeading___Toc3585039_3650668749">
            <w:r>
              <w:rPr>
                <w:webHidden/>
                <w:rStyle w:val="IndexLink"/>
                <w:rtl w:val="true"/>
              </w:rPr>
              <w:t xml:space="preserve">پنجم </w:t>
            </w:r>
            <w:r>
              <w:rPr>
                <w:rStyle w:val="IndexLink"/>
                <w:rtl w:val="true"/>
              </w:rPr>
              <w:t xml:space="preserve">- </w:t>
            </w:r>
            <w:r>
              <w:rPr>
                <w:rStyle w:val="IndexLink"/>
                <w:rtl w:val="true"/>
              </w:rPr>
              <w:t>مسجد غَنّي</w:t>
            </w:r>
            <w:r>
              <w:rPr>
                <w:rStyle w:val="IndexLink"/>
                <w:rtl w:val="true"/>
              </w:rPr>
              <w:tab/>
            </w:r>
            <w:r>
              <w:rPr>
                <w:rStyle w:val="IndexLink"/>
              </w:rPr>
              <w:t>152</w:t>
            </w:r>
          </w:hyperlink>
        </w:p>
        <w:p>
          <w:pPr>
            <w:pStyle w:val="Contents6"/>
            <w:tabs>
              <w:tab w:val="clear" w:pos="7609"/>
              <w:tab w:val="right" w:pos="9026" w:leader="dot"/>
            </w:tabs>
            <w:rPr/>
          </w:pPr>
          <w:hyperlink w:anchor="__RefHeading___Toc3585041_3650668749">
            <w:r>
              <w:rPr>
                <w:webHidden/>
                <w:rStyle w:val="IndexLink"/>
                <w:rtl w:val="true"/>
              </w:rPr>
              <w:t xml:space="preserve">ششم </w:t>
            </w:r>
            <w:r>
              <w:rPr>
                <w:rStyle w:val="IndexLink"/>
                <w:rtl w:val="true"/>
              </w:rPr>
              <w:t xml:space="preserve">- </w:t>
            </w:r>
            <w:r>
              <w:rPr>
                <w:rStyle w:val="IndexLink"/>
                <w:rtl w:val="true"/>
              </w:rPr>
              <w:t>مسجد حَنّانه</w:t>
            </w:r>
            <w:r>
              <w:rPr>
                <w:rStyle w:val="IndexLink"/>
                <w:rtl w:val="true"/>
              </w:rPr>
              <w:tab/>
            </w:r>
            <w:r>
              <w:rPr>
                <w:rStyle w:val="IndexLink"/>
              </w:rPr>
              <w:t>153</w:t>
            </w:r>
          </w:hyperlink>
        </w:p>
        <w:p>
          <w:pPr>
            <w:pStyle w:val="Contents6"/>
            <w:tabs>
              <w:tab w:val="clear" w:pos="7609"/>
              <w:tab w:val="right" w:pos="9026" w:leader="dot"/>
            </w:tabs>
            <w:rPr/>
          </w:pPr>
          <w:hyperlink w:anchor="__RefHeading___Toc3585043_3650668749">
            <w:r>
              <w:rPr>
                <w:webHidden/>
                <w:rStyle w:val="IndexLink"/>
                <w:rtl w:val="true"/>
              </w:rPr>
              <w:t xml:space="preserve">هفتم </w:t>
            </w:r>
            <w:r>
              <w:rPr>
                <w:rStyle w:val="IndexLink"/>
                <w:rtl w:val="true"/>
              </w:rPr>
              <w:t xml:space="preserve">- </w:t>
            </w:r>
            <w:r>
              <w:rPr>
                <w:rStyle w:val="IndexLink"/>
                <w:rtl w:val="true"/>
              </w:rPr>
              <w:t>مسجد جُعْفي</w:t>
            </w:r>
            <w:r>
              <w:rPr>
                <w:rStyle w:val="IndexLink"/>
                <w:rtl w:val="true"/>
              </w:rPr>
              <w:tab/>
            </w:r>
            <w:r>
              <w:rPr>
                <w:rStyle w:val="IndexLink"/>
              </w:rPr>
              <w:t>153</w:t>
            </w:r>
          </w:hyperlink>
        </w:p>
        <w:p>
          <w:pPr>
            <w:pStyle w:val="Contents6"/>
            <w:tabs>
              <w:tab w:val="clear" w:pos="7609"/>
              <w:tab w:val="right" w:pos="9026" w:leader="dot"/>
            </w:tabs>
            <w:rPr/>
          </w:pPr>
          <w:hyperlink w:anchor="__RefHeading___Toc3585045_3650668749">
            <w:r>
              <w:rPr>
                <w:webHidden/>
                <w:rStyle w:val="IndexLink"/>
                <w:rtl w:val="true"/>
              </w:rPr>
              <w:t xml:space="preserve">هشتم </w:t>
            </w:r>
            <w:r>
              <w:rPr>
                <w:rStyle w:val="IndexLink"/>
                <w:rtl w:val="true"/>
              </w:rPr>
              <w:t xml:space="preserve">- </w:t>
            </w:r>
            <w:r>
              <w:rPr>
                <w:rStyle w:val="IndexLink"/>
                <w:rtl w:val="true"/>
              </w:rPr>
              <w:t>مسجد الحمراء</w:t>
            </w:r>
            <w:r>
              <w:rPr>
                <w:rStyle w:val="IndexLink"/>
                <w:rtl w:val="true"/>
              </w:rPr>
              <w:tab/>
            </w:r>
            <w:r>
              <w:rPr>
                <w:rStyle w:val="IndexLink"/>
              </w:rPr>
              <w:t>153</w:t>
            </w:r>
          </w:hyperlink>
        </w:p>
        <w:p>
          <w:pPr>
            <w:pStyle w:val="Contents5"/>
            <w:tabs>
              <w:tab w:val="clear" w:pos="7892"/>
              <w:tab w:val="right" w:pos="9026" w:leader="dot"/>
            </w:tabs>
            <w:rPr/>
          </w:pPr>
          <w:hyperlink w:anchor="__RefHeading___Toc3585047_3650668749">
            <w:r>
              <w:rPr>
                <w:webHidden/>
                <w:rStyle w:val="IndexLink"/>
                <w:rtl w:val="true"/>
              </w:rPr>
              <w:t xml:space="preserve">دو </w:t>
            </w:r>
            <w:r>
              <w:rPr>
                <w:rStyle w:val="IndexLink"/>
                <w:rtl w:val="true"/>
              </w:rPr>
              <w:t xml:space="preserve">- </w:t>
            </w:r>
            <w:r>
              <w:rPr>
                <w:rStyle w:val="IndexLink"/>
                <w:rtl w:val="true"/>
              </w:rPr>
              <w:t>مساجد ملعونه</w:t>
            </w:r>
            <w:r>
              <w:rPr>
                <w:rStyle w:val="IndexLink"/>
                <w:rtl w:val="true"/>
              </w:rPr>
              <w:tab/>
            </w:r>
            <w:r>
              <w:rPr>
                <w:rStyle w:val="IndexLink"/>
              </w:rPr>
              <w:t>154</w:t>
            </w:r>
          </w:hyperlink>
        </w:p>
        <w:p>
          <w:pPr>
            <w:pStyle w:val="Contents6"/>
            <w:tabs>
              <w:tab w:val="clear" w:pos="7609"/>
              <w:tab w:val="right" w:pos="9026" w:leader="dot"/>
            </w:tabs>
            <w:rPr/>
          </w:pPr>
          <w:hyperlink w:anchor="__RefHeading___Toc3585049_3650668749">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3585051_3650668749">
            <w:r>
              <w:rPr>
                <w:webHidden/>
                <w:rStyle w:val="IndexLink"/>
                <w:rtl w:val="true"/>
              </w:rPr>
              <w:t xml:space="preserve">اول </w:t>
            </w:r>
            <w:r>
              <w:rPr>
                <w:rStyle w:val="IndexLink"/>
                <w:rtl w:val="true"/>
              </w:rPr>
              <w:t xml:space="preserve">- </w:t>
            </w:r>
            <w:r>
              <w:rPr>
                <w:rStyle w:val="IndexLink"/>
                <w:rtl w:val="true"/>
              </w:rPr>
              <w:t>مسجد اَشعث</w:t>
            </w:r>
            <w:r>
              <w:rPr>
                <w:rStyle w:val="IndexLink"/>
                <w:rtl w:val="true"/>
              </w:rPr>
              <w:tab/>
            </w:r>
            <w:r>
              <w:rPr>
                <w:rStyle w:val="IndexLink"/>
              </w:rPr>
              <w:t>155</w:t>
            </w:r>
          </w:hyperlink>
        </w:p>
        <w:p>
          <w:pPr>
            <w:pStyle w:val="Contents6"/>
            <w:tabs>
              <w:tab w:val="clear" w:pos="7609"/>
              <w:tab w:val="right" w:pos="9026" w:leader="dot"/>
            </w:tabs>
            <w:rPr/>
          </w:pPr>
          <w:hyperlink w:anchor="__RefHeading___Toc3585053_3650668749">
            <w:r>
              <w:rPr>
                <w:webHidden/>
                <w:rStyle w:val="IndexLink"/>
                <w:rtl w:val="true"/>
              </w:rPr>
              <w:t xml:space="preserve">دوم </w:t>
            </w:r>
            <w:r>
              <w:rPr>
                <w:rStyle w:val="IndexLink"/>
                <w:rtl w:val="true"/>
              </w:rPr>
              <w:t xml:space="preserve">- </w:t>
            </w:r>
            <w:r>
              <w:rPr>
                <w:rStyle w:val="IndexLink"/>
                <w:rtl w:val="true"/>
              </w:rPr>
              <w:t>مسجد جَرير</w:t>
            </w:r>
            <w:r>
              <w:rPr>
                <w:rStyle w:val="IndexLink"/>
                <w:rtl w:val="true"/>
              </w:rPr>
              <w:tab/>
            </w:r>
            <w:r>
              <w:rPr>
                <w:rStyle w:val="IndexLink"/>
              </w:rPr>
              <w:t>155</w:t>
            </w:r>
          </w:hyperlink>
        </w:p>
        <w:p>
          <w:pPr>
            <w:pStyle w:val="Contents6"/>
            <w:tabs>
              <w:tab w:val="clear" w:pos="7609"/>
              <w:tab w:val="right" w:pos="9026" w:leader="dot"/>
            </w:tabs>
            <w:rPr/>
          </w:pPr>
          <w:hyperlink w:anchor="__RefHeading___Toc3585055_3650668749">
            <w:r>
              <w:rPr>
                <w:webHidden/>
                <w:rStyle w:val="IndexLink"/>
                <w:rtl w:val="true"/>
              </w:rPr>
              <w:t xml:space="preserve">سوم </w:t>
            </w:r>
            <w:r>
              <w:rPr>
                <w:rStyle w:val="IndexLink"/>
                <w:rtl w:val="true"/>
              </w:rPr>
              <w:t xml:space="preserve">- </w:t>
            </w:r>
            <w:r>
              <w:rPr>
                <w:rStyle w:val="IndexLink"/>
                <w:rtl w:val="true"/>
              </w:rPr>
              <w:t>مسجد سَمّاك</w:t>
            </w:r>
            <w:r>
              <w:rPr>
                <w:rStyle w:val="IndexLink"/>
                <w:rtl w:val="true"/>
              </w:rPr>
              <w:tab/>
            </w:r>
            <w:r>
              <w:rPr>
                <w:rStyle w:val="IndexLink"/>
              </w:rPr>
              <w:t>155</w:t>
            </w:r>
          </w:hyperlink>
        </w:p>
        <w:p>
          <w:pPr>
            <w:pStyle w:val="Contents6"/>
            <w:tabs>
              <w:tab w:val="clear" w:pos="7609"/>
              <w:tab w:val="right" w:pos="9026" w:leader="dot"/>
            </w:tabs>
            <w:rPr/>
          </w:pPr>
          <w:hyperlink w:anchor="__RefHeading___Toc3585057_3650668749">
            <w:r>
              <w:rPr>
                <w:webHidden/>
                <w:rStyle w:val="IndexLink"/>
                <w:rtl w:val="true"/>
              </w:rPr>
              <w:t xml:space="preserve">چهارم </w:t>
            </w:r>
            <w:r>
              <w:rPr>
                <w:rStyle w:val="IndexLink"/>
                <w:rtl w:val="true"/>
              </w:rPr>
              <w:t xml:space="preserve">- </w:t>
            </w:r>
            <w:r>
              <w:rPr>
                <w:rStyle w:val="IndexLink"/>
                <w:rtl w:val="true"/>
              </w:rPr>
              <w:t>مسجد شَبَث</w:t>
            </w:r>
            <w:r>
              <w:rPr>
                <w:rStyle w:val="IndexLink"/>
                <w:rtl w:val="true"/>
              </w:rPr>
              <w:tab/>
            </w:r>
            <w:r>
              <w:rPr>
                <w:rStyle w:val="IndexLink"/>
              </w:rPr>
              <w:t>155</w:t>
            </w:r>
          </w:hyperlink>
        </w:p>
        <w:p>
          <w:pPr>
            <w:pStyle w:val="Contents6"/>
            <w:tabs>
              <w:tab w:val="clear" w:pos="7609"/>
              <w:tab w:val="right" w:pos="9026" w:leader="dot"/>
            </w:tabs>
            <w:rPr/>
          </w:pPr>
          <w:hyperlink w:anchor="__RefHeading___Toc3585059_3650668749">
            <w:r>
              <w:rPr>
                <w:webHidden/>
                <w:rStyle w:val="IndexLink"/>
                <w:rtl w:val="true"/>
              </w:rPr>
              <w:t xml:space="preserve">پنجم </w:t>
            </w:r>
            <w:r>
              <w:rPr>
                <w:rStyle w:val="IndexLink"/>
                <w:rtl w:val="true"/>
              </w:rPr>
              <w:t xml:space="preserve">- </w:t>
            </w:r>
            <w:r>
              <w:rPr>
                <w:rStyle w:val="IndexLink"/>
                <w:rtl w:val="true"/>
              </w:rPr>
              <w:t xml:space="preserve">مسجد تَيم </w:t>
            </w:r>
            <w:r>
              <w:rPr>
                <w:rStyle w:val="IndexLink"/>
                <w:rtl w:val="true"/>
              </w:rPr>
              <w:t>(</w:t>
            </w:r>
            <w:r>
              <w:rPr>
                <w:rStyle w:val="IndexLink"/>
                <w:rtl w:val="true"/>
              </w:rPr>
              <w:t>مسجد بنوتَيِم</w:t>
            </w:r>
            <w:r>
              <w:rPr>
                <w:rStyle w:val="IndexLink"/>
                <w:rtl w:val="true"/>
              </w:rPr>
              <w:t>)</w:t>
              <w:tab/>
            </w:r>
            <w:r>
              <w:rPr>
                <w:rStyle w:val="IndexLink"/>
              </w:rPr>
              <w:t>155</w:t>
            </w:r>
          </w:hyperlink>
        </w:p>
        <w:p>
          <w:pPr>
            <w:pStyle w:val="Contents6"/>
            <w:tabs>
              <w:tab w:val="clear" w:pos="7609"/>
              <w:tab w:val="right" w:pos="9026" w:leader="dot"/>
            </w:tabs>
            <w:rPr/>
          </w:pPr>
          <w:hyperlink w:anchor="__RefHeading___Toc3585061_3650668749">
            <w:r>
              <w:rPr>
                <w:webHidden/>
                <w:rStyle w:val="IndexLink"/>
                <w:rtl w:val="true"/>
              </w:rPr>
              <w:t xml:space="preserve">ششم </w:t>
            </w:r>
            <w:r>
              <w:rPr>
                <w:rStyle w:val="IndexLink"/>
                <w:rtl w:val="true"/>
              </w:rPr>
              <w:t xml:space="preserve">- </w:t>
            </w:r>
            <w:r>
              <w:rPr>
                <w:rStyle w:val="IndexLink"/>
                <w:rtl w:val="true"/>
              </w:rPr>
              <w:t>مسجد ثَقيف</w:t>
            </w:r>
            <w:r>
              <w:rPr>
                <w:rStyle w:val="IndexLink"/>
                <w:rtl w:val="true"/>
              </w:rPr>
              <w:tab/>
            </w:r>
            <w:r>
              <w:rPr>
                <w:rStyle w:val="IndexLink"/>
              </w:rPr>
              <w:t>156</w:t>
            </w:r>
          </w:hyperlink>
        </w:p>
        <w:p>
          <w:pPr>
            <w:pStyle w:val="Contents6"/>
            <w:tabs>
              <w:tab w:val="clear" w:pos="7609"/>
              <w:tab w:val="right" w:pos="9026" w:leader="dot"/>
            </w:tabs>
            <w:rPr/>
          </w:pPr>
          <w:hyperlink w:anchor="__RefHeading___Toc3585063_3650668749">
            <w:r>
              <w:rPr>
                <w:webHidden/>
                <w:rStyle w:val="IndexLink"/>
                <w:rtl w:val="true"/>
              </w:rPr>
              <w:t xml:space="preserve">هفتم </w:t>
            </w:r>
            <w:r>
              <w:rPr>
                <w:rStyle w:val="IndexLink"/>
                <w:rtl w:val="true"/>
              </w:rPr>
              <w:t xml:space="preserve">- </w:t>
            </w:r>
            <w:r>
              <w:rPr>
                <w:rStyle w:val="IndexLink"/>
                <w:rtl w:val="true"/>
              </w:rPr>
              <w:t>مسجدى در الحمراء</w:t>
            </w:r>
            <w:r>
              <w:rPr>
                <w:rStyle w:val="IndexLink"/>
                <w:rtl w:val="true"/>
              </w:rPr>
              <w:tab/>
            </w:r>
            <w:r>
              <w:rPr>
                <w:rStyle w:val="IndexLink"/>
              </w:rPr>
              <w:t>156</w:t>
            </w:r>
          </w:hyperlink>
        </w:p>
        <w:p>
          <w:pPr>
            <w:pStyle w:val="Contents5"/>
            <w:tabs>
              <w:tab w:val="clear" w:pos="7892"/>
              <w:tab w:val="right" w:pos="9026" w:leader="dot"/>
            </w:tabs>
            <w:rPr/>
          </w:pPr>
          <w:hyperlink w:anchor="__RefHeading___Toc3585065_3650668749">
            <w:r>
              <w:rPr>
                <w:webHidden/>
                <w:rStyle w:val="IndexLink"/>
                <w:rtl w:val="true"/>
              </w:rPr>
              <w:t xml:space="preserve">سه </w:t>
            </w:r>
            <w:r>
              <w:rPr>
                <w:rStyle w:val="IndexLink"/>
                <w:rtl w:val="true"/>
              </w:rPr>
              <w:t xml:space="preserve">- </w:t>
            </w:r>
            <w:r>
              <w:rPr>
                <w:rStyle w:val="IndexLink"/>
                <w:rtl w:val="true"/>
              </w:rPr>
              <w:t>مساجد ديگر</w:t>
            </w:r>
            <w:r>
              <w:rPr>
                <w:rStyle w:val="IndexLink"/>
                <w:rtl w:val="true"/>
              </w:rPr>
              <w:tab/>
            </w:r>
            <w:r>
              <w:rPr>
                <w:rStyle w:val="IndexLink"/>
              </w:rPr>
              <w:t>156</w:t>
            </w:r>
          </w:hyperlink>
        </w:p>
        <w:p>
          <w:pPr>
            <w:pStyle w:val="Contents6"/>
            <w:tabs>
              <w:tab w:val="clear" w:pos="7609"/>
              <w:tab w:val="right" w:pos="9026" w:leader="dot"/>
            </w:tabs>
            <w:rPr/>
          </w:pPr>
          <w:hyperlink w:anchor="__RefHeading___Toc3585067_3650668749">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3585069_3650668749">
            <w:r>
              <w:rPr>
                <w:webHidden/>
                <w:rStyle w:val="IndexLink"/>
                <w:rtl w:val="true"/>
              </w:rPr>
              <w:t xml:space="preserve">اول </w:t>
            </w:r>
            <w:r>
              <w:rPr>
                <w:rStyle w:val="IndexLink"/>
                <w:rtl w:val="true"/>
              </w:rPr>
              <w:t xml:space="preserve">- </w:t>
            </w:r>
            <w:r>
              <w:rPr>
                <w:rStyle w:val="IndexLink"/>
                <w:rtl w:val="true"/>
              </w:rPr>
              <w:t xml:space="preserve">مسجد جُهَيْنَه </w:t>
            </w:r>
            <w:r>
              <w:rPr>
                <w:rStyle w:val="IndexLink"/>
                <w:rtl w:val="true"/>
              </w:rPr>
              <w:t>(</w:t>
            </w:r>
            <w:r>
              <w:rPr>
                <w:rStyle w:val="IndexLink"/>
                <w:rtl w:val="true"/>
              </w:rPr>
              <w:t>مسجد بنودُهمان</w:t>
            </w:r>
            <w:r>
              <w:rPr>
                <w:rStyle w:val="IndexLink"/>
                <w:rtl w:val="true"/>
              </w:rPr>
              <w:t>)</w:t>
              <w:tab/>
            </w:r>
            <w:r>
              <w:rPr>
                <w:rStyle w:val="IndexLink"/>
              </w:rPr>
              <w:t>156</w:t>
            </w:r>
          </w:hyperlink>
        </w:p>
        <w:p>
          <w:pPr>
            <w:pStyle w:val="Contents6"/>
            <w:tabs>
              <w:tab w:val="clear" w:pos="7609"/>
              <w:tab w:val="right" w:pos="9026" w:leader="dot"/>
            </w:tabs>
            <w:rPr/>
          </w:pPr>
          <w:hyperlink w:anchor="__RefHeading___Toc3585071_3650668749">
            <w:r>
              <w:rPr>
                <w:webHidden/>
                <w:rStyle w:val="IndexLink"/>
                <w:rtl w:val="true"/>
              </w:rPr>
              <w:t xml:space="preserve">دوم </w:t>
            </w:r>
            <w:r>
              <w:rPr>
                <w:rStyle w:val="IndexLink"/>
                <w:rtl w:val="true"/>
              </w:rPr>
              <w:t xml:space="preserve">- </w:t>
            </w:r>
            <w:r>
              <w:rPr>
                <w:rStyle w:val="IndexLink"/>
                <w:rtl w:val="true"/>
              </w:rPr>
              <w:t>مسجد بني‌مَخْزوم</w:t>
            </w:r>
            <w:r>
              <w:rPr>
                <w:rStyle w:val="IndexLink"/>
                <w:rtl w:val="true"/>
              </w:rPr>
              <w:tab/>
            </w:r>
            <w:r>
              <w:rPr>
                <w:rStyle w:val="IndexLink"/>
              </w:rPr>
              <w:t>157</w:t>
            </w:r>
          </w:hyperlink>
        </w:p>
        <w:p>
          <w:pPr>
            <w:pStyle w:val="Contents6"/>
            <w:tabs>
              <w:tab w:val="clear" w:pos="7609"/>
              <w:tab w:val="right" w:pos="9026" w:leader="dot"/>
            </w:tabs>
            <w:rPr/>
          </w:pPr>
          <w:hyperlink w:anchor="__RefHeading___Toc3585073_3650668749">
            <w:r>
              <w:rPr>
                <w:webHidden/>
                <w:rStyle w:val="IndexLink"/>
                <w:rtl w:val="true"/>
              </w:rPr>
              <w:t xml:space="preserve">سوم </w:t>
            </w:r>
            <w:r>
              <w:rPr>
                <w:rStyle w:val="IndexLink"/>
                <w:rtl w:val="true"/>
              </w:rPr>
              <w:t xml:space="preserve">- </w:t>
            </w:r>
            <w:r>
              <w:rPr>
                <w:rStyle w:val="IndexLink"/>
                <w:rtl w:val="true"/>
              </w:rPr>
              <w:t>مسجد بني‌عبدالله بن دارِم</w:t>
            </w:r>
            <w:r>
              <w:rPr>
                <w:rStyle w:val="IndexLink"/>
                <w:rtl w:val="true"/>
              </w:rPr>
              <w:tab/>
            </w:r>
            <w:r>
              <w:rPr>
                <w:rStyle w:val="IndexLink"/>
              </w:rPr>
              <w:t>157</w:t>
            </w:r>
          </w:hyperlink>
        </w:p>
        <w:p>
          <w:pPr>
            <w:pStyle w:val="Contents6"/>
            <w:tabs>
              <w:tab w:val="clear" w:pos="7609"/>
              <w:tab w:val="right" w:pos="9026" w:leader="dot"/>
            </w:tabs>
            <w:rPr/>
          </w:pPr>
          <w:hyperlink w:anchor="__RefHeading___Toc3585075_3650668749">
            <w:r>
              <w:rPr>
                <w:webHidden/>
                <w:rStyle w:val="IndexLink"/>
                <w:rtl w:val="true"/>
              </w:rPr>
              <w:t>\</w:t>
            </w:r>
            <w:r>
              <w:rPr>
                <w:rStyle w:val="IndexLink"/>
                <w:rtl w:val="true"/>
              </w:rPr>
              <w:t xml:space="preserve">رزام </w:t>
            </w:r>
            <w:r>
              <w:rPr>
                <w:rStyle w:val="IndexLink"/>
                <w:rtl w:val="true"/>
              </w:rPr>
              <w:t>(</w:t>
            </w:r>
            <w:r>
              <w:rPr>
                <w:rStyle w:val="IndexLink"/>
                <w:rtl w:val="true"/>
              </w:rPr>
              <w:t>مسجددارم</w:t>
            </w:r>
            <w:r>
              <w:rPr>
                <w:rStyle w:val="IndexLink"/>
                <w:rtl w:val="true"/>
              </w:rPr>
              <w:t>)</w:t>
              <w:tab/>
            </w:r>
            <w:r>
              <w:rPr>
                <w:rStyle w:val="IndexLink"/>
              </w:rPr>
              <w:t>157</w:t>
            </w:r>
          </w:hyperlink>
        </w:p>
        <w:p>
          <w:pPr>
            <w:pStyle w:val="Contents6"/>
            <w:tabs>
              <w:tab w:val="clear" w:pos="7609"/>
              <w:tab w:val="right" w:pos="9026" w:leader="dot"/>
            </w:tabs>
            <w:rPr/>
          </w:pPr>
          <w:hyperlink w:anchor="__RefHeading___Toc3585077_3650668749">
            <w:r>
              <w:rPr>
                <w:webHidden/>
                <w:rStyle w:val="IndexLink"/>
                <w:rtl w:val="true"/>
              </w:rPr>
              <w:t xml:space="preserve">چهارم </w:t>
            </w:r>
            <w:r>
              <w:rPr>
                <w:rStyle w:val="IndexLink"/>
                <w:rtl w:val="true"/>
              </w:rPr>
              <w:t xml:space="preserve">- </w:t>
            </w:r>
            <w:r>
              <w:rPr>
                <w:rStyle w:val="IndexLink"/>
                <w:rtl w:val="true"/>
              </w:rPr>
              <w:t>مسجد بني‌جَذيمه</w:t>
            </w:r>
            <w:r>
              <w:rPr>
                <w:rStyle w:val="IndexLink"/>
                <w:rtl w:val="true"/>
              </w:rPr>
              <w:tab/>
            </w:r>
            <w:r>
              <w:rPr>
                <w:rStyle w:val="IndexLink"/>
              </w:rPr>
              <w:t>157</w:t>
            </w:r>
          </w:hyperlink>
        </w:p>
        <w:p>
          <w:pPr>
            <w:pStyle w:val="Contents6"/>
            <w:tabs>
              <w:tab w:val="clear" w:pos="7609"/>
              <w:tab w:val="right" w:pos="9026" w:leader="dot"/>
            </w:tabs>
            <w:rPr/>
          </w:pPr>
          <w:hyperlink w:anchor="__RefHeading___Toc3585079_3650668749">
            <w:r>
              <w:rPr>
                <w:webHidden/>
                <w:rStyle w:val="IndexLink"/>
                <w:rtl w:val="true"/>
              </w:rPr>
              <w:t xml:space="preserve">پنجم </w:t>
            </w:r>
            <w:r>
              <w:rPr>
                <w:rStyle w:val="IndexLink"/>
                <w:rtl w:val="true"/>
              </w:rPr>
              <w:t xml:space="preserve">- </w:t>
            </w:r>
            <w:r>
              <w:rPr>
                <w:rStyle w:val="IndexLink"/>
                <w:rtl w:val="true"/>
              </w:rPr>
              <w:t xml:space="preserve">مسجد بني‌عَنْزَه </w:t>
            </w:r>
            <w:r>
              <w:rPr>
                <w:rStyle w:val="IndexLink"/>
                <w:rtl w:val="true"/>
              </w:rPr>
              <w:t>(</w:t>
            </w:r>
            <w:r>
              <w:rPr>
                <w:rStyle w:val="IndexLink"/>
                <w:rtl w:val="true"/>
              </w:rPr>
              <w:t>مسجد بنوعناز يا مسجد بني‌عنز</w:t>
            </w:r>
            <w:r>
              <w:rPr>
                <w:rStyle w:val="IndexLink"/>
                <w:rtl w:val="true"/>
              </w:rPr>
              <w:t>)</w:t>
              <w:tab/>
            </w:r>
            <w:r>
              <w:rPr>
                <w:rStyle w:val="IndexLink"/>
              </w:rPr>
              <w:t>157</w:t>
            </w:r>
          </w:hyperlink>
        </w:p>
        <w:p>
          <w:pPr>
            <w:pStyle w:val="Contents6"/>
            <w:tabs>
              <w:tab w:val="clear" w:pos="7609"/>
              <w:tab w:val="right" w:pos="9026" w:leader="dot"/>
            </w:tabs>
            <w:rPr/>
          </w:pPr>
          <w:hyperlink w:anchor="__RefHeading___Toc3585081_3650668749">
            <w:r>
              <w:rPr>
                <w:webHidden/>
                <w:rStyle w:val="IndexLink"/>
                <w:rtl w:val="true"/>
              </w:rPr>
              <w:t xml:space="preserve">ششم </w:t>
            </w:r>
            <w:r>
              <w:rPr>
                <w:rStyle w:val="IndexLink"/>
                <w:rtl w:val="true"/>
              </w:rPr>
              <w:t xml:space="preserve">- </w:t>
            </w:r>
            <w:r>
              <w:rPr>
                <w:rStyle w:val="IndexLink"/>
                <w:rtl w:val="true"/>
              </w:rPr>
              <w:t xml:space="preserve">مسجد سَكون </w:t>
            </w:r>
            <w:r>
              <w:rPr>
                <w:rStyle w:val="IndexLink"/>
                <w:rtl w:val="true"/>
              </w:rPr>
              <w:t>(</w:t>
            </w:r>
            <w:r>
              <w:rPr>
                <w:rStyle w:val="IndexLink"/>
                <w:rtl w:val="true"/>
              </w:rPr>
              <w:t>مسجد بني‌سكون</w:t>
            </w:r>
            <w:r>
              <w:rPr>
                <w:rStyle w:val="IndexLink"/>
                <w:rtl w:val="true"/>
              </w:rPr>
              <w:t>)</w:t>
              <w:tab/>
            </w:r>
            <w:r>
              <w:rPr>
                <w:rStyle w:val="IndexLink"/>
              </w:rPr>
              <w:t>158</w:t>
            </w:r>
          </w:hyperlink>
        </w:p>
        <w:p>
          <w:pPr>
            <w:pStyle w:val="Contents6"/>
            <w:tabs>
              <w:tab w:val="clear" w:pos="7609"/>
              <w:tab w:val="right" w:pos="9026" w:leader="dot"/>
            </w:tabs>
            <w:rPr/>
          </w:pPr>
          <w:hyperlink w:anchor="__RefHeading___Toc3585083_3650668749">
            <w:r>
              <w:rPr>
                <w:webHidden/>
                <w:rStyle w:val="IndexLink"/>
                <w:rtl w:val="true"/>
              </w:rPr>
              <w:t xml:space="preserve">هفتم </w:t>
            </w:r>
            <w:r>
              <w:rPr>
                <w:rStyle w:val="IndexLink"/>
                <w:rtl w:val="true"/>
              </w:rPr>
              <w:t xml:space="preserve">- </w:t>
            </w:r>
            <w:r>
              <w:rPr>
                <w:rStyle w:val="IndexLink"/>
                <w:rtl w:val="true"/>
              </w:rPr>
              <w:t>مسجد قُصّاص</w:t>
            </w:r>
            <w:r>
              <w:rPr>
                <w:rStyle w:val="IndexLink"/>
                <w:rtl w:val="true"/>
              </w:rPr>
              <w:tab/>
            </w:r>
            <w:r>
              <w:rPr>
                <w:rStyle w:val="IndexLink"/>
              </w:rPr>
              <w:t>158</w:t>
            </w:r>
          </w:hyperlink>
        </w:p>
        <w:p>
          <w:pPr>
            <w:pStyle w:val="Contents6"/>
            <w:tabs>
              <w:tab w:val="clear" w:pos="7609"/>
              <w:tab w:val="right" w:pos="9026" w:leader="dot"/>
            </w:tabs>
            <w:rPr/>
          </w:pPr>
          <w:hyperlink w:anchor="__RefHeading___Toc3585085_3650668749">
            <w:r>
              <w:rPr>
                <w:webHidden/>
                <w:rStyle w:val="IndexLink"/>
                <w:rtl w:val="true"/>
              </w:rPr>
              <w:t xml:space="preserve">هشتم </w:t>
            </w:r>
            <w:r>
              <w:rPr>
                <w:rStyle w:val="IndexLink"/>
                <w:rtl w:val="true"/>
              </w:rPr>
              <w:t xml:space="preserve">- </w:t>
            </w:r>
            <w:r>
              <w:rPr>
                <w:rStyle w:val="IndexLink"/>
                <w:rtl w:val="true"/>
              </w:rPr>
              <w:t>مسجد عبدالقيس</w:t>
            </w:r>
            <w:r>
              <w:rPr>
                <w:rStyle w:val="IndexLink"/>
                <w:rtl w:val="true"/>
              </w:rPr>
              <w:tab/>
            </w:r>
            <w:r>
              <w:rPr>
                <w:rStyle w:val="IndexLink"/>
              </w:rPr>
              <w:t>158</w:t>
            </w:r>
          </w:hyperlink>
        </w:p>
        <w:p>
          <w:pPr>
            <w:pStyle w:val="Contents6"/>
            <w:tabs>
              <w:tab w:val="clear" w:pos="7609"/>
              <w:tab w:val="right" w:pos="9026" w:leader="dot"/>
            </w:tabs>
            <w:rPr/>
          </w:pPr>
          <w:hyperlink w:anchor="__RefHeading___Toc3585087_3650668749">
            <w:r>
              <w:rPr>
                <w:webHidden/>
                <w:rStyle w:val="IndexLink"/>
                <w:rtl w:val="true"/>
              </w:rPr>
              <w:t xml:space="preserve">نهم </w:t>
            </w:r>
            <w:r>
              <w:rPr>
                <w:rStyle w:val="IndexLink"/>
                <w:rtl w:val="true"/>
              </w:rPr>
              <w:t xml:space="preserve">- </w:t>
            </w:r>
            <w:r>
              <w:rPr>
                <w:rStyle w:val="IndexLink"/>
                <w:rtl w:val="true"/>
              </w:rPr>
              <w:t xml:space="preserve">مسجد بني‌سُنْبُس </w:t>
            </w:r>
            <w:r>
              <w:rPr>
                <w:rStyle w:val="IndexLink"/>
                <w:rtl w:val="true"/>
              </w:rPr>
              <w:t>(</w:t>
            </w:r>
            <w:r>
              <w:rPr>
                <w:rStyle w:val="IndexLink"/>
                <w:rtl w:val="true"/>
              </w:rPr>
              <w:t>مسجد عدي بن حاتَم</w:t>
            </w:r>
            <w:r>
              <w:rPr>
                <w:rStyle w:val="IndexLink"/>
                <w:rtl w:val="true"/>
              </w:rPr>
              <w:t>)</w:t>
              <w:tab/>
            </w:r>
            <w:r>
              <w:rPr>
                <w:rStyle w:val="IndexLink"/>
              </w:rPr>
              <w:t>158</w:t>
            </w:r>
          </w:hyperlink>
        </w:p>
        <w:p>
          <w:pPr>
            <w:pStyle w:val="Contents6"/>
            <w:tabs>
              <w:tab w:val="clear" w:pos="7609"/>
              <w:tab w:val="right" w:pos="9026" w:leader="dot"/>
            </w:tabs>
            <w:rPr/>
          </w:pPr>
          <w:hyperlink w:anchor="__RefHeading___Toc3585089_3650668749">
            <w:r>
              <w:rPr>
                <w:webHidden/>
                <w:rStyle w:val="IndexLink"/>
                <w:rtl w:val="true"/>
              </w:rPr>
              <w:t xml:space="preserve">دهم </w:t>
            </w:r>
            <w:r>
              <w:rPr>
                <w:rStyle w:val="IndexLink"/>
                <w:rtl w:val="true"/>
              </w:rPr>
              <w:t xml:space="preserve">- </w:t>
            </w:r>
            <w:r>
              <w:rPr>
                <w:rStyle w:val="IndexLink"/>
                <w:rtl w:val="true"/>
              </w:rPr>
              <w:t>مسجد بني‌مُقاصف</w:t>
            </w:r>
            <w:r>
              <w:rPr>
                <w:rStyle w:val="IndexLink"/>
                <w:rtl w:val="true"/>
              </w:rPr>
              <w:tab/>
            </w:r>
            <w:r>
              <w:rPr>
                <w:rStyle w:val="IndexLink"/>
              </w:rPr>
              <w:t>159</w:t>
            </w:r>
          </w:hyperlink>
        </w:p>
        <w:p>
          <w:pPr>
            <w:pStyle w:val="Contents6"/>
            <w:tabs>
              <w:tab w:val="clear" w:pos="7609"/>
              <w:tab w:val="right" w:pos="9026" w:leader="dot"/>
            </w:tabs>
            <w:rPr/>
          </w:pPr>
          <w:hyperlink w:anchor="__RefHeading___Toc3585091_3650668749">
            <w:r>
              <w:rPr>
                <w:webHidden/>
                <w:rStyle w:val="IndexLink"/>
                <w:rtl w:val="true"/>
              </w:rPr>
              <w:t xml:space="preserve">يازدهم </w:t>
            </w:r>
            <w:r>
              <w:rPr>
                <w:rStyle w:val="IndexLink"/>
                <w:rtl w:val="true"/>
              </w:rPr>
              <w:t xml:space="preserve">- </w:t>
            </w:r>
            <w:r>
              <w:rPr>
                <w:rStyle w:val="IndexLink"/>
                <w:rtl w:val="true"/>
              </w:rPr>
              <w:t>مسجد بني‌بَهْدَلَه</w:t>
            </w:r>
            <w:r>
              <w:rPr>
                <w:rStyle w:val="IndexLink"/>
                <w:rtl w:val="true"/>
              </w:rPr>
              <w:tab/>
            </w:r>
            <w:r>
              <w:rPr>
                <w:rStyle w:val="IndexLink"/>
              </w:rPr>
              <w:t>159</w:t>
            </w:r>
          </w:hyperlink>
        </w:p>
        <w:p>
          <w:pPr>
            <w:pStyle w:val="Contents6"/>
            <w:tabs>
              <w:tab w:val="clear" w:pos="7609"/>
              <w:tab w:val="right" w:pos="9026" w:leader="dot"/>
            </w:tabs>
            <w:rPr/>
          </w:pPr>
          <w:hyperlink w:anchor="__RefHeading___Toc3585093_3650668749">
            <w:r>
              <w:rPr>
                <w:webHidden/>
                <w:rStyle w:val="IndexLink"/>
                <w:rtl w:val="true"/>
              </w:rPr>
              <w:t xml:space="preserve">دوازدهم </w:t>
            </w:r>
            <w:r>
              <w:rPr>
                <w:rStyle w:val="IndexLink"/>
                <w:rtl w:val="true"/>
              </w:rPr>
              <w:t xml:space="preserve">- </w:t>
            </w:r>
            <w:r>
              <w:rPr>
                <w:rStyle w:val="IndexLink"/>
                <w:rtl w:val="true"/>
              </w:rPr>
              <w:t>مسجد اَنْصار</w:t>
            </w:r>
            <w:r>
              <w:rPr>
                <w:rStyle w:val="IndexLink"/>
                <w:rtl w:val="true"/>
              </w:rPr>
              <w:tab/>
            </w:r>
            <w:r>
              <w:rPr>
                <w:rStyle w:val="IndexLink"/>
              </w:rPr>
              <w:t>159</w:t>
            </w:r>
          </w:hyperlink>
        </w:p>
        <w:p>
          <w:pPr>
            <w:pStyle w:val="Contents6"/>
            <w:tabs>
              <w:tab w:val="clear" w:pos="7609"/>
              <w:tab w:val="right" w:pos="9026" w:leader="dot"/>
            </w:tabs>
            <w:rPr/>
          </w:pPr>
          <w:hyperlink w:anchor="__RefHeading___Toc3585095_3650668749">
            <w:r>
              <w:rPr>
                <w:webHidden/>
                <w:rStyle w:val="IndexLink"/>
                <w:rtl w:val="true"/>
              </w:rPr>
              <w:t xml:space="preserve">سيزدهم </w:t>
            </w:r>
            <w:r>
              <w:rPr>
                <w:rStyle w:val="IndexLink"/>
                <w:rtl w:val="true"/>
              </w:rPr>
              <w:t xml:space="preserve">- </w:t>
            </w:r>
            <w:r>
              <w:rPr>
                <w:rStyle w:val="IndexLink"/>
                <w:rtl w:val="true"/>
              </w:rPr>
              <w:t xml:space="preserve">مسجد اَحْمَس </w:t>
            </w:r>
            <w:r>
              <w:rPr>
                <w:rStyle w:val="IndexLink"/>
                <w:rtl w:val="true"/>
              </w:rPr>
              <w:t>(</w:t>
            </w:r>
            <w:r>
              <w:rPr>
                <w:rStyle w:val="IndexLink"/>
                <w:rtl w:val="true"/>
              </w:rPr>
              <w:t>مسجد مُزَيْنه</w:t>
            </w:r>
            <w:r>
              <w:rPr>
                <w:rStyle w:val="IndexLink"/>
                <w:rtl w:val="true"/>
              </w:rPr>
              <w:t>)</w:t>
              <w:tab/>
            </w:r>
            <w:r>
              <w:rPr>
                <w:rStyle w:val="IndexLink"/>
              </w:rPr>
              <w:t>159</w:t>
            </w:r>
          </w:hyperlink>
        </w:p>
        <w:p>
          <w:pPr>
            <w:pStyle w:val="Contents6"/>
            <w:tabs>
              <w:tab w:val="clear" w:pos="7609"/>
              <w:tab w:val="right" w:pos="9026" w:leader="dot"/>
            </w:tabs>
            <w:rPr/>
          </w:pPr>
          <w:hyperlink w:anchor="__RefHeading___Toc3585097_3650668749">
            <w:r>
              <w:rPr>
                <w:webHidden/>
                <w:rStyle w:val="IndexLink"/>
                <w:rtl w:val="true"/>
              </w:rPr>
              <w:t xml:space="preserve">چهاردهم </w:t>
            </w:r>
            <w:r>
              <w:rPr>
                <w:rStyle w:val="IndexLink"/>
                <w:rtl w:val="true"/>
              </w:rPr>
              <w:t xml:space="preserve">- </w:t>
            </w:r>
            <w:r>
              <w:rPr>
                <w:rStyle w:val="IndexLink"/>
                <w:rtl w:val="true"/>
              </w:rPr>
              <w:t>مسجد بني‌اَوْد</w:t>
            </w:r>
            <w:r>
              <w:rPr>
                <w:rStyle w:val="IndexLink"/>
                <w:rtl w:val="true"/>
              </w:rPr>
              <w:tab/>
            </w:r>
            <w:r>
              <w:rPr>
                <w:rStyle w:val="IndexLink"/>
              </w:rPr>
              <w:t>160</w:t>
            </w:r>
          </w:hyperlink>
        </w:p>
        <w:p>
          <w:pPr>
            <w:pStyle w:val="Contents6"/>
            <w:tabs>
              <w:tab w:val="clear" w:pos="7609"/>
              <w:tab w:val="right" w:pos="9026" w:leader="dot"/>
            </w:tabs>
            <w:rPr/>
          </w:pPr>
          <w:hyperlink w:anchor="__RefHeading___Toc3585099_3650668749">
            <w:r>
              <w:rPr>
                <w:webHidden/>
                <w:rStyle w:val="IndexLink"/>
                <w:rtl w:val="true"/>
              </w:rPr>
              <w:t xml:space="preserve">پانزدهم </w:t>
            </w:r>
            <w:r>
              <w:rPr>
                <w:rStyle w:val="IndexLink"/>
                <w:rtl w:val="true"/>
              </w:rPr>
              <w:t xml:space="preserve">- </w:t>
            </w:r>
            <w:r>
              <w:rPr>
                <w:rStyle w:val="IndexLink"/>
                <w:rtl w:val="true"/>
              </w:rPr>
              <w:t>مسجد بني‌البَدّاء</w:t>
            </w:r>
            <w:r>
              <w:rPr>
                <w:rStyle w:val="IndexLink"/>
                <w:rtl w:val="true"/>
              </w:rPr>
              <w:tab/>
            </w:r>
            <w:r>
              <w:rPr>
                <w:rStyle w:val="IndexLink"/>
              </w:rPr>
              <w:t>160</w:t>
            </w:r>
          </w:hyperlink>
        </w:p>
        <w:p>
          <w:pPr>
            <w:pStyle w:val="Contents6"/>
            <w:tabs>
              <w:tab w:val="clear" w:pos="7609"/>
              <w:tab w:val="right" w:pos="9026" w:leader="dot"/>
            </w:tabs>
            <w:rPr/>
          </w:pPr>
          <w:hyperlink w:anchor="__RefHeading___Toc3585101_3650668749">
            <w:r>
              <w:rPr>
                <w:webHidden/>
                <w:rStyle w:val="IndexLink"/>
                <w:rtl w:val="true"/>
              </w:rPr>
              <w:t xml:space="preserve">شانزدهم </w:t>
            </w:r>
            <w:r>
              <w:rPr>
                <w:rStyle w:val="IndexLink"/>
                <w:rtl w:val="true"/>
              </w:rPr>
              <w:t xml:space="preserve">- </w:t>
            </w:r>
            <w:r>
              <w:rPr>
                <w:rStyle w:val="IndexLink"/>
                <w:rtl w:val="true"/>
              </w:rPr>
              <w:t>مسجد بني‌ذُهَل</w:t>
            </w:r>
            <w:r>
              <w:rPr>
                <w:rStyle w:val="IndexLink"/>
                <w:rtl w:val="true"/>
              </w:rPr>
              <w:tab/>
            </w:r>
            <w:r>
              <w:rPr>
                <w:rStyle w:val="IndexLink"/>
              </w:rPr>
              <w:t>160</w:t>
            </w:r>
          </w:hyperlink>
        </w:p>
        <w:p>
          <w:pPr>
            <w:pStyle w:val="Contents6"/>
            <w:tabs>
              <w:tab w:val="clear" w:pos="7609"/>
              <w:tab w:val="right" w:pos="9026" w:leader="dot"/>
            </w:tabs>
            <w:rPr/>
          </w:pPr>
          <w:hyperlink w:anchor="__RefHeading___Toc3585103_3650668749">
            <w:r>
              <w:rPr>
                <w:webHidden/>
                <w:rStyle w:val="IndexLink"/>
                <w:rtl w:val="true"/>
              </w:rPr>
              <w:t xml:space="preserve">هفدهم </w:t>
            </w:r>
            <w:r>
              <w:rPr>
                <w:rStyle w:val="IndexLink"/>
                <w:rtl w:val="true"/>
              </w:rPr>
              <w:t xml:space="preserve">- </w:t>
            </w:r>
            <w:r>
              <w:rPr>
                <w:rStyle w:val="IndexLink"/>
                <w:rtl w:val="true"/>
              </w:rPr>
              <w:t>مسجد بني‌هِلال</w:t>
            </w:r>
            <w:r>
              <w:rPr>
                <w:rStyle w:val="IndexLink"/>
                <w:rtl w:val="true"/>
              </w:rPr>
              <w:tab/>
            </w:r>
            <w:r>
              <w:rPr>
                <w:rStyle w:val="IndexLink"/>
              </w:rPr>
              <w:t>160</w:t>
            </w:r>
          </w:hyperlink>
        </w:p>
        <w:p>
          <w:pPr>
            <w:pStyle w:val="Contents6"/>
            <w:tabs>
              <w:tab w:val="clear" w:pos="7609"/>
              <w:tab w:val="right" w:pos="9026" w:leader="dot"/>
            </w:tabs>
            <w:rPr/>
          </w:pPr>
          <w:hyperlink w:anchor="__RefHeading___Toc3585105_3650668749">
            <w:r>
              <w:rPr>
                <w:webHidden/>
                <w:rStyle w:val="IndexLink"/>
                <w:rtl w:val="true"/>
              </w:rPr>
              <w:t xml:space="preserve">هجدهم </w:t>
            </w:r>
            <w:r>
              <w:rPr>
                <w:rStyle w:val="IndexLink"/>
                <w:rtl w:val="true"/>
              </w:rPr>
              <w:t xml:space="preserve">- </w:t>
            </w:r>
            <w:r>
              <w:rPr>
                <w:rStyle w:val="IndexLink"/>
                <w:rtl w:val="true"/>
              </w:rPr>
              <w:t>مسجد بني‌الشيطان</w:t>
            </w:r>
            <w:r>
              <w:rPr>
                <w:rStyle w:val="IndexLink"/>
                <w:rtl w:val="true"/>
              </w:rPr>
              <w:tab/>
            </w:r>
            <w:r>
              <w:rPr>
                <w:rStyle w:val="IndexLink"/>
              </w:rPr>
              <w:t>160</w:t>
            </w:r>
          </w:hyperlink>
        </w:p>
        <w:p>
          <w:pPr>
            <w:pStyle w:val="Contents6"/>
            <w:tabs>
              <w:tab w:val="clear" w:pos="7609"/>
              <w:tab w:val="right" w:pos="9026" w:leader="dot"/>
            </w:tabs>
            <w:rPr/>
          </w:pPr>
          <w:hyperlink w:anchor="__RefHeading___Toc3585107_3650668749">
            <w:r>
              <w:rPr>
                <w:webHidden/>
                <w:rStyle w:val="IndexLink"/>
                <w:rtl w:val="true"/>
              </w:rPr>
              <w:t xml:space="preserve">نوزدهم </w:t>
            </w:r>
            <w:r>
              <w:rPr>
                <w:rStyle w:val="IndexLink"/>
                <w:rtl w:val="true"/>
              </w:rPr>
              <w:t xml:space="preserve">- </w:t>
            </w:r>
            <w:r>
              <w:rPr>
                <w:rStyle w:val="IndexLink"/>
                <w:rtl w:val="true"/>
              </w:rPr>
              <w:t>مسجد نَخَعْ</w:t>
            </w:r>
            <w:r>
              <w:rPr>
                <w:rStyle w:val="IndexLink"/>
                <w:rtl w:val="true"/>
              </w:rPr>
              <w:tab/>
            </w:r>
            <w:r>
              <w:rPr>
                <w:rStyle w:val="IndexLink"/>
              </w:rPr>
              <w:t>160</w:t>
            </w:r>
          </w:hyperlink>
        </w:p>
        <w:p>
          <w:pPr>
            <w:pStyle w:val="Contents6"/>
            <w:tabs>
              <w:tab w:val="clear" w:pos="7609"/>
              <w:tab w:val="right" w:pos="9026" w:leader="dot"/>
            </w:tabs>
            <w:rPr/>
          </w:pPr>
          <w:hyperlink w:anchor="__RefHeading___Toc3585109_3650668749">
            <w:r>
              <w:rPr>
                <w:webHidden/>
                <w:rStyle w:val="IndexLink"/>
                <w:rtl w:val="true"/>
              </w:rPr>
              <w:t xml:space="preserve">بيستم </w:t>
            </w:r>
            <w:r>
              <w:rPr>
                <w:rStyle w:val="IndexLink"/>
                <w:rtl w:val="true"/>
              </w:rPr>
              <w:t xml:space="preserve">- </w:t>
            </w:r>
            <w:r>
              <w:rPr>
                <w:rStyle w:val="IndexLink"/>
                <w:rtl w:val="true"/>
              </w:rPr>
              <w:t>مسجد بني‌مُرّا</w:t>
            </w:r>
            <w:r>
              <w:rPr>
                <w:rStyle w:val="IndexLink"/>
                <w:rtl w:val="true"/>
              </w:rPr>
              <w:tab/>
            </w:r>
            <w:r>
              <w:rPr>
                <w:rStyle w:val="IndexLink"/>
              </w:rPr>
              <w:t>160</w:t>
            </w:r>
          </w:hyperlink>
        </w:p>
        <w:p>
          <w:pPr>
            <w:pStyle w:val="Contents3"/>
            <w:tabs>
              <w:tab w:val="clear" w:pos="8459"/>
              <w:tab w:val="right" w:pos="9026" w:leader="dot"/>
            </w:tabs>
            <w:rPr/>
          </w:pPr>
          <w:hyperlink w:anchor="__RefHeading___Toc3585111_3650668749">
            <w:r>
              <w:rPr>
                <w:webHidden/>
                <w:rStyle w:val="IndexLink"/>
              </w:rPr>
              <w:t>۴</w:t>
            </w:r>
            <w:r>
              <w:rPr>
                <w:rStyle w:val="IndexLink"/>
                <w:rtl w:val="true"/>
              </w:rPr>
              <w:t xml:space="preserve">. </w:t>
            </w:r>
            <w:r>
              <w:rPr>
                <w:rStyle w:val="IndexLink"/>
                <w:rtl w:val="true"/>
              </w:rPr>
              <w:t>قصر دارالاماره</w:t>
            </w:r>
            <w:r>
              <w:rPr>
                <w:rStyle w:val="IndexLink"/>
                <w:rtl w:val="true"/>
              </w:rPr>
              <w:tab/>
            </w:r>
            <w:r>
              <w:rPr>
                <w:rStyle w:val="IndexLink"/>
              </w:rPr>
              <w:t>161</w:t>
            </w:r>
          </w:hyperlink>
        </w:p>
        <w:p>
          <w:pPr>
            <w:pStyle w:val="Contents4"/>
            <w:tabs>
              <w:tab w:val="clear" w:pos="8176"/>
              <w:tab w:val="right" w:pos="9026" w:leader="dot"/>
            </w:tabs>
            <w:rPr/>
          </w:pPr>
          <w:hyperlink w:anchor="__RefHeading___Toc3585113_3650668749">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3585115_3650668749">
            <w:r>
              <w:rPr>
                <w:webHidden/>
                <w:rStyle w:val="IndexLink"/>
                <w:rtl w:val="true"/>
              </w:rPr>
              <w:t>الف</w:t>
            </w:r>
            <w:r>
              <w:rPr>
                <w:rStyle w:val="IndexLink"/>
                <w:rtl w:val="true"/>
              </w:rPr>
              <w:t xml:space="preserve">) </w:t>
            </w:r>
            <w:r>
              <w:rPr>
                <w:rStyle w:val="IndexLink"/>
                <w:rtl w:val="true"/>
              </w:rPr>
              <w:t>دارالاماره از ديدگاه منابع تاريخى</w:t>
            </w:r>
            <w:r>
              <w:rPr>
                <w:rStyle w:val="IndexLink"/>
                <w:rtl w:val="true"/>
              </w:rPr>
              <w:tab/>
            </w:r>
            <w:r>
              <w:rPr>
                <w:rStyle w:val="IndexLink"/>
              </w:rPr>
              <w:t>161</w:t>
            </w:r>
          </w:hyperlink>
        </w:p>
        <w:p>
          <w:pPr>
            <w:pStyle w:val="Contents5"/>
            <w:tabs>
              <w:tab w:val="clear" w:pos="7892"/>
              <w:tab w:val="right" w:pos="9026" w:leader="dot"/>
            </w:tabs>
            <w:rPr/>
          </w:pPr>
          <w:hyperlink w:anchor="__RefHeading___Toc3585117_3650668749">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3585119_3650668749">
            <w:r>
              <w:rPr>
                <w:webHidden/>
                <w:rStyle w:val="IndexLink"/>
                <w:rtl w:val="true"/>
              </w:rPr>
              <w:t xml:space="preserve">يك </w:t>
            </w:r>
            <w:r>
              <w:rPr>
                <w:rStyle w:val="IndexLink"/>
                <w:rtl w:val="true"/>
              </w:rPr>
              <w:t xml:space="preserve">- </w:t>
            </w:r>
            <w:r>
              <w:rPr>
                <w:rStyle w:val="IndexLink"/>
                <w:rtl w:val="true"/>
              </w:rPr>
              <w:t>قصر در زمان سعد</w:t>
            </w:r>
            <w:r>
              <w:rPr>
                <w:rStyle w:val="IndexLink"/>
                <w:rtl w:val="true"/>
              </w:rPr>
              <w:tab/>
            </w:r>
            <w:r>
              <w:rPr>
                <w:rStyle w:val="IndexLink"/>
              </w:rPr>
              <w:t>161</w:t>
            </w:r>
          </w:hyperlink>
        </w:p>
        <w:p>
          <w:pPr>
            <w:pStyle w:val="Contents5"/>
            <w:tabs>
              <w:tab w:val="clear" w:pos="7892"/>
              <w:tab w:val="right" w:pos="9026" w:leader="dot"/>
            </w:tabs>
            <w:rPr/>
          </w:pPr>
          <w:hyperlink w:anchor="__RefHeading___Toc3585121_3650668749">
            <w:r>
              <w:rPr>
                <w:webHidden/>
                <w:rStyle w:val="IndexLink"/>
                <w:rtl w:val="true"/>
              </w:rPr>
              <w:t xml:space="preserve">دو </w:t>
            </w:r>
            <w:r>
              <w:rPr>
                <w:rStyle w:val="IndexLink"/>
                <w:rtl w:val="true"/>
              </w:rPr>
              <w:t xml:space="preserve">- </w:t>
            </w:r>
            <w:r>
              <w:rPr>
                <w:rStyle w:val="IndexLink"/>
                <w:rtl w:val="true"/>
              </w:rPr>
              <w:t>قصر در زمان زياد</w:t>
            </w:r>
            <w:r>
              <w:rPr>
                <w:rStyle w:val="IndexLink"/>
                <w:rtl w:val="true"/>
              </w:rPr>
              <w:tab/>
            </w:r>
            <w:r>
              <w:rPr>
                <w:rStyle w:val="IndexLink"/>
              </w:rPr>
              <w:t>163</w:t>
            </w:r>
          </w:hyperlink>
        </w:p>
        <w:p>
          <w:pPr>
            <w:pStyle w:val="Contents4"/>
            <w:tabs>
              <w:tab w:val="clear" w:pos="8176"/>
              <w:tab w:val="right" w:pos="9026" w:leader="dot"/>
            </w:tabs>
            <w:rPr/>
          </w:pPr>
          <w:hyperlink w:anchor="__RefHeading___Toc3585123_3650668749">
            <w:r>
              <w:rPr>
                <w:webHidden/>
                <w:rStyle w:val="IndexLink"/>
                <w:rtl w:val="true"/>
              </w:rPr>
              <w:t>ب</w:t>
            </w:r>
            <w:r>
              <w:rPr>
                <w:rStyle w:val="IndexLink"/>
                <w:rtl w:val="true"/>
              </w:rPr>
              <w:t xml:space="preserve">) </w:t>
            </w:r>
            <w:r>
              <w:rPr>
                <w:rStyle w:val="IndexLink"/>
                <w:rtl w:val="true"/>
              </w:rPr>
              <w:t>دارالاماره از منظر حفارى‌هاى باستان‌شناسى</w:t>
            </w:r>
            <w:r>
              <w:rPr>
                <w:rStyle w:val="IndexLink"/>
                <w:rtl w:val="true"/>
              </w:rPr>
              <w:tab/>
            </w:r>
            <w:r>
              <w:rPr>
                <w:rStyle w:val="IndexLink"/>
              </w:rPr>
              <w:t>164</w:t>
            </w:r>
          </w:hyperlink>
        </w:p>
        <w:p>
          <w:pPr>
            <w:pStyle w:val="Contents5"/>
            <w:tabs>
              <w:tab w:val="clear" w:pos="7892"/>
              <w:tab w:val="right" w:pos="9026" w:leader="dot"/>
            </w:tabs>
            <w:rPr/>
          </w:pPr>
          <w:hyperlink w:anchor="__RefHeading___Toc3585125_3650668749">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3585127_3650668749">
            <w:r>
              <w:rPr>
                <w:webHidden/>
                <w:rStyle w:val="IndexLink"/>
                <w:rtl w:val="true"/>
              </w:rPr>
              <w:t xml:space="preserve">يك </w:t>
            </w:r>
            <w:r>
              <w:rPr>
                <w:rStyle w:val="IndexLink"/>
                <w:rtl w:val="true"/>
              </w:rPr>
              <w:t xml:space="preserve">- </w:t>
            </w:r>
            <w:r>
              <w:rPr>
                <w:rStyle w:val="IndexLink"/>
                <w:rtl w:val="true"/>
              </w:rPr>
              <w:t>موقعيت قصر</w:t>
            </w:r>
            <w:r>
              <w:rPr>
                <w:rStyle w:val="IndexLink"/>
                <w:rtl w:val="true"/>
              </w:rPr>
              <w:tab/>
            </w:r>
            <w:r>
              <w:rPr>
                <w:rStyle w:val="IndexLink"/>
              </w:rPr>
              <w:t>165</w:t>
            </w:r>
          </w:hyperlink>
        </w:p>
        <w:p>
          <w:pPr>
            <w:pStyle w:val="Contents5"/>
            <w:tabs>
              <w:tab w:val="clear" w:pos="7892"/>
              <w:tab w:val="right" w:pos="9026" w:leader="dot"/>
            </w:tabs>
            <w:rPr/>
          </w:pPr>
          <w:hyperlink w:anchor="__RefHeading___Toc3585129_3650668749">
            <w:r>
              <w:rPr>
                <w:webHidden/>
                <w:rStyle w:val="IndexLink"/>
                <w:rtl w:val="true"/>
              </w:rPr>
              <w:t xml:space="preserve">دو </w:t>
            </w:r>
            <w:r>
              <w:rPr>
                <w:rStyle w:val="IndexLink"/>
                <w:rtl w:val="true"/>
              </w:rPr>
              <w:t xml:space="preserve">- </w:t>
            </w:r>
            <w:r>
              <w:rPr>
                <w:rStyle w:val="IndexLink"/>
                <w:rtl w:val="true"/>
              </w:rPr>
              <w:t>شكل هندسى قصر و مساحت آن</w:t>
            </w:r>
            <w:r>
              <w:rPr>
                <w:rStyle w:val="IndexLink"/>
                <w:rtl w:val="true"/>
              </w:rPr>
              <w:tab/>
            </w:r>
            <w:r>
              <w:rPr>
                <w:rStyle w:val="IndexLink"/>
              </w:rPr>
              <w:t>165</w:t>
            </w:r>
          </w:hyperlink>
        </w:p>
        <w:p>
          <w:pPr>
            <w:pStyle w:val="Contents5"/>
            <w:tabs>
              <w:tab w:val="clear" w:pos="7892"/>
              <w:tab w:val="right" w:pos="9026" w:leader="dot"/>
            </w:tabs>
            <w:rPr/>
          </w:pPr>
          <w:hyperlink w:anchor="__RefHeading___Toc3585131_3650668749">
            <w:r>
              <w:rPr>
                <w:webHidden/>
                <w:rStyle w:val="IndexLink"/>
                <w:rtl w:val="true"/>
              </w:rPr>
              <w:t xml:space="preserve">سه </w:t>
            </w:r>
            <w:r>
              <w:rPr>
                <w:rStyle w:val="IndexLink"/>
                <w:rtl w:val="true"/>
              </w:rPr>
              <w:t xml:space="preserve">- </w:t>
            </w:r>
            <w:r>
              <w:rPr>
                <w:rStyle w:val="IndexLink"/>
                <w:rtl w:val="true"/>
              </w:rPr>
              <w:t>ديوارهاى قصر</w:t>
            </w:r>
            <w:r>
              <w:rPr>
                <w:rStyle w:val="IndexLink"/>
                <w:rtl w:val="true"/>
              </w:rPr>
              <w:tab/>
            </w:r>
            <w:r>
              <w:rPr>
                <w:rStyle w:val="IndexLink"/>
              </w:rPr>
              <w:t>166</w:t>
            </w:r>
          </w:hyperlink>
        </w:p>
        <w:p>
          <w:pPr>
            <w:pStyle w:val="Contents5"/>
            <w:tabs>
              <w:tab w:val="clear" w:pos="7892"/>
              <w:tab w:val="right" w:pos="9026" w:leader="dot"/>
            </w:tabs>
            <w:rPr/>
          </w:pPr>
          <w:hyperlink w:anchor="__RefHeading___Toc3585133_3650668749">
            <w:r>
              <w:rPr>
                <w:webHidden/>
                <w:rStyle w:val="IndexLink"/>
                <w:rtl w:val="true"/>
              </w:rPr>
              <w:t xml:space="preserve">چهار </w:t>
            </w:r>
            <w:r>
              <w:rPr>
                <w:rStyle w:val="IndexLink"/>
                <w:rtl w:val="true"/>
              </w:rPr>
              <w:t xml:space="preserve">- </w:t>
            </w:r>
            <w:r>
              <w:rPr>
                <w:rStyle w:val="IndexLink"/>
                <w:rtl w:val="true"/>
              </w:rPr>
              <w:t>برج‌هاى قصر</w:t>
            </w:r>
            <w:r>
              <w:rPr>
                <w:rStyle w:val="IndexLink"/>
                <w:rtl w:val="true"/>
              </w:rPr>
              <w:tab/>
            </w:r>
            <w:r>
              <w:rPr>
                <w:rStyle w:val="IndexLink"/>
              </w:rPr>
              <w:t>166</w:t>
            </w:r>
          </w:hyperlink>
        </w:p>
        <w:p>
          <w:pPr>
            <w:pStyle w:val="Contents5"/>
            <w:tabs>
              <w:tab w:val="clear" w:pos="7892"/>
              <w:tab w:val="right" w:pos="9026" w:leader="dot"/>
            </w:tabs>
            <w:rPr/>
          </w:pPr>
          <w:hyperlink w:anchor="__RefHeading___Toc3585135_3650668749">
            <w:r>
              <w:rPr>
                <w:webHidden/>
                <w:rStyle w:val="IndexLink"/>
                <w:rtl w:val="true"/>
              </w:rPr>
              <w:t xml:space="preserve">پنج </w:t>
            </w:r>
            <w:r>
              <w:rPr>
                <w:rStyle w:val="IndexLink"/>
                <w:rtl w:val="true"/>
              </w:rPr>
              <w:t xml:space="preserve">- </w:t>
            </w:r>
            <w:r>
              <w:rPr>
                <w:rStyle w:val="IndexLink"/>
                <w:rtl w:val="true"/>
              </w:rPr>
              <w:t xml:space="preserve">درهاى ورودى قصر </w:t>
            </w:r>
            <w:r>
              <w:rPr>
                <w:rStyle w:val="IndexLink"/>
                <w:rtl w:val="true"/>
              </w:rPr>
              <w:t>(</w:t>
            </w:r>
            <w:r>
              <w:rPr>
                <w:rStyle w:val="IndexLink"/>
                <w:rtl w:val="true"/>
              </w:rPr>
              <w:t>مداخل</w:t>
            </w:r>
            <w:r>
              <w:rPr>
                <w:rStyle w:val="IndexLink"/>
                <w:rtl w:val="true"/>
              </w:rPr>
              <w:t>)</w:t>
              <w:tab/>
            </w:r>
            <w:r>
              <w:rPr>
                <w:rStyle w:val="IndexLink"/>
              </w:rPr>
              <w:t>167</w:t>
            </w:r>
          </w:hyperlink>
        </w:p>
        <w:p>
          <w:pPr>
            <w:pStyle w:val="Contents5"/>
            <w:tabs>
              <w:tab w:val="clear" w:pos="7892"/>
              <w:tab w:val="right" w:pos="9026" w:leader="dot"/>
            </w:tabs>
            <w:rPr/>
          </w:pPr>
          <w:hyperlink w:anchor="__RefHeading___Toc3585137_3650668749">
            <w:r>
              <w:rPr>
                <w:webHidden/>
                <w:rStyle w:val="IndexLink"/>
                <w:rtl w:val="true"/>
              </w:rPr>
              <w:t xml:space="preserve">شش </w:t>
            </w:r>
            <w:r>
              <w:rPr>
                <w:rStyle w:val="IndexLink"/>
                <w:rtl w:val="true"/>
              </w:rPr>
              <w:t xml:space="preserve">- </w:t>
            </w:r>
            <w:r>
              <w:rPr>
                <w:rStyle w:val="IndexLink"/>
                <w:rtl w:val="true"/>
              </w:rPr>
              <w:t>اطاق‌ها، ايوان‌ها، رواق‌ها، سالن‌ها و آشپزخانه‌هاى داخل قصر</w:t>
            </w:r>
            <w:r>
              <w:rPr>
                <w:rStyle w:val="IndexLink"/>
                <w:rtl w:val="true"/>
              </w:rPr>
              <w:tab/>
            </w:r>
            <w:r>
              <w:rPr>
                <w:rStyle w:val="IndexLink"/>
              </w:rPr>
              <w:t>167</w:t>
            </w:r>
          </w:hyperlink>
        </w:p>
        <w:p>
          <w:pPr>
            <w:pStyle w:val="Contents5"/>
            <w:tabs>
              <w:tab w:val="clear" w:pos="7892"/>
              <w:tab w:val="right" w:pos="9026" w:leader="dot"/>
            </w:tabs>
            <w:rPr/>
          </w:pPr>
          <w:hyperlink w:anchor="__RefHeading___Toc3585139_3650668749">
            <w:r>
              <w:rPr>
                <w:webHidden/>
                <w:rStyle w:val="IndexLink"/>
                <w:rtl w:val="true"/>
              </w:rPr>
              <w:t xml:space="preserve">هفت </w:t>
            </w:r>
            <w:r>
              <w:rPr>
                <w:rStyle w:val="IndexLink"/>
                <w:rtl w:val="true"/>
              </w:rPr>
              <w:t xml:space="preserve">- </w:t>
            </w:r>
            <w:r>
              <w:rPr>
                <w:rStyle w:val="IndexLink"/>
                <w:rtl w:val="true"/>
              </w:rPr>
              <w:t>حمام و مخزن و فاضلاب</w:t>
            </w:r>
            <w:r>
              <w:rPr>
                <w:rStyle w:val="IndexLink"/>
                <w:rtl w:val="true"/>
              </w:rPr>
              <w:tab/>
            </w:r>
            <w:r>
              <w:rPr>
                <w:rStyle w:val="IndexLink"/>
              </w:rPr>
              <w:t>171</w:t>
            </w:r>
          </w:hyperlink>
        </w:p>
        <w:p>
          <w:pPr>
            <w:pStyle w:val="Contents5"/>
            <w:tabs>
              <w:tab w:val="clear" w:pos="7892"/>
              <w:tab w:val="right" w:pos="9026" w:leader="dot"/>
            </w:tabs>
            <w:rPr/>
          </w:pPr>
          <w:hyperlink w:anchor="__RefHeading___Toc3585141_3650668749">
            <w:r>
              <w:rPr>
                <w:webHidden/>
                <w:rStyle w:val="IndexLink"/>
                <w:rtl w:val="true"/>
              </w:rPr>
              <w:t xml:space="preserve">هشت </w:t>
            </w:r>
            <w:r>
              <w:rPr>
                <w:rStyle w:val="IndexLink"/>
                <w:rtl w:val="true"/>
              </w:rPr>
              <w:t xml:space="preserve">- </w:t>
            </w:r>
            <w:r>
              <w:rPr>
                <w:rStyle w:val="IndexLink"/>
                <w:rtl w:val="true"/>
              </w:rPr>
              <w:t>طِمار</w:t>
            </w:r>
            <w:r>
              <w:rPr>
                <w:rStyle w:val="IndexLink"/>
                <w:rtl w:val="true"/>
              </w:rPr>
              <w:tab/>
            </w:r>
            <w:r>
              <w:rPr>
                <w:rStyle w:val="IndexLink"/>
              </w:rPr>
              <w:t>172</w:t>
            </w:r>
          </w:hyperlink>
        </w:p>
        <w:p>
          <w:pPr>
            <w:pStyle w:val="Contents5"/>
            <w:tabs>
              <w:tab w:val="clear" w:pos="7892"/>
              <w:tab w:val="right" w:pos="9026" w:leader="dot"/>
            </w:tabs>
            <w:rPr/>
          </w:pPr>
          <w:hyperlink w:anchor="__RefHeading___Toc3585143_3650668749">
            <w:r>
              <w:rPr>
                <w:webHidden/>
                <w:rStyle w:val="IndexLink"/>
                <w:rtl w:val="true"/>
              </w:rPr>
              <w:t xml:space="preserve">نه </w:t>
            </w:r>
            <w:r>
              <w:rPr>
                <w:rStyle w:val="IndexLink"/>
                <w:rtl w:val="true"/>
              </w:rPr>
              <w:t xml:space="preserve">- </w:t>
            </w:r>
            <w:r>
              <w:rPr>
                <w:rStyle w:val="IndexLink"/>
                <w:rtl w:val="true"/>
              </w:rPr>
              <w:t>مصالح ساختماني دارالإماره</w:t>
            </w:r>
            <w:r>
              <w:rPr>
                <w:rStyle w:val="IndexLink"/>
                <w:rtl w:val="true"/>
              </w:rPr>
              <w:tab/>
            </w:r>
            <w:r>
              <w:rPr>
                <w:rStyle w:val="IndexLink"/>
              </w:rPr>
              <w:t>173</w:t>
            </w:r>
          </w:hyperlink>
        </w:p>
        <w:p>
          <w:pPr>
            <w:pStyle w:val="Contents3"/>
            <w:tabs>
              <w:tab w:val="clear" w:pos="8459"/>
              <w:tab w:val="right" w:pos="9026" w:leader="dot"/>
            </w:tabs>
            <w:rPr/>
          </w:pPr>
          <w:hyperlink w:anchor="__RefHeading___Toc3585145_3650668749">
            <w:r>
              <w:rPr>
                <w:webHidden/>
                <w:rStyle w:val="IndexLink"/>
              </w:rPr>
              <w:t>۵</w:t>
            </w:r>
            <w:r>
              <w:rPr>
                <w:rStyle w:val="IndexLink"/>
                <w:rtl w:val="true"/>
              </w:rPr>
              <w:t xml:space="preserve">. </w:t>
            </w:r>
            <w:r>
              <w:rPr>
                <w:rStyle w:val="IndexLink"/>
                <w:rtl w:val="true"/>
              </w:rPr>
              <w:t>زندان كوفه</w:t>
            </w:r>
            <w:r>
              <w:rPr>
                <w:rStyle w:val="IndexLink"/>
                <w:rtl w:val="true"/>
              </w:rPr>
              <w:tab/>
            </w:r>
            <w:r>
              <w:rPr>
                <w:rStyle w:val="IndexLink"/>
              </w:rPr>
              <w:t>174</w:t>
            </w:r>
          </w:hyperlink>
        </w:p>
        <w:p>
          <w:pPr>
            <w:pStyle w:val="Contents3"/>
            <w:tabs>
              <w:tab w:val="clear" w:pos="8459"/>
              <w:tab w:val="right" w:pos="9026" w:leader="dot"/>
            </w:tabs>
            <w:rPr/>
          </w:pPr>
          <w:hyperlink w:anchor="__RefHeading___Toc3585147_3650668749">
            <w:r>
              <w:rPr>
                <w:webHidden/>
                <w:rStyle w:val="IndexLink"/>
              </w:rPr>
              <w:t>۶</w:t>
            </w:r>
            <w:r>
              <w:rPr>
                <w:rStyle w:val="IndexLink"/>
                <w:rtl w:val="true"/>
              </w:rPr>
              <w:t xml:space="preserve">. </w:t>
            </w:r>
            <w:r>
              <w:rPr>
                <w:rStyle w:val="IndexLink"/>
                <w:rtl w:val="true"/>
              </w:rPr>
              <w:t>ميدان اصلي شهر</w:t>
            </w:r>
            <w:r>
              <w:rPr>
                <w:rStyle w:val="IndexLink"/>
                <w:rtl w:val="true"/>
              </w:rPr>
              <w:tab/>
            </w:r>
            <w:r>
              <w:rPr>
                <w:rStyle w:val="IndexLink"/>
              </w:rPr>
              <w:t>175</w:t>
            </w:r>
          </w:hyperlink>
        </w:p>
        <w:p>
          <w:pPr>
            <w:pStyle w:val="Contents4"/>
            <w:tabs>
              <w:tab w:val="clear" w:pos="8176"/>
              <w:tab w:val="right" w:pos="9026" w:leader="dot"/>
            </w:tabs>
            <w:rPr/>
          </w:pPr>
          <w:hyperlink w:anchor="__RefHeading___Toc3585149_3650668749">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3585151_3650668749">
            <w:r>
              <w:rPr>
                <w:webHidden/>
                <w:rStyle w:val="IndexLink"/>
                <w:rtl w:val="true"/>
              </w:rPr>
              <w:t>الف</w:t>
            </w:r>
            <w:r>
              <w:rPr>
                <w:rStyle w:val="IndexLink"/>
                <w:rtl w:val="true"/>
              </w:rPr>
              <w:t xml:space="preserve">) </w:t>
            </w:r>
            <w:r>
              <w:rPr>
                <w:rStyle w:val="IndexLink"/>
                <w:rtl w:val="true"/>
              </w:rPr>
              <w:t xml:space="preserve">مركز شهر </w:t>
            </w:r>
            <w:r>
              <w:rPr>
                <w:rStyle w:val="IndexLink"/>
                <w:rtl w:val="true"/>
              </w:rPr>
              <w:t>(</w:t>
            </w:r>
            <w:r>
              <w:rPr>
                <w:rStyle w:val="IndexLink"/>
                <w:rtl w:val="true"/>
              </w:rPr>
              <w:t>صحن</w:t>
            </w:r>
            <w:r>
              <w:rPr>
                <w:rStyle w:val="IndexLink"/>
                <w:rtl w:val="true"/>
              </w:rPr>
              <w:t>)</w:t>
              <w:tab/>
            </w:r>
            <w:r>
              <w:rPr>
                <w:rStyle w:val="IndexLink"/>
              </w:rPr>
              <w:t>176</w:t>
            </w:r>
          </w:hyperlink>
        </w:p>
        <w:p>
          <w:pPr>
            <w:pStyle w:val="Contents4"/>
            <w:tabs>
              <w:tab w:val="clear" w:pos="8176"/>
              <w:tab w:val="right" w:pos="9026" w:leader="dot"/>
            </w:tabs>
            <w:rPr/>
          </w:pPr>
          <w:hyperlink w:anchor="__RefHeading___Toc3585153_3650668749">
            <w:r>
              <w:rPr>
                <w:webHidden/>
                <w:rStyle w:val="IndexLink"/>
                <w:rtl w:val="true"/>
              </w:rPr>
              <w:t>ب</w:t>
            </w:r>
            <w:r>
              <w:rPr>
                <w:rStyle w:val="IndexLink"/>
                <w:rtl w:val="true"/>
              </w:rPr>
              <w:t xml:space="preserve">) </w:t>
            </w:r>
            <w:r>
              <w:rPr>
                <w:rStyle w:val="IndexLink"/>
                <w:rtl w:val="true"/>
              </w:rPr>
              <w:t xml:space="preserve">رحبه </w:t>
            </w:r>
            <w:r>
              <w:rPr>
                <w:rStyle w:val="IndexLink"/>
                <w:rtl w:val="true"/>
              </w:rPr>
              <w:t>(</w:t>
            </w:r>
            <w:r>
              <w:rPr>
                <w:rStyle w:val="IndexLink"/>
                <w:rtl w:val="true"/>
              </w:rPr>
              <w:t>رحبة عليّ و رحبة الصَيارف</w:t>
            </w:r>
            <w:r>
              <w:rPr>
                <w:rStyle w:val="IndexLink"/>
                <w:rtl w:val="true"/>
              </w:rPr>
              <w:t>)</w:t>
              <w:tab/>
            </w:r>
            <w:r>
              <w:rPr>
                <w:rStyle w:val="IndexLink"/>
              </w:rPr>
              <w:t>177</w:t>
            </w:r>
          </w:hyperlink>
        </w:p>
        <w:p>
          <w:pPr>
            <w:pStyle w:val="Contents4"/>
            <w:tabs>
              <w:tab w:val="clear" w:pos="8176"/>
              <w:tab w:val="right" w:pos="9026" w:leader="dot"/>
            </w:tabs>
            <w:rPr/>
          </w:pPr>
          <w:hyperlink w:anchor="__RefHeading___Toc3585155_3650668749">
            <w:r>
              <w:rPr>
                <w:webHidden/>
                <w:rStyle w:val="IndexLink"/>
                <w:rtl w:val="true"/>
              </w:rPr>
              <w:t>ج</w:t>
            </w:r>
            <w:r>
              <w:rPr>
                <w:rStyle w:val="IndexLink"/>
                <w:rtl w:val="true"/>
              </w:rPr>
              <w:t xml:space="preserve">) </w:t>
            </w:r>
            <w:r>
              <w:rPr>
                <w:rStyle w:val="IndexLink"/>
                <w:rtl w:val="true"/>
              </w:rPr>
              <w:t>آريّ</w:t>
            </w:r>
            <w:r>
              <w:rPr>
                <w:rStyle w:val="IndexLink"/>
                <w:rtl w:val="true"/>
              </w:rPr>
              <w:tab/>
            </w:r>
            <w:r>
              <w:rPr>
                <w:rStyle w:val="IndexLink"/>
              </w:rPr>
              <w:t>178</w:t>
            </w:r>
          </w:hyperlink>
        </w:p>
        <w:p>
          <w:pPr>
            <w:pStyle w:val="Contents3"/>
            <w:tabs>
              <w:tab w:val="clear" w:pos="8459"/>
              <w:tab w:val="right" w:pos="9026" w:leader="dot"/>
            </w:tabs>
            <w:rPr/>
          </w:pPr>
          <w:hyperlink w:anchor="__RefHeading___Toc3585157_3650668749">
            <w:r>
              <w:rPr>
                <w:webHidden/>
                <w:rStyle w:val="IndexLink"/>
              </w:rPr>
              <w:t>٧</w:t>
            </w:r>
            <w:r>
              <w:rPr>
                <w:rStyle w:val="IndexLink"/>
                <w:rtl w:val="true"/>
              </w:rPr>
              <w:t xml:space="preserve">. </w:t>
            </w:r>
            <w:r>
              <w:rPr>
                <w:rStyle w:val="IndexLink"/>
                <w:rtl w:val="true"/>
              </w:rPr>
              <w:t xml:space="preserve">معابر </w:t>
            </w:r>
            <w:r>
              <w:rPr>
                <w:rStyle w:val="IndexLink"/>
                <w:rtl w:val="true"/>
              </w:rPr>
              <w:t>(</w:t>
            </w:r>
            <w:r>
              <w:rPr>
                <w:rStyle w:val="IndexLink"/>
                <w:rtl w:val="true"/>
              </w:rPr>
              <w:t>خيابان‌ها، چهارسوها و كوچه‌ها</w:t>
            </w:r>
            <w:r>
              <w:rPr>
                <w:rStyle w:val="IndexLink"/>
                <w:rtl w:val="true"/>
              </w:rPr>
              <w:t>)</w:t>
              <w:tab/>
            </w:r>
            <w:r>
              <w:rPr>
                <w:rStyle w:val="IndexLink"/>
              </w:rPr>
              <w:t>179</w:t>
            </w:r>
          </w:hyperlink>
        </w:p>
        <w:p>
          <w:pPr>
            <w:pStyle w:val="Contents4"/>
            <w:tabs>
              <w:tab w:val="clear" w:pos="8176"/>
              <w:tab w:val="right" w:pos="9026" w:leader="dot"/>
            </w:tabs>
            <w:rPr/>
          </w:pPr>
          <w:hyperlink w:anchor="__RefHeading___Toc3585159_3650668749">
            <w:r>
              <w:rPr>
                <w:webHidden/>
                <w:rStyle w:val="IndexLink"/>
                <w:rtl w:val="true"/>
              </w:rPr>
              <w:t>الف</w:t>
            </w:r>
            <w:r>
              <w:rPr>
                <w:rStyle w:val="IndexLink"/>
                <w:rtl w:val="true"/>
              </w:rPr>
              <w:t xml:space="preserve">) </w:t>
            </w:r>
            <w:r>
              <w:rPr>
                <w:rStyle w:val="IndexLink"/>
                <w:rtl w:val="true"/>
              </w:rPr>
              <w:t>خيابان‌ها</w:t>
            </w:r>
            <w:r>
              <w:rPr>
                <w:rStyle w:val="IndexLink"/>
                <w:rtl w:val="true"/>
              </w:rPr>
              <w:tab/>
            </w:r>
            <w:r>
              <w:rPr>
                <w:rStyle w:val="IndexLink"/>
              </w:rPr>
              <w:t>179</w:t>
            </w:r>
          </w:hyperlink>
        </w:p>
        <w:p>
          <w:pPr>
            <w:pStyle w:val="Contents5"/>
            <w:tabs>
              <w:tab w:val="clear" w:pos="7892"/>
              <w:tab w:val="right" w:pos="9026" w:leader="dot"/>
            </w:tabs>
            <w:rPr/>
          </w:pPr>
          <w:hyperlink w:anchor="__RefHeading___Toc3585161_3650668749">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3585163_3650668749">
            <w:r>
              <w:rPr>
                <w:webHidden/>
                <w:rStyle w:val="IndexLink"/>
                <w:rtl w:val="true"/>
              </w:rPr>
              <w:t>اندازه خيابان‌ها</w:t>
            </w:r>
            <w:r>
              <w:rPr>
                <w:rStyle w:val="IndexLink"/>
                <w:rtl w:val="true"/>
              </w:rPr>
              <w:tab/>
            </w:r>
            <w:r>
              <w:rPr>
                <w:rStyle w:val="IndexLink"/>
              </w:rPr>
              <w:t>182</w:t>
            </w:r>
          </w:hyperlink>
        </w:p>
        <w:p>
          <w:pPr>
            <w:pStyle w:val="Contents5"/>
            <w:tabs>
              <w:tab w:val="clear" w:pos="7892"/>
              <w:tab w:val="right" w:pos="9026" w:leader="dot"/>
            </w:tabs>
            <w:rPr/>
          </w:pPr>
          <w:hyperlink w:anchor="__RefHeading___Toc3585165_3650668749">
            <w:r>
              <w:rPr>
                <w:webHidden/>
                <w:rStyle w:val="IndexLink"/>
                <w:rtl w:val="true"/>
              </w:rPr>
              <w:t>سكّه لحّام جرير</w:t>
            </w:r>
            <w:r>
              <w:rPr>
                <w:rStyle w:val="IndexLink"/>
                <w:rtl w:val="true"/>
              </w:rPr>
              <w:tab/>
            </w:r>
            <w:r>
              <w:rPr>
                <w:rStyle w:val="IndexLink"/>
              </w:rPr>
              <w:t>183</w:t>
            </w:r>
          </w:hyperlink>
        </w:p>
        <w:p>
          <w:pPr>
            <w:pStyle w:val="Contents5"/>
            <w:tabs>
              <w:tab w:val="clear" w:pos="7892"/>
              <w:tab w:val="right" w:pos="9026" w:leader="dot"/>
            </w:tabs>
            <w:rPr/>
          </w:pPr>
          <w:hyperlink w:anchor="__RefHeading___Toc3585167_3650668749">
            <w:r>
              <w:rPr>
                <w:webHidden/>
                <w:rStyle w:val="IndexLink"/>
                <w:rtl w:val="true"/>
              </w:rPr>
              <w:t>سكّه دار الروميين</w:t>
            </w:r>
            <w:r>
              <w:rPr>
                <w:rStyle w:val="IndexLink"/>
                <w:rtl w:val="true"/>
              </w:rPr>
              <w:tab/>
            </w:r>
            <w:r>
              <w:rPr>
                <w:rStyle w:val="IndexLink"/>
              </w:rPr>
              <w:t>183</w:t>
            </w:r>
          </w:hyperlink>
        </w:p>
        <w:p>
          <w:pPr>
            <w:pStyle w:val="Contents5"/>
            <w:tabs>
              <w:tab w:val="clear" w:pos="7892"/>
              <w:tab w:val="right" w:pos="9026" w:leader="dot"/>
            </w:tabs>
            <w:rPr/>
          </w:pPr>
          <w:hyperlink w:anchor="__RefHeading___Toc3585169_3650668749">
            <w:r>
              <w:rPr>
                <w:webHidden/>
                <w:rStyle w:val="IndexLink"/>
                <w:rtl w:val="true"/>
              </w:rPr>
              <w:t>سكّه شَبَث</w:t>
            </w:r>
            <w:r>
              <w:rPr>
                <w:rStyle w:val="IndexLink"/>
                <w:rtl w:val="true"/>
              </w:rPr>
              <w:tab/>
            </w:r>
            <w:r>
              <w:rPr>
                <w:rStyle w:val="IndexLink"/>
              </w:rPr>
              <w:t>184</w:t>
            </w:r>
          </w:hyperlink>
        </w:p>
        <w:p>
          <w:pPr>
            <w:pStyle w:val="Contents5"/>
            <w:tabs>
              <w:tab w:val="clear" w:pos="7892"/>
              <w:tab w:val="right" w:pos="9026" w:leader="dot"/>
            </w:tabs>
            <w:rPr/>
          </w:pPr>
          <w:hyperlink w:anchor="__RefHeading___Toc3585171_3650668749">
            <w:r>
              <w:rPr>
                <w:webHidden/>
                <w:rStyle w:val="IndexLink"/>
                <w:rtl w:val="true"/>
              </w:rPr>
              <w:t>سكّه عُمَيْرَه</w:t>
            </w:r>
            <w:r>
              <w:rPr>
                <w:rStyle w:val="IndexLink"/>
                <w:rtl w:val="true"/>
              </w:rPr>
              <w:tab/>
            </w:r>
            <w:r>
              <w:rPr>
                <w:rStyle w:val="IndexLink"/>
              </w:rPr>
              <w:t>184</w:t>
            </w:r>
          </w:hyperlink>
        </w:p>
        <w:p>
          <w:pPr>
            <w:pStyle w:val="Contents5"/>
            <w:tabs>
              <w:tab w:val="clear" w:pos="7892"/>
              <w:tab w:val="right" w:pos="9026" w:leader="dot"/>
            </w:tabs>
            <w:rPr/>
          </w:pPr>
          <w:hyperlink w:anchor="__RefHeading___Toc3585173_3650668749">
            <w:r>
              <w:rPr>
                <w:webHidden/>
                <w:rStyle w:val="IndexLink"/>
                <w:rtl w:val="true"/>
              </w:rPr>
              <w:t>سكّه بني‌جذيمه</w:t>
            </w:r>
            <w:r>
              <w:rPr>
                <w:rStyle w:val="IndexLink"/>
                <w:rtl w:val="true"/>
              </w:rPr>
              <w:tab/>
            </w:r>
            <w:r>
              <w:rPr>
                <w:rStyle w:val="IndexLink"/>
              </w:rPr>
              <w:t>184</w:t>
            </w:r>
          </w:hyperlink>
        </w:p>
        <w:p>
          <w:pPr>
            <w:pStyle w:val="Contents5"/>
            <w:tabs>
              <w:tab w:val="clear" w:pos="7892"/>
              <w:tab w:val="right" w:pos="9026" w:leader="dot"/>
            </w:tabs>
            <w:rPr/>
          </w:pPr>
          <w:hyperlink w:anchor="__RefHeading___Toc3585175_3650668749">
            <w:r>
              <w:rPr>
                <w:webHidden/>
                <w:rStyle w:val="IndexLink"/>
                <w:rtl w:val="true"/>
              </w:rPr>
              <w:t>سكّه علاء بن مِحْرز</w:t>
            </w:r>
            <w:r>
              <w:rPr>
                <w:rStyle w:val="IndexLink"/>
                <w:rtl w:val="true"/>
              </w:rPr>
              <w:tab/>
            </w:r>
            <w:r>
              <w:rPr>
                <w:rStyle w:val="IndexLink"/>
              </w:rPr>
              <w:t>184</w:t>
            </w:r>
          </w:hyperlink>
        </w:p>
        <w:p>
          <w:pPr>
            <w:pStyle w:val="Contents5"/>
            <w:tabs>
              <w:tab w:val="clear" w:pos="7892"/>
              <w:tab w:val="right" w:pos="9026" w:leader="dot"/>
            </w:tabs>
            <w:rPr/>
          </w:pPr>
          <w:hyperlink w:anchor="__RefHeading___Toc3585177_3650668749">
            <w:r>
              <w:rPr>
                <w:webHidden/>
                <w:rStyle w:val="IndexLink"/>
                <w:rtl w:val="true"/>
              </w:rPr>
              <w:t xml:space="preserve">سكّه الثَوْريين </w:t>
            </w:r>
            <w:r>
              <w:rPr>
                <w:rStyle w:val="IndexLink"/>
                <w:rtl w:val="true"/>
              </w:rPr>
              <w:t>(</w:t>
            </w:r>
            <w:r>
              <w:rPr>
                <w:rStyle w:val="IndexLink"/>
                <w:rtl w:val="true"/>
              </w:rPr>
              <w:t>سكّه الثَوْر</w:t>
            </w:r>
            <w:r>
              <w:rPr>
                <w:rStyle w:val="IndexLink"/>
                <w:rtl w:val="true"/>
              </w:rPr>
              <w:t>)</w:t>
              <w:tab/>
            </w:r>
            <w:r>
              <w:rPr>
                <w:rStyle w:val="IndexLink"/>
              </w:rPr>
              <w:t>184</w:t>
            </w:r>
          </w:hyperlink>
        </w:p>
        <w:p>
          <w:pPr>
            <w:pStyle w:val="Contents5"/>
            <w:tabs>
              <w:tab w:val="clear" w:pos="7892"/>
              <w:tab w:val="right" w:pos="9026" w:leader="dot"/>
            </w:tabs>
            <w:rPr/>
          </w:pPr>
          <w:hyperlink w:anchor="__RefHeading___Toc3585179_3650668749">
            <w:r>
              <w:rPr>
                <w:webHidden/>
                <w:rStyle w:val="IndexLink"/>
                <w:rtl w:val="true"/>
              </w:rPr>
              <w:t>سكّه الموالي</w:t>
            </w:r>
            <w:r>
              <w:rPr>
                <w:rStyle w:val="IndexLink"/>
                <w:rtl w:val="true"/>
              </w:rPr>
              <w:tab/>
            </w:r>
            <w:r>
              <w:rPr>
                <w:rStyle w:val="IndexLink"/>
              </w:rPr>
              <w:t>184</w:t>
            </w:r>
          </w:hyperlink>
        </w:p>
        <w:p>
          <w:pPr>
            <w:pStyle w:val="Contents5"/>
            <w:tabs>
              <w:tab w:val="clear" w:pos="7892"/>
              <w:tab w:val="right" w:pos="9026" w:leader="dot"/>
            </w:tabs>
            <w:rPr/>
          </w:pPr>
          <w:hyperlink w:anchor="__RefHeading___Toc3585181_3650668749">
            <w:r>
              <w:rPr>
                <w:webHidden/>
                <w:rStyle w:val="IndexLink"/>
                <w:rtl w:val="true"/>
              </w:rPr>
              <w:t>سكّه البَريد</w:t>
            </w:r>
            <w:r>
              <w:rPr>
                <w:rStyle w:val="IndexLink"/>
                <w:rtl w:val="true"/>
              </w:rPr>
              <w:tab/>
            </w:r>
            <w:r>
              <w:rPr>
                <w:rStyle w:val="IndexLink"/>
              </w:rPr>
              <w:t>185</w:t>
            </w:r>
          </w:hyperlink>
        </w:p>
        <w:p>
          <w:pPr>
            <w:pStyle w:val="Contents4"/>
            <w:tabs>
              <w:tab w:val="clear" w:pos="8176"/>
              <w:tab w:val="right" w:pos="9026" w:leader="dot"/>
            </w:tabs>
            <w:rPr/>
          </w:pPr>
          <w:hyperlink w:anchor="__RefHeading___Toc3585183_3650668749">
            <w:r>
              <w:rPr>
                <w:webHidden/>
                <w:rStyle w:val="IndexLink"/>
                <w:rtl w:val="true"/>
              </w:rPr>
              <w:t>ب</w:t>
            </w:r>
            <w:r>
              <w:rPr>
                <w:rStyle w:val="IndexLink"/>
                <w:rtl w:val="true"/>
              </w:rPr>
              <w:t xml:space="preserve">) </w:t>
            </w:r>
            <w:r>
              <w:rPr>
                <w:rStyle w:val="IndexLink"/>
                <w:rtl w:val="true"/>
              </w:rPr>
              <w:t>چهارسوها</w:t>
            </w:r>
            <w:r>
              <w:rPr>
                <w:rStyle w:val="IndexLink"/>
                <w:rtl w:val="true"/>
              </w:rPr>
              <w:tab/>
            </w:r>
            <w:r>
              <w:rPr>
                <w:rStyle w:val="IndexLink"/>
              </w:rPr>
              <w:t>185</w:t>
            </w:r>
          </w:hyperlink>
        </w:p>
        <w:p>
          <w:pPr>
            <w:pStyle w:val="Contents5"/>
            <w:tabs>
              <w:tab w:val="clear" w:pos="7892"/>
              <w:tab w:val="right" w:pos="9026" w:leader="dot"/>
            </w:tabs>
            <w:rPr/>
          </w:pPr>
          <w:hyperlink w:anchor="__RefHeading___Toc3585185_3650668749">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3585187_3650668749">
            <w:r>
              <w:rPr>
                <w:webHidden/>
                <w:rStyle w:val="IndexLink"/>
                <w:rtl w:val="true"/>
              </w:rPr>
              <w:t xml:space="preserve">يك </w:t>
            </w:r>
            <w:r>
              <w:rPr>
                <w:rStyle w:val="IndexLink"/>
                <w:rtl w:val="true"/>
              </w:rPr>
              <w:t xml:space="preserve">- </w:t>
            </w:r>
            <w:r>
              <w:rPr>
                <w:rStyle w:val="IndexLink"/>
                <w:rtl w:val="true"/>
              </w:rPr>
              <w:t>چهارسوى خُنَيْس</w:t>
            </w:r>
            <w:r>
              <w:rPr>
                <w:rStyle w:val="IndexLink"/>
                <w:rtl w:val="true"/>
              </w:rPr>
              <w:tab/>
            </w:r>
            <w:r>
              <w:rPr>
                <w:rStyle w:val="IndexLink"/>
              </w:rPr>
              <w:t>185</w:t>
            </w:r>
          </w:hyperlink>
        </w:p>
        <w:p>
          <w:pPr>
            <w:pStyle w:val="Contents5"/>
            <w:tabs>
              <w:tab w:val="clear" w:pos="7892"/>
              <w:tab w:val="right" w:pos="9026" w:leader="dot"/>
            </w:tabs>
            <w:rPr/>
          </w:pPr>
          <w:hyperlink w:anchor="__RefHeading___Toc3585189_3650668749">
            <w:r>
              <w:rPr>
                <w:webHidden/>
                <w:rStyle w:val="IndexLink"/>
                <w:rtl w:val="true"/>
              </w:rPr>
              <w:t xml:space="preserve">دو </w:t>
            </w:r>
            <w:r>
              <w:rPr>
                <w:rStyle w:val="IndexLink"/>
                <w:rtl w:val="true"/>
              </w:rPr>
              <w:t xml:space="preserve">- </w:t>
            </w:r>
            <w:r>
              <w:rPr>
                <w:rStyle w:val="IndexLink"/>
                <w:rtl w:val="true"/>
              </w:rPr>
              <w:t>چهارسوى بَجيله</w:t>
            </w:r>
            <w:r>
              <w:rPr>
                <w:rStyle w:val="IndexLink"/>
                <w:rtl w:val="true"/>
              </w:rPr>
              <w:tab/>
            </w:r>
            <w:r>
              <w:rPr>
                <w:rStyle w:val="IndexLink"/>
              </w:rPr>
              <w:t>185</w:t>
            </w:r>
          </w:hyperlink>
        </w:p>
        <w:p>
          <w:pPr>
            <w:pStyle w:val="Contents5"/>
            <w:tabs>
              <w:tab w:val="clear" w:pos="7892"/>
              <w:tab w:val="right" w:pos="9026" w:leader="dot"/>
            </w:tabs>
            <w:rPr/>
          </w:pPr>
          <w:hyperlink w:anchor="__RefHeading___Toc3585191_3650668749">
            <w:r>
              <w:rPr>
                <w:webHidden/>
                <w:rStyle w:val="IndexLink"/>
                <w:rtl w:val="true"/>
              </w:rPr>
              <w:t xml:space="preserve">سه </w:t>
            </w:r>
            <w:r>
              <w:rPr>
                <w:rStyle w:val="IndexLink"/>
                <w:rtl w:val="true"/>
              </w:rPr>
              <w:t xml:space="preserve">- </w:t>
            </w:r>
            <w:r>
              <w:rPr>
                <w:rStyle w:val="IndexLink"/>
                <w:rtl w:val="true"/>
              </w:rPr>
              <w:t>چهارسوى هَمْدان</w:t>
            </w:r>
            <w:r>
              <w:rPr>
                <w:rStyle w:val="IndexLink"/>
                <w:rtl w:val="true"/>
              </w:rPr>
              <w:tab/>
            </w:r>
            <w:r>
              <w:rPr>
                <w:rStyle w:val="IndexLink"/>
              </w:rPr>
              <w:t>186</w:t>
            </w:r>
          </w:hyperlink>
        </w:p>
        <w:p>
          <w:pPr>
            <w:pStyle w:val="Contents5"/>
            <w:tabs>
              <w:tab w:val="clear" w:pos="7892"/>
              <w:tab w:val="right" w:pos="9026" w:leader="dot"/>
            </w:tabs>
            <w:rPr/>
          </w:pPr>
          <w:hyperlink w:anchor="__RefHeading___Toc3585193_3650668749">
            <w:r>
              <w:rPr>
                <w:webHidden/>
                <w:rStyle w:val="IndexLink"/>
                <w:rtl w:val="true"/>
              </w:rPr>
              <w:t xml:space="preserve">چهار </w:t>
            </w:r>
            <w:r>
              <w:rPr>
                <w:rStyle w:val="IndexLink"/>
                <w:rtl w:val="true"/>
              </w:rPr>
              <w:t xml:space="preserve">- </w:t>
            </w:r>
            <w:r>
              <w:rPr>
                <w:rStyle w:val="IndexLink"/>
                <w:rtl w:val="true"/>
              </w:rPr>
              <w:t>چهارسوى كِنْده</w:t>
            </w:r>
            <w:r>
              <w:rPr>
                <w:rStyle w:val="IndexLink"/>
                <w:rtl w:val="true"/>
              </w:rPr>
              <w:tab/>
            </w:r>
            <w:r>
              <w:rPr>
                <w:rStyle w:val="IndexLink"/>
              </w:rPr>
              <w:t>186</w:t>
            </w:r>
          </w:hyperlink>
        </w:p>
        <w:p>
          <w:pPr>
            <w:pStyle w:val="Contents4"/>
            <w:tabs>
              <w:tab w:val="clear" w:pos="8176"/>
              <w:tab w:val="right" w:pos="9026" w:leader="dot"/>
            </w:tabs>
            <w:rPr/>
          </w:pPr>
          <w:hyperlink w:anchor="__RefHeading___Toc3585195_3650668749">
            <w:r>
              <w:rPr>
                <w:webHidden/>
                <w:rStyle w:val="IndexLink"/>
                <w:rtl w:val="true"/>
              </w:rPr>
              <w:t>ج</w:t>
            </w:r>
            <w:r>
              <w:rPr>
                <w:rStyle w:val="IndexLink"/>
                <w:rtl w:val="true"/>
              </w:rPr>
              <w:t xml:space="preserve">) </w:t>
            </w:r>
            <w:r>
              <w:rPr>
                <w:rStyle w:val="IndexLink"/>
                <w:rtl w:val="true"/>
              </w:rPr>
              <w:t>كوچه‌ها</w:t>
            </w:r>
            <w:r>
              <w:rPr>
                <w:rStyle w:val="IndexLink"/>
                <w:rtl w:val="true"/>
              </w:rPr>
              <w:tab/>
            </w:r>
            <w:r>
              <w:rPr>
                <w:rStyle w:val="IndexLink"/>
              </w:rPr>
              <w:t>186</w:t>
            </w:r>
          </w:hyperlink>
        </w:p>
        <w:p>
          <w:pPr>
            <w:pStyle w:val="Contents3"/>
            <w:tabs>
              <w:tab w:val="clear" w:pos="8459"/>
              <w:tab w:val="right" w:pos="9026" w:leader="dot"/>
            </w:tabs>
            <w:rPr/>
          </w:pPr>
          <w:hyperlink w:anchor="__RefHeading___Toc3585197_3650668749">
            <w:r>
              <w:rPr>
                <w:webHidden/>
                <w:rStyle w:val="IndexLink"/>
              </w:rPr>
              <w:t>٨</w:t>
            </w:r>
            <w:r>
              <w:rPr>
                <w:rStyle w:val="IndexLink"/>
                <w:rtl w:val="true"/>
              </w:rPr>
              <w:t xml:space="preserve">. </w:t>
            </w:r>
            <w:r>
              <w:rPr>
                <w:rStyle w:val="IndexLink"/>
                <w:rtl w:val="true"/>
              </w:rPr>
              <w:t>كاروان‌سراها و مهمان‌خانه‌ها</w:t>
            </w:r>
            <w:r>
              <w:rPr>
                <w:rStyle w:val="IndexLink"/>
                <w:rtl w:val="true"/>
              </w:rPr>
              <w:tab/>
            </w:r>
            <w:r>
              <w:rPr>
                <w:rStyle w:val="IndexLink"/>
              </w:rPr>
              <w:t>187</w:t>
            </w:r>
          </w:hyperlink>
        </w:p>
        <w:p>
          <w:pPr>
            <w:pStyle w:val="Contents3"/>
            <w:tabs>
              <w:tab w:val="clear" w:pos="8459"/>
              <w:tab w:val="right" w:pos="9026" w:leader="dot"/>
            </w:tabs>
            <w:rPr/>
          </w:pPr>
          <w:hyperlink w:anchor="__RefHeading___Toc3585199_3650668749">
            <w:r>
              <w:rPr>
                <w:webHidden/>
                <w:rStyle w:val="IndexLink"/>
              </w:rPr>
              <w:t>٩</w:t>
            </w:r>
            <w:r>
              <w:rPr>
                <w:rStyle w:val="IndexLink"/>
                <w:rtl w:val="true"/>
              </w:rPr>
              <w:t xml:space="preserve">. </w:t>
            </w:r>
            <w:r>
              <w:rPr>
                <w:rStyle w:val="IndexLink"/>
                <w:rtl w:val="true"/>
              </w:rPr>
              <w:t>حمام‌ها</w:t>
            </w:r>
            <w:r>
              <w:rPr>
                <w:rStyle w:val="IndexLink"/>
                <w:rtl w:val="true"/>
              </w:rPr>
              <w:tab/>
            </w:r>
            <w:r>
              <w:rPr>
                <w:rStyle w:val="IndexLink"/>
              </w:rPr>
              <w:t>187</w:t>
            </w:r>
          </w:hyperlink>
        </w:p>
        <w:p>
          <w:pPr>
            <w:pStyle w:val="Contents4"/>
            <w:tabs>
              <w:tab w:val="clear" w:pos="8176"/>
              <w:tab w:val="right" w:pos="9026" w:leader="dot"/>
            </w:tabs>
            <w:rPr/>
          </w:pPr>
          <w:hyperlink w:anchor="__RefHeading___Toc3585201_3650668749">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3585203_3650668749">
            <w:r>
              <w:rPr>
                <w:webHidden/>
                <w:rStyle w:val="IndexLink"/>
                <w:rtl w:val="true"/>
              </w:rPr>
              <w:t>الف</w:t>
            </w:r>
            <w:r>
              <w:rPr>
                <w:rStyle w:val="IndexLink"/>
                <w:rtl w:val="true"/>
              </w:rPr>
              <w:t xml:space="preserve">) </w:t>
            </w:r>
            <w:r>
              <w:rPr>
                <w:rStyle w:val="IndexLink"/>
                <w:rtl w:val="true"/>
              </w:rPr>
              <w:t>حمام اَعْيَن</w:t>
            </w:r>
            <w:r>
              <w:rPr>
                <w:rStyle w:val="IndexLink"/>
                <w:rtl w:val="true"/>
              </w:rPr>
              <w:tab/>
            </w:r>
            <w:r>
              <w:rPr>
                <w:rStyle w:val="IndexLink"/>
              </w:rPr>
              <w:t>190</w:t>
            </w:r>
          </w:hyperlink>
        </w:p>
        <w:p>
          <w:pPr>
            <w:pStyle w:val="Contents4"/>
            <w:tabs>
              <w:tab w:val="clear" w:pos="8176"/>
              <w:tab w:val="right" w:pos="9026" w:leader="dot"/>
            </w:tabs>
            <w:rPr/>
          </w:pPr>
          <w:hyperlink w:anchor="__RefHeading___Toc3585205_3650668749">
            <w:r>
              <w:rPr>
                <w:webHidden/>
                <w:rStyle w:val="IndexLink"/>
                <w:rtl w:val="true"/>
              </w:rPr>
              <w:t>ب</w:t>
            </w:r>
            <w:r>
              <w:rPr>
                <w:rStyle w:val="IndexLink"/>
                <w:rtl w:val="true"/>
              </w:rPr>
              <w:t xml:space="preserve">) </w:t>
            </w:r>
            <w:r>
              <w:rPr>
                <w:rStyle w:val="IndexLink"/>
                <w:rtl w:val="true"/>
              </w:rPr>
              <w:t>حمام عمر بن سعد</w:t>
            </w:r>
            <w:r>
              <w:rPr>
                <w:rStyle w:val="IndexLink"/>
                <w:rtl w:val="true"/>
              </w:rPr>
              <w:tab/>
            </w:r>
            <w:r>
              <w:rPr>
                <w:rStyle w:val="IndexLink"/>
              </w:rPr>
              <w:t>190</w:t>
            </w:r>
          </w:hyperlink>
        </w:p>
        <w:p>
          <w:pPr>
            <w:pStyle w:val="Contents4"/>
            <w:tabs>
              <w:tab w:val="clear" w:pos="8176"/>
              <w:tab w:val="right" w:pos="9026" w:leader="dot"/>
            </w:tabs>
            <w:rPr/>
          </w:pPr>
          <w:hyperlink w:anchor="__RefHeading___Toc3585207_3650668749">
            <w:r>
              <w:rPr>
                <w:webHidden/>
                <w:rStyle w:val="IndexLink"/>
                <w:rtl w:val="true"/>
              </w:rPr>
              <w:t>ج</w:t>
            </w:r>
            <w:r>
              <w:rPr>
                <w:rStyle w:val="IndexLink"/>
                <w:rtl w:val="true"/>
              </w:rPr>
              <w:t xml:space="preserve">) </w:t>
            </w:r>
            <w:r>
              <w:rPr>
                <w:rStyle w:val="IndexLink"/>
                <w:rtl w:val="true"/>
              </w:rPr>
              <w:t>حمام مَهْبَذان</w:t>
            </w:r>
            <w:r>
              <w:rPr>
                <w:rStyle w:val="IndexLink"/>
                <w:rtl w:val="true"/>
              </w:rPr>
              <w:tab/>
            </w:r>
            <w:r>
              <w:rPr>
                <w:rStyle w:val="IndexLink"/>
              </w:rPr>
              <w:t>190</w:t>
            </w:r>
          </w:hyperlink>
        </w:p>
        <w:p>
          <w:pPr>
            <w:pStyle w:val="Contents4"/>
            <w:tabs>
              <w:tab w:val="clear" w:pos="8176"/>
              <w:tab w:val="right" w:pos="9026" w:leader="dot"/>
            </w:tabs>
            <w:rPr/>
          </w:pPr>
          <w:hyperlink w:anchor="__RefHeading___Toc3585209_3650668749">
            <w:r>
              <w:rPr>
                <w:webHidden/>
                <w:rStyle w:val="IndexLink"/>
                <w:rtl w:val="true"/>
              </w:rPr>
              <w:t>د</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حمام عمرو بن حريث و حمام قطان </w:t>
            </w:r>
            <w:r>
              <w:rPr>
                <w:rStyle w:val="IndexLink"/>
                <w:rtl w:val="true"/>
              </w:rPr>
              <w:t>(</w:t>
            </w:r>
            <w:r>
              <w:rPr>
                <w:rStyle w:val="IndexLink"/>
                <w:rtl w:val="true"/>
              </w:rPr>
              <w:t>قَطَن</w:t>
            </w:r>
            <w:r>
              <w:rPr>
                <w:rStyle w:val="IndexLink"/>
                <w:rtl w:val="true"/>
              </w:rPr>
              <w:t xml:space="preserve">) </w:t>
            </w:r>
            <w:r>
              <w:rPr>
                <w:rStyle w:val="IndexLink"/>
                <w:rtl w:val="true"/>
              </w:rPr>
              <w:t>بن عبدالله</w:t>
            </w:r>
            <w:r>
              <w:rPr>
                <w:rStyle w:val="IndexLink"/>
                <w:rtl w:val="true"/>
              </w:rPr>
              <w:tab/>
            </w:r>
            <w:r>
              <w:rPr>
                <w:rStyle w:val="IndexLink"/>
              </w:rPr>
              <w:t>190</w:t>
            </w:r>
          </w:hyperlink>
        </w:p>
        <w:p>
          <w:pPr>
            <w:pStyle w:val="Contents4"/>
            <w:tabs>
              <w:tab w:val="clear" w:pos="8176"/>
              <w:tab w:val="right" w:pos="9026" w:leader="dot"/>
            </w:tabs>
            <w:rPr/>
          </w:pPr>
          <w:hyperlink w:anchor="__RefHeading___Toc3585211_3650668749">
            <w:r>
              <w:rPr>
                <w:webHidden/>
                <w:rStyle w:val="IndexLink"/>
                <w:rtl w:val="true"/>
              </w:rPr>
              <w:t>و</w:t>
            </w:r>
            <w:r>
              <w:rPr>
                <w:rStyle w:val="IndexLink"/>
                <w:rtl w:val="true"/>
              </w:rPr>
              <w:t xml:space="preserve">) </w:t>
            </w:r>
            <w:r>
              <w:rPr>
                <w:rStyle w:val="IndexLink"/>
                <w:rtl w:val="true"/>
              </w:rPr>
              <w:t>حمام ابن بَرْدَه</w:t>
            </w:r>
            <w:r>
              <w:rPr>
                <w:rStyle w:val="IndexLink"/>
                <w:rtl w:val="true"/>
              </w:rPr>
              <w:tab/>
            </w:r>
            <w:r>
              <w:rPr>
                <w:rStyle w:val="IndexLink"/>
              </w:rPr>
              <w:t>191</w:t>
            </w:r>
          </w:hyperlink>
        </w:p>
        <w:p>
          <w:pPr>
            <w:pStyle w:val="Contents3"/>
            <w:tabs>
              <w:tab w:val="clear" w:pos="8459"/>
              <w:tab w:val="right" w:pos="9026" w:leader="dot"/>
            </w:tabs>
            <w:rPr/>
          </w:pPr>
          <w:hyperlink w:anchor="__RefHeading___Toc3585213_3650668749">
            <w:r>
              <w:rPr>
                <w:webHidden/>
                <w:rStyle w:val="IndexLink"/>
              </w:rPr>
              <w:t>١٠</w:t>
            </w:r>
            <w:r>
              <w:rPr>
                <w:rStyle w:val="IndexLink"/>
                <w:rtl w:val="true"/>
              </w:rPr>
              <w:t xml:space="preserve">. </w:t>
            </w:r>
            <w:r>
              <w:rPr>
                <w:rStyle w:val="IndexLink"/>
                <w:rtl w:val="true"/>
              </w:rPr>
              <w:t>مكان‌هاى عمومى</w:t>
            </w:r>
            <w:r>
              <w:rPr>
                <w:rStyle w:val="IndexLink"/>
                <w:rtl w:val="true"/>
              </w:rPr>
              <w:tab/>
            </w:r>
            <w:r>
              <w:rPr>
                <w:rStyle w:val="IndexLink"/>
              </w:rPr>
              <w:t>191</w:t>
            </w:r>
          </w:hyperlink>
        </w:p>
        <w:p>
          <w:pPr>
            <w:pStyle w:val="Contents4"/>
            <w:tabs>
              <w:tab w:val="clear" w:pos="8176"/>
              <w:tab w:val="right" w:pos="9026" w:leader="dot"/>
            </w:tabs>
            <w:rPr/>
          </w:pPr>
          <w:hyperlink w:anchor="__RefHeading___Toc3585215_3650668749">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3585217_3650668749">
            <w:r>
              <w:rPr>
                <w:webHidden/>
                <w:rStyle w:val="IndexLink"/>
                <w:rtl w:val="true"/>
              </w:rPr>
              <w:t>الف</w:t>
            </w:r>
            <w:r>
              <w:rPr>
                <w:rStyle w:val="IndexLink"/>
                <w:rtl w:val="true"/>
              </w:rPr>
              <w:t xml:space="preserve">) </w:t>
            </w:r>
            <w:r>
              <w:rPr>
                <w:rStyle w:val="IndexLink"/>
                <w:rtl w:val="true"/>
              </w:rPr>
              <w:t>جبّانات و گورستان‌ها</w:t>
            </w:r>
            <w:r>
              <w:rPr>
                <w:rStyle w:val="IndexLink"/>
                <w:rtl w:val="true"/>
              </w:rPr>
              <w:tab/>
            </w:r>
            <w:r>
              <w:rPr>
                <w:rStyle w:val="IndexLink"/>
              </w:rPr>
              <w:t>191</w:t>
            </w:r>
          </w:hyperlink>
        </w:p>
        <w:p>
          <w:pPr>
            <w:pStyle w:val="Contents5"/>
            <w:tabs>
              <w:tab w:val="clear" w:pos="7892"/>
              <w:tab w:val="right" w:pos="9026" w:leader="dot"/>
            </w:tabs>
            <w:rPr/>
          </w:pPr>
          <w:hyperlink w:anchor="__RefHeading___Toc3585219_3650668749">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3585221_3650668749">
            <w:r>
              <w:rPr>
                <w:webHidden/>
                <w:rStyle w:val="IndexLink"/>
                <w:rtl w:val="true"/>
              </w:rPr>
              <w:t xml:space="preserve">يك </w:t>
            </w:r>
            <w:r>
              <w:rPr>
                <w:rStyle w:val="IndexLink"/>
                <w:rtl w:val="true"/>
              </w:rPr>
              <w:t xml:space="preserve">- </w:t>
            </w:r>
            <w:r>
              <w:rPr>
                <w:rStyle w:val="IndexLink"/>
                <w:rtl w:val="true"/>
              </w:rPr>
              <w:t xml:space="preserve">جبّانه‌هاى يمنى ها </w:t>
            </w:r>
            <w:r>
              <w:rPr>
                <w:rStyle w:val="IndexLink"/>
                <w:rtl w:val="true"/>
              </w:rPr>
              <w:t>(</w:t>
            </w:r>
            <w:r>
              <w:rPr>
                <w:rStyle w:val="IndexLink"/>
                <w:rtl w:val="true"/>
              </w:rPr>
              <w:t>قحطانى ها</w:t>
            </w:r>
            <w:r>
              <w:rPr>
                <w:rStyle w:val="IndexLink"/>
                <w:rtl w:val="true"/>
              </w:rPr>
              <w:t>)</w:t>
              <w:tab/>
            </w:r>
            <w:r>
              <w:rPr>
                <w:rStyle w:val="IndexLink"/>
              </w:rPr>
              <w:t>192</w:t>
            </w:r>
          </w:hyperlink>
        </w:p>
        <w:p>
          <w:pPr>
            <w:pStyle w:val="Contents6"/>
            <w:tabs>
              <w:tab w:val="clear" w:pos="7609"/>
              <w:tab w:val="right" w:pos="9026" w:leader="dot"/>
            </w:tabs>
            <w:rPr/>
          </w:pPr>
          <w:hyperlink w:anchor="__RefHeading___Toc3585223_3650668749">
            <w:r>
              <w:rPr>
                <w:webHidden/>
                <w:rStyle w:val="IndexLink"/>
                <w:rtl w:val="true"/>
              </w:rPr>
              <w:t>اشاره</w:t>
            </w:r>
            <w:r>
              <w:rPr>
                <w:rStyle w:val="IndexLink"/>
                <w:rtl w:val="true"/>
              </w:rPr>
              <w:tab/>
            </w:r>
            <w:r>
              <w:rPr>
                <w:rStyle w:val="IndexLink"/>
              </w:rPr>
              <w:t>192</w:t>
            </w:r>
          </w:hyperlink>
        </w:p>
        <w:p>
          <w:pPr>
            <w:pStyle w:val="Contents6"/>
            <w:tabs>
              <w:tab w:val="clear" w:pos="7609"/>
              <w:tab w:val="right" w:pos="9026" w:leader="dot"/>
            </w:tabs>
            <w:rPr/>
          </w:pPr>
          <w:hyperlink w:anchor="__RefHeading___Toc3585225_3650668749">
            <w:r>
              <w:rPr>
                <w:webHidden/>
                <w:rStyle w:val="IndexLink"/>
                <w:rtl w:val="true"/>
              </w:rPr>
              <w:t xml:space="preserve">اول </w:t>
            </w:r>
            <w:r>
              <w:rPr>
                <w:rStyle w:val="IndexLink"/>
                <w:rtl w:val="true"/>
              </w:rPr>
              <w:t xml:space="preserve">- </w:t>
            </w:r>
            <w:r>
              <w:rPr>
                <w:rStyle w:val="IndexLink"/>
                <w:rtl w:val="true"/>
              </w:rPr>
              <w:t xml:space="preserve">جبّانه سبيع </w:t>
            </w:r>
            <w:r>
              <w:rPr>
                <w:rStyle w:val="IndexLink"/>
                <w:rtl w:val="true"/>
              </w:rPr>
              <w:t>(</w:t>
            </w:r>
            <w:r>
              <w:rPr>
                <w:rStyle w:val="IndexLink"/>
                <w:rtl w:val="true"/>
              </w:rPr>
              <w:t>جبانة الحشاشين</w:t>
            </w:r>
            <w:r>
              <w:rPr>
                <w:rStyle w:val="IndexLink"/>
                <w:rtl w:val="true"/>
              </w:rPr>
              <w:t>)</w:t>
              <w:tab/>
            </w:r>
            <w:r>
              <w:rPr>
                <w:rStyle w:val="IndexLink"/>
              </w:rPr>
              <w:t>193</w:t>
            </w:r>
          </w:hyperlink>
        </w:p>
        <w:p>
          <w:pPr>
            <w:pStyle w:val="Contents6"/>
            <w:tabs>
              <w:tab w:val="clear" w:pos="7609"/>
              <w:tab w:val="right" w:pos="9026" w:leader="dot"/>
            </w:tabs>
            <w:rPr/>
          </w:pPr>
          <w:hyperlink w:anchor="__RefHeading___Toc3585227_3650668749">
            <w:r>
              <w:rPr>
                <w:webHidden/>
                <w:rStyle w:val="IndexLink"/>
                <w:rtl w:val="true"/>
              </w:rPr>
              <w:t xml:space="preserve">دوم </w:t>
            </w:r>
            <w:r>
              <w:rPr>
                <w:rStyle w:val="IndexLink"/>
                <w:rtl w:val="true"/>
              </w:rPr>
              <w:t xml:space="preserve">- </w:t>
            </w:r>
            <w:r>
              <w:rPr>
                <w:rStyle w:val="IndexLink"/>
                <w:rtl w:val="true"/>
              </w:rPr>
              <w:t>جبّانه كِنْده</w:t>
            </w:r>
            <w:r>
              <w:rPr>
                <w:rStyle w:val="IndexLink"/>
                <w:rtl w:val="true"/>
              </w:rPr>
              <w:tab/>
            </w:r>
            <w:r>
              <w:rPr>
                <w:rStyle w:val="IndexLink"/>
              </w:rPr>
              <w:t>193</w:t>
            </w:r>
          </w:hyperlink>
        </w:p>
        <w:p>
          <w:pPr>
            <w:pStyle w:val="Contents6"/>
            <w:tabs>
              <w:tab w:val="clear" w:pos="7609"/>
              <w:tab w:val="right" w:pos="9026" w:leader="dot"/>
            </w:tabs>
            <w:rPr/>
          </w:pPr>
          <w:hyperlink w:anchor="__RefHeading___Toc3585229_3650668749">
            <w:r>
              <w:rPr>
                <w:webHidden/>
                <w:rStyle w:val="IndexLink"/>
                <w:rtl w:val="true"/>
              </w:rPr>
              <w:t xml:space="preserve">سوم </w:t>
            </w:r>
            <w:r>
              <w:rPr>
                <w:rStyle w:val="IndexLink"/>
                <w:rtl w:val="true"/>
              </w:rPr>
              <w:t xml:space="preserve">- </w:t>
            </w:r>
            <w:r>
              <w:rPr>
                <w:rStyle w:val="IndexLink"/>
                <w:rtl w:val="true"/>
              </w:rPr>
              <w:t>جبّانه بِشْر</w:t>
            </w:r>
            <w:r>
              <w:rPr>
                <w:rStyle w:val="IndexLink"/>
                <w:rtl w:val="true"/>
              </w:rPr>
              <w:tab/>
            </w:r>
            <w:r>
              <w:rPr>
                <w:rStyle w:val="IndexLink"/>
              </w:rPr>
              <w:t>193</w:t>
            </w:r>
          </w:hyperlink>
        </w:p>
        <w:p>
          <w:pPr>
            <w:pStyle w:val="Contents6"/>
            <w:tabs>
              <w:tab w:val="clear" w:pos="7609"/>
              <w:tab w:val="right" w:pos="9026" w:leader="dot"/>
            </w:tabs>
            <w:rPr/>
          </w:pPr>
          <w:hyperlink w:anchor="__RefHeading___Toc3585231_3650668749">
            <w:r>
              <w:rPr>
                <w:webHidden/>
                <w:rStyle w:val="IndexLink"/>
                <w:rtl w:val="true"/>
              </w:rPr>
              <w:t xml:space="preserve">چهارم </w:t>
            </w:r>
            <w:r>
              <w:rPr>
                <w:rStyle w:val="IndexLink"/>
                <w:rtl w:val="true"/>
              </w:rPr>
              <w:t xml:space="preserve">- </w:t>
            </w:r>
            <w:r>
              <w:rPr>
                <w:rStyle w:val="IndexLink"/>
                <w:rtl w:val="true"/>
              </w:rPr>
              <w:t>جبّانه مراد</w:t>
            </w:r>
            <w:r>
              <w:rPr>
                <w:rStyle w:val="IndexLink"/>
                <w:rtl w:val="true"/>
              </w:rPr>
              <w:tab/>
            </w:r>
            <w:r>
              <w:rPr>
                <w:rStyle w:val="IndexLink"/>
              </w:rPr>
              <w:t>193</w:t>
            </w:r>
          </w:hyperlink>
        </w:p>
        <w:p>
          <w:pPr>
            <w:pStyle w:val="Contents6"/>
            <w:tabs>
              <w:tab w:val="clear" w:pos="7609"/>
              <w:tab w:val="right" w:pos="9026" w:leader="dot"/>
            </w:tabs>
            <w:rPr/>
          </w:pPr>
          <w:hyperlink w:anchor="__RefHeading___Toc3585233_3650668749">
            <w:r>
              <w:rPr>
                <w:webHidden/>
                <w:rStyle w:val="IndexLink"/>
                <w:rtl w:val="true"/>
              </w:rPr>
              <w:t xml:space="preserve">پنجم </w:t>
            </w:r>
            <w:r>
              <w:rPr>
                <w:rStyle w:val="IndexLink"/>
                <w:rtl w:val="true"/>
              </w:rPr>
              <w:t xml:space="preserve">- </w:t>
            </w:r>
            <w:r>
              <w:rPr>
                <w:rStyle w:val="IndexLink"/>
                <w:rtl w:val="true"/>
              </w:rPr>
              <w:t xml:space="preserve">جبّانه مِخْنَف </w:t>
            </w:r>
            <w:r>
              <w:rPr>
                <w:rStyle w:val="IndexLink"/>
                <w:rtl w:val="true"/>
              </w:rPr>
              <w:t>(</w:t>
            </w:r>
            <w:r>
              <w:rPr>
                <w:rStyle w:val="IndexLink"/>
                <w:rtl w:val="true"/>
              </w:rPr>
              <w:t>جبّانه اَزْد</w:t>
            </w:r>
            <w:r>
              <w:rPr>
                <w:rStyle w:val="IndexLink"/>
                <w:rtl w:val="true"/>
              </w:rPr>
              <w:t>)</w:t>
              <w:tab/>
            </w:r>
            <w:r>
              <w:rPr>
                <w:rStyle w:val="IndexLink"/>
              </w:rPr>
              <w:t>193</w:t>
            </w:r>
          </w:hyperlink>
        </w:p>
        <w:p>
          <w:pPr>
            <w:pStyle w:val="Contents6"/>
            <w:tabs>
              <w:tab w:val="clear" w:pos="7609"/>
              <w:tab w:val="right" w:pos="9026" w:leader="dot"/>
            </w:tabs>
            <w:rPr/>
          </w:pPr>
          <w:hyperlink w:anchor="__RefHeading___Toc3585235_3650668749">
            <w:r>
              <w:rPr>
                <w:webHidden/>
                <w:rStyle w:val="IndexLink"/>
                <w:rtl w:val="true"/>
              </w:rPr>
              <w:t xml:space="preserve">ششم </w:t>
            </w:r>
            <w:r>
              <w:rPr>
                <w:rStyle w:val="IndexLink"/>
                <w:rtl w:val="true"/>
              </w:rPr>
              <w:t xml:space="preserve">- </w:t>
            </w:r>
            <w:r>
              <w:rPr>
                <w:rStyle w:val="IndexLink"/>
                <w:rtl w:val="true"/>
              </w:rPr>
              <w:t>جبّانه الصائديين</w:t>
            </w:r>
            <w:r>
              <w:rPr>
                <w:rStyle w:val="IndexLink"/>
                <w:rtl w:val="true"/>
              </w:rPr>
              <w:tab/>
            </w:r>
            <w:r>
              <w:rPr>
                <w:rStyle w:val="IndexLink"/>
              </w:rPr>
              <w:t>194</w:t>
            </w:r>
          </w:hyperlink>
        </w:p>
        <w:p>
          <w:pPr>
            <w:pStyle w:val="Contents5"/>
            <w:tabs>
              <w:tab w:val="clear" w:pos="7892"/>
              <w:tab w:val="right" w:pos="9026" w:leader="dot"/>
            </w:tabs>
            <w:rPr/>
          </w:pPr>
          <w:hyperlink w:anchor="__RefHeading___Toc3585237_3650668749">
            <w:r>
              <w:rPr>
                <w:webHidden/>
                <w:rStyle w:val="IndexLink"/>
                <w:rtl w:val="true"/>
              </w:rPr>
              <w:t xml:space="preserve">دو </w:t>
            </w:r>
            <w:r>
              <w:rPr>
                <w:rStyle w:val="IndexLink"/>
                <w:rtl w:val="true"/>
              </w:rPr>
              <w:t xml:space="preserve">- </w:t>
            </w:r>
            <w:r>
              <w:rPr>
                <w:rStyle w:val="IndexLink"/>
                <w:rtl w:val="true"/>
              </w:rPr>
              <w:t>جبّانه‌هاى عدنانى‌ها</w:t>
            </w:r>
            <w:r>
              <w:rPr>
                <w:rStyle w:val="IndexLink"/>
                <w:rtl w:val="true"/>
              </w:rPr>
              <w:tab/>
            </w:r>
            <w:r>
              <w:rPr>
                <w:rStyle w:val="IndexLink"/>
              </w:rPr>
              <w:t>194</w:t>
            </w:r>
          </w:hyperlink>
        </w:p>
        <w:p>
          <w:pPr>
            <w:pStyle w:val="Contents6"/>
            <w:tabs>
              <w:tab w:val="clear" w:pos="7609"/>
              <w:tab w:val="right" w:pos="9026" w:leader="dot"/>
            </w:tabs>
            <w:rPr/>
          </w:pPr>
          <w:hyperlink w:anchor="__RefHeading___Toc3585239_3650668749">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3585241_3650668749">
            <w:r>
              <w:rPr>
                <w:webHidden/>
                <w:rStyle w:val="IndexLink"/>
                <w:rtl w:val="true"/>
              </w:rPr>
              <w:t xml:space="preserve">اول </w:t>
            </w:r>
            <w:r>
              <w:rPr>
                <w:rStyle w:val="IndexLink"/>
                <w:rtl w:val="true"/>
              </w:rPr>
              <w:t xml:space="preserve">- </w:t>
            </w:r>
            <w:r>
              <w:rPr>
                <w:rStyle w:val="IndexLink"/>
                <w:rtl w:val="true"/>
              </w:rPr>
              <w:t xml:space="preserve">جبّانه </w:t>
            </w:r>
            <w:r>
              <w:rPr>
                <w:rStyle w:val="IndexLink"/>
                <w:rtl w:val="true"/>
              </w:rPr>
              <w:t>(</w:t>
            </w:r>
            <w:r>
              <w:rPr>
                <w:rStyle w:val="IndexLink"/>
                <w:rtl w:val="true"/>
              </w:rPr>
              <w:t>ثُوَيَّه</w:t>
            </w:r>
            <w:r>
              <w:rPr>
                <w:rStyle w:val="IndexLink"/>
                <w:rtl w:val="true"/>
              </w:rPr>
              <w:t>)</w:t>
              <w:tab/>
            </w:r>
            <w:r>
              <w:rPr>
                <w:rStyle w:val="IndexLink"/>
              </w:rPr>
              <w:t>194</w:t>
            </w:r>
          </w:hyperlink>
        </w:p>
        <w:p>
          <w:pPr>
            <w:pStyle w:val="Contents6"/>
            <w:tabs>
              <w:tab w:val="clear" w:pos="7609"/>
              <w:tab w:val="right" w:pos="9026" w:leader="dot"/>
            </w:tabs>
            <w:rPr/>
          </w:pPr>
          <w:hyperlink w:anchor="__RefHeading___Toc3585243_3650668749">
            <w:r>
              <w:rPr>
                <w:webHidden/>
                <w:rStyle w:val="IndexLink"/>
                <w:rtl w:val="true"/>
              </w:rPr>
              <w:t xml:space="preserve">دوم </w:t>
            </w:r>
            <w:r>
              <w:rPr>
                <w:rStyle w:val="IndexLink"/>
                <w:rtl w:val="true"/>
              </w:rPr>
              <w:t xml:space="preserve">- </w:t>
            </w:r>
            <w:r>
              <w:rPr>
                <w:rStyle w:val="IndexLink"/>
                <w:rtl w:val="true"/>
              </w:rPr>
              <w:t>جبّانه عَرْزَم</w:t>
            </w:r>
            <w:r>
              <w:rPr>
                <w:rStyle w:val="IndexLink"/>
                <w:rtl w:val="true"/>
              </w:rPr>
              <w:tab/>
            </w:r>
            <w:r>
              <w:rPr>
                <w:rStyle w:val="IndexLink"/>
              </w:rPr>
              <w:t>195</w:t>
            </w:r>
          </w:hyperlink>
        </w:p>
        <w:p>
          <w:pPr>
            <w:pStyle w:val="Contents6"/>
            <w:tabs>
              <w:tab w:val="clear" w:pos="7609"/>
              <w:tab w:val="right" w:pos="9026" w:leader="dot"/>
            </w:tabs>
            <w:rPr/>
          </w:pPr>
          <w:hyperlink w:anchor="__RefHeading___Toc3585245_3650668749">
            <w:r>
              <w:rPr>
                <w:webHidden/>
                <w:rStyle w:val="IndexLink"/>
                <w:rtl w:val="true"/>
              </w:rPr>
              <w:t xml:space="preserve">سوم </w:t>
            </w:r>
            <w:r>
              <w:rPr>
                <w:rStyle w:val="IndexLink"/>
                <w:rtl w:val="true"/>
              </w:rPr>
              <w:t xml:space="preserve">- </w:t>
            </w:r>
            <w:r>
              <w:rPr>
                <w:rStyle w:val="IndexLink"/>
                <w:rtl w:val="true"/>
              </w:rPr>
              <w:t xml:space="preserve">جبّانه سالم </w:t>
            </w:r>
            <w:r>
              <w:rPr>
                <w:rStyle w:val="IndexLink"/>
                <w:rtl w:val="true"/>
              </w:rPr>
              <w:t>(</w:t>
            </w:r>
            <w:r>
              <w:rPr>
                <w:rStyle w:val="IndexLink"/>
                <w:rtl w:val="true"/>
              </w:rPr>
              <w:t>جبّانه بنى‌سلول</w:t>
            </w:r>
            <w:r>
              <w:rPr>
                <w:rStyle w:val="IndexLink"/>
                <w:rtl w:val="true"/>
              </w:rPr>
              <w:t>)</w:t>
              <w:tab/>
            </w:r>
            <w:r>
              <w:rPr>
                <w:rStyle w:val="IndexLink"/>
              </w:rPr>
              <w:t>195</w:t>
            </w:r>
          </w:hyperlink>
        </w:p>
        <w:p>
          <w:pPr>
            <w:pStyle w:val="Contents6"/>
            <w:tabs>
              <w:tab w:val="clear" w:pos="7609"/>
              <w:tab w:val="right" w:pos="9026" w:leader="dot"/>
            </w:tabs>
            <w:rPr/>
          </w:pPr>
          <w:hyperlink w:anchor="__RefHeading___Toc3585247_3650668749">
            <w:r>
              <w:rPr>
                <w:webHidden/>
                <w:rStyle w:val="IndexLink"/>
                <w:rtl w:val="true"/>
              </w:rPr>
              <w:t xml:space="preserve">چهارم </w:t>
            </w:r>
            <w:r>
              <w:rPr>
                <w:rStyle w:val="IndexLink"/>
                <w:rtl w:val="true"/>
              </w:rPr>
              <w:t xml:space="preserve">- </w:t>
            </w:r>
            <w:r>
              <w:rPr>
                <w:rStyle w:val="IndexLink"/>
                <w:rtl w:val="true"/>
              </w:rPr>
              <w:t>جبّانه اتبر</w:t>
            </w:r>
            <w:r>
              <w:rPr>
                <w:rStyle w:val="IndexLink"/>
                <w:rtl w:val="true"/>
              </w:rPr>
              <w:tab/>
            </w:r>
            <w:r>
              <w:rPr>
                <w:rStyle w:val="IndexLink"/>
              </w:rPr>
              <w:t>196</w:t>
            </w:r>
          </w:hyperlink>
        </w:p>
        <w:p>
          <w:pPr>
            <w:pStyle w:val="Contents5"/>
            <w:tabs>
              <w:tab w:val="clear" w:pos="7892"/>
              <w:tab w:val="right" w:pos="9026" w:leader="dot"/>
            </w:tabs>
            <w:rPr/>
          </w:pPr>
          <w:hyperlink w:anchor="__RefHeading___Toc3585249_3650668749">
            <w:r>
              <w:rPr>
                <w:webHidden/>
                <w:rStyle w:val="IndexLink"/>
                <w:rtl w:val="true"/>
              </w:rPr>
              <w:t xml:space="preserve">سه </w:t>
            </w:r>
            <w:r>
              <w:rPr>
                <w:rStyle w:val="IndexLink"/>
                <w:rtl w:val="true"/>
              </w:rPr>
              <w:t xml:space="preserve">- </w:t>
            </w:r>
            <w:r>
              <w:rPr>
                <w:rStyle w:val="IndexLink"/>
                <w:rtl w:val="true"/>
              </w:rPr>
              <w:t>آرامگاه‌هاى خارج از جبانات</w:t>
            </w:r>
            <w:r>
              <w:rPr>
                <w:rStyle w:val="IndexLink"/>
                <w:rtl w:val="true"/>
              </w:rPr>
              <w:tab/>
            </w:r>
            <w:r>
              <w:rPr>
                <w:rStyle w:val="IndexLink"/>
              </w:rPr>
              <w:t>196</w:t>
            </w:r>
          </w:hyperlink>
        </w:p>
        <w:p>
          <w:pPr>
            <w:pStyle w:val="Contents6"/>
            <w:tabs>
              <w:tab w:val="clear" w:pos="7609"/>
              <w:tab w:val="right" w:pos="9026" w:leader="dot"/>
            </w:tabs>
            <w:rPr/>
          </w:pPr>
          <w:hyperlink w:anchor="__RefHeading___Toc3585251_3650668749">
            <w:r>
              <w:rPr>
                <w:webHidden/>
                <w:rStyle w:val="IndexLink"/>
                <w:rtl w:val="true"/>
              </w:rPr>
              <w:t>اشاره</w:t>
            </w:r>
            <w:r>
              <w:rPr>
                <w:rStyle w:val="IndexLink"/>
                <w:rtl w:val="true"/>
              </w:rPr>
              <w:tab/>
            </w:r>
            <w:r>
              <w:rPr>
                <w:rStyle w:val="IndexLink"/>
              </w:rPr>
              <w:t>196</w:t>
            </w:r>
          </w:hyperlink>
        </w:p>
        <w:p>
          <w:pPr>
            <w:pStyle w:val="Contents6"/>
            <w:tabs>
              <w:tab w:val="clear" w:pos="7609"/>
              <w:tab w:val="right" w:pos="9026" w:leader="dot"/>
            </w:tabs>
            <w:rPr/>
          </w:pPr>
          <w:hyperlink w:anchor="__RefHeading___Toc3585253_3650668749">
            <w:r>
              <w:rPr>
                <w:webHidden/>
                <w:rStyle w:val="IndexLink"/>
                <w:rtl w:val="true"/>
              </w:rPr>
              <w:t xml:space="preserve">يك </w:t>
            </w:r>
            <w:r>
              <w:rPr>
                <w:rStyle w:val="IndexLink"/>
                <w:rtl w:val="true"/>
              </w:rPr>
              <w:t xml:space="preserve">- </w:t>
            </w:r>
            <w:r>
              <w:rPr>
                <w:rStyle w:val="IndexLink"/>
                <w:rtl w:val="true"/>
              </w:rPr>
              <w:t>آرامگاه مسلم بن عقيل</w:t>
            </w:r>
            <w:r>
              <w:rPr>
                <w:rStyle w:val="IndexLink"/>
              </w:rPr>
              <w:t>٧</w:t>
            </w:r>
            <w:r>
              <w:rPr>
                <w:rStyle w:val="IndexLink"/>
                <w:rtl w:val="true"/>
              </w:rPr>
              <w:tab/>
            </w:r>
            <w:r>
              <w:rPr>
                <w:rStyle w:val="IndexLink"/>
              </w:rPr>
              <w:t>196</w:t>
            </w:r>
          </w:hyperlink>
        </w:p>
        <w:p>
          <w:pPr>
            <w:pStyle w:val="Contents6"/>
            <w:tabs>
              <w:tab w:val="clear" w:pos="7609"/>
              <w:tab w:val="right" w:pos="9026" w:leader="dot"/>
            </w:tabs>
            <w:rPr/>
          </w:pPr>
          <w:hyperlink w:anchor="__RefHeading___Toc3585255_3650668749">
            <w:r>
              <w:rPr>
                <w:webHidden/>
                <w:rStyle w:val="IndexLink"/>
                <w:rtl w:val="true"/>
              </w:rPr>
              <w:t xml:space="preserve">دو </w:t>
            </w:r>
            <w:r>
              <w:rPr>
                <w:rStyle w:val="IndexLink"/>
                <w:rtl w:val="true"/>
              </w:rPr>
              <w:t xml:space="preserve">- </w:t>
            </w:r>
            <w:r>
              <w:rPr>
                <w:rStyle w:val="IndexLink"/>
                <w:rtl w:val="true"/>
              </w:rPr>
              <w:t>آرامگاه هانى بن عروه</w:t>
            </w:r>
            <w:r>
              <w:rPr>
                <w:rStyle w:val="IndexLink"/>
                <w:rtl w:val="true"/>
              </w:rPr>
              <w:tab/>
            </w:r>
            <w:r>
              <w:rPr>
                <w:rStyle w:val="IndexLink"/>
              </w:rPr>
              <w:t>196</w:t>
            </w:r>
          </w:hyperlink>
        </w:p>
        <w:p>
          <w:pPr>
            <w:pStyle w:val="Contents6"/>
            <w:tabs>
              <w:tab w:val="clear" w:pos="7609"/>
              <w:tab w:val="right" w:pos="9026" w:leader="dot"/>
            </w:tabs>
            <w:rPr/>
          </w:pPr>
          <w:hyperlink w:anchor="__RefHeading___Toc3585257_3650668749">
            <w:r>
              <w:rPr>
                <w:webHidden/>
                <w:rStyle w:val="IndexLink"/>
                <w:rtl w:val="true"/>
              </w:rPr>
              <w:t xml:space="preserve">سه </w:t>
            </w:r>
            <w:r>
              <w:rPr>
                <w:rStyle w:val="IndexLink"/>
                <w:rtl w:val="true"/>
              </w:rPr>
              <w:t xml:space="preserve">- </w:t>
            </w:r>
            <w:r>
              <w:rPr>
                <w:rStyle w:val="IndexLink"/>
                <w:rtl w:val="true"/>
              </w:rPr>
              <w:t>آرامگاه مختار بن عبيد ثقفي</w:t>
            </w:r>
            <w:r>
              <w:rPr>
                <w:rStyle w:val="IndexLink"/>
                <w:rtl w:val="true"/>
              </w:rPr>
              <w:tab/>
            </w:r>
            <w:r>
              <w:rPr>
                <w:rStyle w:val="IndexLink"/>
              </w:rPr>
              <w:t>196</w:t>
            </w:r>
          </w:hyperlink>
        </w:p>
        <w:p>
          <w:pPr>
            <w:pStyle w:val="Contents6"/>
            <w:tabs>
              <w:tab w:val="clear" w:pos="7609"/>
              <w:tab w:val="right" w:pos="9026" w:leader="dot"/>
            </w:tabs>
            <w:rPr/>
          </w:pPr>
          <w:hyperlink w:anchor="__RefHeading___Toc3585259_3650668749">
            <w:r>
              <w:rPr>
                <w:webHidden/>
                <w:rStyle w:val="IndexLink"/>
                <w:rtl w:val="true"/>
              </w:rPr>
              <w:t xml:space="preserve">چهار </w:t>
            </w:r>
            <w:r>
              <w:rPr>
                <w:rStyle w:val="IndexLink"/>
                <w:rtl w:val="true"/>
              </w:rPr>
              <w:t xml:space="preserve">- </w:t>
            </w:r>
            <w:r>
              <w:rPr>
                <w:rStyle w:val="IndexLink"/>
                <w:rtl w:val="true"/>
              </w:rPr>
              <w:t>قبر رُشَيد هَجري</w:t>
            </w:r>
            <w:r>
              <w:rPr>
                <w:rStyle w:val="IndexLink"/>
                <w:rtl w:val="true"/>
              </w:rPr>
              <w:tab/>
            </w:r>
            <w:r>
              <w:rPr>
                <w:rStyle w:val="IndexLink"/>
              </w:rPr>
              <w:t>196</w:t>
            </w:r>
          </w:hyperlink>
        </w:p>
        <w:p>
          <w:pPr>
            <w:pStyle w:val="Contents6"/>
            <w:tabs>
              <w:tab w:val="clear" w:pos="7609"/>
              <w:tab w:val="right" w:pos="9026" w:leader="dot"/>
            </w:tabs>
            <w:rPr/>
          </w:pPr>
          <w:hyperlink w:anchor="__RefHeading___Toc3585261_3650668749">
            <w:r>
              <w:rPr>
                <w:webHidden/>
                <w:rStyle w:val="IndexLink"/>
                <w:rtl w:val="true"/>
              </w:rPr>
              <w:t xml:space="preserve">پنج </w:t>
            </w:r>
            <w:r>
              <w:rPr>
                <w:rStyle w:val="IndexLink"/>
                <w:rtl w:val="true"/>
              </w:rPr>
              <w:t xml:space="preserve">- </w:t>
            </w:r>
            <w:r>
              <w:rPr>
                <w:rStyle w:val="IndexLink"/>
                <w:rtl w:val="true"/>
              </w:rPr>
              <w:t>قبر عبدالله بن عفيف اَزْدي</w:t>
            </w:r>
            <w:r>
              <w:rPr>
                <w:rStyle w:val="IndexLink"/>
                <w:rtl w:val="true"/>
              </w:rPr>
              <w:tab/>
            </w:r>
            <w:r>
              <w:rPr>
                <w:rStyle w:val="IndexLink"/>
              </w:rPr>
              <w:t>197</w:t>
            </w:r>
          </w:hyperlink>
        </w:p>
        <w:p>
          <w:pPr>
            <w:pStyle w:val="Contents6"/>
            <w:tabs>
              <w:tab w:val="clear" w:pos="7609"/>
              <w:tab w:val="right" w:pos="9026" w:leader="dot"/>
            </w:tabs>
            <w:rPr/>
          </w:pPr>
          <w:hyperlink w:anchor="__RefHeading___Toc3585263_3650668749">
            <w:r>
              <w:rPr>
                <w:webHidden/>
                <w:rStyle w:val="IndexLink"/>
                <w:rtl w:val="true"/>
              </w:rPr>
              <w:t xml:space="preserve">شش </w:t>
            </w:r>
            <w:r>
              <w:rPr>
                <w:rStyle w:val="IndexLink"/>
                <w:rtl w:val="true"/>
              </w:rPr>
              <w:t xml:space="preserve">- </w:t>
            </w:r>
            <w:r>
              <w:rPr>
                <w:rStyle w:val="IndexLink"/>
                <w:rtl w:val="true"/>
              </w:rPr>
              <w:t>قبر ميثم تمّار</w:t>
            </w:r>
            <w:r>
              <w:rPr>
                <w:rStyle w:val="IndexLink"/>
                <w:rtl w:val="true"/>
              </w:rPr>
              <w:tab/>
            </w:r>
            <w:r>
              <w:rPr>
                <w:rStyle w:val="IndexLink"/>
              </w:rPr>
              <w:t>197</w:t>
            </w:r>
          </w:hyperlink>
        </w:p>
        <w:p>
          <w:pPr>
            <w:pStyle w:val="Contents4"/>
            <w:tabs>
              <w:tab w:val="clear" w:pos="8176"/>
              <w:tab w:val="right" w:pos="9026" w:leader="dot"/>
            </w:tabs>
            <w:rPr/>
          </w:pPr>
          <w:hyperlink w:anchor="__RefHeading___Toc3585265_3650668749">
            <w:r>
              <w:rPr>
                <w:webHidden/>
                <w:rStyle w:val="IndexLink"/>
                <w:rtl w:val="true"/>
              </w:rPr>
              <w:t>ب</w:t>
            </w:r>
            <w:r>
              <w:rPr>
                <w:rStyle w:val="IndexLink"/>
                <w:rtl w:val="true"/>
              </w:rPr>
              <w:t xml:space="preserve">) </w:t>
            </w:r>
            <w:r>
              <w:rPr>
                <w:rStyle w:val="IndexLink"/>
                <w:rtl w:val="true"/>
              </w:rPr>
              <w:t>صحراها</w:t>
            </w:r>
            <w:r>
              <w:rPr>
                <w:rStyle w:val="IndexLink"/>
                <w:rtl w:val="true"/>
              </w:rPr>
              <w:tab/>
            </w:r>
            <w:r>
              <w:rPr>
                <w:rStyle w:val="IndexLink"/>
              </w:rPr>
              <w:t>197</w:t>
            </w:r>
          </w:hyperlink>
        </w:p>
        <w:p>
          <w:pPr>
            <w:pStyle w:val="Contents5"/>
            <w:tabs>
              <w:tab w:val="clear" w:pos="7892"/>
              <w:tab w:val="right" w:pos="9026" w:leader="dot"/>
            </w:tabs>
            <w:rPr/>
          </w:pPr>
          <w:hyperlink w:anchor="__RefHeading___Toc3585267_3650668749">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3585269_3650668749">
            <w:r>
              <w:rPr>
                <w:webHidden/>
                <w:rStyle w:val="IndexLink"/>
                <w:rtl w:val="true"/>
              </w:rPr>
              <w:t xml:space="preserve">يك </w:t>
            </w:r>
            <w:r>
              <w:rPr>
                <w:rStyle w:val="IndexLink"/>
                <w:rtl w:val="true"/>
              </w:rPr>
              <w:t xml:space="preserve">- </w:t>
            </w:r>
            <w:r>
              <w:rPr>
                <w:rStyle w:val="IndexLink"/>
                <w:rtl w:val="true"/>
              </w:rPr>
              <w:t xml:space="preserve">صحراى اُثَير </w:t>
            </w:r>
            <w:r>
              <w:rPr>
                <w:rStyle w:val="IndexLink"/>
                <w:rtl w:val="true"/>
              </w:rPr>
              <w:t>(</w:t>
            </w:r>
            <w:r>
              <w:rPr>
                <w:rStyle w:val="IndexLink"/>
                <w:rtl w:val="true"/>
              </w:rPr>
              <w:t>بني‌اُثَير</w:t>
            </w:r>
            <w:r>
              <w:rPr>
                <w:rStyle w:val="IndexLink"/>
                <w:rtl w:val="true"/>
              </w:rPr>
              <w:t>)</w:t>
              <w:tab/>
            </w:r>
            <w:r>
              <w:rPr>
                <w:rStyle w:val="IndexLink"/>
              </w:rPr>
              <w:t>198</w:t>
            </w:r>
          </w:hyperlink>
        </w:p>
        <w:p>
          <w:pPr>
            <w:pStyle w:val="Contents5"/>
            <w:tabs>
              <w:tab w:val="clear" w:pos="7892"/>
              <w:tab w:val="right" w:pos="9026" w:leader="dot"/>
            </w:tabs>
            <w:rPr/>
          </w:pPr>
          <w:hyperlink w:anchor="__RefHeading___Toc3585271_3650668749">
            <w:r>
              <w:rPr>
                <w:webHidden/>
                <w:rStyle w:val="IndexLink"/>
                <w:rtl w:val="true"/>
              </w:rPr>
              <w:t xml:space="preserve">دو </w:t>
            </w:r>
            <w:r>
              <w:rPr>
                <w:rStyle w:val="IndexLink"/>
                <w:rtl w:val="true"/>
              </w:rPr>
              <w:t xml:space="preserve">- </w:t>
            </w:r>
            <w:r>
              <w:rPr>
                <w:rStyle w:val="IndexLink"/>
                <w:rtl w:val="true"/>
              </w:rPr>
              <w:t>صحراى بني‌عامر</w:t>
            </w:r>
            <w:r>
              <w:rPr>
                <w:rStyle w:val="IndexLink"/>
                <w:rtl w:val="true"/>
              </w:rPr>
              <w:tab/>
            </w:r>
            <w:r>
              <w:rPr>
                <w:rStyle w:val="IndexLink"/>
              </w:rPr>
              <w:t>198</w:t>
            </w:r>
          </w:hyperlink>
        </w:p>
        <w:p>
          <w:pPr>
            <w:pStyle w:val="Contents5"/>
            <w:tabs>
              <w:tab w:val="clear" w:pos="7892"/>
              <w:tab w:val="right" w:pos="9026" w:leader="dot"/>
            </w:tabs>
            <w:rPr/>
          </w:pPr>
          <w:hyperlink w:anchor="__RefHeading___Toc3585273_3650668749">
            <w:r>
              <w:rPr>
                <w:webHidden/>
                <w:rStyle w:val="IndexLink"/>
                <w:rtl w:val="true"/>
              </w:rPr>
              <w:t xml:space="preserve">سه </w:t>
            </w:r>
            <w:r>
              <w:rPr>
                <w:rStyle w:val="IndexLink"/>
                <w:rtl w:val="true"/>
              </w:rPr>
              <w:t xml:space="preserve">- </w:t>
            </w:r>
            <w:r>
              <w:rPr>
                <w:rStyle w:val="IndexLink"/>
                <w:rtl w:val="true"/>
              </w:rPr>
              <w:t>صحراى بني‌يَشْكُر</w:t>
            </w:r>
            <w:r>
              <w:rPr>
                <w:rStyle w:val="IndexLink"/>
                <w:rtl w:val="true"/>
              </w:rPr>
              <w:tab/>
            </w:r>
            <w:r>
              <w:rPr>
                <w:rStyle w:val="IndexLink"/>
              </w:rPr>
              <w:t>198</w:t>
            </w:r>
          </w:hyperlink>
        </w:p>
        <w:p>
          <w:pPr>
            <w:pStyle w:val="Contents5"/>
            <w:tabs>
              <w:tab w:val="clear" w:pos="7892"/>
              <w:tab w:val="right" w:pos="9026" w:leader="dot"/>
            </w:tabs>
            <w:rPr/>
          </w:pPr>
          <w:hyperlink w:anchor="__RefHeading___Toc3585275_3650668749">
            <w:r>
              <w:rPr>
                <w:webHidden/>
                <w:rStyle w:val="IndexLink"/>
                <w:rtl w:val="true"/>
              </w:rPr>
              <w:t xml:space="preserve">چهار </w:t>
            </w:r>
            <w:r>
              <w:rPr>
                <w:rStyle w:val="IndexLink"/>
                <w:rtl w:val="true"/>
              </w:rPr>
              <w:t xml:space="preserve">- </w:t>
            </w:r>
            <w:r>
              <w:rPr>
                <w:rStyle w:val="IndexLink"/>
                <w:rtl w:val="true"/>
              </w:rPr>
              <w:t>صحراى بَرْدَخْت</w:t>
            </w:r>
            <w:r>
              <w:rPr>
                <w:rStyle w:val="IndexLink"/>
                <w:rtl w:val="true"/>
              </w:rPr>
              <w:tab/>
            </w:r>
            <w:r>
              <w:rPr>
                <w:rStyle w:val="IndexLink"/>
              </w:rPr>
              <w:t>198</w:t>
            </w:r>
          </w:hyperlink>
        </w:p>
        <w:p>
          <w:pPr>
            <w:pStyle w:val="Contents5"/>
            <w:tabs>
              <w:tab w:val="clear" w:pos="7892"/>
              <w:tab w:val="right" w:pos="9026" w:leader="dot"/>
            </w:tabs>
            <w:rPr/>
          </w:pPr>
          <w:hyperlink w:anchor="__RefHeading___Toc3585277_3650668749">
            <w:r>
              <w:rPr>
                <w:webHidden/>
                <w:rStyle w:val="IndexLink"/>
                <w:rtl w:val="true"/>
              </w:rPr>
              <w:t xml:space="preserve">پنج </w:t>
            </w:r>
            <w:r>
              <w:rPr>
                <w:rStyle w:val="IndexLink"/>
                <w:rtl w:val="true"/>
              </w:rPr>
              <w:t xml:space="preserve">- </w:t>
            </w:r>
            <w:r>
              <w:rPr>
                <w:rStyle w:val="IndexLink"/>
                <w:rtl w:val="true"/>
              </w:rPr>
              <w:t>صحراى بني‌قَرار</w:t>
            </w:r>
            <w:r>
              <w:rPr>
                <w:rStyle w:val="IndexLink"/>
                <w:rtl w:val="true"/>
              </w:rPr>
              <w:tab/>
            </w:r>
            <w:r>
              <w:rPr>
                <w:rStyle w:val="IndexLink"/>
              </w:rPr>
              <w:t>198</w:t>
            </w:r>
          </w:hyperlink>
        </w:p>
        <w:p>
          <w:pPr>
            <w:pStyle w:val="Contents5"/>
            <w:tabs>
              <w:tab w:val="clear" w:pos="7892"/>
              <w:tab w:val="right" w:pos="9026" w:leader="dot"/>
            </w:tabs>
            <w:rPr/>
          </w:pPr>
          <w:hyperlink w:anchor="__RefHeading___Toc3585279_3650668749">
            <w:r>
              <w:rPr>
                <w:webHidden/>
                <w:rStyle w:val="IndexLink"/>
                <w:rtl w:val="true"/>
              </w:rPr>
              <w:t xml:space="preserve">شش </w:t>
            </w:r>
            <w:r>
              <w:rPr>
                <w:rStyle w:val="IndexLink"/>
                <w:rtl w:val="true"/>
              </w:rPr>
              <w:t xml:space="preserve">- </w:t>
            </w:r>
            <w:r>
              <w:rPr>
                <w:rStyle w:val="IndexLink"/>
                <w:rtl w:val="true"/>
              </w:rPr>
              <w:t>صحراى شَبَث</w:t>
            </w:r>
            <w:r>
              <w:rPr>
                <w:rStyle w:val="IndexLink"/>
                <w:rtl w:val="true"/>
              </w:rPr>
              <w:tab/>
            </w:r>
            <w:r>
              <w:rPr>
                <w:rStyle w:val="IndexLink"/>
              </w:rPr>
              <w:t>199</w:t>
            </w:r>
          </w:hyperlink>
        </w:p>
        <w:p>
          <w:pPr>
            <w:pStyle w:val="Contents5"/>
            <w:tabs>
              <w:tab w:val="clear" w:pos="7892"/>
              <w:tab w:val="right" w:pos="9026" w:leader="dot"/>
            </w:tabs>
            <w:rPr/>
          </w:pPr>
          <w:hyperlink w:anchor="__RefHeading___Toc3585281_3650668749">
            <w:r>
              <w:rPr>
                <w:webHidden/>
                <w:rStyle w:val="IndexLink"/>
                <w:rtl w:val="true"/>
              </w:rPr>
              <w:t xml:space="preserve">هفت </w:t>
            </w:r>
            <w:r>
              <w:rPr>
                <w:rStyle w:val="IndexLink"/>
                <w:rtl w:val="true"/>
              </w:rPr>
              <w:t xml:space="preserve">- </w:t>
            </w:r>
            <w:r>
              <w:rPr>
                <w:rStyle w:val="IndexLink"/>
                <w:rtl w:val="true"/>
              </w:rPr>
              <w:t>صحراى سالم</w:t>
            </w:r>
            <w:r>
              <w:rPr>
                <w:rStyle w:val="IndexLink"/>
                <w:rtl w:val="true"/>
              </w:rPr>
              <w:tab/>
            </w:r>
            <w:r>
              <w:rPr>
                <w:rStyle w:val="IndexLink"/>
              </w:rPr>
              <w:t>199</w:t>
            </w:r>
          </w:hyperlink>
        </w:p>
        <w:p>
          <w:pPr>
            <w:pStyle w:val="Contents5"/>
            <w:tabs>
              <w:tab w:val="clear" w:pos="7892"/>
              <w:tab w:val="right" w:pos="9026" w:leader="dot"/>
            </w:tabs>
            <w:rPr/>
          </w:pPr>
          <w:hyperlink w:anchor="__RefHeading___Toc3585283_3650668749">
            <w:r>
              <w:rPr>
                <w:webHidden/>
                <w:rStyle w:val="IndexLink"/>
                <w:rtl w:val="true"/>
              </w:rPr>
              <w:t xml:space="preserve">هشت </w:t>
            </w:r>
            <w:r>
              <w:rPr>
                <w:rStyle w:val="IndexLink"/>
                <w:rtl w:val="true"/>
              </w:rPr>
              <w:t xml:space="preserve">- </w:t>
            </w:r>
            <w:r>
              <w:rPr>
                <w:rStyle w:val="IndexLink"/>
                <w:rtl w:val="true"/>
              </w:rPr>
              <w:t>صحراى عَبْدالقِيْس</w:t>
            </w:r>
            <w:r>
              <w:rPr>
                <w:rStyle w:val="IndexLink"/>
                <w:rtl w:val="true"/>
              </w:rPr>
              <w:tab/>
            </w:r>
            <w:r>
              <w:rPr>
                <w:rStyle w:val="IndexLink"/>
              </w:rPr>
              <w:t>199</w:t>
            </w:r>
          </w:hyperlink>
        </w:p>
        <w:p>
          <w:pPr>
            <w:pStyle w:val="Contents4"/>
            <w:tabs>
              <w:tab w:val="clear" w:pos="8176"/>
              <w:tab w:val="right" w:pos="9026" w:leader="dot"/>
            </w:tabs>
            <w:rPr/>
          </w:pPr>
          <w:hyperlink w:anchor="__RefHeading___Toc3585285_3650668749">
            <w:r>
              <w:rPr>
                <w:webHidden/>
                <w:rStyle w:val="IndexLink"/>
                <w:rtl w:val="true"/>
              </w:rPr>
              <w:t>ج</w:t>
            </w:r>
            <w:r>
              <w:rPr>
                <w:rStyle w:val="IndexLink"/>
                <w:rtl w:val="true"/>
              </w:rPr>
              <w:t xml:space="preserve">) </w:t>
            </w:r>
            <w:r>
              <w:rPr>
                <w:rStyle w:val="IndexLink"/>
                <w:rtl w:val="true"/>
              </w:rPr>
              <w:t>كُناسَه</w:t>
            </w:r>
            <w:r>
              <w:rPr>
                <w:rStyle w:val="IndexLink"/>
                <w:rtl w:val="true"/>
              </w:rPr>
              <w:tab/>
            </w:r>
            <w:r>
              <w:rPr>
                <w:rStyle w:val="IndexLink"/>
              </w:rPr>
              <w:t>199</w:t>
            </w:r>
          </w:hyperlink>
        </w:p>
        <w:p>
          <w:pPr>
            <w:pStyle w:val="Contents4"/>
            <w:tabs>
              <w:tab w:val="clear" w:pos="8176"/>
              <w:tab w:val="right" w:pos="9026" w:leader="dot"/>
            </w:tabs>
            <w:rPr/>
          </w:pPr>
          <w:hyperlink w:anchor="__RefHeading___Toc3585287_3650668749">
            <w:r>
              <w:rPr>
                <w:webHidden/>
                <w:rStyle w:val="IndexLink"/>
                <w:rtl w:val="true"/>
              </w:rPr>
              <w:t>د</w:t>
            </w:r>
            <w:r>
              <w:rPr>
                <w:rStyle w:val="IndexLink"/>
                <w:rtl w:val="true"/>
              </w:rPr>
              <w:t xml:space="preserve">) </w:t>
            </w:r>
            <w:r>
              <w:rPr>
                <w:rStyle w:val="IndexLink"/>
                <w:rtl w:val="true"/>
              </w:rPr>
              <w:t>سَبْخَه</w:t>
            </w:r>
            <w:r>
              <w:rPr>
                <w:rStyle w:val="IndexLink"/>
                <w:rtl w:val="true"/>
              </w:rPr>
              <w:tab/>
            </w:r>
            <w:r>
              <w:rPr>
                <w:rStyle w:val="IndexLink"/>
              </w:rPr>
              <w:t>200</w:t>
            </w:r>
          </w:hyperlink>
        </w:p>
        <w:p>
          <w:pPr>
            <w:pStyle w:val="Contents4"/>
            <w:tabs>
              <w:tab w:val="clear" w:pos="8176"/>
              <w:tab w:val="right" w:pos="9026" w:leader="dot"/>
            </w:tabs>
            <w:rPr/>
          </w:pPr>
          <w:hyperlink w:anchor="__RefHeading___Toc3585289_3650668749">
            <w:r>
              <w:rPr>
                <w:webHidden/>
                <w:rStyle w:val="IndexLink"/>
                <w:rtl w:val="true"/>
              </w:rPr>
              <w:t>ه</w:t>
            </w:r>
            <w:r>
              <w:rPr>
                <w:rStyle w:val="IndexLink"/>
                <w:rtl w:val="true"/>
              </w:rPr>
              <w:t xml:space="preserve">) </w:t>
            </w:r>
            <w:r>
              <w:rPr>
                <w:rStyle w:val="IndexLink"/>
                <w:rtl w:val="true"/>
              </w:rPr>
              <w:t>دارالرزق</w:t>
            </w:r>
            <w:r>
              <w:rPr>
                <w:rStyle w:val="IndexLink"/>
                <w:rtl w:val="true"/>
              </w:rPr>
              <w:tab/>
            </w:r>
            <w:r>
              <w:rPr>
                <w:rStyle w:val="IndexLink"/>
              </w:rPr>
              <w:t>201</w:t>
            </w:r>
          </w:hyperlink>
        </w:p>
        <w:p>
          <w:pPr>
            <w:pStyle w:val="Contents4"/>
            <w:tabs>
              <w:tab w:val="clear" w:pos="8176"/>
              <w:tab w:val="right" w:pos="9026" w:leader="dot"/>
            </w:tabs>
            <w:rPr/>
          </w:pPr>
          <w:hyperlink w:anchor="__RefHeading___Toc3585291_3650668749">
            <w:r>
              <w:rPr>
                <w:webHidden/>
                <w:rStyle w:val="IndexLink"/>
                <w:rtl w:val="true"/>
              </w:rPr>
              <w:t>و</w:t>
            </w:r>
            <w:r>
              <w:rPr>
                <w:rStyle w:val="IndexLink"/>
                <w:rtl w:val="true"/>
              </w:rPr>
              <w:t xml:space="preserve">) </w:t>
            </w:r>
            <w:r>
              <w:rPr>
                <w:rStyle w:val="IndexLink"/>
                <w:rtl w:val="true"/>
              </w:rPr>
              <w:t xml:space="preserve">جسر كوفه </w:t>
            </w:r>
            <w:r>
              <w:rPr>
                <w:rStyle w:val="IndexLink"/>
                <w:rtl w:val="true"/>
              </w:rPr>
              <w:t>(</w:t>
            </w:r>
            <w:r>
              <w:rPr>
                <w:rStyle w:val="IndexLink"/>
                <w:rtl w:val="true"/>
              </w:rPr>
              <w:t>پُل كوفه</w:t>
            </w:r>
            <w:r>
              <w:rPr>
                <w:rStyle w:val="IndexLink"/>
                <w:rtl w:val="true"/>
              </w:rPr>
              <w:t>)</w:t>
              <w:tab/>
            </w:r>
            <w:r>
              <w:rPr>
                <w:rStyle w:val="IndexLink"/>
              </w:rPr>
              <w:t>201</w:t>
            </w:r>
          </w:hyperlink>
        </w:p>
        <w:p>
          <w:pPr>
            <w:pStyle w:val="Contents4"/>
            <w:tabs>
              <w:tab w:val="clear" w:pos="8176"/>
              <w:tab w:val="right" w:pos="9026" w:leader="dot"/>
            </w:tabs>
            <w:rPr/>
          </w:pPr>
          <w:hyperlink w:anchor="__RefHeading___Toc3585293_3650668749">
            <w:r>
              <w:rPr>
                <w:webHidden/>
                <w:rStyle w:val="IndexLink"/>
                <w:rtl w:val="true"/>
              </w:rPr>
              <w:t>ز</w:t>
            </w:r>
            <w:r>
              <w:rPr>
                <w:rStyle w:val="IndexLink"/>
                <w:rtl w:val="true"/>
              </w:rPr>
              <w:t xml:space="preserve">) </w:t>
            </w:r>
            <w:r>
              <w:rPr>
                <w:rStyle w:val="IndexLink"/>
                <w:rtl w:val="true"/>
              </w:rPr>
              <w:t xml:space="preserve">سيل‌بند كوفه </w:t>
            </w:r>
            <w:r>
              <w:rPr>
                <w:rStyle w:val="IndexLink"/>
                <w:rtl w:val="true"/>
              </w:rPr>
              <w:t>(</w:t>
            </w:r>
            <w:r>
              <w:rPr>
                <w:rStyle w:val="IndexLink"/>
                <w:rtl w:val="true"/>
              </w:rPr>
              <w:t>مُسَنّاة جابر</w:t>
            </w:r>
            <w:r>
              <w:rPr>
                <w:rStyle w:val="IndexLink"/>
                <w:rtl w:val="true"/>
              </w:rPr>
              <w:t>)</w:t>
              <w:tab/>
            </w:r>
            <w:r>
              <w:rPr>
                <w:rStyle w:val="IndexLink"/>
              </w:rPr>
              <w:t>202</w:t>
            </w:r>
          </w:hyperlink>
        </w:p>
        <w:p>
          <w:pPr>
            <w:pStyle w:val="Contents4"/>
            <w:tabs>
              <w:tab w:val="clear" w:pos="8176"/>
              <w:tab w:val="right" w:pos="9026" w:leader="dot"/>
            </w:tabs>
            <w:rPr/>
          </w:pPr>
          <w:hyperlink w:anchor="__RefHeading___Toc3585295_3650668749">
            <w:r>
              <w:rPr>
                <w:webHidden/>
                <w:rStyle w:val="IndexLink"/>
                <w:rtl w:val="true"/>
              </w:rPr>
              <w:t>ح</w:t>
            </w:r>
            <w:r>
              <w:rPr>
                <w:rStyle w:val="IndexLink"/>
                <w:rtl w:val="true"/>
              </w:rPr>
              <w:t xml:space="preserve">) </w:t>
            </w:r>
            <w:r>
              <w:rPr>
                <w:rStyle w:val="IndexLink"/>
                <w:rtl w:val="true"/>
              </w:rPr>
              <w:t xml:space="preserve">عاقول </w:t>
            </w:r>
            <w:r>
              <w:rPr>
                <w:rStyle w:val="IndexLink"/>
                <w:rtl w:val="true"/>
              </w:rPr>
              <w:t>(</w:t>
            </w:r>
            <w:r>
              <w:rPr>
                <w:rStyle w:val="IndexLink"/>
                <w:rtl w:val="true"/>
              </w:rPr>
              <w:t>شاهجان</w:t>
            </w:r>
            <w:r>
              <w:rPr>
                <w:rStyle w:val="IndexLink"/>
                <w:rtl w:val="true"/>
              </w:rPr>
              <w:t>)</w:t>
              <w:tab/>
            </w:r>
            <w:r>
              <w:rPr>
                <w:rStyle w:val="IndexLink"/>
              </w:rPr>
              <w:t>202</w:t>
            </w:r>
          </w:hyperlink>
        </w:p>
        <w:p>
          <w:pPr>
            <w:pStyle w:val="Contents2"/>
            <w:tabs>
              <w:tab w:val="clear" w:pos="8743"/>
              <w:tab w:val="right" w:pos="9026" w:leader="dot"/>
            </w:tabs>
            <w:rPr/>
          </w:pPr>
          <w:hyperlink w:anchor="__RefHeading___Toc3585297_3650668749">
            <w:r>
              <w:rPr>
                <w:webHidden/>
                <w:rStyle w:val="IndexLink"/>
                <w:rtl w:val="true"/>
              </w:rPr>
              <w:t>فصل سوم</w:t>
            </w:r>
            <w:r>
              <w:rPr>
                <w:rStyle w:val="IndexLink"/>
                <w:rtl w:val="true"/>
              </w:rPr>
              <w:t xml:space="preserve">: </w:t>
            </w:r>
            <w:r>
              <w:rPr>
                <w:rStyle w:val="IndexLink"/>
                <w:rtl w:val="true"/>
              </w:rPr>
              <w:t>مردم‌شناسى و روان‌شناسى مردم</w:t>
            </w:r>
            <w:r>
              <w:rPr>
                <w:rStyle w:val="IndexLink"/>
                <w:rtl w:val="true"/>
              </w:rPr>
              <w:tab/>
            </w:r>
            <w:r>
              <w:rPr>
                <w:rStyle w:val="IndexLink"/>
              </w:rPr>
              <w:t>203</w:t>
            </w:r>
          </w:hyperlink>
        </w:p>
        <w:p>
          <w:pPr>
            <w:pStyle w:val="Contents3"/>
            <w:tabs>
              <w:tab w:val="clear" w:pos="8459"/>
              <w:tab w:val="right" w:pos="9026" w:leader="dot"/>
            </w:tabs>
            <w:rPr/>
          </w:pPr>
          <w:hyperlink w:anchor="__RefHeading___Toc3585299_3650668749">
            <w:r>
              <w:rPr>
                <w:webHidden/>
                <w:rStyle w:val="IndexLink"/>
                <w:rtl w:val="true"/>
              </w:rPr>
              <w:t>كوفه</w:t>
            </w:r>
            <w:r>
              <w:rPr>
                <w:rStyle w:val="IndexLink"/>
                <w:rtl w:val="true"/>
              </w:rPr>
              <w:tab/>
            </w:r>
            <w:r>
              <w:rPr>
                <w:rStyle w:val="IndexLink"/>
              </w:rPr>
              <w:t>203</w:t>
            </w:r>
          </w:hyperlink>
        </w:p>
        <w:p>
          <w:pPr>
            <w:pStyle w:val="Contents4"/>
            <w:tabs>
              <w:tab w:val="clear" w:pos="8176"/>
              <w:tab w:val="right" w:pos="9026" w:leader="dot"/>
            </w:tabs>
            <w:rPr/>
          </w:pPr>
          <w:hyperlink w:anchor="__RefHeading___Toc3585301_3650668749">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3585303_3650668749">
            <w:r>
              <w:rPr>
                <w:webHidden/>
                <w:rStyle w:val="IndexLink"/>
              </w:rPr>
              <w:t>١</w:t>
            </w:r>
            <w:r>
              <w:rPr>
                <w:rStyle w:val="IndexLink"/>
                <w:rtl w:val="true"/>
              </w:rPr>
              <w:t xml:space="preserve">. </w:t>
            </w:r>
            <w:r>
              <w:rPr>
                <w:rStyle w:val="IndexLink"/>
                <w:rtl w:val="true"/>
              </w:rPr>
              <w:t>خلقيات روحى و روانى</w:t>
            </w:r>
            <w:r>
              <w:rPr>
                <w:rStyle w:val="IndexLink"/>
                <w:rtl w:val="true"/>
              </w:rPr>
              <w:tab/>
            </w:r>
            <w:r>
              <w:rPr>
                <w:rStyle w:val="IndexLink"/>
              </w:rPr>
              <w:t>204</w:t>
            </w:r>
          </w:hyperlink>
        </w:p>
        <w:p>
          <w:pPr>
            <w:pStyle w:val="Contents5"/>
            <w:tabs>
              <w:tab w:val="clear" w:pos="7892"/>
              <w:tab w:val="right" w:pos="9026" w:leader="dot"/>
            </w:tabs>
            <w:rPr/>
          </w:pPr>
          <w:hyperlink w:anchor="__RefHeading___Toc3585305_3650668749">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3585307_3650668749">
            <w:r>
              <w:rPr>
                <w:webHidden/>
                <w:rStyle w:val="IndexLink"/>
                <w:rtl w:val="true"/>
              </w:rPr>
              <w:t>الف</w:t>
            </w:r>
            <w:r>
              <w:rPr>
                <w:rStyle w:val="IndexLink"/>
                <w:rtl w:val="true"/>
              </w:rPr>
              <w:t xml:space="preserve">) </w:t>
            </w:r>
            <w:r>
              <w:rPr>
                <w:rStyle w:val="IndexLink"/>
                <w:rtl w:val="true"/>
              </w:rPr>
              <w:t>ويژگى‌هاى مثبت كوفيان</w:t>
            </w:r>
            <w:r>
              <w:rPr>
                <w:rStyle w:val="IndexLink"/>
                <w:rtl w:val="true"/>
              </w:rPr>
              <w:tab/>
            </w:r>
            <w:r>
              <w:rPr>
                <w:rStyle w:val="IndexLink"/>
              </w:rPr>
              <w:t>205</w:t>
            </w:r>
          </w:hyperlink>
        </w:p>
        <w:p>
          <w:pPr>
            <w:pStyle w:val="Contents6"/>
            <w:tabs>
              <w:tab w:val="clear" w:pos="7609"/>
              <w:tab w:val="right" w:pos="9026" w:leader="dot"/>
            </w:tabs>
            <w:rPr/>
          </w:pPr>
          <w:hyperlink w:anchor="__RefHeading___Toc3585309_3650668749">
            <w:r>
              <w:rPr>
                <w:webHidden/>
                <w:rStyle w:val="IndexLink"/>
                <w:rtl w:val="true"/>
              </w:rPr>
              <w:t xml:space="preserve">يك </w:t>
            </w:r>
            <w:r>
              <w:rPr>
                <w:rStyle w:val="IndexLink"/>
                <w:rtl w:val="true"/>
              </w:rPr>
              <w:t xml:space="preserve">- </w:t>
            </w:r>
            <w:r>
              <w:rPr>
                <w:rStyle w:val="IndexLink"/>
                <w:rtl w:val="true"/>
              </w:rPr>
              <w:t>شجاعت</w:t>
            </w:r>
            <w:r>
              <w:rPr>
                <w:rStyle w:val="IndexLink"/>
                <w:rtl w:val="true"/>
              </w:rPr>
              <w:tab/>
            </w:r>
            <w:r>
              <w:rPr>
                <w:rStyle w:val="IndexLink"/>
              </w:rPr>
              <w:t>205</w:t>
            </w:r>
          </w:hyperlink>
        </w:p>
        <w:p>
          <w:pPr>
            <w:pStyle w:val="Contents6"/>
            <w:tabs>
              <w:tab w:val="clear" w:pos="7609"/>
              <w:tab w:val="right" w:pos="9026" w:leader="dot"/>
            </w:tabs>
            <w:rPr/>
          </w:pPr>
          <w:hyperlink w:anchor="__RefHeading___Toc3585311_3650668749">
            <w:r>
              <w:rPr>
                <w:webHidden/>
                <w:rStyle w:val="IndexLink"/>
                <w:rtl w:val="true"/>
              </w:rPr>
              <w:t xml:space="preserve">دو </w:t>
            </w:r>
            <w:r>
              <w:rPr>
                <w:rStyle w:val="IndexLink"/>
                <w:rtl w:val="true"/>
              </w:rPr>
              <w:t xml:space="preserve">- </w:t>
            </w:r>
            <w:r>
              <w:rPr>
                <w:rStyle w:val="IndexLink"/>
                <w:rtl w:val="true"/>
              </w:rPr>
              <w:t>ايمان و حميت دينى</w:t>
            </w:r>
            <w:r>
              <w:rPr>
                <w:rStyle w:val="IndexLink"/>
                <w:rtl w:val="true"/>
              </w:rPr>
              <w:tab/>
            </w:r>
            <w:r>
              <w:rPr>
                <w:rStyle w:val="IndexLink"/>
              </w:rPr>
              <w:t>206</w:t>
            </w:r>
          </w:hyperlink>
        </w:p>
        <w:p>
          <w:pPr>
            <w:pStyle w:val="Contents6"/>
            <w:tabs>
              <w:tab w:val="clear" w:pos="7609"/>
              <w:tab w:val="right" w:pos="9026" w:leader="dot"/>
            </w:tabs>
            <w:rPr/>
          </w:pPr>
          <w:hyperlink w:anchor="__RefHeading___Toc3585313_3650668749">
            <w:r>
              <w:rPr>
                <w:webHidden/>
                <w:rStyle w:val="IndexLink"/>
                <w:rtl w:val="true"/>
              </w:rPr>
              <w:t xml:space="preserve">سه </w:t>
            </w:r>
            <w:r>
              <w:rPr>
                <w:rStyle w:val="IndexLink"/>
                <w:rtl w:val="true"/>
              </w:rPr>
              <w:t xml:space="preserve">- </w:t>
            </w:r>
            <w:r>
              <w:rPr>
                <w:rStyle w:val="IndexLink"/>
                <w:rtl w:val="true"/>
              </w:rPr>
              <w:t>علم</w:t>
            </w:r>
            <w:r>
              <w:rPr>
                <w:rStyle w:val="IndexLink"/>
                <w:rtl w:val="true"/>
              </w:rPr>
              <w:tab/>
            </w:r>
            <w:r>
              <w:rPr>
                <w:rStyle w:val="IndexLink"/>
              </w:rPr>
              <w:t>207</w:t>
            </w:r>
          </w:hyperlink>
        </w:p>
        <w:p>
          <w:pPr>
            <w:pStyle w:val="Contents5"/>
            <w:tabs>
              <w:tab w:val="clear" w:pos="7892"/>
              <w:tab w:val="right" w:pos="9026" w:leader="dot"/>
            </w:tabs>
            <w:rPr/>
          </w:pPr>
          <w:hyperlink w:anchor="__RefHeading___Toc3585315_3650668749">
            <w:r>
              <w:rPr>
                <w:webHidden/>
                <w:rStyle w:val="IndexLink"/>
                <w:rtl w:val="true"/>
              </w:rPr>
              <w:t>ب</w:t>
            </w:r>
            <w:r>
              <w:rPr>
                <w:rStyle w:val="IndexLink"/>
                <w:rtl w:val="true"/>
              </w:rPr>
              <w:t xml:space="preserve">) </w:t>
            </w:r>
            <w:r>
              <w:rPr>
                <w:rStyle w:val="IndexLink"/>
                <w:rtl w:val="true"/>
              </w:rPr>
              <w:t>ويژگى‌ها و صفت‌هاى منفى كوفيان</w:t>
            </w:r>
            <w:r>
              <w:rPr>
                <w:rStyle w:val="IndexLink"/>
                <w:rtl w:val="true"/>
              </w:rPr>
              <w:tab/>
            </w:r>
            <w:r>
              <w:rPr>
                <w:rStyle w:val="IndexLink"/>
              </w:rPr>
              <w:t>208</w:t>
            </w:r>
          </w:hyperlink>
        </w:p>
        <w:p>
          <w:pPr>
            <w:pStyle w:val="Contents6"/>
            <w:tabs>
              <w:tab w:val="clear" w:pos="7609"/>
              <w:tab w:val="right" w:pos="9026" w:leader="dot"/>
            </w:tabs>
            <w:rPr/>
          </w:pPr>
          <w:hyperlink w:anchor="__RefHeading___Toc3585317_3650668749">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3585319_3650668749">
            <w:r>
              <w:rPr>
                <w:webHidden/>
                <w:rStyle w:val="IndexLink"/>
                <w:rtl w:val="true"/>
              </w:rPr>
              <w:t xml:space="preserve">يك </w:t>
            </w:r>
            <w:r>
              <w:rPr>
                <w:rStyle w:val="IndexLink"/>
                <w:rtl w:val="true"/>
              </w:rPr>
              <w:t xml:space="preserve">- </w:t>
            </w:r>
            <w:r>
              <w:rPr>
                <w:rStyle w:val="IndexLink"/>
                <w:rtl w:val="true"/>
              </w:rPr>
              <w:t>دنياطلبى</w:t>
            </w:r>
            <w:r>
              <w:rPr>
                <w:rStyle w:val="IndexLink"/>
                <w:rtl w:val="true"/>
              </w:rPr>
              <w:tab/>
            </w:r>
            <w:r>
              <w:rPr>
                <w:rStyle w:val="IndexLink"/>
              </w:rPr>
              <w:t>208</w:t>
            </w:r>
          </w:hyperlink>
        </w:p>
        <w:p>
          <w:pPr>
            <w:pStyle w:val="Contents6"/>
            <w:tabs>
              <w:tab w:val="clear" w:pos="7609"/>
              <w:tab w:val="right" w:pos="9026" w:leader="dot"/>
            </w:tabs>
            <w:rPr/>
          </w:pPr>
          <w:hyperlink w:anchor="__RefHeading___Toc3585321_3650668749">
            <w:r>
              <w:rPr>
                <w:webHidden/>
                <w:rStyle w:val="IndexLink"/>
                <w:rtl w:val="true"/>
              </w:rPr>
              <w:t xml:space="preserve">دو </w:t>
            </w:r>
            <w:r>
              <w:rPr>
                <w:rStyle w:val="IndexLink"/>
                <w:rtl w:val="true"/>
              </w:rPr>
              <w:t xml:space="preserve">- </w:t>
            </w:r>
            <w:r>
              <w:rPr>
                <w:rStyle w:val="IndexLink"/>
                <w:rtl w:val="true"/>
              </w:rPr>
              <w:t>نظام‌ناپذيرى</w:t>
            </w:r>
            <w:r>
              <w:rPr>
                <w:rStyle w:val="IndexLink"/>
                <w:rtl w:val="true"/>
              </w:rPr>
              <w:tab/>
            </w:r>
            <w:r>
              <w:rPr>
                <w:rStyle w:val="IndexLink"/>
              </w:rPr>
              <w:t>210</w:t>
            </w:r>
          </w:hyperlink>
        </w:p>
        <w:p>
          <w:pPr>
            <w:pStyle w:val="Contents6"/>
            <w:tabs>
              <w:tab w:val="clear" w:pos="7609"/>
              <w:tab w:val="right" w:pos="9026" w:leader="dot"/>
            </w:tabs>
            <w:rPr/>
          </w:pPr>
          <w:hyperlink w:anchor="__RefHeading___Toc3585323_3650668749">
            <w:r>
              <w:rPr>
                <w:webHidden/>
                <w:rStyle w:val="IndexLink"/>
                <w:rtl w:val="true"/>
              </w:rPr>
              <w:t xml:space="preserve">سه </w:t>
            </w:r>
            <w:r>
              <w:rPr>
                <w:rStyle w:val="IndexLink"/>
                <w:rtl w:val="true"/>
              </w:rPr>
              <w:t xml:space="preserve">- </w:t>
            </w:r>
            <w:r>
              <w:rPr>
                <w:rStyle w:val="IndexLink"/>
                <w:rtl w:val="true"/>
              </w:rPr>
              <w:t>اجتهادات نابجا</w:t>
            </w:r>
            <w:r>
              <w:rPr>
                <w:rStyle w:val="IndexLink"/>
                <w:rtl w:val="true"/>
              </w:rPr>
              <w:tab/>
            </w:r>
            <w:r>
              <w:rPr>
                <w:rStyle w:val="IndexLink"/>
              </w:rPr>
              <w:t>212</w:t>
            </w:r>
          </w:hyperlink>
        </w:p>
        <w:p>
          <w:pPr>
            <w:pStyle w:val="Contents6"/>
            <w:tabs>
              <w:tab w:val="clear" w:pos="7609"/>
              <w:tab w:val="right" w:pos="9026" w:leader="dot"/>
            </w:tabs>
            <w:rPr/>
          </w:pPr>
          <w:hyperlink w:anchor="__RefHeading___Toc3585325_3650668749">
            <w:r>
              <w:rPr>
                <w:webHidden/>
                <w:rStyle w:val="IndexLink"/>
                <w:rtl w:val="true"/>
              </w:rPr>
              <w:t xml:space="preserve">چهار </w:t>
            </w:r>
            <w:r>
              <w:rPr>
                <w:rStyle w:val="IndexLink"/>
                <w:rtl w:val="true"/>
              </w:rPr>
              <w:t xml:space="preserve">- </w:t>
            </w:r>
            <w:r>
              <w:rPr>
                <w:rStyle w:val="IndexLink"/>
                <w:rtl w:val="true"/>
              </w:rPr>
              <w:t>تابع احساسات بودن</w:t>
            </w:r>
            <w:r>
              <w:rPr>
                <w:rStyle w:val="IndexLink"/>
                <w:rtl w:val="true"/>
              </w:rPr>
              <w:tab/>
            </w:r>
            <w:r>
              <w:rPr>
                <w:rStyle w:val="IndexLink"/>
              </w:rPr>
              <w:t>212</w:t>
            </w:r>
          </w:hyperlink>
        </w:p>
        <w:p>
          <w:pPr>
            <w:pStyle w:val="Contents6"/>
            <w:tabs>
              <w:tab w:val="clear" w:pos="7609"/>
              <w:tab w:val="right" w:pos="9026" w:leader="dot"/>
            </w:tabs>
            <w:rPr/>
          </w:pPr>
          <w:hyperlink w:anchor="__RefHeading___Toc3585327_3650668749">
            <w:r>
              <w:rPr>
                <w:webHidden/>
                <w:rStyle w:val="IndexLink"/>
                <w:rtl w:val="true"/>
              </w:rPr>
              <w:t xml:space="preserve">پنج </w:t>
            </w:r>
            <w:r>
              <w:rPr>
                <w:rStyle w:val="IndexLink"/>
                <w:rtl w:val="true"/>
              </w:rPr>
              <w:t xml:space="preserve">- </w:t>
            </w:r>
            <w:r>
              <w:rPr>
                <w:rStyle w:val="IndexLink"/>
                <w:rtl w:val="true"/>
              </w:rPr>
              <w:t>غَدَر و فريب‌كارى</w:t>
            </w:r>
            <w:r>
              <w:rPr>
                <w:rStyle w:val="IndexLink"/>
                <w:rtl w:val="true"/>
              </w:rPr>
              <w:tab/>
            </w:r>
            <w:r>
              <w:rPr>
                <w:rStyle w:val="IndexLink"/>
              </w:rPr>
              <w:t>213</w:t>
            </w:r>
          </w:hyperlink>
        </w:p>
        <w:p>
          <w:pPr>
            <w:pStyle w:val="Contents6"/>
            <w:tabs>
              <w:tab w:val="clear" w:pos="7609"/>
              <w:tab w:val="right" w:pos="9026" w:leader="dot"/>
            </w:tabs>
            <w:rPr/>
          </w:pPr>
          <w:hyperlink w:anchor="__RefHeading___Toc3585329_3650668749">
            <w:r>
              <w:rPr>
                <w:webHidden/>
                <w:rStyle w:val="IndexLink"/>
                <w:rtl w:val="true"/>
              </w:rPr>
              <w:t xml:space="preserve">شش </w:t>
            </w:r>
            <w:r>
              <w:rPr>
                <w:rStyle w:val="IndexLink"/>
                <w:rtl w:val="true"/>
              </w:rPr>
              <w:t xml:space="preserve">- </w:t>
            </w:r>
            <w:r>
              <w:rPr>
                <w:rStyle w:val="IndexLink"/>
                <w:rtl w:val="true"/>
              </w:rPr>
              <w:t>بخل</w:t>
            </w:r>
            <w:r>
              <w:rPr>
                <w:rStyle w:val="IndexLink"/>
                <w:rtl w:val="true"/>
              </w:rPr>
              <w:tab/>
            </w:r>
            <w:r>
              <w:rPr>
                <w:rStyle w:val="IndexLink"/>
              </w:rPr>
              <w:t>215</w:t>
            </w:r>
          </w:hyperlink>
        </w:p>
        <w:p>
          <w:pPr>
            <w:pStyle w:val="Contents6"/>
            <w:tabs>
              <w:tab w:val="clear" w:pos="7609"/>
              <w:tab w:val="right" w:pos="9026" w:leader="dot"/>
            </w:tabs>
            <w:rPr/>
          </w:pPr>
          <w:hyperlink w:anchor="__RefHeading___Toc3585331_3650668749">
            <w:r>
              <w:rPr>
                <w:webHidden/>
                <w:rStyle w:val="IndexLink"/>
                <w:rtl w:val="true"/>
              </w:rPr>
              <w:t xml:space="preserve">هفت </w:t>
            </w:r>
            <w:r>
              <w:rPr>
                <w:rStyle w:val="IndexLink"/>
                <w:rtl w:val="true"/>
              </w:rPr>
              <w:t xml:space="preserve">- </w:t>
            </w:r>
            <w:r>
              <w:rPr>
                <w:rStyle w:val="IndexLink"/>
                <w:rtl w:val="true"/>
              </w:rPr>
              <w:t>خيانت‌گرى</w:t>
            </w:r>
            <w:r>
              <w:rPr>
                <w:rStyle w:val="IndexLink"/>
                <w:rtl w:val="true"/>
              </w:rPr>
              <w:tab/>
            </w:r>
            <w:r>
              <w:rPr>
                <w:rStyle w:val="IndexLink"/>
              </w:rPr>
              <w:t>215</w:t>
            </w:r>
          </w:hyperlink>
        </w:p>
        <w:p>
          <w:pPr>
            <w:pStyle w:val="Contents4"/>
            <w:tabs>
              <w:tab w:val="clear" w:pos="8176"/>
              <w:tab w:val="right" w:pos="9026" w:leader="dot"/>
            </w:tabs>
            <w:rPr/>
          </w:pPr>
          <w:hyperlink w:anchor="__RefHeading___Toc3585333_3650668749">
            <w:r>
              <w:rPr>
                <w:webHidden/>
                <w:rStyle w:val="IndexLink"/>
              </w:rPr>
              <w:t>٢</w:t>
            </w:r>
            <w:r>
              <w:rPr>
                <w:rStyle w:val="IndexLink"/>
                <w:rtl w:val="true"/>
              </w:rPr>
              <w:t xml:space="preserve">. </w:t>
            </w:r>
            <w:r>
              <w:rPr>
                <w:rStyle w:val="IndexLink"/>
                <w:rtl w:val="true"/>
              </w:rPr>
              <w:t>مناسبات انسانى</w:t>
            </w:r>
            <w:r>
              <w:rPr>
                <w:rStyle w:val="IndexLink"/>
                <w:rtl w:val="true"/>
              </w:rPr>
              <w:tab/>
            </w:r>
            <w:r>
              <w:rPr>
                <w:rStyle w:val="IndexLink"/>
              </w:rPr>
              <w:t>215</w:t>
            </w:r>
          </w:hyperlink>
        </w:p>
        <w:p>
          <w:pPr>
            <w:pStyle w:val="Contents5"/>
            <w:tabs>
              <w:tab w:val="clear" w:pos="7892"/>
              <w:tab w:val="right" w:pos="9026" w:leader="dot"/>
            </w:tabs>
            <w:rPr/>
          </w:pPr>
          <w:hyperlink w:anchor="__RefHeading___Toc3585335_3650668749">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3585337_3650668749">
            <w:r>
              <w:rPr>
                <w:webHidden/>
                <w:rStyle w:val="IndexLink"/>
                <w:rtl w:val="true"/>
              </w:rPr>
              <w:t>الف</w:t>
            </w:r>
            <w:r>
              <w:rPr>
                <w:rStyle w:val="IndexLink"/>
                <w:rtl w:val="true"/>
              </w:rPr>
              <w:t xml:space="preserve">) </w:t>
            </w:r>
            <w:r>
              <w:rPr>
                <w:rStyle w:val="IndexLink"/>
                <w:rtl w:val="true"/>
              </w:rPr>
              <w:t>سلام كردن</w:t>
            </w:r>
            <w:r>
              <w:rPr>
                <w:rStyle w:val="IndexLink"/>
                <w:rtl w:val="true"/>
              </w:rPr>
              <w:tab/>
            </w:r>
            <w:r>
              <w:rPr>
                <w:rStyle w:val="IndexLink"/>
              </w:rPr>
              <w:t>216</w:t>
            </w:r>
          </w:hyperlink>
        </w:p>
        <w:p>
          <w:pPr>
            <w:pStyle w:val="Contents5"/>
            <w:tabs>
              <w:tab w:val="clear" w:pos="7892"/>
              <w:tab w:val="right" w:pos="9026" w:leader="dot"/>
            </w:tabs>
            <w:rPr/>
          </w:pPr>
          <w:hyperlink w:anchor="__RefHeading___Toc3585339_3650668749">
            <w:r>
              <w:rPr>
                <w:webHidden/>
                <w:rStyle w:val="IndexLink"/>
                <w:rtl w:val="true"/>
              </w:rPr>
              <w:t>ب</w:t>
            </w:r>
            <w:r>
              <w:rPr>
                <w:rStyle w:val="IndexLink"/>
                <w:rtl w:val="true"/>
              </w:rPr>
              <w:t xml:space="preserve">) </w:t>
            </w:r>
            <w:r>
              <w:rPr>
                <w:rStyle w:val="IndexLink"/>
                <w:rtl w:val="true"/>
              </w:rPr>
              <w:t>مصافحه</w:t>
            </w:r>
            <w:r>
              <w:rPr>
                <w:rStyle w:val="IndexLink"/>
                <w:rtl w:val="true"/>
              </w:rPr>
              <w:tab/>
            </w:r>
            <w:r>
              <w:rPr>
                <w:rStyle w:val="IndexLink"/>
              </w:rPr>
              <w:t>217</w:t>
            </w:r>
          </w:hyperlink>
        </w:p>
        <w:p>
          <w:pPr>
            <w:pStyle w:val="Contents5"/>
            <w:tabs>
              <w:tab w:val="clear" w:pos="7892"/>
              <w:tab w:val="right" w:pos="9026" w:leader="dot"/>
            </w:tabs>
            <w:rPr/>
          </w:pPr>
          <w:hyperlink w:anchor="__RefHeading___Toc3585341_3650668749">
            <w:r>
              <w:rPr>
                <w:webHidden/>
                <w:rStyle w:val="IndexLink"/>
                <w:rtl w:val="true"/>
              </w:rPr>
              <w:t>ج</w:t>
            </w:r>
            <w:r>
              <w:rPr>
                <w:rStyle w:val="IndexLink"/>
                <w:rtl w:val="true"/>
              </w:rPr>
              <w:t xml:space="preserve">) </w:t>
            </w:r>
            <w:r>
              <w:rPr>
                <w:rStyle w:val="IndexLink"/>
                <w:rtl w:val="true"/>
              </w:rPr>
              <w:t>معانقه</w:t>
            </w:r>
            <w:r>
              <w:rPr>
                <w:rStyle w:val="IndexLink"/>
                <w:rtl w:val="true"/>
              </w:rPr>
              <w:tab/>
            </w:r>
            <w:r>
              <w:rPr>
                <w:rStyle w:val="IndexLink"/>
              </w:rPr>
              <w:t>217</w:t>
            </w:r>
          </w:hyperlink>
        </w:p>
        <w:p>
          <w:pPr>
            <w:pStyle w:val="Contents5"/>
            <w:tabs>
              <w:tab w:val="clear" w:pos="7892"/>
              <w:tab w:val="right" w:pos="9026" w:leader="dot"/>
            </w:tabs>
            <w:rPr/>
          </w:pPr>
          <w:hyperlink w:anchor="__RefHeading___Toc3585343_3650668749">
            <w:r>
              <w:rPr>
                <w:webHidden/>
                <w:rStyle w:val="IndexLink"/>
                <w:rtl w:val="true"/>
              </w:rPr>
              <w:t>د</w:t>
            </w:r>
            <w:r>
              <w:rPr>
                <w:rStyle w:val="IndexLink"/>
                <w:rtl w:val="true"/>
              </w:rPr>
              <w:t xml:space="preserve">) </w:t>
            </w:r>
            <w:r>
              <w:rPr>
                <w:rStyle w:val="IndexLink"/>
                <w:rtl w:val="true"/>
              </w:rPr>
              <w:t>خداحافظى كردن</w:t>
            </w:r>
            <w:r>
              <w:rPr>
                <w:rStyle w:val="IndexLink"/>
                <w:rtl w:val="true"/>
              </w:rPr>
              <w:tab/>
            </w:r>
            <w:r>
              <w:rPr>
                <w:rStyle w:val="IndexLink"/>
              </w:rPr>
              <w:t>217</w:t>
            </w:r>
          </w:hyperlink>
        </w:p>
        <w:p>
          <w:pPr>
            <w:pStyle w:val="Contents5"/>
            <w:tabs>
              <w:tab w:val="clear" w:pos="7892"/>
              <w:tab w:val="right" w:pos="9026" w:leader="dot"/>
            </w:tabs>
            <w:rPr/>
          </w:pPr>
          <w:hyperlink w:anchor="__RefHeading___Toc3585345_3650668749">
            <w:r>
              <w:rPr>
                <w:webHidden/>
                <w:rStyle w:val="IndexLink"/>
                <w:rtl w:val="true"/>
              </w:rPr>
              <w:t>ه</w:t>
            </w:r>
            <w:r>
              <w:rPr>
                <w:rStyle w:val="IndexLink"/>
                <w:rtl w:val="true"/>
              </w:rPr>
              <w:t xml:space="preserve">) </w:t>
            </w:r>
            <w:r>
              <w:rPr>
                <w:rStyle w:val="IndexLink"/>
                <w:rtl w:val="true"/>
              </w:rPr>
              <w:t>ايستادن براى احترام</w:t>
            </w:r>
            <w:r>
              <w:rPr>
                <w:rStyle w:val="IndexLink"/>
                <w:rtl w:val="true"/>
              </w:rPr>
              <w:tab/>
            </w:r>
            <w:r>
              <w:rPr>
                <w:rStyle w:val="IndexLink"/>
              </w:rPr>
              <w:t>217</w:t>
            </w:r>
          </w:hyperlink>
        </w:p>
        <w:p>
          <w:pPr>
            <w:pStyle w:val="Contents5"/>
            <w:tabs>
              <w:tab w:val="clear" w:pos="7892"/>
              <w:tab w:val="right" w:pos="9026" w:leader="dot"/>
            </w:tabs>
            <w:rPr/>
          </w:pPr>
          <w:hyperlink w:anchor="__RefHeading___Toc3585347_3650668749">
            <w:r>
              <w:rPr>
                <w:webHidden/>
                <w:rStyle w:val="IndexLink"/>
                <w:rtl w:val="true"/>
              </w:rPr>
              <w:t>و</w:t>
            </w:r>
            <w:r>
              <w:rPr>
                <w:rStyle w:val="IndexLink"/>
                <w:rtl w:val="true"/>
              </w:rPr>
              <w:t xml:space="preserve">) </w:t>
            </w:r>
            <w:r>
              <w:rPr>
                <w:rStyle w:val="IndexLink"/>
                <w:rtl w:val="true"/>
              </w:rPr>
              <w:t>عطسه نمودن</w:t>
            </w:r>
            <w:r>
              <w:rPr>
                <w:rStyle w:val="IndexLink"/>
                <w:rtl w:val="true"/>
              </w:rPr>
              <w:tab/>
            </w:r>
            <w:r>
              <w:rPr>
                <w:rStyle w:val="IndexLink"/>
              </w:rPr>
              <w:t>218</w:t>
            </w:r>
          </w:hyperlink>
        </w:p>
        <w:p>
          <w:pPr>
            <w:pStyle w:val="Contents5"/>
            <w:tabs>
              <w:tab w:val="clear" w:pos="7892"/>
              <w:tab w:val="right" w:pos="9026" w:leader="dot"/>
            </w:tabs>
            <w:rPr/>
          </w:pPr>
          <w:hyperlink w:anchor="__RefHeading___Toc3585349_3650668749">
            <w:r>
              <w:rPr>
                <w:webHidden/>
                <w:rStyle w:val="IndexLink"/>
                <w:rtl w:val="true"/>
              </w:rPr>
              <w:t>ز</w:t>
            </w:r>
            <w:r>
              <w:rPr>
                <w:rStyle w:val="IndexLink"/>
                <w:rtl w:val="true"/>
              </w:rPr>
              <w:t xml:space="preserve">) </w:t>
            </w:r>
            <w:r>
              <w:rPr>
                <w:rStyle w:val="IndexLink"/>
                <w:rtl w:val="true"/>
              </w:rPr>
              <w:t>مناسبات ديگر</w:t>
            </w:r>
            <w:r>
              <w:rPr>
                <w:rStyle w:val="IndexLink"/>
                <w:rtl w:val="true"/>
              </w:rPr>
              <w:tab/>
            </w:r>
            <w:r>
              <w:rPr>
                <w:rStyle w:val="IndexLink"/>
              </w:rPr>
              <w:t>218</w:t>
            </w:r>
          </w:hyperlink>
        </w:p>
        <w:p>
          <w:pPr>
            <w:pStyle w:val="Contents4"/>
            <w:tabs>
              <w:tab w:val="clear" w:pos="8176"/>
              <w:tab w:val="right" w:pos="9026" w:leader="dot"/>
            </w:tabs>
            <w:rPr/>
          </w:pPr>
          <w:hyperlink w:anchor="__RefHeading___Toc3585351_3650668749">
            <w:r>
              <w:rPr>
                <w:webHidden/>
                <w:rStyle w:val="IndexLink"/>
              </w:rPr>
              <w:t>٣</w:t>
            </w:r>
            <w:r>
              <w:rPr>
                <w:rStyle w:val="IndexLink"/>
                <w:rtl w:val="true"/>
              </w:rPr>
              <w:t xml:space="preserve">. </w:t>
            </w:r>
            <w:r>
              <w:rPr>
                <w:rStyle w:val="IndexLink"/>
                <w:rtl w:val="true"/>
              </w:rPr>
              <w:t>دسته‌بندى طبقات مختلف اجتماعى</w:t>
            </w:r>
            <w:r>
              <w:rPr>
                <w:rStyle w:val="IndexLink"/>
                <w:rtl w:val="true"/>
              </w:rPr>
              <w:tab/>
            </w:r>
            <w:r>
              <w:rPr>
                <w:rStyle w:val="IndexLink"/>
              </w:rPr>
              <w:t>218</w:t>
            </w:r>
          </w:hyperlink>
        </w:p>
        <w:p>
          <w:pPr>
            <w:pStyle w:val="Contents5"/>
            <w:tabs>
              <w:tab w:val="clear" w:pos="7892"/>
              <w:tab w:val="right" w:pos="9026" w:leader="dot"/>
            </w:tabs>
            <w:rPr/>
          </w:pPr>
          <w:hyperlink w:anchor="__RefHeading___Toc3585353_3650668749">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3585355_3650668749">
            <w:r>
              <w:rPr>
                <w:webHidden/>
                <w:rStyle w:val="IndexLink"/>
                <w:rtl w:val="true"/>
              </w:rPr>
              <w:t>الف</w:t>
            </w:r>
            <w:r>
              <w:rPr>
                <w:rStyle w:val="IndexLink"/>
                <w:rtl w:val="true"/>
              </w:rPr>
              <w:t xml:space="preserve">) </w:t>
            </w:r>
            <w:r>
              <w:rPr>
                <w:rStyle w:val="IndexLink"/>
                <w:rtl w:val="true"/>
              </w:rPr>
              <w:t>دسته‌بندى قبيله‌اى</w:t>
            </w:r>
            <w:r>
              <w:rPr>
                <w:rStyle w:val="IndexLink"/>
                <w:rtl w:val="true"/>
              </w:rPr>
              <w:tab/>
            </w:r>
            <w:r>
              <w:rPr>
                <w:rStyle w:val="IndexLink"/>
              </w:rPr>
              <w:t>219</w:t>
            </w:r>
          </w:hyperlink>
        </w:p>
        <w:p>
          <w:pPr>
            <w:pStyle w:val="Contents5"/>
            <w:tabs>
              <w:tab w:val="clear" w:pos="7892"/>
              <w:tab w:val="right" w:pos="9026" w:leader="dot"/>
            </w:tabs>
            <w:rPr/>
          </w:pPr>
          <w:hyperlink w:anchor="__RefHeading___Toc3585357_3650668749">
            <w:r>
              <w:rPr>
                <w:webHidden/>
                <w:rStyle w:val="IndexLink"/>
                <w:rtl w:val="true"/>
              </w:rPr>
              <w:t>ب</w:t>
            </w:r>
            <w:r>
              <w:rPr>
                <w:rStyle w:val="IndexLink"/>
                <w:rtl w:val="true"/>
              </w:rPr>
              <w:t xml:space="preserve">) </w:t>
            </w:r>
            <w:r>
              <w:rPr>
                <w:rStyle w:val="IndexLink"/>
                <w:rtl w:val="true"/>
              </w:rPr>
              <w:t>دسته‌بندى نژادى</w:t>
            </w:r>
            <w:r>
              <w:rPr>
                <w:rStyle w:val="IndexLink"/>
                <w:rtl w:val="true"/>
              </w:rPr>
              <w:tab/>
            </w:r>
            <w:r>
              <w:rPr>
                <w:rStyle w:val="IndexLink"/>
              </w:rPr>
              <w:t>220</w:t>
            </w:r>
          </w:hyperlink>
        </w:p>
        <w:p>
          <w:pPr>
            <w:pStyle w:val="Contents5"/>
            <w:tabs>
              <w:tab w:val="clear" w:pos="7892"/>
              <w:tab w:val="right" w:pos="9026" w:leader="dot"/>
            </w:tabs>
            <w:rPr/>
          </w:pPr>
          <w:hyperlink w:anchor="__RefHeading___Toc3585359_3650668749">
            <w:r>
              <w:rPr>
                <w:webHidden/>
                <w:rStyle w:val="IndexLink"/>
                <w:rtl w:val="true"/>
              </w:rPr>
              <w:t>ج</w:t>
            </w:r>
            <w:r>
              <w:rPr>
                <w:rStyle w:val="IndexLink"/>
                <w:rtl w:val="true"/>
              </w:rPr>
              <w:t xml:space="preserve">) </w:t>
            </w:r>
            <w:r>
              <w:rPr>
                <w:rStyle w:val="IndexLink"/>
                <w:rtl w:val="true"/>
              </w:rPr>
              <w:t>دسته‌بندى دينى</w:t>
            </w:r>
            <w:r>
              <w:rPr>
                <w:rStyle w:val="IndexLink"/>
                <w:rtl w:val="true"/>
              </w:rPr>
              <w:tab/>
            </w:r>
            <w:r>
              <w:rPr>
                <w:rStyle w:val="IndexLink"/>
              </w:rPr>
              <w:t>222</w:t>
            </w:r>
          </w:hyperlink>
        </w:p>
        <w:p>
          <w:pPr>
            <w:pStyle w:val="Contents5"/>
            <w:tabs>
              <w:tab w:val="clear" w:pos="7892"/>
              <w:tab w:val="right" w:pos="9026" w:leader="dot"/>
            </w:tabs>
            <w:rPr/>
          </w:pPr>
          <w:hyperlink w:anchor="__RefHeading___Toc3585361_3650668749">
            <w:r>
              <w:rPr>
                <w:webHidden/>
                <w:rStyle w:val="IndexLink"/>
                <w:rtl w:val="true"/>
              </w:rPr>
              <w:t>د</w:t>
            </w:r>
            <w:r>
              <w:rPr>
                <w:rStyle w:val="IndexLink"/>
                <w:rtl w:val="true"/>
              </w:rPr>
              <w:t xml:space="preserve">) </w:t>
            </w:r>
            <w:r>
              <w:rPr>
                <w:rStyle w:val="IndexLink"/>
                <w:rtl w:val="true"/>
              </w:rPr>
              <w:t xml:space="preserve">دسته‌بندى سياسى </w:t>
            </w:r>
            <w:r>
              <w:rPr>
                <w:rStyle w:val="IndexLink"/>
                <w:rtl w:val="true"/>
              </w:rPr>
              <w:t xml:space="preserve">- </w:t>
            </w:r>
            <w:r>
              <w:rPr>
                <w:rStyle w:val="IndexLink"/>
                <w:rtl w:val="true"/>
              </w:rPr>
              <w:t>مذهبى مسلمانان</w:t>
            </w:r>
            <w:r>
              <w:rPr>
                <w:rStyle w:val="IndexLink"/>
                <w:rtl w:val="true"/>
              </w:rPr>
              <w:tab/>
            </w:r>
            <w:r>
              <w:rPr>
                <w:rStyle w:val="IndexLink"/>
              </w:rPr>
              <w:t>223</w:t>
            </w:r>
          </w:hyperlink>
        </w:p>
        <w:p>
          <w:pPr>
            <w:pStyle w:val="Contents5"/>
            <w:tabs>
              <w:tab w:val="clear" w:pos="7892"/>
              <w:tab w:val="right" w:pos="9026" w:leader="dot"/>
            </w:tabs>
            <w:rPr/>
          </w:pPr>
          <w:hyperlink w:anchor="__RefHeading___Toc3585363_3650668749">
            <w:r>
              <w:rPr>
                <w:webHidden/>
                <w:rStyle w:val="IndexLink"/>
                <w:rtl w:val="true"/>
              </w:rPr>
              <w:t>ه</w:t>
            </w:r>
            <w:r>
              <w:rPr>
                <w:rStyle w:val="IndexLink"/>
                <w:rtl w:val="true"/>
              </w:rPr>
              <w:t xml:space="preserve">) </w:t>
            </w:r>
            <w:r>
              <w:rPr>
                <w:rStyle w:val="IndexLink"/>
                <w:rtl w:val="true"/>
              </w:rPr>
              <w:t>دسته‌بندى طبقاتى</w:t>
            </w:r>
            <w:r>
              <w:rPr>
                <w:rStyle w:val="IndexLink"/>
                <w:rtl w:val="true"/>
              </w:rPr>
              <w:tab/>
            </w:r>
            <w:r>
              <w:rPr>
                <w:rStyle w:val="IndexLink"/>
              </w:rPr>
              <w:t>225</w:t>
            </w:r>
          </w:hyperlink>
        </w:p>
        <w:p>
          <w:pPr>
            <w:pStyle w:val="Contents2"/>
            <w:tabs>
              <w:tab w:val="clear" w:pos="8743"/>
              <w:tab w:val="right" w:pos="9026" w:leader="dot"/>
            </w:tabs>
            <w:rPr/>
          </w:pPr>
          <w:hyperlink w:anchor="__RefHeading___Toc3585365_3650668749">
            <w:r>
              <w:rPr>
                <w:webHidden/>
                <w:rStyle w:val="IndexLink"/>
                <w:rtl w:val="true"/>
              </w:rPr>
              <w:t>فصل چهارم</w:t>
            </w:r>
            <w:r>
              <w:rPr>
                <w:rStyle w:val="IndexLink"/>
                <w:rtl w:val="true"/>
              </w:rPr>
              <w:t xml:space="preserve">: </w:t>
            </w:r>
            <w:r>
              <w:rPr>
                <w:rStyle w:val="IndexLink"/>
                <w:rtl w:val="true"/>
              </w:rPr>
              <w:t>وضعيت اقتصادى كوفه</w:t>
            </w:r>
            <w:r>
              <w:rPr>
                <w:rStyle w:val="IndexLink"/>
                <w:rtl w:val="true"/>
              </w:rPr>
              <w:tab/>
            </w:r>
            <w:r>
              <w:rPr>
                <w:rStyle w:val="IndexLink"/>
              </w:rPr>
              <w:t>231</w:t>
            </w:r>
          </w:hyperlink>
        </w:p>
        <w:p>
          <w:pPr>
            <w:pStyle w:val="Contents3"/>
            <w:tabs>
              <w:tab w:val="clear" w:pos="8459"/>
              <w:tab w:val="right" w:pos="9026" w:leader="dot"/>
            </w:tabs>
            <w:rPr/>
          </w:pPr>
          <w:hyperlink w:anchor="__RefHeading___Toc3585367_3650668749">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3585369_3650668749">
            <w:r>
              <w:rPr>
                <w:webHidden/>
                <w:rStyle w:val="IndexLink"/>
              </w:rPr>
              <w:t>١</w:t>
            </w:r>
            <w:r>
              <w:rPr>
                <w:rStyle w:val="IndexLink"/>
                <w:rtl w:val="true"/>
              </w:rPr>
              <w:t xml:space="preserve">. </w:t>
            </w:r>
            <w:r>
              <w:rPr>
                <w:rStyle w:val="IndexLink"/>
                <w:rtl w:val="true"/>
              </w:rPr>
              <w:t>چگونگى داد و ستد و معاملات</w:t>
            </w:r>
            <w:r>
              <w:rPr>
                <w:rStyle w:val="IndexLink"/>
                <w:rtl w:val="true"/>
              </w:rPr>
              <w:tab/>
            </w:r>
            <w:r>
              <w:rPr>
                <w:rStyle w:val="IndexLink"/>
              </w:rPr>
              <w:t>232</w:t>
            </w:r>
          </w:hyperlink>
        </w:p>
        <w:p>
          <w:pPr>
            <w:pStyle w:val="Contents4"/>
            <w:tabs>
              <w:tab w:val="clear" w:pos="8176"/>
              <w:tab w:val="right" w:pos="9026" w:leader="dot"/>
            </w:tabs>
            <w:rPr/>
          </w:pPr>
          <w:hyperlink w:anchor="__RefHeading___Toc3585371_3650668749">
            <w:r>
              <w:rPr>
                <w:webHidden/>
                <w:rStyle w:val="IndexLink"/>
                <w:rtl w:val="true"/>
              </w:rPr>
              <w:t>الف</w:t>
            </w:r>
            <w:r>
              <w:rPr>
                <w:rStyle w:val="IndexLink"/>
                <w:rtl w:val="true"/>
              </w:rPr>
              <w:t xml:space="preserve">) </w:t>
            </w:r>
            <w:r>
              <w:rPr>
                <w:rStyle w:val="IndexLink"/>
                <w:rtl w:val="true"/>
              </w:rPr>
              <w:t>نوع پول رايج</w:t>
            </w:r>
            <w:r>
              <w:rPr>
                <w:rStyle w:val="IndexLink"/>
                <w:rtl w:val="true"/>
              </w:rPr>
              <w:tab/>
            </w:r>
            <w:r>
              <w:rPr>
                <w:rStyle w:val="IndexLink"/>
              </w:rPr>
              <w:t>232</w:t>
            </w:r>
          </w:hyperlink>
        </w:p>
        <w:p>
          <w:pPr>
            <w:pStyle w:val="Contents5"/>
            <w:tabs>
              <w:tab w:val="clear" w:pos="7892"/>
              <w:tab w:val="right" w:pos="9026" w:leader="dot"/>
            </w:tabs>
            <w:rPr/>
          </w:pPr>
          <w:hyperlink w:anchor="__RefHeading___Toc3585373_3650668749">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3585375_3650668749">
            <w:r>
              <w:rPr>
                <w:webHidden/>
                <w:rStyle w:val="IndexLink"/>
                <w:rtl w:val="true"/>
              </w:rPr>
              <w:t xml:space="preserve">يك </w:t>
            </w:r>
            <w:r>
              <w:rPr>
                <w:rStyle w:val="IndexLink"/>
                <w:rtl w:val="true"/>
              </w:rPr>
              <w:t xml:space="preserve">- </w:t>
            </w:r>
            <w:r>
              <w:rPr>
                <w:rStyle w:val="IndexLink"/>
                <w:rtl w:val="true"/>
              </w:rPr>
              <w:t>كيفيت سكه زدن</w:t>
            </w:r>
            <w:r>
              <w:rPr>
                <w:rStyle w:val="IndexLink"/>
                <w:rtl w:val="true"/>
              </w:rPr>
              <w:tab/>
            </w:r>
            <w:r>
              <w:rPr>
                <w:rStyle w:val="IndexLink"/>
              </w:rPr>
              <w:t>232</w:t>
            </w:r>
          </w:hyperlink>
        </w:p>
        <w:p>
          <w:pPr>
            <w:pStyle w:val="Contents5"/>
            <w:tabs>
              <w:tab w:val="clear" w:pos="7892"/>
              <w:tab w:val="right" w:pos="9026" w:leader="dot"/>
            </w:tabs>
            <w:rPr/>
          </w:pPr>
          <w:hyperlink w:anchor="__RefHeading___Toc3585377_3650668749">
            <w:r>
              <w:rPr>
                <w:webHidden/>
                <w:rStyle w:val="IndexLink"/>
                <w:rtl w:val="true"/>
              </w:rPr>
              <w:t xml:space="preserve">دو </w:t>
            </w:r>
            <w:r>
              <w:rPr>
                <w:rStyle w:val="IndexLink"/>
                <w:rtl w:val="true"/>
              </w:rPr>
              <w:t xml:space="preserve">- </w:t>
            </w:r>
            <w:r>
              <w:rPr>
                <w:rStyle w:val="IndexLink"/>
                <w:rtl w:val="true"/>
              </w:rPr>
              <w:t>سكه در صدر اسلام</w:t>
            </w:r>
            <w:r>
              <w:rPr>
                <w:rStyle w:val="IndexLink"/>
                <w:rtl w:val="true"/>
              </w:rPr>
              <w:tab/>
            </w:r>
            <w:r>
              <w:rPr>
                <w:rStyle w:val="IndexLink"/>
              </w:rPr>
              <w:t>233</w:t>
            </w:r>
          </w:hyperlink>
        </w:p>
        <w:p>
          <w:pPr>
            <w:pStyle w:val="Contents5"/>
            <w:tabs>
              <w:tab w:val="clear" w:pos="7892"/>
              <w:tab w:val="right" w:pos="9026" w:leader="dot"/>
            </w:tabs>
            <w:rPr/>
          </w:pPr>
          <w:hyperlink w:anchor="__RefHeading___Toc3585379_3650668749">
            <w:r>
              <w:rPr>
                <w:webHidden/>
                <w:rStyle w:val="IndexLink"/>
                <w:rtl w:val="true"/>
              </w:rPr>
              <w:t xml:space="preserve">سه </w:t>
            </w:r>
            <w:r>
              <w:rPr>
                <w:rStyle w:val="IndexLink"/>
                <w:rtl w:val="true"/>
              </w:rPr>
              <w:t xml:space="preserve">- </w:t>
            </w:r>
            <w:r>
              <w:rPr>
                <w:rStyle w:val="IndexLink"/>
                <w:rtl w:val="true"/>
              </w:rPr>
              <w:t>انواع سكه‌ها و وزن آنها</w:t>
            </w:r>
            <w:r>
              <w:rPr>
                <w:rStyle w:val="IndexLink"/>
                <w:rtl w:val="true"/>
              </w:rPr>
              <w:tab/>
            </w:r>
            <w:r>
              <w:rPr>
                <w:rStyle w:val="IndexLink"/>
              </w:rPr>
              <w:t>235</w:t>
            </w:r>
          </w:hyperlink>
        </w:p>
        <w:p>
          <w:pPr>
            <w:pStyle w:val="Contents6"/>
            <w:tabs>
              <w:tab w:val="clear" w:pos="7609"/>
              <w:tab w:val="right" w:pos="9026" w:leader="dot"/>
            </w:tabs>
            <w:rPr/>
          </w:pPr>
          <w:hyperlink w:anchor="__RefHeading___Toc3585381_3650668749">
            <w:r>
              <w:rPr>
                <w:webHidden/>
                <w:rStyle w:val="IndexLink"/>
                <w:rtl w:val="true"/>
              </w:rPr>
              <w:t>اشاره</w:t>
            </w:r>
            <w:r>
              <w:rPr>
                <w:rStyle w:val="IndexLink"/>
                <w:rtl w:val="true"/>
              </w:rPr>
              <w:tab/>
            </w:r>
            <w:r>
              <w:rPr>
                <w:rStyle w:val="IndexLink"/>
              </w:rPr>
              <w:t>235</w:t>
            </w:r>
          </w:hyperlink>
        </w:p>
        <w:p>
          <w:pPr>
            <w:pStyle w:val="Contents6"/>
            <w:tabs>
              <w:tab w:val="clear" w:pos="7609"/>
              <w:tab w:val="right" w:pos="9026" w:leader="dot"/>
            </w:tabs>
            <w:rPr/>
          </w:pPr>
          <w:hyperlink w:anchor="__RefHeading___Toc3585383_3650668749">
            <w:r>
              <w:rPr>
                <w:webHidden/>
                <w:rStyle w:val="IndexLink"/>
                <w:rtl w:val="true"/>
              </w:rPr>
              <w:t xml:space="preserve">اول </w:t>
            </w:r>
            <w:r>
              <w:rPr>
                <w:rStyle w:val="IndexLink"/>
                <w:rtl w:val="true"/>
              </w:rPr>
              <w:t xml:space="preserve">- </w:t>
            </w:r>
            <w:r>
              <w:rPr>
                <w:rStyle w:val="IndexLink"/>
                <w:rtl w:val="true"/>
              </w:rPr>
              <w:t>درهم‌هاى بَغْلي</w:t>
            </w:r>
            <w:r>
              <w:rPr>
                <w:rStyle w:val="IndexLink"/>
                <w:rtl w:val="true"/>
              </w:rPr>
              <w:tab/>
            </w:r>
            <w:r>
              <w:rPr>
                <w:rStyle w:val="IndexLink"/>
              </w:rPr>
              <w:t>236</w:t>
            </w:r>
          </w:hyperlink>
        </w:p>
        <w:p>
          <w:pPr>
            <w:pStyle w:val="Contents6"/>
            <w:tabs>
              <w:tab w:val="clear" w:pos="7609"/>
              <w:tab w:val="right" w:pos="9026" w:leader="dot"/>
            </w:tabs>
            <w:rPr/>
          </w:pPr>
          <w:hyperlink w:anchor="__RefHeading___Toc3585385_3650668749">
            <w:r>
              <w:rPr>
                <w:webHidden/>
                <w:rStyle w:val="IndexLink"/>
                <w:rtl w:val="true"/>
              </w:rPr>
              <w:t xml:space="preserve">دوم </w:t>
            </w:r>
            <w:r>
              <w:rPr>
                <w:rStyle w:val="IndexLink"/>
                <w:rtl w:val="true"/>
              </w:rPr>
              <w:t xml:space="preserve">- </w:t>
            </w:r>
            <w:r>
              <w:rPr>
                <w:rStyle w:val="IndexLink"/>
                <w:rtl w:val="true"/>
              </w:rPr>
              <w:t>درهم‌هاى طبرى</w:t>
            </w:r>
            <w:r>
              <w:rPr>
                <w:rStyle w:val="IndexLink"/>
                <w:rtl w:val="true"/>
              </w:rPr>
              <w:tab/>
            </w:r>
            <w:r>
              <w:rPr>
                <w:rStyle w:val="IndexLink"/>
              </w:rPr>
              <w:t>236</w:t>
            </w:r>
          </w:hyperlink>
        </w:p>
        <w:p>
          <w:pPr>
            <w:pStyle w:val="Contents6"/>
            <w:tabs>
              <w:tab w:val="clear" w:pos="7609"/>
              <w:tab w:val="right" w:pos="9026" w:leader="dot"/>
            </w:tabs>
            <w:rPr/>
          </w:pPr>
          <w:hyperlink w:anchor="__RefHeading___Toc3585387_3650668749">
            <w:r>
              <w:rPr>
                <w:webHidden/>
                <w:rStyle w:val="IndexLink"/>
                <w:rtl w:val="true"/>
              </w:rPr>
              <w:t xml:space="preserve">سوم </w:t>
            </w:r>
            <w:r>
              <w:rPr>
                <w:rStyle w:val="IndexLink"/>
                <w:rtl w:val="true"/>
              </w:rPr>
              <w:t xml:space="preserve">- </w:t>
            </w:r>
            <w:r>
              <w:rPr>
                <w:rStyle w:val="IndexLink"/>
                <w:rtl w:val="true"/>
              </w:rPr>
              <w:t>درهم‌هاى جَوارقي</w:t>
            </w:r>
            <w:r>
              <w:rPr>
                <w:rStyle w:val="IndexLink"/>
                <w:rtl w:val="true"/>
              </w:rPr>
              <w:tab/>
            </w:r>
            <w:r>
              <w:rPr>
                <w:rStyle w:val="IndexLink"/>
              </w:rPr>
              <w:t>236</w:t>
            </w:r>
          </w:hyperlink>
        </w:p>
        <w:p>
          <w:pPr>
            <w:pStyle w:val="Contents6"/>
            <w:tabs>
              <w:tab w:val="clear" w:pos="7609"/>
              <w:tab w:val="right" w:pos="9026" w:leader="dot"/>
            </w:tabs>
            <w:rPr/>
          </w:pPr>
          <w:hyperlink w:anchor="__RefHeading___Toc3585389_3650668749">
            <w:r>
              <w:rPr>
                <w:webHidden/>
                <w:rStyle w:val="IndexLink"/>
                <w:rtl w:val="true"/>
              </w:rPr>
              <w:t xml:space="preserve">چهار </w:t>
            </w:r>
            <w:r>
              <w:rPr>
                <w:rStyle w:val="IndexLink"/>
                <w:rtl w:val="true"/>
              </w:rPr>
              <w:t xml:space="preserve">- </w:t>
            </w:r>
            <w:r>
              <w:rPr>
                <w:rStyle w:val="IndexLink"/>
                <w:rtl w:val="true"/>
              </w:rPr>
              <w:t>سكه‌هاى غيرخالص</w:t>
            </w:r>
            <w:r>
              <w:rPr>
                <w:rStyle w:val="IndexLink"/>
                <w:rtl w:val="true"/>
              </w:rPr>
              <w:tab/>
            </w:r>
            <w:r>
              <w:rPr>
                <w:rStyle w:val="IndexLink"/>
              </w:rPr>
              <w:t>237</w:t>
            </w:r>
          </w:hyperlink>
        </w:p>
        <w:p>
          <w:pPr>
            <w:pStyle w:val="Contents6"/>
            <w:tabs>
              <w:tab w:val="clear" w:pos="7609"/>
              <w:tab w:val="right" w:pos="9026" w:leader="dot"/>
            </w:tabs>
            <w:rPr/>
          </w:pPr>
          <w:hyperlink w:anchor="__RefHeading___Toc3585391_3650668749">
            <w:r>
              <w:rPr>
                <w:webHidden/>
                <w:rStyle w:val="IndexLink"/>
                <w:rtl w:val="true"/>
              </w:rPr>
              <w:t>اشاره</w:t>
            </w:r>
            <w:r>
              <w:rPr>
                <w:rStyle w:val="IndexLink"/>
                <w:rtl w:val="true"/>
              </w:rPr>
              <w:tab/>
            </w:r>
            <w:r>
              <w:rPr>
                <w:rStyle w:val="IndexLink"/>
              </w:rPr>
              <w:t>237</w:t>
            </w:r>
          </w:hyperlink>
        </w:p>
        <w:p>
          <w:pPr>
            <w:pStyle w:val="Contents6"/>
            <w:tabs>
              <w:tab w:val="clear" w:pos="7609"/>
              <w:tab w:val="right" w:pos="9026" w:leader="dot"/>
            </w:tabs>
            <w:rPr/>
          </w:pPr>
          <w:hyperlink w:anchor="__RefHeading___Toc3585393_3650668749">
            <w:r>
              <w:rPr>
                <w:webHidden/>
                <w:rStyle w:val="IndexLink"/>
                <w:rtl w:val="true"/>
              </w:rPr>
              <w:t xml:space="preserve">اول </w:t>
            </w:r>
            <w:r>
              <w:rPr>
                <w:rStyle w:val="IndexLink"/>
                <w:rtl w:val="true"/>
              </w:rPr>
              <w:t xml:space="preserve">- </w:t>
            </w:r>
            <w:r>
              <w:rPr>
                <w:rStyle w:val="IndexLink"/>
                <w:rtl w:val="true"/>
              </w:rPr>
              <w:t>درهم‌هاى بَهْرَجَه</w:t>
            </w:r>
            <w:r>
              <w:rPr>
                <w:rStyle w:val="IndexLink"/>
                <w:rtl w:val="true"/>
              </w:rPr>
              <w:tab/>
            </w:r>
            <w:r>
              <w:rPr>
                <w:rStyle w:val="IndexLink"/>
              </w:rPr>
              <w:t>238</w:t>
            </w:r>
          </w:hyperlink>
        </w:p>
        <w:p>
          <w:pPr>
            <w:pStyle w:val="Contents6"/>
            <w:tabs>
              <w:tab w:val="clear" w:pos="7609"/>
              <w:tab w:val="right" w:pos="9026" w:leader="dot"/>
            </w:tabs>
            <w:rPr/>
          </w:pPr>
          <w:hyperlink w:anchor="__RefHeading___Toc3585395_3650668749">
            <w:r>
              <w:rPr>
                <w:webHidden/>
                <w:rStyle w:val="IndexLink"/>
                <w:rtl w:val="true"/>
              </w:rPr>
              <w:t xml:space="preserve">دوم </w:t>
            </w:r>
            <w:r>
              <w:rPr>
                <w:rStyle w:val="IndexLink"/>
                <w:rtl w:val="true"/>
              </w:rPr>
              <w:t xml:space="preserve">- </w:t>
            </w:r>
            <w:r>
              <w:rPr>
                <w:rStyle w:val="IndexLink"/>
                <w:rtl w:val="true"/>
              </w:rPr>
              <w:t>درهم‌هاى مُسْتَوِقَّه</w:t>
            </w:r>
            <w:r>
              <w:rPr>
                <w:rStyle w:val="IndexLink"/>
                <w:rtl w:val="true"/>
              </w:rPr>
              <w:tab/>
            </w:r>
            <w:r>
              <w:rPr>
                <w:rStyle w:val="IndexLink"/>
              </w:rPr>
              <w:t>238</w:t>
            </w:r>
          </w:hyperlink>
        </w:p>
        <w:p>
          <w:pPr>
            <w:pStyle w:val="Contents6"/>
            <w:tabs>
              <w:tab w:val="clear" w:pos="7609"/>
              <w:tab w:val="right" w:pos="9026" w:leader="dot"/>
            </w:tabs>
            <w:rPr/>
          </w:pPr>
          <w:hyperlink w:anchor="__RefHeading___Toc3585397_3650668749">
            <w:r>
              <w:rPr>
                <w:webHidden/>
                <w:rStyle w:val="IndexLink"/>
                <w:rtl w:val="true"/>
              </w:rPr>
              <w:t xml:space="preserve">سوم </w:t>
            </w:r>
            <w:r>
              <w:rPr>
                <w:rStyle w:val="IndexLink"/>
                <w:rtl w:val="true"/>
              </w:rPr>
              <w:t xml:space="preserve">- </w:t>
            </w:r>
            <w:r>
              <w:rPr>
                <w:rStyle w:val="IndexLink"/>
                <w:rtl w:val="true"/>
              </w:rPr>
              <w:t>درهم‌هاى مُزَيَّفَه</w:t>
            </w:r>
            <w:r>
              <w:rPr>
                <w:rStyle w:val="IndexLink"/>
                <w:rtl w:val="true"/>
              </w:rPr>
              <w:tab/>
            </w:r>
            <w:r>
              <w:rPr>
                <w:rStyle w:val="IndexLink"/>
              </w:rPr>
              <w:t>238</w:t>
            </w:r>
          </w:hyperlink>
        </w:p>
        <w:p>
          <w:pPr>
            <w:pStyle w:val="Contents4"/>
            <w:tabs>
              <w:tab w:val="clear" w:pos="8176"/>
              <w:tab w:val="right" w:pos="9026" w:leader="dot"/>
            </w:tabs>
            <w:rPr/>
          </w:pPr>
          <w:hyperlink w:anchor="__RefHeading___Toc3585399_3650668749">
            <w:r>
              <w:rPr>
                <w:webHidden/>
                <w:rStyle w:val="IndexLink"/>
                <w:rtl w:val="true"/>
              </w:rPr>
              <w:t>ب</w:t>
            </w:r>
            <w:r>
              <w:rPr>
                <w:rStyle w:val="IndexLink"/>
                <w:rtl w:val="true"/>
              </w:rPr>
              <w:t xml:space="preserve">) </w:t>
            </w:r>
            <w:r>
              <w:rPr>
                <w:rStyle w:val="IndexLink"/>
                <w:rtl w:val="true"/>
              </w:rPr>
              <w:t>چك، سفته و حواله</w:t>
            </w:r>
            <w:r>
              <w:rPr>
                <w:rStyle w:val="IndexLink"/>
                <w:rtl w:val="true"/>
              </w:rPr>
              <w:tab/>
            </w:r>
            <w:r>
              <w:rPr>
                <w:rStyle w:val="IndexLink"/>
              </w:rPr>
              <w:t>239</w:t>
            </w:r>
          </w:hyperlink>
        </w:p>
        <w:p>
          <w:pPr>
            <w:pStyle w:val="Contents3"/>
            <w:tabs>
              <w:tab w:val="clear" w:pos="8459"/>
              <w:tab w:val="right" w:pos="9026" w:leader="dot"/>
            </w:tabs>
            <w:rPr/>
          </w:pPr>
          <w:hyperlink w:anchor="__RefHeading___Toc3585401_3650668749">
            <w:r>
              <w:rPr>
                <w:webHidden/>
                <w:rStyle w:val="IndexLink"/>
              </w:rPr>
              <w:t>٢</w:t>
            </w:r>
            <w:r>
              <w:rPr>
                <w:rStyle w:val="IndexLink"/>
                <w:rtl w:val="true"/>
              </w:rPr>
              <w:t xml:space="preserve">. </w:t>
            </w:r>
            <w:r>
              <w:rPr>
                <w:rStyle w:val="IndexLink"/>
                <w:rtl w:val="true"/>
              </w:rPr>
              <w:t>تجارت</w:t>
            </w:r>
            <w:r>
              <w:rPr>
                <w:rStyle w:val="IndexLink"/>
                <w:rtl w:val="true"/>
              </w:rPr>
              <w:tab/>
            </w:r>
            <w:r>
              <w:rPr>
                <w:rStyle w:val="IndexLink"/>
              </w:rPr>
              <w:t>240</w:t>
            </w:r>
          </w:hyperlink>
        </w:p>
        <w:p>
          <w:pPr>
            <w:pStyle w:val="Contents4"/>
            <w:tabs>
              <w:tab w:val="clear" w:pos="8176"/>
              <w:tab w:val="right" w:pos="9026" w:leader="dot"/>
            </w:tabs>
            <w:rPr/>
          </w:pPr>
          <w:hyperlink w:anchor="__RefHeading___Toc3585403_3650668749">
            <w:r>
              <w:rPr>
                <w:webHidden/>
                <w:rStyle w:val="IndexLink"/>
                <w:rtl w:val="true"/>
              </w:rPr>
              <w:t>الف</w:t>
            </w:r>
            <w:r>
              <w:rPr>
                <w:rStyle w:val="IndexLink"/>
                <w:rtl w:val="true"/>
              </w:rPr>
              <w:t xml:space="preserve">) </w:t>
            </w:r>
            <w:r>
              <w:rPr>
                <w:rStyle w:val="IndexLink"/>
                <w:rtl w:val="true"/>
              </w:rPr>
              <w:t>فضيلت تجارت</w:t>
            </w:r>
            <w:r>
              <w:rPr>
                <w:rStyle w:val="IndexLink"/>
                <w:rtl w:val="true"/>
              </w:rPr>
              <w:tab/>
            </w:r>
            <w:r>
              <w:rPr>
                <w:rStyle w:val="IndexLink"/>
              </w:rPr>
              <w:t>240</w:t>
            </w:r>
          </w:hyperlink>
        </w:p>
        <w:p>
          <w:pPr>
            <w:pStyle w:val="Contents4"/>
            <w:tabs>
              <w:tab w:val="clear" w:pos="8176"/>
              <w:tab w:val="right" w:pos="9026" w:leader="dot"/>
            </w:tabs>
            <w:rPr/>
          </w:pPr>
          <w:hyperlink w:anchor="__RefHeading___Toc3585405_3650668749">
            <w:r>
              <w:rPr>
                <w:webHidden/>
                <w:rStyle w:val="IndexLink"/>
                <w:rtl w:val="true"/>
              </w:rPr>
              <w:t>ب</w:t>
            </w:r>
            <w:r>
              <w:rPr>
                <w:rStyle w:val="IndexLink"/>
                <w:rtl w:val="true"/>
              </w:rPr>
              <w:t xml:space="preserve">) </w:t>
            </w:r>
            <w:r>
              <w:rPr>
                <w:rStyle w:val="IndexLink"/>
                <w:rtl w:val="true"/>
              </w:rPr>
              <w:t>آداب تجارت</w:t>
            </w:r>
            <w:r>
              <w:rPr>
                <w:rStyle w:val="IndexLink"/>
                <w:rtl w:val="true"/>
              </w:rPr>
              <w:tab/>
            </w:r>
            <w:r>
              <w:rPr>
                <w:rStyle w:val="IndexLink"/>
              </w:rPr>
              <w:t>240</w:t>
            </w:r>
          </w:hyperlink>
        </w:p>
        <w:p>
          <w:pPr>
            <w:pStyle w:val="Contents4"/>
            <w:tabs>
              <w:tab w:val="clear" w:pos="8176"/>
              <w:tab w:val="right" w:pos="9026" w:leader="dot"/>
            </w:tabs>
            <w:rPr/>
          </w:pPr>
          <w:hyperlink w:anchor="__RefHeading___Toc3585407_3650668749">
            <w:r>
              <w:rPr>
                <w:webHidden/>
                <w:rStyle w:val="IndexLink"/>
                <w:rtl w:val="true"/>
              </w:rPr>
              <w:t>ج</w:t>
            </w:r>
            <w:r>
              <w:rPr>
                <w:rStyle w:val="IndexLink"/>
                <w:rtl w:val="true"/>
              </w:rPr>
              <w:t xml:space="preserve">) </w:t>
            </w:r>
            <w:r>
              <w:rPr>
                <w:rStyle w:val="IndexLink"/>
                <w:rtl w:val="true"/>
              </w:rPr>
              <w:t>اجمالى از تاريخ تجارت در كوفه</w:t>
            </w:r>
            <w:r>
              <w:rPr>
                <w:rStyle w:val="IndexLink"/>
                <w:rtl w:val="true"/>
              </w:rPr>
              <w:tab/>
            </w:r>
            <w:r>
              <w:rPr>
                <w:rStyle w:val="IndexLink"/>
              </w:rPr>
              <w:t>243</w:t>
            </w:r>
          </w:hyperlink>
        </w:p>
        <w:p>
          <w:pPr>
            <w:pStyle w:val="Contents4"/>
            <w:tabs>
              <w:tab w:val="clear" w:pos="8176"/>
              <w:tab w:val="right" w:pos="9026" w:leader="dot"/>
            </w:tabs>
            <w:rPr/>
          </w:pPr>
          <w:hyperlink w:anchor="__RefHeading___Toc3585409_3650668749">
            <w:r>
              <w:rPr>
                <w:webHidden/>
                <w:rStyle w:val="IndexLink"/>
                <w:rtl w:val="true"/>
              </w:rPr>
              <w:t>د</w:t>
            </w:r>
            <w:r>
              <w:rPr>
                <w:rStyle w:val="IndexLink"/>
                <w:rtl w:val="true"/>
              </w:rPr>
              <w:t xml:space="preserve">) </w:t>
            </w:r>
            <w:r>
              <w:rPr>
                <w:rStyle w:val="IndexLink"/>
                <w:rtl w:val="true"/>
              </w:rPr>
              <w:t>كاروان‌هاى تجارى</w:t>
            </w:r>
            <w:r>
              <w:rPr>
                <w:rStyle w:val="IndexLink"/>
                <w:rtl w:val="true"/>
              </w:rPr>
              <w:tab/>
            </w:r>
            <w:r>
              <w:rPr>
                <w:rStyle w:val="IndexLink"/>
              </w:rPr>
              <w:t>245</w:t>
            </w:r>
          </w:hyperlink>
        </w:p>
        <w:p>
          <w:pPr>
            <w:pStyle w:val="Contents4"/>
            <w:tabs>
              <w:tab w:val="clear" w:pos="8176"/>
              <w:tab w:val="right" w:pos="9026" w:leader="dot"/>
            </w:tabs>
            <w:rPr/>
          </w:pPr>
          <w:hyperlink w:anchor="__RefHeading___Toc3585411_3650668749">
            <w:r>
              <w:rPr>
                <w:webHidden/>
                <w:rStyle w:val="IndexLink"/>
                <w:rtl w:val="true"/>
              </w:rPr>
              <w:t>ه</w:t>
            </w:r>
            <w:r>
              <w:rPr>
                <w:rStyle w:val="IndexLink"/>
                <w:rtl w:val="true"/>
              </w:rPr>
              <w:t xml:space="preserve">) </w:t>
            </w:r>
            <w:r>
              <w:rPr>
                <w:rStyle w:val="IndexLink"/>
                <w:rtl w:val="true"/>
              </w:rPr>
              <w:t>مسيرهاى تجارى</w:t>
            </w:r>
            <w:r>
              <w:rPr>
                <w:rStyle w:val="IndexLink"/>
                <w:rtl w:val="true"/>
              </w:rPr>
              <w:tab/>
            </w:r>
            <w:r>
              <w:rPr>
                <w:rStyle w:val="IndexLink"/>
              </w:rPr>
              <w:t>246</w:t>
            </w:r>
          </w:hyperlink>
        </w:p>
        <w:p>
          <w:pPr>
            <w:pStyle w:val="Contents5"/>
            <w:tabs>
              <w:tab w:val="clear" w:pos="7892"/>
              <w:tab w:val="right" w:pos="9026" w:leader="dot"/>
            </w:tabs>
            <w:rPr/>
          </w:pPr>
          <w:hyperlink w:anchor="__RefHeading___Toc3585413_3650668749">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3585415_3650668749">
            <w:r>
              <w:rPr>
                <w:webHidden/>
                <w:rStyle w:val="IndexLink"/>
                <w:rtl w:val="true"/>
              </w:rPr>
              <w:t xml:space="preserve">يك </w:t>
            </w:r>
            <w:r>
              <w:rPr>
                <w:rStyle w:val="IndexLink"/>
                <w:rtl w:val="true"/>
              </w:rPr>
              <w:t xml:space="preserve">- </w:t>
            </w:r>
            <w:r>
              <w:rPr>
                <w:rStyle w:val="IndexLink"/>
                <w:rtl w:val="true"/>
              </w:rPr>
              <w:t>مسير شرق كوفه</w:t>
            </w:r>
            <w:r>
              <w:rPr>
                <w:rStyle w:val="IndexLink"/>
                <w:rtl w:val="true"/>
              </w:rPr>
              <w:tab/>
            </w:r>
            <w:r>
              <w:rPr>
                <w:rStyle w:val="IndexLink"/>
              </w:rPr>
              <w:t>246</w:t>
            </w:r>
          </w:hyperlink>
        </w:p>
        <w:p>
          <w:pPr>
            <w:pStyle w:val="Contents5"/>
            <w:tabs>
              <w:tab w:val="clear" w:pos="7892"/>
              <w:tab w:val="right" w:pos="9026" w:leader="dot"/>
            </w:tabs>
            <w:rPr/>
          </w:pPr>
          <w:hyperlink w:anchor="__RefHeading___Toc3585417_3650668749">
            <w:r>
              <w:rPr>
                <w:webHidden/>
                <w:rStyle w:val="IndexLink"/>
                <w:rtl w:val="true"/>
              </w:rPr>
              <w:t xml:space="preserve">دو </w:t>
            </w:r>
            <w:r>
              <w:rPr>
                <w:rStyle w:val="IndexLink"/>
                <w:rtl w:val="true"/>
              </w:rPr>
              <w:t xml:space="preserve">- </w:t>
            </w:r>
            <w:r>
              <w:rPr>
                <w:rStyle w:val="IndexLink"/>
                <w:rtl w:val="true"/>
              </w:rPr>
              <w:t>مسير جنوب كوفه</w:t>
            </w:r>
            <w:r>
              <w:rPr>
                <w:rStyle w:val="IndexLink"/>
                <w:rtl w:val="true"/>
              </w:rPr>
              <w:tab/>
            </w:r>
            <w:r>
              <w:rPr>
                <w:rStyle w:val="IndexLink"/>
              </w:rPr>
              <w:t>246</w:t>
            </w:r>
          </w:hyperlink>
        </w:p>
        <w:p>
          <w:pPr>
            <w:pStyle w:val="Contents5"/>
            <w:tabs>
              <w:tab w:val="clear" w:pos="7892"/>
              <w:tab w:val="right" w:pos="9026" w:leader="dot"/>
            </w:tabs>
            <w:rPr/>
          </w:pPr>
          <w:hyperlink w:anchor="__RefHeading___Toc3585419_3650668749">
            <w:r>
              <w:rPr>
                <w:webHidden/>
                <w:rStyle w:val="IndexLink"/>
                <w:rtl w:val="true"/>
              </w:rPr>
              <w:t xml:space="preserve">سه </w:t>
            </w:r>
            <w:r>
              <w:rPr>
                <w:rStyle w:val="IndexLink"/>
                <w:rtl w:val="true"/>
              </w:rPr>
              <w:t xml:space="preserve">- </w:t>
            </w:r>
            <w:r>
              <w:rPr>
                <w:rStyle w:val="IndexLink"/>
                <w:rtl w:val="true"/>
              </w:rPr>
              <w:t>مسير غرب كوفه</w:t>
            </w:r>
            <w:r>
              <w:rPr>
                <w:rStyle w:val="IndexLink"/>
                <w:rtl w:val="true"/>
              </w:rPr>
              <w:tab/>
            </w:r>
            <w:r>
              <w:rPr>
                <w:rStyle w:val="IndexLink"/>
              </w:rPr>
              <w:t>246</w:t>
            </w:r>
          </w:hyperlink>
        </w:p>
        <w:p>
          <w:pPr>
            <w:pStyle w:val="Contents3"/>
            <w:tabs>
              <w:tab w:val="clear" w:pos="8459"/>
              <w:tab w:val="right" w:pos="9026" w:leader="dot"/>
            </w:tabs>
            <w:rPr/>
          </w:pPr>
          <w:hyperlink w:anchor="__RefHeading___Toc3585421_3650668749">
            <w:r>
              <w:rPr>
                <w:webHidden/>
                <w:rStyle w:val="IndexLink"/>
              </w:rPr>
              <w:t>٣</w:t>
            </w:r>
            <w:r>
              <w:rPr>
                <w:rStyle w:val="IndexLink"/>
                <w:rtl w:val="true"/>
              </w:rPr>
              <w:t xml:space="preserve">. </w:t>
            </w:r>
            <w:r>
              <w:rPr>
                <w:rStyle w:val="IndexLink"/>
                <w:rtl w:val="true"/>
              </w:rPr>
              <w:t>دام‌دارى</w:t>
            </w:r>
            <w:r>
              <w:rPr>
                <w:rStyle w:val="IndexLink"/>
                <w:rtl w:val="true"/>
              </w:rPr>
              <w:tab/>
            </w:r>
            <w:r>
              <w:rPr>
                <w:rStyle w:val="IndexLink"/>
              </w:rPr>
              <w:t>246</w:t>
            </w:r>
          </w:hyperlink>
        </w:p>
        <w:p>
          <w:pPr>
            <w:pStyle w:val="Contents3"/>
            <w:tabs>
              <w:tab w:val="clear" w:pos="8459"/>
              <w:tab w:val="right" w:pos="9026" w:leader="dot"/>
            </w:tabs>
            <w:rPr/>
          </w:pPr>
          <w:hyperlink w:anchor="__RefHeading___Toc3585423_3650668749">
            <w:r>
              <w:rPr>
                <w:webHidden/>
                <w:rStyle w:val="IndexLink"/>
              </w:rPr>
              <w:t>۴</w:t>
            </w:r>
            <w:r>
              <w:rPr>
                <w:rStyle w:val="IndexLink"/>
                <w:rtl w:val="true"/>
              </w:rPr>
              <w:t xml:space="preserve">. </w:t>
            </w:r>
            <w:r>
              <w:rPr>
                <w:rStyle w:val="IndexLink"/>
                <w:rtl w:val="true"/>
              </w:rPr>
              <w:t>مشاغل</w:t>
            </w:r>
            <w:r>
              <w:rPr>
                <w:rStyle w:val="IndexLink"/>
                <w:rtl w:val="true"/>
              </w:rPr>
              <w:tab/>
            </w:r>
            <w:r>
              <w:rPr>
                <w:rStyle w:val="IndexLink"/>
              </w:rPr>
              <w:t>247</w:t>
            </w:r>
          </w:hyperlink>
        </w:p>
        <w:p>
          <w:pPr>
            <w:pStyle w:val="Contents4"/>
            <w:tabs>
              <w:tab w:val="clear" w:pos="8176"/>
              <w:tab w:val="right" w:pos="9026" w:leader="dot"/>
            </w:tabs>
            <w:rPr/>
          </w:pPr>
          <w:hyperlink w:anchor="__RefHeading___Toc3585425_3650668749">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3585427_3650668749">
            <w:r>
              <w:rPr>
                <w:webHidden/>
                <w:rStyle w:val="IndexLink"/>
                <w:rtl w:val="true"/>
              </w:rPr>
              <w:t>الف</w:t>
            </w:r>
            <w:r>
              <w:rPr>
                <w:rStyle w:val="IndexLink"/>
                <w:rtl w:val="true"/>
              </w:rPr>
              <w:t xml:space="preserve">) </w:t>
            </w:r>
            <w:r>
              <w:rPr>
                <w:rStyle w:val="IndexLink"/>
                <w:rtl w:val="true"/>
              </w:rPr>
              <w:t>صناعات</w:t>
            </w:r>
            <w:r>
              <w:rPr>
                <w:rStyle w:val="IndexLink"/>
                <w:rtl w:val="true"/>
              </w:rPr>
              <w:tab/>
            </w:r>
            <w:r>
              <w:rPr>
                <w:rStyle w:val="IndexLink"/>
              </w:rPr>
              <w:t>247</w:t>
            </w:r>
          </w:hyperlink>
        </w:p>
        <w:p>
          <w:pPr>
            <w:pStyle w:val="Contents5"/>
            <w:tabs>
              <w:tab w:val="clear" w:pos="7892"/>
              <w:tab w:val="right" w:pos="9026" w:leader="dot"/>
            </w:tabs>
            <w:rPr/>
          </w:pPr>
          <w:hyperlink w:anchor="__RefHeading___Toc3585429_3650668749">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3585431_3650668749">
            <w:r>
              <w:rPr>
                <w:webHidden/>
                <w:rStyle w:val="IndexLink"/>
                <w:rtl w:val="true"/>
              </w:rPr>
              <w:t xml:space="preserve">يك </w:t>
            </w:r>
            <w:r>
              <w:rPr>
                <w:rStyle w:val="IndexLink"/>
                <w:rtl w:val="true"/>
              </w:rPr>
              <w:t xml:space="preserve">- </w:t>
            </w:r>
            <w:r>
              <w:rPr>
                <w:rStyle w:val="IndexLink"/>
                <w:rtl w:val="true"/>
              </w:rPr>
              <w:t>بنايى و معمارى</w:t>
            </w:r>
            <w:r>
              <w:rPr>
                <w:rStyle w:val="IndexLink"/>
                <w:rtl w:val="true"/>
              </w:rPr>
              <w:tab/>
            </w:r>
            <w:r>
              <w:rPr>
                <w:rStyle w:val="IndexLink"/>
              </w:rPr>
              <w:t>247</w:t>
            </w:r>
          </w:hyperlink>
        </w:p>
        <w:p>
          <w:pPr>
            <w:pStyle w:val="Contents5"/>
            <w:tabs>
              <w:tab w:val="clear" w:pos="7892"/>
              <w:tab w:val="right" w:pos="9026" w:leader="dot"/>
            </w:tabs>
            <w:rPr/>
          </w:pPr>
          <w:hyperlink w:anchor="__RefHeading___Toc3585433_3650668749">
            <w:r>
              <w:rPr>
                <w:webHidden/>
                <w:rStyle w:val="IndexLink"/>
                <w:rtl w:val="true"/>
              </w:rPr>
              <w:t xml:space="preserve">دو </w:t>
            </w:r>
            <w:r>
              <w:rPr>
                <w:rStyle w:val="IndexLink"/>
                <w:rtl w:val="true"/>
              </w:rPr>
              <w:t xml:space="preserve">- </w:t>
            </w:r>
            <w:r>
              <w:rPr>
                <w:rStyle w:val="IndexLink"/>
                <w:rtl w:val="true"/>
              </w:rPr>
              <w:t>خشت‌زنى و قالب‌ريزى آجر</w:t>
            </w:r>
            <w:r>
              <w:rPr>
                <w:rStyle w:val="IndexLink"/>
                <w:rtl w:val="true"/>
              </w:rPr>
              <w:tab/>
            </w:r>
            <w:r>
              <w:rPr>
                <w:rStyle w:val="IndexLink"/>
              </w:rPr>
              <w:t>248</w:t>
            </w:r>
          </w:hyperlink>
        </w:p>
        <w:p>
          <w:pPr>
            <w:pStyle w:val="Contents5"/>
            <w:tabs>
              <w:tab w:val="clear" w:pos="7892"/>
              <w:tab w:val="right" w:pos="9026" w:leader="dot"/>
            </w:tabs>
            <w:rPr/>
          </w:pPr>
          <w:hyperlink w:anchor="__RefHeading___Toc3585435_3650668749">
            <w:r>
              <w:rPr>
                <w:webHidden/>
                <w:rStyle w:val="IndexLink"/>
                <w:rtl w:val="true"/>
              </w:rPr>
              <w:t xml:space="preserve">سه </w:t>
            </w:r>
            <w:r>
              <w:rPr>
                <w:rStyle w:val="IndexLink"/>
                <w:rtl w:val="true"/>
              </w:rPr>
              <w:t xml:space="preserve">- </w:t>
            </w:r>
            <w:r>
              <w:rPr>
                <w:rStyle w:val="IndexLink"/>
                <w:rtl w:val="true"/>
              </w:rPr>
              <w:t>گچ‌كارى</w:t>
            </w:r>
            <w:r>
              <w:rPr>
                <w:rStyle w:val="IndexLink"/>
                <w:rtl w:val="true"/>
              </w:rPr>
              <w:tab/>
            </w:r>
            <w:r>
              <w:rPr>
                <w:rStyle w:val="IndexLink"/>
              </w:rPr>
              <w:t>248</w:t>
            </w:r>
          </w:hyperlink>
        </w:p>
        <w:p>
          <w:pPr>
            <w:pStyle w:val="Contents5"/>
            <w:tabs>
              <w:tab w:val="clear" w:pos="7892"/>
              <w:tab w:val="right" w:pos="9026" w:leader="dot"/>
            </w:tabs>
            <w:rPr/>
          </w:pPr>
          <w:hyperlink w:anchor="__RefHeading___Toc3585437_3650668749">
            <w:r>
              <w:rPr>
                <w:webHidden/>
                <w:rStyle w:val="IndexLink"/>
                <w:rtl w:val="true"/>
              </w:rPr>
              <w:t xml:space="preserve">چهار </w:t>
            </w:r>
            <w:r>
              <w:rPr>
                <w:rStyle w:val="IndexLink"/>
                <w:rtl w:val="true"/>
              </w:rPr>
              <w:t xml:space="preserve">- </w:t>
            </w:r>
            <w:r>
              <w:rPr>
                <w:rStyle w:val="IndexLink"/>
                <w:rtl w:val="true"/>
              </w:rPr>
              <w:t>كاشى‌سازى</w:t>
            </w:r>
            <w:r>
              <w:rPr>
                <w:rStyle w:val="IndexLink"/>
                <w:rtl w:val="true"/>
              </w:rPr>
              <w:tab/>
            </w:r>
            <w:r>
              <w:rPr>
                <w:rStyle w:val="IndexLink"/>
              </w:rPr>
              <w:t>248</w:t>
            </w:r>
          </w:hyperlink>
        </w:p>
        <w:p>
          <w:pPr>
            <w:pStyle w:val="Contents5"/>
            <w:tabs>
              <w:tab w:val="clear" w:pos="7892"/>
              <w:tab w:val="right" w:pos="9026" w:leader="dot"/>
            </w:tabs>
            <w:rPr/>
          </w:pPr>
          <w:hyperlink w:anchor="__RefHeading___Toc3585439_3650668749">
            <w:r>
              <w:rPr>
                <w:webHidden/>
                <w:rStyle w:val="IndexLink"/>
                <w:rtl w:val="true"/>
              </w:rPr>
              <w:t xml:space="preserve">پنج </w:t>
            </w:r>
            <w:r>
              <w:rPr>
                <w:rStyle w:val="IndexLink"/>
                <w:rtl w:val="true"/>
              </w:rPr>
              <w:t xml:space="preserve">- </w:t>
            </w:r>
            <w:r>
              <w:rPr>
                <w:rStyle w:val="IndexLink"/>
                <w:rtl w:val="true"/>
              </w:rPr>
              <w:t>شيشه‌گرى</w:t>
            </w:r>
            <w:r>
              <w:rPr>
                <w:rStyle w:val="IndexLink"/>
                <w:rtl w:val="true"/>
              </w:rPr>
              <w:tab/>
            </w:r>
            <w:r>
              <w:rPr>
                <w:rStyle w:val="IndexLink"/>
              </w:rPr>
              <w:t>249</w:t>
            </w:r>
          </w:hyperlink>
        </w:p>
        <w:p>
          <w:pPr>
            <w:pStyle w:val="Contents5"/>
            <w:tabs>
              <w:tab w:val="clear" w:pos="7892"/>
              <w:tab w:val="right" w:pos="9026" w:leader="dot"/>
            </w:tabs>
            <w:rPr/>
          </w:pPr>
          <w:hyperlink w:anchor="__RefHeading___Toc3585441_3650668749">
            <w:r>
              <w:rPr>
                <w:webHidden/>
                <w:rStyle w:val="IndexLink"/>
                <w:rtl w:val="true"/>
              </w:rPr>
              <w:t xml:space="preserve">شش </w:t>
            </w:r>
            <w:r>
              <w:rPr>
                <w:rStyle w:val="IndexLink"/>
                <w:rtl w:val="true"/>
              </w:rPr>
              <w:t xml:space="preserve">- </w:t>
            </w:r>
            <w:r>
              <w:rPr>
                <w:rStyle w:val="IndexLink"/>
                <w:rtl w:val="true"/>
              </w:rPr>
              <w:t>سفال‌گرى</w:t>
            </w:r>
            <w:r>
              <w:rPr>
                <w:rStyle w:val="IndexLink"/>
                <w:rtl w:val="true"/>
              </w:rPr>
              <w:tab/>
            </w:r>
            <w:r>
              <w:rPr>
                <w:rStyle w:val="IndexLink"/>
              </w:rPr>
              <w:t>249</w:t>
            </w:r>
          </w:hyperlink>
        </w:p>
        <w:p>
          <w:pPr>
            <w:pStyle w:val="Contents5"/>
            <w:tabs>
              <w:tab w:val="clear" w:pos="7892"/>
              <w:tab w:val="right" w:pos="9026" w:leader="dot"/>
            </w:tabs>
            <w:rPr/>
          </w:pPr>
          <w:hyperlink w:anchor="__RefHeading___Toc3585443_3650668749">
            <w:r>
              <w:rPr>
                <w:webHidden/>
                <w:rStyle w:val="IndexLink"/>
                <w:rtl w:val="true"/>
              </w:rPr>
              <w:t xml:space="preserve">هفت </w:t>
            </w:r>
            <w:r>
              <w:rPr>
                <w:rStyle w:val="IndexLink"/>
                <w:rtl w:val="true"/>
              </w:rPr>
              <w:t xml:space="preserve">- </w:t>
            </w:r>
            <w:r>
              <w:rPr>
                <w:rStyle w:val="IndexLink"/>
                <w:rtl w:val="true"/>
              </w:rPr>
              <w:t>مس‌گرى</w:t>
            </w:r>
            <w:r>
              <w:rPr>
                <w:rStyle w:val="IndexLink"/>
                <w:rtl w:val="true"/>
              </w:rPr>
              <w:tab/>
            </w:r>
            <w:r>
              <w:rPr>
                <w:rStyle w:val="IndexLink"/>
              </w:rPr>
              <w:t>249</w:t>
            </w:r>
          </w:hyperlink>
        </w:p>
        <w:p>
          <w:pPr>
            <w:pStyle w:val="Contents5"/>
            <w:tabs>
              <w:tab w:val="clear" w:pos="7892"/>
              <w:tab w:val="right" w:pos="9026" w:leader="dot"/>
            </w:tabs>
            <w:rPr/>
          </w:pPr>
          <w:hyperlink w:anchor="__RefHeading___Toc3585445_3650668749">
            <w:r>
              <w:rPr>
                <w:webHidden/>
                <w:rStyle w:val="IndexLink"/>
                <w:rtl w:val="true"/>
              </w:rPr>
              <w:t xml:space="preserve">هشت </w:t>
            </w:r>
            <w:r>
              <w:rPr>
                <w:rStyle w:val="IndexLink"/>
                <w:rtl w:val="true"/>
              </w:rPr>
              <w:t xml:space="preserve">- </w:t>
            </w:r>
            <w:r>
              <w:rPr>
                <w:rStyle w:val="IndexLink"/>
                <w:rtl w:val="true"/>
              </w:rPr>
              <w:t>آهن‌گرى</w:t>
            </w:r>
            <w:r>
              <w:rPr>
                <w:rStyle w:val="IndexLink"/>
                <w:rtl w:val="true"/>
              </w:rPr>
              <w:tab/>
            </w:r>
            <w:r>
              <w:rPr>
                <w:rStyle w:val="IndexLink"/>
              </w:rPr>
              <w:t>250</w:t>
            </w:r>
          </w:hyperlink>
        </w:p>
        <w:p>
          <w:pPr>
            <w:pStyle w:val="Contents5"/>
            <w:tabs>
              <w:tab w:val="clear" w:pos="7892"/>
              <w:tab w:val="right" w:pos="9026" w:leader="dot"/>
            </w:tabs>
            <w:rPr/>
          </w:pPr>
          <w:hyperlink w:anchor="__RefHeading___Toc3585447_3650668749">
            <w:r>
              <w:rPr>
                <w:webHidden/>
                <w:rStyle w:val="IndexLink"/>
                <w:rtl w:val="true"/>
              </w:rPr>
              <w:t xml:space="preserve">نُه </w:t>
            </w:r>
            <w:r>
              <w:rPr>
                <w:rStyle w:val="IndexLink"/>
                <w:rtl w:val="true"/>
              </w:rPr>
              <w:t xml:space="preserve">- </w:t>
            </w:r>
            <w:r>
              <w:rPr>
                <w:rStyle w:val="IndexLink"/>
                <w:rtl w:val="true"/>
              </w:rPr>
              <w:t>نجّارى</w:t>
            </w:r>
            <w:r>
              <w:rPr>
                <w:rStyle w:val="IndexLink"/>
                <w:rtl w:val="true"/>
              </w:rPr>
              <w:tab/>
            </w:r>
            <w:r>
              <w:rPr>
                <w:rStyle w:val="IndexLink"/>
              </w:rPr>
              <w:t>250</w:t>
            </w:r>
          </w:hyperlink>
        </w:p>
        <w:p>
          <w:pPr>
            <w:pStyle w:val="Contents5"/>
            <w:tabs>
              <w:tab w:val="clear" w:pos="7892"/>
              <w:tab w:val="right" w:pos="9026" w:leader="dot"/>
            </w:tabs>
            <w:rPr/>
          </w:pPr>
          <w:hyperlink w:anchor="__RefHeading___Toc3585449_3650668749">
            <w:r>
              <w:rPr>
                <w:webHidden/>
                <w:rStyle w:val="IndexLink"/>
                <w:rtl w:val="true"/>
              </w:rPr>
              <w:t xml:space="preserve">ده </w:t>
            </w:r>
            <w:r>
              <w:rPr>
                <w:rStyle w:val="IndexLink"/>
                <w:rtl w:val="true"/>
              </w:rPr>
              <w:t xml:space="preserve">- </w:t>
            </w:r>
            <w:r>
              <w:rPr>
                <w:rStyle w:val="IndexLink"/>
                <w:rtl w:val="true"/>
              </w:rPr>
              <w:t>زرگرى</w:t>
            </w:r>
            <w:r>
              <w:rPr>
                <w:rStyle w:val="IndexLink"/>
                <w:rtl w:val="true"/>
              </w:rPr>
              <w:tab/>
            </w:r>
            <w:r>
              <w:rPr>
                <w:rStyle w:val="IndexLink"/>
              </w:rPr>
              <w:t>251</w:t>
            </w:r>
          </w:hyperlink>
        </w:p>
        <w:p>
          <w:pPr>
            <w:pStyle w:val="Contents5"/>
            <w:tabs>
              <w:tab w:val="clear" w:pos="7892"/>
              <w:tab w:val="right" w:pos="9026" w:leader="dot"/>
            </w:tabs>
            <w:rPr/>
          </w:pPr>
          <w:hyperlink w:anchor="__RefHeading___Toc3585451_3650668749">
            <w:r>
              <w:rPr>
                <w:webHidden/>
                <w:rStyle w:val="IndexLink"/>
                <w:rtl w:val="true"/>
              </w:rPr>
              <w:t xml:space="preserve">يازده </w:t>
            </w:r>
            <w:r>
              <w:rPr>
                <w:rStyle w:val="IndexLink"/>
                <w:rtl w:val="true"/>
              </w:rPr>
              <w:t xml:space="preserve">- </w:t>
            </w:r>
            <w:r>
              <w:rPr>
                <w:rStyle w:val="IndexLink"/>
                <w:rtl w:val="true"/>
              </w:rPr>
              <w:t>صابون‌سازى</w:t>
            </w:r>
            <w:r>
              <w:rPr>
                <w:rStyle w:val="IndexLink"/>
                <w:rtl w:val="true"/>
              </w:rPr>
              <w:tab/>
            </w:r>
            <w:r>
              <w:rPr>
                <w:rStyle w:val="IndexLink"/>
              </w:rPr>
              <w:t>251</w:t>
            </w:r>
          </w:hyperlink>
        </w:p>
        <w:p>
          <w:pPr>
            <w:pStyle w:val="Contents5"/>
            <w:tabs>
              <w:tab w:val="clear" w:pos="7892"/>
              <w:tab w:val="right" w:pos="9026" w:leader="dot"/>
            </w:tabs>
            <w:rPr/>
          </w:pPr>
          <w:hyperlink w:anchor="__RefHeading___Toc3585453_3650668749">
            <w:r>
              <w:rPr>
                <w:webHidden/>
                <w:rStyle w:val="IndexLink"/>
                <w:rtl w:val="true"/>
              </w:rPr>
              <w:t xml:space="preserve">دوازده </w:t>
            </w:r>
            <w:r>
              <w:rPr>
                <w:rStyle w:val="IndexLink"/>
                <w:rtl w:val="true"/>
              </w:rPr>
              <w:t xml:space="preserve">- </w:t>
            </w:r>
            <w:r>
              <w:rPr>
                <w:rStyle w:val="IndexLink"/>
                <w:rtl w:val="true"/>
              </w:rPr>
              <w:t>عطرسازى</w:t>
            </w:r>
            <w:r>
              <w:rPr>
                <w:rStyle w:val="IndexLink"/>
                <w:rtl w:val="true"/>
              </w:rPr>
              <w:tab/>
            </w:r>
            <w:r>
              <w:rPr>
                <w:rStyle w:val="IndexLink"/>
              </w:rPr>
              <w:t>252</w:t>
            </w:r>
          </w:hyperlink>
        </w:p>
        <w:p>
          <w:pPr>
            <w:pStyle w:val="Contents5"/>
            <w:tabs>
              <w:tab w:val="clear" w:pos="7892"/>
              <w:tab w:val="right" w:pos="9026" w:leader="dot"/>
            </w:tabs>
            <w:rPr/>
          </w:pPr>
          <w:hyperlink w:anchor="__RefHeading___Toc3585455_3650668749">
            <w:r>
              <w:rPr>
                <w:webHidden/>
                <w:rStyle w:val="IndexLink"/>
                <w:rtl w:val="true"/>
              </w:rPr>
              <w:t xml:space="preserve">سيزده </w:t>
            </w:r>
            <w:r>
              <w:rPr>
                <w:rStyle w:val="IndexLink"/>
                <w:rtl w:val="true"/>
              </w:rPr>
              <w:t xml:space="preserve">- </w:t>
            </w:r>
            <w:r>
              <w:rPr>
                <w:rStyle w:val="IndexLink"/>
                <w:rtl w:val="true"/>
              </w:rPr>
              <w:t>آسيابانى</w:t>
            </w:r>
            <w:r>
              <w:rPr>
                <w:rStyle w:val="IndexLink"/>
                <w:rtl w:val="true"/>
              </w:rPr>
              <w:tab/>
            </w:r>
            <w:r>
              <w:rPr>
                <w:rStyle w:val="IndexLink"/>
              </w:rPr>
              <w:t>252</w:t>
            </w:r>
          </w:hyperlink>
        </w:p>
        <w:p>
          <w:pPr>
            <w:pStyle w:val="Contents5"/>
            <w:tabs>
              <w:tab w:val="clear" w:pos="7892"/>
              <w:tab w:val="right" w:pos="9026" w:leader="dot"/>
            </w:tabs>
            <w:rPr/>
          </w:pPr>
          <w:hyperlink w:anchor="__RefHeading___Toc3585457_3650668749">
            <w:r>
              <w:rPr>
                <w:webHidden/>
                <w:rStyle w:val="IndexLink"/>
                <w:rtl w:val="true"/>
              </w:rPr>
              <w:t xml:space="preserve">چهارده </w:t>
            </w:r>
            <w:r>
              <w:rPr>
                <w:rStyle w:val="IndexLink"/>
                <w:rtl w:val="true"/>
              </w:rPr>
              <w:t xml:space="preserve">- </w:t>
            </w:r>
            <w:r>
              <w:rPr>
                <w:rStyle w:val="IndexLink"/>
                <w:rtl w:val="true"/>
              </w:rPr>
              <w:t>روغن‌كشى</w:t>
            </w:r>
            <w:r>
              <w:rPr>
                <w:rStyle w:val="IndexLink"/>
                <w:rtl w:val="true"/>
              </w:rPr>
              <w:tab/>
            </w:r>
            <w:r>
              <w:rPr>
                <w:rStyle w:val="IndexLink"/>
              </w:rPr>
              <w:t>252</w:t>
            </w:r>
          </w:hyperlink>
        </w:p>
        <w:p>
          <w:pPr>
            <w:pStyle w:val="Contents5"/>
            <w:tabs>
              <w:tab w:val="clear" w:pos="7892"/>
              <w:tab w:val="right" w:pos="9026" w:leader="dot"/>
            </w:tabs>
            <w:rPr/>
          </w:pPr>
          <w:hyperlink w:anchor="__RefHeading___Toc3585459_3650668749">
            <w:r>
              <w:rPr>
                <w:webHidden/>
                <w:rStyle w:val="IndexLink"/>
                <w:rtl w:val="true"/>
              </w:rPr>
              <w:t xml:space="preserve">پانزده </w:t>
            </w:r>
            <w:r>
              <w:rPr>
                <w:rStyle w:val="IndexLink"/>
                <w:rtl w:val="true"/>
              </w:rPr>
              <w:t xml:space="preserve">- </w:t>
            </w:r>
            <w:r>
              <w:rPr>
                <w:rStyle w:val="IndexLink"/>
                <w:rtl w:val="true"/>
              </w:rPr>
              <w:t>دباغى</w:t>
            </w:r>
            <w:r>
              <w:rPr>
                <w:rStyle w:val="IndexLink"/>
                <w:rtl w:val="true"/>
              </w:rPr>
              <w:tab/>
            </w:r>
            <w:r>
              <w:rPr>
                <w:rStyle w:val="IndexLink"/>
              </w:rPr>
              <w:t>252</w:t>
            </w:r>
          </w:hyperlink>
        </w:p>
        <w:p>
          <w:pPr>
            <w:pStyle w:val="Contents5"/>
            <w:tabs>
              <w:tab w:val="clear" w:pos="7892"/>
              <w:tab w:val="right" w:pos="9026" w:leader="dot"/>
            </w:tabs>
            <w:rPr/>
          </w:pPr>
          <w:hyperlink w:anchor="__RefHeading___Toc3585461_3650668749">
            <w:r>
              <w:rPr>
                <w:webHidden/>
                <w:rStyle w:val="IndexLink"/>
                <w:rtl w:val="true"/>
              </w:rPr>
              <w:t xml:space="preserve">شانزده </w:t>
            </w:r>
            <w:r>
              <w:rPr>
                <w:rStyle w:val="IndexLink"/>
                <w:rtl w:val="true"/>
              </w:rPr>
              <w:t xml:space="preserve">- </w:t>
            </w:r>
            <w:r>
              <w:rPr>
                <w:rStyle w:val="IndexLink"/>
                <w:rtl w:val="true"/>
              </w:rPr>
              <w:t>كفش‌سازى</w:t>
            </w:r>
            <w:r>
              <w:rPr>
                <w:rStyle w:val="IndexLink"/>
                <w:rtl w:val="true"/>
              </w:rPr>
              <w:tab/>
            </w:r>
            <w:r>
              <w:rPr>
                <w:rStyle w:val="IndexLink"/>
              </w:rPr>
              <w:t>253</w:t>
            </w:r>
          </w:hyperlink>
        </w:p>
        <w:p>
          <w:pPr>
            <w:pStyle w:val="Contents5"/>
            <w:tabs>
              <w:tab w:val="clear" w:pos="7892"/>
              <w:tab w:val="right" w:pos="9026" w:leader="dot"/>
            </w:tabs>
            <w:rPr/>
          </w:pPr>
          <w:hyperlink w:anchor="__RefHeading___Toc3585463_3650668749">
            <w:r>
              <w:rPr>
                <w:webHidden/>
                <w:rStyle w:val="IndexLink"/>
                <w:rtl w:val="true"/>
              </w:rPr>
              <w:t xml:space="preserve">هفده </w:t>
            </w:r>
            <w:r>
              <w:rPr>
                <w:rStyle w:val="IndexLink"/>
                <w:rtl w:val="true"/>
              </w:rPr>
              <w:t xml:space="preserve">- </w:t>
            </w:r>
            <w:r>
              <w:rPr>
                <w:rStyle w:val="IndexLink"/>
                <w:rtl w:val="true"/>
              </w:rPr>
              <w:t>رنگ‌رزى</w:t>
            </w:r>
            <w:r>
              <w:rPr>
                <w:rStyle w:val="IndexLink"/>
                <w:rtl w:val="true"/>
              </w:rPr>
              <w:tab/>
            </w:r>
            <w:r>
              <w:rPr>
                <w:rStyle w:val="IndexLink"/>
              </w:rPr>
              <w:t>253</w:t>
            </w:r>
          </w:hyperlink>
        </w:p>
        <w:p>
          <w:pPr>
            <w:pStyle w:val="Contents5"/>
            <w:tabs>
              <w:tab w:val="clear" w:pos="7892"/>
              <w:tab w:val="right" w:pos="9026" w:leader="dot"/>
            </w:tabs>
            <w:rPr/>
          </w:pPr>
          <w:hyperlink w:anchor="__RefHeading___Toc3585465_3650668749">
            <w:r>
              <w:rPr>
                <w:webHidden/>
                <w:rStyle w:val="IndexLink"/>
                <w:rtl w:val="true"/>
              </w:rPr>
              <w:t xml:space="preserve">هجده </w:t>
            </w:r>
            <w:r>
              <w:rPr>
                <w:rStyle w:val="IndexLink"/>
                <w:rtl w:val="true"/>
              </w:rPr>
              <w:t xml:space="preserve">- </w:t>
            </w:r>
            <w:r>
              <w:rPr>
                <w:rStyle w:val="IndexLink"/>
                <w:rtl w:val="true"/>
              </w:rPr>
              <w:t>حصيربافى</w:t>
            </w:r>
            <w:r>
              <w:rPr>
                <w:rStyle w:val="IndexLink"/>
                <w:rtl w:val="true"/>
              </w:rPr>
              <w:tab/>
            </w:r>
            <w:r>
              <w:rPr>
                <w:rStyle w:val="IndexLink"/>
              </w:rPr>
              <w:t>253</w:t>
            </w:r>
          </w:hyperlink>
        </w:p>
        <w:p>
          <w:pPr>
            <w:pStyle w:val="Contents5"/>
            <w:tabs>
              <w:tab w:val="clear" w:pos="7892"/>
              <w:tab w:val="right" w:pos="9026" w:leader="dot"/>
            </w:tabs>
            <w:rPr/>
          </w:pPr>
          <w:hyperlink w:anchor="__RefHeading___Toc3585467_3650668749">
            <w:r>
              <w:rPr>
                <w:webHidden/>
                <w:rStyle w:val="IndexLink"/>
                <w:rtl w:val="true"/>
              </w:rPr>
              <w:t xml:space="preserve">نوزده </w:t>
            </w:r>
            <w:r>
              <w:rPr>
                <w:rStyle w:val="IndexLink"/>
                <w:rtl w:val="true"/>
              </w:rPr>
              <w:t xml:space="preserve">- </w:t>
            </w:r>
            <w:r>
              <w:rPr>
                <w:rStyle w:val="IndexLink"/>
                <w:rtl w:val="true"/>
              </w:rPr>
              <w:t>پشم‌ريسى</w:t>
            </w:r>
            <w:r>
              <w:rPr>
                <w:rStyle w:val="IndexLink"/>
                <w:rtl w:val="true"/>
              </w:rPr>
              <w:tab/>
            </w:r>
            <w:r>
              <w:rPr>
                <w:rStyle w:val="IndexLink"/>
              </w:rPr>
              <w:t>253</w:t>
            </w:r>
          </w:hyperlink>
        </w:p>
        <w:p>
          <w:pPr>
            <w:pStyle w:val="Contents5"/>
            <w:tabs>
              <w:tab w:val="clear" w:pos="7892"/>
              <w:tab w:val="right" w:pos="9026" w:leader="dot"/>
            </w:tabs>
            <w:rPr/>
          </w:pPr>
          <w:hyperlink w:anchor="__RefHeading___Toc3585469_3650668749">
            <w:r>
              <w:rPr>
                <w:webHidden/>
                <w:rStyle w:val="IndexLink"/>
                <w:rtl w:val="true"/>
              </w:rPr>
              <w:t xml:space="preserve">بيست </w:t>
            </w:r>
            <w:r>
              <w:rPr>
                <w:rStyle w:val="IndexLink"/>
                <w:rtl w:val="true"/>
              </w:rPr>
              <w:t xml:space="preserve">- </w:t>
            </w:r>
            <w:r>
              <w:rPr>
                <w:rStyle w:val="IndexLink"/>
                <w:rtl w:val="true"/>
              </w:rPr>
              <w:t>خيمه‌سازى</w:t>
            </w:r>
            <w:r>
              <w:rPr>
                <w:rStyle w:val="IndexLink"/>
                <w:rtl w:val="true"/>
              </w:rPr>
              <w:tab/>
            </w:r>
            <w:r>
              <w:rPr>
                <w:rStyle w:val="IndexLink"/>
              </w:rPr>
              <w:t>254</w:t>
            </w:r>
          </w:hyperlink>
        </w:p>
        <w:p>
          <w:pPr>
            <w:pStyle w:val="Contents5"/>
            <w:tabs>
              <w:tab w:val="clear" w:pos="7892"/>
              <w:tab w:val="right" w:pos="9026" w:leader="dot"/>
            </w:tabs>
            <w:rPr/>
          </w:pPr>
          <w:hyperlink w:anchor="__RefHeading___Toc3585471_3650668749">
            <w:r>
              <w:rPr>
                <w:webHidden/>
                <w:rStyle w:val="IndexLink"/>
                <w:rtl w:val="true"/>
              </w:rPr>
              <w:t xml:space="preserve">بيست و يك </w:t>
            </w:r>
            <w:r>
              <w:rPr>
                <w:rStyle w:val="IndexLink"/>
                <w:rtl w:val="true"/>
              </w:rPr>
              <w:t xml:space="preserve">- </w:t>
            </w:r>
            <w:r>
              <w:rPr>
                <w:rStyle w:val="IndexLink"/>
                <w:rtl w:val="true"/>
              </w:rPr>
              <w:t>بافندگى</w:t>
            </w:r>
            <w:r>
              <w:rPr>
                <w:rStyle w:val="IndexLink"/>
                <w:rtl w:val="true"/>
              </w:rPr>
              <w:tab/>
            </w:r>
            <w:r>
              <w:rPr>
                <w:rStyle w:val="IndexLink"/>
              </w:rPr>
              <w:t>254</w:t>
            </w:r>
          </w:hyperlink>
        </w:p>
        <w:p>
          <w:pPr>
            <w:pStyle w:val="Contents5"/>
            <w:tabs>
              <w:tab w:val="clear" w:pos="7892"/>
              <w:tab w:val="right" w:pos="9026" w:leader="dot"/>
            </w:tabs>
            <w:rPr/>
          </w:pPr>
          <w:hyperlink w:anchor="__RefHeading___Toc3585473_3650668749">
            <w:r>
              <w:rPr>
                <w:webHidden/>
                <w:rStyle w:val="IndexLink"/>
                <w:rtl w:val="true"/>
              </w:rPr>
              <w:t xml:space="preserve">بيست و دو </w:t>
            </w:r>
            <w:r>
              <w:rPr>
                <w:rStyle w:val="IndexLink"/>
                <w:rtl w:val="true"/>
              </w:rPr>
              <w:t xml:space="preserve">- </w:t>
            </w:r>
            <w:r>
              <w:rPr>
                <w:rStyle w:val="IndexLink"/>
                <w:rtl w:val="true"/>
              </w:rPr>
              <w:t>خياطى</w:t>
            </w:r>
            <w:r>
              <w:rPr>
                <w:rStyle w:val="IndexLink"/>
                <w:rtl w:val="true"/>
              </w:rPr>
              <w:tab/>
            </w:r>
            <w:r>
              <w:rPr>
                <w:rStyle w:val="IndexLink"/>
              </w:rPr>
              <w:t>255</w:t>
            </w:r>
          </w:hyperlink>
        </w:p>
        <w:p>
          <w:pPr>
            <w:pStyle w:val="Contents4"/>
            <w:tabs>
              <w:tab w:val="clear" w:pos="8176"/>
              <w:tab w:val="right" w:pos="9026" w:leader="dot"/>
            </w:tabs>
            <w:rPr/>
          </w:pPr>
          <w:hyperlink w:anchor="__RefHeading___Toc3585475_3650668749">
            <w:r>
              <w:rPr>
                <w:webHidden/>
                <w:rStyle w:val="IndexLink"/>
                <w:rtl w:val="true"/>
              </w:rPr>
              <w:t>ب</w:t>
            </w:r>
            <w:r>
              <w:rPr>
                <w:rStyle w:val="IndexLink"/>
                <w:rtl w:val="true"/>
              </w:rPr>
              <w:t xml:space="preserve">) </w:t>
            </w:r>
            <w:r>
              <w:rPr>
                <w:rStyle w:val="IndexLink"/>
                <w:rtl w:val="true"/>
              </w:rPr>
              <w:t>مشاغل واسطه‌اى</w:t>
            </w:r>
            <w:r>
              <w:rPr>
                <w:rStyle w:val="IndexLink"/>
                <w:rtl w:val="true"/>
              </w:rPr>
              <w:tab/>
            </w:r>
            <w:r>
              <w:rPr>
                <w:rStyle w:val="IndexLink"/>
              </w:rPr>
              <w:t>255</w:t>
            </w:r>
          </w:hyperlink>
        </w:p>
        <w:p>
          <w:pPr>
            <w:pStyle w:val="Contents5"/>
            <w:tabs>
              <w:tab w:val="clear" w:pos="7892"/>
              <w:tab w:val="right" w:pos="9026" w:leader="dot"/>
            </w:tabs>
            <w:rPr/>
          </w:pPr>
          <w:hyperlink w:anchor="__RefHeading___Toc3585477_3650668749">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3585479_3650668749">
            <w:r>
              <w:rPr>
                <w:webHidden/>
                <w:rStyle w:val="IndexLink"/>
                <w:rtl w:val="true"/>
              </w:rPr>
              <w:t xml:space="preserve">يك </w:t>
            </w:r>
            <w:r>
              <w:rPr>
                <w:rStyle w:val="IndexLink"/>
                <w:rtl w:val="true"/>
              </w:rPr>
              <w:t xml:space="preserve">- </w:t>
            </w:r>
            <w:r>
              <w:rPr>
                <w:rStyle w:val="IndexLink"/>
                <w:rtl w:val="true"/>
              </w:rPr>
              <w:t>صرّافى</w:t>
            </w:r>
            <w:r>
              <w:rPr>
                <w:rStyle w:val="IndexLink"/>
                <w:rtl w:val="true"/>
              </w:rPr>
              <w:tab/>
            </w:r>
            <w:r>
              <w:rPr>
                <w:rStyle w:val="IndexLink"/>
              </w:rPr>
              <w:t>256</w:t>
            </w:r>
          </w:hyperlink>
        </w:p>
        <w:p>
          <w:pPr>
            <w:pStyle w:val="Contents5"/>
            <w:tabs>
              <w:tab w:val="clear" w:pos="7892"/>
              <w:tab w:val="right" w:pos="9026" w:leader="dot"/>
            </w:tabs>
            <w:rPr/>
          </w:pPr>
          <w:hyperlink w:anchor="__RefHeading___Toc3585481_3650668749">
            <w:r>
              <w:rPr>
                <w:webHidden/>
                <w:rStyle w:val="IndexLink"/>
                <w:rtl w:val="true"/>
              </w:rPr>
              <w:t xml:space="preserve">دو </w:t>
            </w:r>
            <w:r>
              <w:rPr>
                <w:rStyle w:val="IndexLink"/>
                <w:rtl w:val="true"/>
              </w:rPr>
              <w:t xml:space="preserve">- </w:t>
            </w:r>
            <w:r>
              <w:rPr>
                <w:rStyle w:val="IndexLink"/>
                <w:rtl w:val="true"/>
              </w:rPr>
              <w:t>قصابى</w:t>
            </w:r>
            <w:r>
              <w:rPr>
                <w:rStyle w:val="IndexLink"/>
                <w:rtl w:val="true"/>
              </w:rPr>
              <w:tab/>
            </w:r>
            <w:r>
              <w:rPr>
                <w:rStyle w:val="IndexLink"/>
              </w:rPr>
              <w:t>256</w:t>
            </w:r>
          </w:hyperlink>
        </w:p>
        <w:p>
          <w:pPr>
            <w:pStyle w:val="Contents5"/>
            <w:tabs>
              <w:tab w:val="clear" w:pos="7892"/>
              <w:tab w:val="right" w:pos="9026" w:leader="dot"/>
            </w:tabs>
            <w:rPr/>
          </w:pPr>
          <w:hyperlink w:anchor="__RefHeading___Toc3585483_3650668749">
            <w:r>
              <w:rPr>
                <w:webHidden/>
                <w:rStyle w:val="IndexLink"/>
                <w:rtl w:val="true"/>
              </w:rPr>
              <w:t xml:space="preserve">سه </w:t>
            </w:r>
            <w:r>
              <w:rPr>
                <w:rStyle w:val="IndexLink"/>
                <w:rtl w:val="true"/>
              </w:rPr>
              <w:t xml:space="preserve">- </w:t>
            </w:r>
            <w:r>
              <w:rPr>
                <w:rStyle w:val="IndexLink"/>
                <w:rtl w:val="true"/>
              </w:rPr>
              <w:t>بقّالى</w:t>
            </w:r>
            <w:r>
              <w:rPr>
                <w:rStyle w:val="IndexLink"/>
                <w:rtl w:val="true"/>
              </w:rPr>
              <w:tab/>
            </w:r>
            <w:r>
              <w:rPr>
                <w:rStyle w:val="IndexLink"/>
              </w:rPr>
              <w:t>256</w:t>
            </w:r>
          </w:hyperlink>
        </w:p>
        <w:p>
          <w:pPr>
            <w:pStyle w:val="Contents5"/>
            <w:tabs>
              <w:tab w:val="clear" w:pos="7892"/>
              <w:tab w:val="right" w:pos="9026" w:leader="dot"/>
            </w:tabs>
            <w:rPr/>
          </w:pPr>
          <w:hyperlink w:anchor="__RefHeading___Toc3585485_3650668749">
            <w:r>
              <w:rPr>
                <w:webHidden/>
                <w:rStyle w:val="IndexLink"/>
                <w:rtl w:val="true"/>
              </w:rPr>
              <w:t xml:space="preserve">چهار </w:t>
            </w:r>
            <w:r>
              <w:rPr>
                <w:rStyle w:val="IndexLink"/>
                <w:rtl w:val="true"/>
              </w:rPr>
              <w:t xml:space="preserve">- </w:t>
            </w:r>
            <w:r>
              <w:rPr>
                <w:rStyle w:val="IndexLink"/>
                <w:rtl w:val="true"/>
              </w:rPr>
              <w:t>علف‌فروشى</w:t>
            </w:r>
            <w:r>
              <w:rPr>
                <w:rStyle w:val="IndexLink"/>
                <w:rtl w:val="true"/>
              </w:rPr>
              <w:tab/>
            </w:r>
            <w:r>
              <w:rPr>
                <w:rStyle w:val="IndexLink"/>
              </w:rPr>
              <w:t>257</w:t>
            </w:r>
          </w:hyperlink>
        </w:p>
        <w:p>
          <w:pPr>
            <w:pStyle w:val="Contents5"/>
            <w:tabs>
              <w:tab w:val="clear" w:pos="7892"/>
              <w:tab w:val="right" w:pos="9026" w:leader="dot"/>
            </w:tabs>
            <w:rPr/>
          </w:pPr>
          <w:hyperlink w:anchor="__RefHeading___Toc3585487_3650668749">
            <w:r>
              <w:rPr>
                <w:webHidden/>
                <w:rStyle w:val="IndexLink"/>
                <w:rtl w:val="true"/>
              </w:rPr>
              <w:t xml:space="preserve">پنج </w:t>
            </w:r>
            <w:r>
              <w:rPr>
                <w:rStyle w:val="IndexLink"/>
                <w:rtl w:val="true"/>
              </w:rPr>
              <w:t xml:space="preserve">- </w:t>
            </w:r>
            <w:r>
              <w:rPr>
                <w:rStyle w:val="IndexLink"/>
                <w:rtl w:val="true"/>
              </w:rPr>
              <w:t>پارچه‌فروشى</w:t>
            </w:r>
            <w:r>
              <w:rPr>
                <w:rStyle w:val="IndexLink"/>
                <w:rtl w:val="true"/>
              </w:rPr>
              <w:tab/>
            </w:r>
            <w:r>
              <w:rPr>
                <w:rStyle w:val="IndexLink"/>
              </w:rPr>
              <w:t>257</w:t>
            </w:r>
          </w:hyperlink>
        </w:p>
        <w:p>
          <w:pPr>
            <w:pStyle w:val="Contents5"/>
            <w:tabs>
              <w:tab w:val="clear" w:pos="7892"/>
              <w:tab w:val="right" w:pos="9026" w:leader="dot"/>
            </w:tabs>
            <w:rPr/>
          </w:pPr>
          <w:hyperlink w:anchor="__RefHeading___Toc3585489_3650668749">
            <w:r>
              <w:rPr>
                <w:webHidden/>
                <w:rStyle w:val="IndexLink"/>
                <w:rtl w:val="true"/>
              </w:rPr>
              <w:t xml:space="preserve">شش </w:t>
            </w:r>
            <w:r>
              <w:rPr>
                <w:rStyle w:val="IndexLink"/>
                <w:rtl w:val="true"/>
              </w:rPr>
              <w:t xml:space="preserve">- </w:t>
            </w:r>
            <w:r>
              <w:rPr>
                <w:rStyle w:val="IndexLink"/>
                <w:rtl w:val="true"/>
              </w:rPr>
              <w:t>سمسارى</w:t>
            </w:r>
            <w:r>
              <w:rPr>
                <w:rStyle w:val="IndexLink"/>
                <w:rtl w:val="true"/>
              </w:rPr>
              <w:tab/>
            </w:r>
            <w:r>
              <w:rPr>
                <w:rStyle w:val="IndexLink"/>
              </w:rPr>
              <w:t>257</w:t>
            </w:r>
          </w:hyperlink>
        </w:p>
        <w:p>
          <w:pPr>
            <w:pStyle w:val="Contents4"/>
            <w:tabs>
              <w:tab w:val="clear" w:pos="8176"/>
              <w:tab w:val="right" w:pos="9026" w:leader="dot"/>
            </w:tabs>
            <w:rPr/>
          </w:pPr>
          <w:hyperlink w:anchor="__RefHeading___Toc3585491_3650668749">
            <w:r>
              <w:rPr>
                <w:webHidden/>
                <w:rStyle w:val="IndexLink"/>
                <w:rtl w:val="true"/>
              </w:rPr>
              <w:t>ج</w:t>
            </w:r>
            <w:r>
              <w:rPr>
                <w:rStyle w:val="IndexLink"/>
                <w:rtl w:val="true"/>
              </w:rPr>
              <w:t xml:space="preserve">) </w:t>
            </w:r>
            <w:r>
              <w:rPr>
                <w:rStyle w:val="IndexLink"/>
                <w:rtl w:val="true"/>
              </w:rPr>
              <w:t>مشاغل خدماتى</w:t>
            </w:r>
            <w:r>
              <w:rPr>
                <w:rStyle w:val="IndexLink"/>
                <w:rtl w:val="true"/>
              </w:rPr>
              <w:tab/>
            </w:r>
            <w:r>
              <w:rPr>
                <w:rStyle w:val="IndexLink"/>
              </w:rPr>
              <w:t>257</w:t>
            </w:r>
          </w:hyperlink>
        </w:p>
        <w:p>
          <w:pPr>
            <w:pStyle w:val="Contents5"/>
            <w:tabs>
              <w:tab w:val="clear" w:pos="7892"/>
              <w:tab w:val="right" w:pos="9026" w:leader="dot"/>
            </w:tabs>
            <w:rPr/>
          </w:pPr>
          <w:hyperlink w:anchor="__RefHeading___Toc3585493_3650668749">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3585495_3650668749">
            <w:r>
              <w:rPr>
                <w:webHidden/>
                <w:rStyle w:val="IndexLink"/>
                <w:rtl w:val="true"/>
              </w:rPr>
              <w:t xml:space="preserve">يك </w:t>
            </w:r>
            <w:r>
              <w:rPr>
                <w:rStyle w:val="IndexLink"/>
                <w:rtl w:val="true"/>
              </w:rPr>
              <w:t xml:space="preserve">- </w:t>
            </w:r>
            <w:r>
              <w:rPr>
                <w:rStyle w:val="IndexLink"/>
                <w:rtl w:val="true"/>
              </w:rPr>
              <w:t>حمّامى</w:t>
            </w:r>
            <w:r>
              <w:rPr>
                <w:rStyle w:val="IndexLink"/>
                <w:rtl w:val="true"/>
              </w:rPr>
              <w:tab/>
            </w:r>
            <w:r>
              <w:rPr>
                <w:rStyle w:val="IndexLink"/>
              </w:rPr>
              <w:t>257</w:t>
            </w:r>
          </w:hyperlink>
        </w:p>
        <w:p>
          <w:pPr>
            <w:pStyle w:val="Contents5"/>
            <w:tabs>
              <w:tab w:val="clear" w:pos="7892"/>
              <w:tab w:val="right" w:pos="9026" w:leader="dot"/>
            </w:tabs>
            <w:rPr/>
          </w:pPr>
          <w:hyperlink w:anchor="__RefHeading___Toc3585497_3650668749">
            <w:r>
              <w:rPr>
                <w:webHidden/>
                <w:rStyle w:val="IndexLink"/>
                <w:rtl w:val="true"/>
              </w:rPr>
              <w:t xml:space="preserve">دو </w:t>
            </w:r>
            <w:r>
              <w:rPr>
                <w:rStyle w:val="IndexLink"/>
                <w:rtl w:val="true"/>
              </w:rPr>
              <w:t xml:space="preserve">- </w:t>
            </w:r>
            <w:r>
              <w:rPr>
                <w:rStyle w:val="IndexLink"/>
                <w:rtl w:val="true"/>
              </w:rPr>
              <w:t>حَجّامى</w:t>
            </w:r>
            <w:r>
              <w:rPr>
                <w:rStyle w:val="IndexLink"/>
                <w:rtl w:val="true"/>
              </w:rPr>
              <w:tab/>
            </w:r>
            <w:r>
              <w:rPr>
                <w:rStyle w:val="IndexLink"/>
              </w:rPr>
              <w:t>257</w:t>
            </w:r>
          </w:hyperlink>
        </w:p>
        <w:p>
          <w:pPr>
            <w:pStyle w:val="Contents5"/>
            <w:tabs>
              <w:tab w:val="clear" w:pos="7892"/>
              <w:tab w:val="right" w:pos="9026" w:leader="dot"/>
            </w:tabs>
            <w:rPr/>
          </w:pPr>
          <w:hyperlink w:anchor="__RefHeading___Toc3585499_3650668749">
            <w:r>
              <w:rPr>
                <w:webHidden/>
                <w:rStyle w:val="IndexLink"/>
                <w:rtl w:val="true"/>
              </w:rPr>
              <w:t xml:space="preserve">سه </w:t>
            </w:r>
            <w:r>
              <w:rPr>
                <w:rStyle w:val="IndexLink"/>
                <w:rtl w:val="true"/>
              </w:rPr>
              <w:t xml:space="preserve">- </w:t>
            </w:r>
            <w:r>
              <w:rPr>
                <w:rStyle w:val="IndexLink"/>
                <w:rtl w:val="true"/>
              </w:rPr>
              <w:t>قَصّارى</w:t>
            </w:r>
            <w:r>
              <w:rPr>
                <w:rStyle w:val="IndexLink"/>
                <w:rtl w:val="true"/>
              </w:rPr>
              <w:tab/>
            </w:r>
            <w:r>
              <w:rPr>
                <w:rStyle w:val="IndexLink"/>
              </w:rPr>
              <w:t>258</w:t>
            </w:r>
          </w:hyperlink>
        </w:p>
        <w:p>
          <w:pPr>
            <w:pStyle w:val="Contents5"/>
            <w:tabs>
              <w:tab w:val="clear" w:pos="7892"/>
              <w:tab w:val="right" w:pos="9026" w:leader="dot"/>
            </w:tabs>
            <w:rPr/>
          </w:pPr>
          <w:hyperlink w:anchor="__RefHeading___Toc3585501_3650668749">
            <w:r>
              <w:rPr>
                <w:webHidden/>
                <w:rStyle w:val="IndexLink"/>
                <w:rtl w:val="true"/>
              </w:rPr>
              <w:t xml:space="preserve">چهار </w:t>
            </w:r>
            <w:r>
              <w:rPr>
                <w:rStyle w:val="IndexLink"/>
                <w:rtl w:val="true"/>
              </w:rPr>
              <w:t xml:space="preserve">- </w:t>
            </w:r>
            <w:r>
              <w:rPr>
                <w:rStyle w:val="IndexLink"/>
                <w:rtl w:val="true"/>
              </w:rPr>
              <w:t>نظافت‌گرى شهر</w:t>
            </w:r>
            <w:r>
              <w:rPr>
                <w:rStyle w:val="IndexLink"/>
                <w:rtl w:val="true"/>
              </w:rPr>
              <w:tab/>
            </w:r>
            <w:r>
              <w:rPr>
                <w:rStyle w:val="IndexLink"/>
              </w:rPr>
              <w:t>258</w:t>
            </w:r>
          </w:hyperlink>
        </w:p>
        <w:p>
          <w:pPr>
            <w:pStyle w:val="Contents5"/>
            <w:tabs>
              <w:tab w:val="clear" w:pos="7892"/>
              <w:tab w:val="right" w:pos="9026" w:leader="dot"/>
            </w:tabs>
            <w:rPr/>
          </w:pPr>
          <w:hyperlink w:anchor="__RefHeading___Toc3585503_3650668749">
            <w:r>
              <w:rPr>
                <w:webHidden/>
                <w:rStyle w:val="IndexLink"/>
                <w:rtl w:val="true"/>
              </w:rPr>
              <w:t xml:space="preserve">پنج </w:t>
            </w:r>
            <w:r>
              <w:rPr>
                <w:rStyle w:val="IndexLink"/>
                <w:rtl w:val="true"/>
              </w:rPr>
              <w:t xml:space="preserve">- </w:t>
            </w:r>
            <w:r>
              <w:rPr>
                <w:rStyle w:val="IndexLink"/>
                <w:rtl w:val="true"/>
              </w:rPr>
              <w:t>پزشكى</w:t>
            </w:r>
            <w:r>
              <w:rPr>
                <w:rStyle w:val="IndexLink"/>
                <w:rtl w:val="true"/>
              </w:rPr>
              <w:tab/>
            </w:r>
            <w:r>
              <w:rPr>
                <w:rStyle w:val="IndexLink"/>
              </w:rPr>
              <w:t>258</w:t>
            </w:r>
          </w:hyperlink>
        </w:p>
        <w:p>
          <w:pPr>
            <w:pStyle w:val="Contents3"/>
            <w:tabs>
              <w:tab w:val="clear" w:pos="8459"/>
              <w:tab w:val="right" w:pos="9026" w:leader="dot"/>
            </w:tabs>
            <w:rPr/>
          </w:pPr>
          <w:hyperlink w:anchor="__RefHeading___Toc3585505_3650668749">
            <w:r>
              <w:rPr>
                <w:webHidden/>
                <w:rStyle w:val="IndexLink"/>
              </w:rPr>
              <w:t>۵</w:t>
            </w:r>
            <w:r>
              <w:rPr>
                <w:rStyle w:val="IndexLink"/>
                <w:rtl w:val="true"/>
              </w:rPr>
              <w:t xml:space="preserve">. </w:t>
            </w:r>
            <w:r>
              <w:rPr>
                <w:rStyle w:val="IndexLink"/>
                <w:rtl w:val="true"/>
              </w:rPr>
              <w:t>واردات</w:t>
            </w:r>
            <w:r>
              <w:rPr>
                <w:rStyle w:val="IndexLink"/>
                <w:rtl w:val="true"/>
              </w:rPr>
              <w:tab/>
            </w:r>
            <w:r>
              <w:rPr>
                <w:rStyle w:val="IndexLink"/>
              </w:rPr>
              <w:t>259</w:t>
            </w:r>
          </w:hyperlink>
        </w:p>
        <w:p>
          <w:pPr>
            <w:pStyle w:val="Contents3"/>
            <w:tabs>
              <w:tab w:val="clear" w:pos="8459"/>
              <w:tab w:val="right" w:pos="9026" w:leader="dot"/>
            </w:tabs>
            <w:rPr/>
          </w:pPr>
          <w:hyperlink w:anchor="__RefHeading___Toc3585507_3650668749">
            <w:r>
              <w:rPr>
                <w:webHidden/>
                <w:rStyle w:val="IndexLink"/>
              </w:rPr>
              <w:t>۶</w:t>
            </w:r>
            <w:r>
              <w:rPr>
                <w:rStyle w:val="IndexLink"/>
                <w:rtl w:val="true"/>
              </w:rPr>
              <w:t xml:space="preserve">. </w:t>
            </w:r>
            <w:r>
              <w:rPr>
                <w:rStyle w:val="IndexLink"/>
                <w:rtl w:val="true"/>
              </w:rPr>
              <w:t>صادرات</w:t>
            </w:r>
            <w:r>
              <w:rPr>
                <w:rStyle w:val="IndexLink"/>
                <w:rtl w:val="true"/>
              </w:rPr>
              <w:tab/>
            </w:r>
            <w:r>
              <w:rPr>
                <w:rStyle w:val="IndexLink"/>
              </w:rPr>
              <w:t>262</w:t>
            </w:r>
          </w:hyperlink>
        </w:p>
        <w:p>
          <w:pPr>
            <w:pStyle w:val="Contents3"/>
            <w:tabs>
              <w:tab w:val="clear" w:pos="8459"/>
              <w:tab w:val="right" w:pos="9026" w:leader="dot"/>
            </w:tabs>
            <w:rPr/>
          </w:pPr>
          <w:hyperlink w:anchor="__RefHeading___Toc3585509_3650668749">
            <w:r>
              <w:rPr>
                <w:webHidden/>
                <w:rStyle w:val="IndexLink"/>
              </w:rPr>
              <w:t>٧</w:t>
            </w:r>
            <w:r>
              <w:rPr>
                <w:rStyle w:val="IndexLink"/>
                <w:rtl w:val="true"/>
              </w:rPr>
              <w:t xml:space="preserve">. </w:t>
            </w:r>
            <w:r>
              <w:rPr>
                <w:rStyle w:val="IndexLink"/>
                <w:rtl w:val="true"/>
              </w:rPr>
              <w:t>كشاورزى</w:t>
            </w:r>
            <w:r>
              <w:rPr>
                <w:rStyle w:val="IndexLink"/>
                <w:rtl w:val="true"/>
              </w:rPr>
              <w:tab/>
            </w:r>
            <w:r>
              <w:rPr>
                <w:rStyle w:val="IndexLink"/>
              </w:rPr>
              <w:t>263</w:t>
            </w:r>
          </w:hyperlink>
        </w:p>
        <w:p>
          <w:pPr>
            <w:pStyle w:val="Contents4"/>
            <w:tabs>
              <w:tab w:val="clear" w:pos="8176"/>
              <w:tab w:val="right" w:pos="9026" w:leader="dot"/>
            </w:tabs>
            <w:rPr/>
          </w:pPr>
          <w:hyperlink w:anchor="__RefHeading___Toc3585511_3650668749">
            <w:r>
              <w:rPr>
                <w:webHidden/>
                <w:rStyle w:val="IndexLink"/>
                <w:rtl w:val="true"/>
              </w:rPr>
              <w:t>چگونگى آبيارى</w:t>
            </w:r>
            <w:r>
              <w:rPr>
                <w:rStyle w:val="IndexLink"/>
                <w:rtl w:val="true"/>
              </w:rPr>
              <w:tab/>
            </w:r>
            <w:r>
              <w:rPr>
                <w:rStyle w:val="IndexLink"/>
              </w:rPr>
              <w:t>263</w:t>
            </w:r>
          </w:hyperlink>
        </w:p>
        <w:p>
          <w:pPr>
            <w:pStyle w:val="Contents3"/>
            <w:tabs>
              <w:tab w:val="clear" w:pos="8459"/>
              <w:tab w:val="right" w:pos="9026" w:leader="dot"/>
            </w:tabs>
            <w:rPr/>
          </w:pPr>
          <w:hyperlink w:anchor="__RefHeading___Toc3585513_3650668749">
            <w:r>
              <w:rPr>
                <w:webHidden/>
                <w:rStyle w:val="IndexLink"/>
              </w:rPr>
              <w:t>٨</w:t>
            </w:r>
            <w:r>
              <w:rPr>
                <w:rStyle w:val="IndexLink"/>
                <w:rtl w:val="true"/>
              </w:rPr>
              <w:t xml:space="preserve">. </w:t>
            </w:r>
            <w:r>
              <w:rPr>
                <w:rStyle w:val="IndexLink"/>
                <w:rtl w:val="true"/>
              </w:rPr>
              <w:t>راه‌هاى درآمد كوفه</w:t>
            </w:r>
            <w:r>
              <w:rPr>
                <w:rStyle w:val="IndexLink"/>
                <w:rtl w:val="true"/>
              </w:rPr>
              <w:tab/>
            </w:r>
            <w:r>
              <w:rPr>
                <w:rStyle w:val="IndexLink"/>
              </w:rPr>
              <w:t>266</w:t>
            </w:r>
          </w:hyperlink>
        </w:p>
        <w:p>
          <w:pPr>
            <w:pStyle w:val="Contents4"/>
            <w:tabs>
              <w:tab w:val="clear" w:pos="8176"/>
              <w:tab w:val="right" w:pos="9026" w:leader="dot"/>
            </w:tabs>
            <w:rPr/>
          </w:pPr>
          <w:hyperlink w:anchor="__RefHeading___Toc3585515_3650668749">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3585517_3650668749">
            <w:r>
              <w:rPr>
                <w:webHidden/>
                <w:rStyle w:val="IndexLink"/>
                <w:rtl w:val="true"/>
              </w:rPr>
              <w:t>الف</w:t>
            </w:r>
            <w:r>
              <w:rPr>
                <w:rStyle w:val="IndexLink"/>
                <w:rtl w:val="true"/>
              </w:rPr>
              <w:t xml:space="preserve">) </w:t>
            </w:r>
            <w:r>
              <w:rPr>
                <w:rStyle w:val="IndexLink"/>
                <w:rtl w:val="true"/>
              </w:rPr>
              <w:t>راه‌هاى درآمد حكومت كوفه</w:t>
            </w:r>
            <w:r>
              <w:rPr>
                <w:rStyle w:val="IndexLink"/>
                <w:rtl w:val="true"/>
              </w:rPr>
              <w:tab/>
            </w:r>
            <w:r>
              <w:rPr>
                <w:rStyle w:val="IndexLink"/>
              </w:rPr>
              <w:t>266</w:t>
            </w:r>
          </w:hyperlink>
        </w:p>
        <w:p>
          <w:pPr>
            <w:pStyle w:val="Contents5"/>
            <w:tabs>
              <w:tab w:val="clear" w:pos="7892"/>
              <w:tab w:val="right" w:pos="9026" w:leader="dot"/>
            </w:tabs>
            <w:rPr/>
          </w:pPr>
          <w:hyperlink w:anchor="__RefHeading___Toc3585519_3650668749">
            <w:r>
              <w:rPr>
                <w:webHidden/>
                <w:rStyle w:val="IndexLink"/>
                <w:rtl w:val="true"/>
              </w:rPr>
              <w:t xml:space="preserve">يك </w:t>
            </w:r>
            <w:r>
              <w:rPr>
                <w:rStyle w:val="IndexLink"/>
                <w:rtl w:val="true"/>
              </w:rPr>
              <w:t xml:space="preserve">- </w:t>
            </w:r>
            <w:r>
              <w:rPr>
                <w:rStyle w:val="IndexLink"/>
                <w:rtl w:val="true"/>
              </w:rPr>
              <w:t>خَراج</w:t>
            </w:r>
            <w:r>
              <w:rPr>
                <w:rStyle w:val="IndexLink"/>
                <w:rtl w:val="true"/>
              </w:rPr>
              <w:tab/>
            </w:r>
            <w:r>
              <w:rPr>
                <w:rStyle w:val="IndexLink"/>
              </w:rPr>
              <w:t>266</w:t>
            </w:r>
          </w:hyperlink>
        </w:p>
        <w:p>
          <w:pPr>
            <w:pStyle w:val="Contents5"/>
            <w:tabs>
              <w:tab w:val="clear" w:pos="7892"/>
              <w:tab w:val="right" w:pos="9026" w:leader="dot"/>
            </w:tabs>
            <w:rPr/>
          </w:pPr>
          <w:hyperlink w:anchor="__RefHeading___Toc3585521_3650668749">
            <w:r>
              <w:rPr>
                <w:webHidden/>
                <w:rStyle w:val="IndexLink"/>
                <w:rtl w:val="true"/>
              </w:rPr>
              <w:t xml:space="preserve">دو </w:t>
            </w:r>
            <w:r>
              <w:rPr>
                <w:rStyle w:val="IndexLink"/>
                <w:rtl w:val="true"/>
              </w:rPr>
              <w:t xml:space="preserve">- </w:t>
            </w:r>
            <w:r>
              <w:rPr>
                <w:rStyle w:val="IndexLink"/>
                <w:rtl w:val="true"/>
              </w:rPr>
              <w:t>صدقه</w:t>
            </w:r>
            <w:r>
              <w:rPr>
                <w:rStyle w:val="IndexLink"/>
                <w:rtl w:val="true"/>
              </w:rPr>
              <w:tab/>
            </w:r>
            <w:r>
              <w:rPr>
                <w:rStyle w:val="IndexLink"/>
              </w:rPr>
              <w:t>269</w:t>
            </w:r>
          </w:hyperlink>
        </w:p>
        <w:p>
          <w:pPr>
            <w:pStyle w:val="Contents5"/>
            <w:tabs>
              <w:tab w:val="clear" w:pos="7892"/>
              <w:tab w:val="right" w:pos="9026" w:leader="dot"/>
            </w:tabs>
            <w:rPr/>
          </w:pPr>
          <w:hyperlink w:anchor="__RefHeading___Toc3585523_3650668749">
            <w:r>
              <w:rPr>
                <w:webHidden/>
                <w:rStyle w:val="IndexLink"/>
                <w:rtl w:val="true"/>
              </w:rPr>
              <w:t xml:space="preserve">سه </w:t>
            </w:r>
            <w:r>
              <w:rPr>
                <w:rStyle w:val="IndexLink"/>
                <w:rtl w:val="true"/>
              </w:rPr>
              <w:t xml:space="preserve">- </w:t>
            </w:r>
            <w:r>
              <w:rPr>
                <w:rStyle w:val="IndexLink"/>
                <w:rtl w:val="true"/>
              </w:rPr>
              <w:t>جزيه</w:t>
            </w:r>
            <w:r>
              <w:rPr>
                <w:rStyle w:val="IndexLink"/>
                <w:rtl w:val="true"/>
              </w:rPr>
              <w:tab/>
            </w:r>
            <w:r>
              <w:rPr>
                <w:rStyle w:val="IndexLink"/>
              </w:rPr>
              <w:t>269</w:t>
            </w:r>
          </w:hyperlink>
        </w:p>
        <w:p>
          <w:pPr>
            <w:pStyle w:val="Contents5"/>
            <w:tabs>
              <w:tab w:val="clear" w:pos="7892"/>
              <w:tab w:val="right" w:pos="9026" w:leader="dot"/>
            </w:tabs>
            <w:rPr/>
          </w:pPr>
          <w:hyperlink w:anchor="__RefHeading___Toc3585525_3650668749">
            <w:r>
              <w:rPr>
                <w:webHidden/>
                <w:rStyle w:val="IndexLink"/>
                <w:rtl w:val="true"/>
              </w:rPr>
              <w:t xml:space="preserve">چهار </w:t>
            </w:r>
            <w:r>
              <w:rPr>
                <w:rStyle w:val="IndexLink"/>
                <w:rtl w:val="true"/>
              </w:rPr>
              <w:t xml:space="preserve">- </w:t>
            </w:r>
            <w:r>
              <w:rPr>
                <w:rStyle w:val="IndexLink"/>
                <w:rtl w:val="true"/>
              </w:rPr>
              <w:t>غنايم جنگى</w:t>
            </w:r>
            <w:r>
              <w:rPr>
                <w:rStyle w:val="IndexLink"/>
                <w:rtl w:val="true"/>
              </w:rPr>
              <w:tab/>
            </w:r>
            <w:r>
              <w:rPr>
                <w:rStyle w:val="IndexLink"/>
              </w:rPr>
              <w:t>270</w:t>
            </w:r>
          </w:hyperlink>
        </w:p>
        <w:p>
          <w:pPr>
            <w:pStyle w:val="Contents5"/>
            <w:tabs>
              <w:tab w:val="clear" w:pos="7892"/>
              <w:tab w:val="right" w:pos="9026" w:leader="dot"/>
            </w:tabs>
            <w:rPr/>
          </w:pPr>
          <w:hyperlink w:anchor="__RefHeading___Toc3585527_3650668749">
            <w:r>
              <w:rPr>
                <w:webHidden/>
                <w:rStyle w:val="IndexLink"/>
                <w:rtl w:val="true"/>
              </w:rPr>
              <w:t xml:space="preserve">پنج </w:t>
            </w:r>
            <w:r>
              <w:rPr>
                <w:rStyle w:val="IndexLink"/>
                <w:rtl w:val="true"/>
              </w:rPr>
              <w:t xml:space="preserve">- </w:t>
            </w:r>
            <w:r>
              <w:rPr>
                <w:rStyle w:val="IndexLink"/>
                <w:rtl w:val="true"/>
              </w:rPr>
              <w:t>ماليات بر تجارت</w:t>
            </w:r>
            <w:r>
              <w:rPr>
                <w:rStyle w:val="IndexLink"/>
                <w:rtl w:val="true"/>
              </w:rPr>
              <w:tab/>
            </w:r>
            <w:r>
              <w:rPr>
                <w:rStyle w:val="IndexLink"/>
              </w:rPr>
              <w:t>270</w:t>
            </w:r>
          </w:hyperlink>
        </w:p>
        <w:p>
          <w:pPr>
            <w:pStyle w:val="Contents5"/>
            <w:tabs>
              <w:tab w:val="clear" w:pos="7892"/>
              <w:tab w:val="right" w:pos="9026" w:leader="dot"/>
            </w:tabs>
            <w:rPr/>
          </w:pPr>
          <w:hyperlink w:anchor="__RefHeading___Toc3585529_3650668749">
            <w:r>
              <w:rPr>
                <w:webHidden/>
                <w:rStyle w:val="IndexLink"/>
                <w:rtl w:val="true"/>
              </w:rPr>
              <w:t xml:space="preserve">شش </w:t>
            </w:r>
            <w:r>
              <w:rPr>
                <w:rStyle w:val="IndexLink"/>
                <w:rtl w:val="true"/>
              </w:rPr>
              <w:t xml:space="preserve">- </w:t>
            </w:r>
            <w:r>
              <w:rPr>
                <w:rStyle w:val="IndexLink"/>
                <w:rtl w:val="true"/>
              </w:rPr>
              <w:t>هداياى عيد نوروز و مهرگان</w:t>
            </w:r>
            <w:r>
              <w:rPr>
                <w:rStyle w:val="IndexLink"/>
                <w:rtl w:val="true"/>
              </w:rPr>
              <w:tab/>
            </w:r>
            <w:r>
              <w:rPr>
                <w:rStyle w:val="IndexLink"/>
              </w:rPr>
              <w:t>271</w:t>
            </w:r>
          </w:hyperlink>
        </w:p>
        <w:p>
          <w:pPr>
            <w:pStyle w:val="Contents5"/>
            <w:tabs>
              <w:tab w:val="clear" w:pos="7892"/>
              <w:tab w:val="right" w:pos="9026" w:leader="dot"/>
            </w:tabs>
            <w:rPr/>
          </w:pPr>
          <w:hyperlink w:anchor="__RefHeading___Toc3585531_3650668749">
            <w:r>
              <w:rPr>
                <w:webHidden/>
                <w:rStyle w:val="IndexLink"/>
                <w:rtl w:val="true"/>
              </w:rPr>
              <w:t xml:space="preserve">هفت </w:t>
            </w:r>
            <w:r>
              <w:rPr>
                <w:rStyle w:val="IndexLink"/>
                <w:rtl w:val="true"/>
              </w:rPr>
              <w:t xml:space="preserve">- </w:t>
            </w:r>
            <w:r>
              <w:rPr>
                <w:rStyle w:val="IndexLink"/>
                <w:rtl w:val="true"/>
              </w:rPr>
              <w:t>زمين‌هاى صوافى</w:t>
            </w:r>
            <w:r>
              <w:rPr>
                <w:rStyle w:val="IndexLink"/>
                <w:rtl w:val="true"/>
              </w:rPr>
              <w:tab/>
            </w:r>
            <w:r>
              <w:rPr>
                <w:rStyle w:val="IndexLink"/>
              </w:rPr>
              <w:t>271</w:t>
            </w:r>
          </w:hyperlink>
        </w:p>
        <w:p>
          <w:pPr>
            <w:pStyle w:val="Contents4"/>
            <w:tabs>
              <w:tab w:val="clear" w:pos="8176"/>
              <w:tab w:val="right" w:pos="9026" w:leader="dot"/>
            </w:tabs>
            <w:rPr/>
          </w:pPr>
          <w:hyperlink w:anchor="__RefHeading___Toc3585533_3650668749">
            <w:r>
              <w:rPr>
                <w:webHidden/>
                <w:rStyle w:val="IndexLink"/>
                <w:rtl w:val="true"/>
              </w:rPr>
              <w:t>ب</w:t>
            </w:r>
            <w:r>
              <w:rPr>
                <w:rStyle w:val="IndexLink"/>
                <w:rtl w:val="true"/>
              </w:rPr>
              <w:t xml:space="preserve">) </w:t>
            </w:r>
            <w:r>
              <w:rPr>
                <w:rStyle w:val="IndexLink"/>
                <w:rtl w:val="true"/>
              </w:rPr>
              <w:t>هزينه‌هاى حكومت كوفه</w:t>
            </w:r>
            <w:r>
              <w:rPr>
                <w:rStyle w:val="IndexLink"/>
                <w:rtl w:val="true"/>
              </w:rPr>
              <w:tab/>
            </w:r>
            <w:r>
              <w:rPr>
                <w:rStyle w:val="IndexLink"/>
              </w:rPr>
              <w:t>272</w:t>
            </w:r>
          </w:hyperlink>
        </w:p>
        <w:p>
          <w:pPr>
            <w:pStyle w:val="Contents5"/>
            <w:tabs>
              <w:tab w:val="clear" w:pos="7892"/>
              <w:tab w:val="right" w:pos="9026" w:leader="dot"/>
            </w:tabs>
            <w:rPr/>
          </w:pPr>
          <w:hyperlink w:anchor="__RefHeading___Toc3585535_3650668749">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3585537_3650668749">
            <w:r>
              <w:rPr>
                <w:webHidden/>
                <w:rStyle w:val="IndexLink"/>
                <w:rtl w:val="true"/>
              </w:rPr>
              <w:t xml:space="preserve">يك </w:t>
            </w:r>
            <w:r>
              <w:rPr>
                <w:rStyle w:val="IndexLink"/>
                <w:rtl w:val="true"/>
              </w:rPr>
              <w:t xml:space="preserve">- </w:t>
            </w:r>
            <w:r>
              <w:rPr>
                <w:rStyle w:val="IndexLink"/>
                <w:rtl w:val="true"/>
              </w:rPr>
              <w:t>حقوق كارمندان</w:t>
            </w:r>
            <w:r>
              <w:rPr>
                <w:rStyle w:val="IndexLink"/>
                <w:rtl w:val="true"/>
              </w:rPr>
              <w:tab/>
            </w:r>
            <w:r>
              <w:rPr>
                <w:rStyle w:val="IndexLink"/>
              </w:rPr>
              <w:t>272</w:t>
            </w:r>
          </w:hyperlink>
        </w:p>
        <w:p>
          <w:pPr>
            <w:pStyle w:val="Contents5"/>
            <w:tabs>
              <w:tab w:val="clear" w:pos="7892"/>
              <w:tab w:val="right" w:pos="9026" w:leader="dot"/>
            </w:tabs>
            <w:rPr/>
          </w:pPr>
          <w:hyperlink w:anchor="__RefHeading___Toc3585539_3650668749">
            <w:r>
              <w:rPr>
                <w:webHidden/>
                <w:rStyle w:val="IndexLink"/>
                <w:rtl w:val="true"/>
              </w:rPr>
              <w:t xml:space="preserve">دو </w:t>
            </w:r>
            <w:r>
              <w:rPr>
                <w:rStyle w:val="IndexLink"/>
                <w:rtl w:val="true"/>
              </w:rPr>
              <w:t xml:space="preserve">- </w:t>
            </w:r>
            <w:r>
              <w:rPr>
                <w:rStyle w:val="IndexLink"/>
                <w:rtl w:val="true"/>
              </w:rPr>
              <w:t>خدمات شهرى</w:t>
            </w:r>
            <w:r>
              <w:rPr>
                <w:rStyle w:val="IndexLink"/>
                <w:rtl w:val="true"/>
              </w:rPr>
              <w:tab/>
            </w:r>
            <w:r>
              <w:rPr>
                <w:rStyle w:val="IndexLink"/>
              </w:rPr>
              <w:t>273</w:t>
            </w:r>
          </w:hyperlink>
        </w:p>
        <w:p>
          <w:pPr>
            <w:pStyle w:val="Contents5"/>
            <w:tabs>
              <w:tab w:val="clear" w:pos="7892"/>
              <w:tab w:val="right" w:pos="9026" w:leader="dot"/>
            </w:tabs>
            <w:rPr/>
          </w:pPr>
          <w:hyperlink w:anchor="__RefHeading___Toc3585541_3650668749">
            <w:r>
              <w:rPr>
                <w:webHidden/>
                <w:rStyle w:val="IndexLink"/>
                <w:rtl w:val="true"/>
              </w:rPr>
              <w:t xml:space="preserve">سه </w:t>
            </w:r>
            <w:r>
              <w:rPr>
                <w:rStyle w:val="IndexLink"/>
                <w:rtl w:val="true"/>
              </w:rPr>
              <w:t xml:space="preserve">- </w:t>
            </w:r>
            <w:r>
              <w:rPr>
                <w:rStyle w:val="IndexLink"/>
                <w:rtl w:val="true"/>
              </w:rPr>
              <w:t>قرض به مردم</w:t>
            </w:r>
            <w:r>
              <w:rPr>
                <w:rStyle w:val="IndexLink"/>
                <w:rtl w:val="true"/>
              </w:rPr>
              <w:tab/>
            </w:r>
            <w:r>
              <w:rPr>
                <w:rStyle w:val="IndexLink"/>
              </w:rPr>
              <w:t>273</w:t>
            </w:r>
          </w:hyperlink>
        </w:p>
        <w:p>
          <w:pPr>
            <w:pStyle w:val="Contents5"/>
            <w:tabs>
              <w:tab w:val="clear" w:pos="7892"/>
              <w:tab w:val="right" w:pos="9026" w:leader="dot"/>
            </w:tabs>
            <w:rPr/>
          </w:pPr>
          <w:hyperlink w:anchor="__RefHeading___Toc3585543_3650668749">
            <w:r>
              <w:rPr>
                <w:webHidden/>
                <w:rStyle w:val="IndexLink"/>
                <w:rtl w:val="true"/>
              </w:rPr>
              <w:t xml:space="preserve">چهار </w:t>
            </w:r>
            <w:r>
              <w:rPr>
                <w:rStyle w:val="IndexLink"/>
                <w:rtl w:val="true"/>
              </w:rPr>
              <w:t xml:space="preserve">- </w:t>
            </w:r>
            <w:r>
              <w:rPr>
                <w:rStyle w:val="IndexLink"/>
                <w:rtl w:val="true"/>
              </w:rPr>
              <w:t>نگهدارى مقدارى از اموال براى مواقع اضطرارى</w:t>
            </w:r>
            <w:r>
              <w:rPr>
                <w:rStyle w:val="IndexLink"/>
                <w:rtl w:val="true"/>
              </w:rPr>
              <w:tab/>
            </w:r>
            <w:r>
              <w:rPr>
                <w:rStyle w:val="IndexLink"/>
              </w:rPr>
              <w:t>274</w:t>
            </w:r>
          </w:hyperlink>
        </w:p>
        <w:p>
          <w:pPr>
            <w:pStyle w:val="Contents5"/>
            <w:tabs>
              <w:tab w:val="clear" w:pos="7892"/>
              <w:tab w:val="right" w:pos="9026" w:leader="dot"/>
            </w:tabs>
            <w:rPr/>
          </w:pPr>
          <w:hyperlink w:anchor="__RefHeading___Toc3585545_3650668749">
            <w:r>
              <w:rPr>
                <w:webHidden/>
                <w:rStyle w:val="IndexLink"/>
                <w:rtl w:val="true"/>
              </w:rPr>
              <w:t xml:space="preserve">پنج </w:t>
            </w:r>
            <w:r>
              <w:rPr>
                <w:rStyle w:val="IndexLink"/>
                <w:rtl w:val="true"/>
              </w:rPr>
              <w:t xml:space="preserve">- </w:t>
            </w:r>
            <w:r>
              <w:rPr>
                <w:rStyle w:val="IndexLink"/>
                <w:rtl w:val="true"/>
              </w:rPr>
              <w:t>رسيدگى به فقرا و يتيمان</w:t>
            </w:r>
            <w:r>
              <w:rPr>
                <w:rStyle w:val="IndexLink"/>
                <w:rtl w:val="true"/>
              </w:rPr>
              <w:tab/>
            </w:r>
            <w:r>
              <w:rPr>
                <w:rStyle w:val="IndexLink"/>
              </w:rPr>
              <w:t>274</w:t>
            </w:r>
          </w:hyperlink>
        </w:p>
        <w:p>
          <w:pPr>
            <w:pStyle w:val="Contents5"/>
            <w:tabs>
              <w:tab w:val="clear" w:pos="7892"/>
              <w:tab w:val="right" w:pos="9026" w:leader="dot"/>
            </w:tabs>
            <w:rPr/>
          </w:pPr>
          <w:hyperlink w:anchor="__RefHeading___Toc3585547_3650668749">
            <w:r>
              <w:rPr>
                <w:webHidden/>
                <w:rStyle w:val="IndexLink"/>
                <w:rtl w:val="true"/>
              </w:rPr>
              <w:t xml:space="preserve">شش </w:t>
            </w:r>
            <w:r>
              <w:rPr>
                <w:rStyle w:val="IndexLink"/>
                <w:rtl w:val="true"/>
              </w:rPr>
              <w:t xml:space="preserve">- </w:t>
            </w:r>
            <w:r>
              <w:rPr>
                <w:rStyle w:val="IndexLink"/>
                <w:rtl w:val="true"/>
              </w:rPr>
              <w:t>پرداخت به حكومت مركزى</w:t>
            </w:r>
            <w:r>
              <w:rPr>
                <w:rStyle w:val="IndexLink"/>
                <w:rtl w:val="true"/>
              </w:rPr>
              <w:tab/>
            </w:r>
            <w:r>
              <w:rPr>
                <w:rStyle w:val="IndexLink"/>
              </w:rPr>
              <w:t>274</w:t>
            </w:r>
          </w:hyperlink>
        </w:p>
        <w:p>
          <w:pPr>
            <w:pStyle w:val="Contents5"/>
            <w:tabs>
              <w:tab w:val="clear" w:pos="7892"/>
              <w:tab w:val="right" w:pos="9026" w:leader="dot"/>
            </w:tabs>
            <w:rPr/>
          </w:pPr>
          <w:hyperlink w:anchor="__RefHeading___Toc3585549_3650668749">
            <w:r>
              <w:rPr>
                <w:webHidden/>
                <w:rStyle w:val="IndexLink"/>
                <w:rtl w:val="true"/>
              </w:rPr>
              <w:t xml:space="preserve">هفت </w:t>
            </w:r>
            <w:r>
              <w:rPr>
                <w:rStyle w:val="IndexLink"/>
                <w:rtl w:val="true"/>
              </w:rPr>
              <w:t xml:space="preserve">- </w:t>
            </w:r>
            <w:r>
              <w:rPr>
                <w:rStyle w:val="IndexLink"/>
                <w:rtl w:val="true"/>
              </w:rPr>
              <w:t>عطاء و رزق</w:t>
            </w:r>
            <w:r>
              <w:rPr>
                <w:rStyle w:val="IndexLink"/>
                <w:rtl w:val="true"/>
              </w:rPr>
              <w:tab/>
            </w:r>
            <w:r>
              <w:rPr>
                <w:rStyle w:val="IndexLink"/>
              </w:rPr>
              <w:t>274</w:t>
            </w:r>
          </w:hyperlink>
        </w:p>
        <w:p>
          <w:pPr>
            <w:pStyle w:val="Contents6"/>
            <w:tabs>
              <w:tab w:val="clear" w:pos="7609"/>
              <w:tab w:val="right" w:pos="9026" w:leader="dot"/>
            </w:tabs>
            <w:rPr/>
          </w:pPr>
          <w:hyperlink w:anchor="__RefHeading___Toc3585551_3650668749">
            <w:r>
              <w:rPr>
                <w:webHidden/>
                <w:rStyle w:val="IndexLink"/>
                <w:rtl w:val="true"/>
              </w:rPr>
              <w:t xml:space="preserve">اول </w:t>
            </w:r>
            <w:r>
              <w:rPr>
                <w:rStyle w:val="IndexLink"/>
                <w:rtl w:val="true"/>
              </w:rPr>
              <w:t xml:space="preserve">- </w:t>
            </w:r>
            <w:r>
              <w:rPr>
                <w:rStyle w:val="IndexLink"/>
                <w:rtl w:val="true"/>
              </w:rPr>
              <w:t>عطاء</w:t>
            </w:r>
            <w:r>
              <w:rPr>
                <w:rStyle w:val="IndexLink"/>
                <w:rtl w:val="true"/>
              </w:rPr>
              <w:tab/>
            </w:r>
            <w:r>
              <w:rPr>
                <w:rStyle w:val="IndexLink"/>
              </w:rPr>
              <w:t>274</w:t>
            </w:r>
          </w:hyperlink>
        </w:p>
        <w:p>
          <w:pPr>
            <w:pStyle w:val="Contents6"/>
            <w:tabs>
              <w:tab w:val="clear" w:pos="7609"/>
              <w:tab w:val="right" w:pos="9026" w:leader="dot"/>
            </w:tabs>
            <w:rPr/>
          </w:pPr>
          <w:hyperlink w:anchor="__RefHeading___Toc3585553_3650668749">
            <w:r>
              <w:rPr>
                <w:webHidden/>
                <w:rStyle w:val="IndexLink"/>
                <w:rtl w:val="true"/>
              </w:rPr>
              <w:t xml:space="preserve">دوم </w:t>
            </w:r>
            <w:r>
              <w:rPr>
                <w:rStyle w:val="IndexLink"/>
                <w:rtl w:val="true"/>
              </w:rPr>
              <w:t xml:space="preserve">- </w:t>
            </w:r>
            <w:r>
              <w:rPr>
                <w:rStyle w:val="IndexLink"/>
                <w:rtl w:val="true"/>
              </w:rPr>
              <w:t>رزق</w:t>
            </w:r>
            <w:r>
              <w:rPr>
                <w:rStyle w:val="IndexLink"/>
                <w:rtl w:val="true"/>
              </w:rPr>
              <w:tab/>
            </w:r>
            <w:r>
              <w:rPr>
                <w:rStyle w:val="IndexLink"/>
              </w:rPr>
              <w:t>280</w:t>
            </w:r>
          </w:hyperlink>
        </w:p>
        <w:p>
          <w:pPr>
            <w:pStyle w:val="Contents4"/>
            <w:tabs>
              <w:tab w:val="clear" w:pos="8176"/>
              <w:tab w:val="right" w:pos="9026" w:leader="dot"/>
            </w:tabs>
            <w:rPr/>
          </w:pPr>
          <w:hyperlink w:anchor="__RefHeading___Toc3585555_3650668749">
            <w:r>
              <w:rPr>
                <w:webHidden/>
                <w:rStyle w:val="IndexLink"/>
                <w:rtl w:val="true"/>
              </w:rPr>
              <w:t>ج</w:t>
            </w:r>
            <w:r>
              <w:rPr>
                <w:rStyle w:val="IndexLink"/>
                <w:rtl w:val="true"/>
              </w:rPr>
              <w:t xml:space="preserve">) </w:t>
            </w:r>
            <w:r>
              <w:rPr>
                <w:rStyle w:val="IndexLink"/>
                <w:rtl w:val="true"/>
              </w:rPr>
              <w:t>سطح زندگى مردم و قيمت بعضى از كالاها</w:t>
            </w:r>
            <w:r>
              <w:rPr>
                <w:rStyle w:val="IndexLink"/>
                <w:rtl w:val="true"/>
              </w:rPr>
              <w:tab/>
            </w:r>
            <w:r>
              <w:rPr>
                <w:rStyle w:val="IndexLink"/>
              </w:rPr>
              <w:t>281</w:t>
            </w:r>
          </w:hyperlink>
        </w:p>
        <w:p>
          <w:pPr>
            <w:pStyle w:val="Contents2"/>
            <w:tabs>
              <w:tab w:val="clear" w:pos="8743"/>
              <w:tab w:val="right" w:pos="9026" w:leader="dot"/>
            </w:tabs>
            <w:rPr/>
          </w:pPr>
          <w:hyperlink w:anchor="__RefHeading___Toc3585557_3650668749">
            <w:r>
              <w:rPr>
                <w:webHidden/>
                <w:rStyle w:val="IndexLink"/>
                <w:rtl w:val="true"/>
              </w:rPr>
              <w:t>فصل پنجم</w:t>
            </w:r>
            <w:r>
              <w:rPr>
                <w:rStyle w:val="IndexLink"/>
                <w:rtl w:val="true"/>
              </w:rPr>
              <w:t xml:space="preserve">: </w:t>
            </w:r>
            <w:r>
              <w:rPr>
                <w:rStyle w:val="IndexLink"/>
                <w:rtl w:val="true"/>
              </w:rPr>
              <w:t>مسائل فرهنگى و تعليم و تربيت</w:t>
            </w:r>
            <w:r>
              <w:rPr>
                <w:rStyle w:val="IndexLink"/>
                <w:rtl w:val="true"/>
              </w:rPr>
              <w:tab/>
            </w:r>
            <w:r>
              <w:rPr>
                <w:rStyle w:val="IndexLink"/>
              </w:rPr>
              <w:t>285</w:t>
            </w:r>
          </w:hyperlink>
        </w:p>
        <w:p>
          <w:pPr>
            <w:pStyle w:val="Contents3"/>
            <w:tabs>
              <w:tab w:val="clear" w:pos="8459"/>
              <w:tab w:val="right" w:pos="9026" w:leader="dot"/>
            </w:tabs>
            <w:rPr/>
          </w:pPr>
          <w:hyperlink w:anchor="__RefHeading___Toc3585559_3650668749">
            <w:r>
              <w:rPr>
                <w:webHidden/>
                <w:rStyle w:val="IndexLink"/>
                <w:rtl w:val="true"/>
              </w:rPr>
              <w:t>اشاره</w:t>
            </w:r>
            <w:r>
              <w:rPr>
                <w:rStyle w:val="IndexLink"/>
                <w:rtl w:val="true"/>
              </w:rPr>
              <w:tab/>
            </w:r>
            <w:r>
              <w:rPr>
                <w:rStyle w:val="IndexLink"/>
              </w:rPr>
              <w:t>285</w:t>
            </w:r>
          </w:hyperlink>
        </w:p>
        <w:p>
          <w:pPr>
            <w:pStyle w:val="Contents3"/>
            <w:tabs>
              <w:tab w:val="clear" w:pos="8459"/>
              <w:tab w:val="right" w:pos="9026" w:leader="dot"/>
            </w:tabs>
            <w:rPr/>
          </w:pPr>
          <w:hyperlink w:anchor="__RefHeading___Toc3585561_3650668749">
            <w:r>
              <w:rPr>
                <w:webHidden/>
                <w:rStyle w:val="IndexLink"/>
              </w:rPr>
              <w:t>١</w:t>
            </w:r>
            <w:r>
              <w:rPr>
                <w:rStyle w:val="IndexLink"/>
                <w:rtl w:val="true"/>
              </w:rPr>
              <w:t xml:space="preserve">. </w:t>
            </w:r>
            <w:r>
              <w:rPr>
                <w:rStyle w:val="IndexLink"/>
                <w:rtl w:val="true"/>
              </w:rPr>
              <w:t>تعليم و تربيت</w:t>
            </w:r>
            <w:r>
              <w:rPr>
                <w:rStyle w:val="IndexLink"/>
                <w:rtl w:val="true"/>
              </w:rPr>
              <w:tab/>
            </w:r>
            <w:r>
              <w:rPr>
                <w:rStyle w:val="IndexLink"/>
              </w:rPr>
              <w:t>286</w:t>
            </w:r>
          </w:hyperlink>
        </w:p>
        <w:p>
          <w:pPr>
            <w:pStyle w:val="Contents3"/>
            <w:tabs>
              <w:tab w:val="clear" w:pos="8459"/>
              <w:tab w:val="right" w:pos="9026" w:leader="dot"/>
            </w:tabs>
            <w:rPr/>
          </w:pPr>
          <w:hyperlink w:anchor="__RefHeading___Toc3585563_3650668749">
            <w:r>
              <w:rPr>
                <w:webHidden/>
                <w:rStyle w:val="IndexLink"/>
              </w:rPr>
              <w:t>٢</w:t>
            </w:r>
            <w:r>
              <w:rPr>
                <w:rStyle w:val="IndexLink"/>
                <w:rtl w:val="true"/>
              </w:rPr>
              <w:t xml:space="preserve">. </w:t>
            </w:r>
            <w:r>
              <w:rPr>
                <w:rStyle w:val="IndexLink"/>
                <w:rtl w:val="true"/>
              </w:rPr>
              <w:t>شخصيت‌هاى فرهنگى</w:t>
            </w:r>
            <w:r>
              <w:rPr>
                <w:rStyle w:val="IndexLink"/>
                <w:rtl w:val="true"/>
              </w:rPr>
              <w:tab/>
            </w:r>
            <w:r>
              <w:rPr>
                <w:rStyle w:val="IndexLink"/>
              </w:rPr>
              <w:t>290</w:t>
            </w:r>
          </w:hyperlink>
        </w:p>
        <w:p>
          <w:pPr>
            <w:pStyle w:val="Contents4"/>
            <w:tabs>
              <w:tab w:val="clear" w:pos="8176"/>
              <w:tab w:val="right" w:pos="9026" w:leader="dot"/>
            </w:tabs>
            <w:rPr/>
          </w:pPr>
          <w:hyperlink w:anchor="__RefHeading___Toc3585565_3650668749">
            <w:r>
              <w:rPr>
                <w:webHidden/>
                <w:rStyle w:val="IndexLink"/>
                <w:rtl w:val="true"/>
              </w:rPr>
              <w:t>الف</w:t>
            </w:r>
            <w:r>
              <w:rPr>
                <w:rStyle w:val="IndexLink"/>
                <w:rtl w:val="true"/>
              </w:rPr>
              <w:t xml:space="preserve">) </w:t>
            </w:r>
            <w:r>
              <w:rPr>
                <w:rStyle w:val="IndexLink"/>
                <w:rtl w:val="true"/>
              </w:rPr>
              <w:t>شاعران</w:t>
            </w:r>
            <w:r>
              <w:rPr>
                <w:rStyle w:val="IndexLink"/>
                <w:rtl w:val="true"/>
              </w:rPr>
              <w:tab/>
            </w:r>
            <w:r>
              <w:rPr>
                <w:rStyle w:val="IndexLink"/>
              </w:rPr>
              <w:t>290</w:t>
            </w:r>
          </w:hyperlink>
        </w:p>
        <w:p>
          <w:pPr>
            <w:pStyle w:val="Contents5"/>
            <w:tabs>
              <w:tab w:val="clear" w:pos="7892"/>
              <w:tab w:val="right" w:pos="9026" w:leader="dot"/>
            </w:tabs>
            <w:rPr/>
          </w:pPr>
          <w:hyperlink w:anchor="__RefHeading___Toc3585567_3650668749">
            <w:r>
              <w:rPr>
                <w:webHidden/>
                <w:rStyle w:val="IndexLink"/>
                <w:rtl w:val="true"/>
              </w:rPr>
              <w:t xml:space="preserve">يك </w:t>
            </w:r>
            <w:r>
              <w:rPr>
                <w:rStyle w:val="IndexLink"/>
                <w:rtl w:val="true"/>
              </w:rPr>
              <w:t xml:space="preserve">- </w:t>
            </w:r>
            <w:r>
              <w:rPr>
                <w:rStyle w:val="IndexLink"/>
                <w:rtl w:val="true"/>
              </w:rPr>
              <w:t>كلياتى در باره شعر در صدر اسلام</w:t>
            </w:r>
            <w:r>
              <w:rPr>
                <w:rStyle w:val="IndexLink"/>
                <w:rtl w:val="true"/>
              </w:rPr>
              <w:tab/>
            </w:r>
            <w:r>
              <w:rPr>
                <w:rStyle w:val="IndexLink"/>
              </w:rPr>
              <w:t>290</w:t>
            </w:r>
          </w:hyperlink>
        </w:p>
        <w:p>
          <w:pPr>
            <w:pStyle w:val="Contents6"/>
            <w:tabs>
              <w:tab w:val="clear" w:pos="7609"/>
              <w:tab w:val="right" w:pos="9026" w:leader="dot"/>
            </w:tabs>
            <w:rPr/>
          </w:pPr>
          <w:hyperlink w:anchor="__RefHeading___Toc3585569_3650668749">
            <w:r>
              <w:rPr>
                <w:webHidden/>
                <w:rStyle w:val="IndexLink"/>
                <w:rtl w:val="true"/>
              </w:rPr>
              <w:t>اشاره</w:t>
            </w:r>
            <w:r>
              <w:rPr>
                <w:rStyle w:val="IndexLink"/>
                <w:rtl w:val="true"/>
              </w:rPr>
              <w:tab/>
            </w:r>
            <w:r>
              <w:rPr>
                <w:rStyle w:val="IndexLink"/>
              </w:rPr>
              <w:t>290</w:t>
            </w:r>
          </w:hyperlink>
        </w:p>
        <w:p>
          <w:pPr>
            <w:pStyle w:val="Contents6"/>
            <w:tabs>
              <w:tab w:val="clear" w:pos="7609"/>
              <w:tab w:val="right" w:pos="9026" w:leader="dot"/>
            </w:tabs>
            <w:rPr/>
          </w:pPr>
          <w:hyperlink w:anchor="__RefHeading___Toc3585571_3650668749">
            <w:r>
              <w:rPr>
                <w:webHidden/>
                <w:rStyle w:val="IndexLink"/>
                <w:rtl w:val="true"/>
              </w:rPr>
              <w:t xml:space="preserve">اول </w:t>
            </w:r>
            <w:r>
              <w:rPr>
                <w:rStyle w:val="IndexLink"/>
                <w:rtl w:val="true"/>
              </w:rPr>
              <w:t xml:space="preserve">- </w:t>
            </w:r>
            <w:r>
              <w:rPr>
                <w:rStyle w:val="IndexLink"/>
                <w:rtl w:val="true"/>
              </w:rPr>
              <w:t>اسلام</w:t>
            </w:r>
            <w:r>
              <w:rPr>
                <w:rStyle w:val="IndexLink"/>
                <w:rtl w:val="true"/>
              </w:rPr>
              <w:tab/>
            </w:r>
            <w:r>
              <w:rPr>
                <w:rStyle w:val="IndexLink"/>
              </w:rPr>
              <w:t>291</w:t>
            </w:r>
          </w:hyperlink>
        </w:p>
        <w:p>
          <w:pPr>
            <w:pStyle w:val="Contents6"/>
            <w:tabs>
              <w:tab w:val="clear" w:pos="7609"/>
              <w:tab w:val="right" w:pos="9026" w:leader="dot"/>
            </w:tabs>
            <w:rPr/>
          </w:pPr>
          <w:hyperlink w:anchor="__RefHeading___Toc3585573_3650668749">
            <w:r>
              <w:rPr>
                <w:webHidden/>
                <w:rStyle w:val="IndexLink"/>
                <w:rtl w:val="true"/>
              </w:rPr>
              <w:t xml:space="preserve">دوم </w:t>
            </w:r>
            <w:r>
              <w:rPr>
                <w:rStyle w:val="IndexLink"/>
                <w:rtl w:val="true"/>
              </w:rPr>
              <w:t xml:space="preserve">- </w:t>
            </w:r>
            <w:r>
              <w:rPr>
                <w:rStyle w:val="IndexLink"/>
                <w:rtl w:val="true"/>
              </w:rPr>
              <w:t>ارتباط اعراب با مليّت‌هاى مختلف</w:t>
            </w:r>
            <w:r>
              <w:rPr>
                <w:rStyle w:val="IndexLink"/>
                <w:rtl w:val="true"/>
              </w:rPr>
              <w:tab/>
            </w:r>
            <w:r>
              <w:rPr>
                <w:rStyle w:val="IndexLink"/>
              </w:rPr>
              <w:t>291</w:t>
            </w:r>
          </w:hyperlink>
        </w:p>
        <w:p>
          <w:pPr>
            <w:pStyle w:val="Contents6"/>
            <w:tabs>
              <w:tab w:val="clear" w:pos="7609"/>
              <w:tab w:val="right" w:pos="9026" w:leader="dot"/>
            </w:tabs>
            <w:rPr/>
          </w:pPr>
          <w:hyperlink w:anchor="__RefHeading___Toc3585575_3650668749">
            <w:r>
              <w:rPr>
                <w:webHidden/>
                <w:rStyle w:val="IndexLink"/>
                <w:rtl w:val="true"/>
              </w:rPr>
              <w:t xml:space="preserve">سوم </w:t>
            </w:r>
            <w:r>
              <w:rPr>
                <w:rStyle w:val="IndexLink"/>
                <w:rtl w:val="true"/>
              </w:rPr>
              <w:t xml:space="preserve">- </w:t>
            </w:r>
            <w:r>
              <w:rPr>
                <w:rStyle w:val="IndexLink"/>
                <w:rtl w:val="true"/>
              </w:rPr>
              <w:t>تمدن و فرهنگ تازه</w:t>
            </w:r>
            <w:r>
              <w:rPr>
                <w:rStyle w:val="IndexLink"/>
                <w:rtl w:val="true"/>
              </w:rPr>
              <w:tab/>
            </w:r>
            <w:r>
              <w:rPr>
                <w:rStyle w:val="IndexLink"/>
              </w:rPr>
              <w:t>291</w:t>
            </w:r>
          </w:hyperlink>
        </w:p>
        <w:p>
          <w:pPr>
            <w:pStyle w:val="Contents6"/>
            <w:tabs>
              <w:tab w:val="clear" w:pos="7609"/>
              <w:tab w:val="right" w:pos="9026" w:leader="dot"/>
            </w:tabs>
            <w:rPr/>
          </w:pPr>
          <w:hyperlink w:anchor="__RefHeading___Toc3585577_3650668749">
            <w:r>
              <w:rPr>
                <w:webHidden/>
                <w:rStyle w:val="IndexLink"/>
                <w:rtl w:val="true"/>
              </w:rPr>
              <w:t xml:space="preserve">چهارم </w:t>
            </w:r>
            <w:r>
              <w:rPr>
                <w:rStyle w:val="IndexLink"/>
                <w:rtl w:val="true"/>
              </w:rPr>
              <w:t xml:space="preserve">- </w:t>
            </w:r>
            <w:r>
              <w:rPr>
                <w:rStyle w:val="IndexLink"/>
                <w:rtl w:val="true"/>
              </w:rPr>
              <w:t>سياست</w:t>
            </w:r>
            <w:r>
              <w:rPr>
                <w:rStyle w:val="IndexLink"/>
                <w:rtl w:val="true"/>
              </w:rPr>
              <w:tab/>
            </w:r>
            <w:r>
              <w:rPr>
                <w:rStyle w:val="IndexLink"/>
              </w:rPr>
              <w:t>291</w:t>
            </w:r>
          </w:hyperlink>
        </w:p>
        <w:p>
          <w:pPr>
            <w:pStyle w:val="Contents5"/>
            <w:tabs>
              <w:tab w:val="clear" w:pos="7892"/>
              <w:tab w:val="right" w:pos="9026" w:leader="dot"/>
            </w:tabs>
            <w:rPr/>
          </w:pPr>
          <w:hyperlink w:anchor="__RefHeading___Toc3585579_3650668749">
            <w:r>
              <w:rPr>
                <w:webHidden/>
                <w:rStyle w:val="IndexLink"/>
                <w:rtl w:val="true"/>
              </w:rPr>
              <w:t xml:space="preserve">دو </w:t>
            </w:r>
            <w:r>
              <w:rPr>
                <w:rStyle w:val="IndexLink"/>
                <w:rtl w:val="true"/>
              </w:rPr>
              <w:t xml:space="preserve">- </w:t>
            </w:r>
            <w:r>
              <w:rPr>
                <w:rStyle w:val="IndexLink"/>
                <w:rtl w:val="true"/>
              </w:rPr>
              <w:t>شاعران</w:t>
            </w:r>
            <w:r>
              <w:rPr>
                <w:rStyle w:val="IndexLink"/>
                <w:rtl w:val="true"/>
              </w:rPr>
              <w:tab/>
            </w:r>
            <w:r>
              <w:rPr>
                <w:rStyle w:val="IndexLink"/>
              </w:rPr>
              <w:t>293</w:t>
            </w:r>
          </w:hyperlink>
        </w:p>
        <w:p>
          <w:pPr>
            <w:pStyle w:val="Contents6"/>
            <w:tabs>
              <w:tab w:val="clear" w:pos="7609"/>
              <w:tab w:val="right" w:pos="9026" w:leader="dot"/>
            </w:tabs>
            <w:rPr/>
          </w:pPr>
          <w:hyperlink w:anchor="__RefHeading___Toc3585581_3650668749">
            <w:r>
              <w:rPr>
                <w:webHidden/>
                <w:rStyle w:val="IndexLink"/>
                <w:rtl w:val="true"/>
              </w:rPr>
              <w:t>اشاره</w:t>
            </w:r>
            <w:r>
              <w:rPr>
                <w:rStyle w:val="IndexLink"/>
                <w:rtl w:val="true"/>
              </w:rPr>
              <w:tab/>
            </w:r>
            <w:r>
              <w:rPr>
                <w:rStyle w:val="IndexLink"/>
              </w:rPr>
              <w:t>293</w:t>
            </w:r>
          </w:hyperlink>
        </w:p>
        <w:p>
          <w:pPr>
            <w:pStyle w:val="Contents6"/>
            <w:tabs>
              <w:tab w:val="clear" w:pos="7609"/>
              <w:tab w:val="right" w:pos="9026" w:leader="dot"/>
            </w:tabs>
            <w:rPr/>
          </w:pPr>
          <w:hyperlink w:anchor="__RefHeading___Toc3585583_3650668749">
            <w:r>
              <w:rPr>
                <w:webHidden/>
                <w:rStyle w:val="IndexLink"/>
                <w:rtl w:val="true"/>
              </w:rPr>
              <w:t xml:space="preserve">اول </w:t>
            </w:r>
            <w:r>
              <w:rPr>
                <w:rStyle w:val="IndexLink"/>
                <w:rtl w:val="true"/>
              </w:rPr>
              <w:t xml:space="preserve">- </w:t>
            </w:r>
            <w:r>
              <w:rPr>
                <w:rStyle w:val="IndexLink"/>
                <w:rtl w:val="true"/>
              </w:rPr>
              <w:t>قيس بن عمرو حارثى، معروف به نجاشى</w:t>
            </w:r>
            <w:r>
              <w:rPr>
                <w:rStyle w:val="IndexLink"/>
                <w:rtl w:val="true"/>
              </w:rPr>
              <w:tab/>
            </w:r>
            <w:r>
              <w:rPr>
                <w:rStyle w:val="IndexLink"/>
              </w:rPr>
              <w:t>293</w:t>
            </w:r>
          </w:hyperlink>
        </w:p>
        <w:p>
          <w:pPr>
            <w:pStyle w:val="Contents6"/>
            <w:tabs>
              <w:tab w:val="clear" w:pos="7609"/>
              <w:tab w:val="right" w:pos="9026" w:leader="dot"/>
            </w:tabs>
            <w:rPr/>
          </w:pPr>
          <w:hyperlink w:anchor="__RefHeading___Toc3585585_3650668749">
            <w:r>
              <w:rPr>
                <w:webHidden/>
                <w:rStyle w:val="IndexLink"/>
                <w:rtl w:val="true"/>
              </w:rPr>
              <w:t xml:space="preserve">دوم </w:t>
            </w:r>
            <w:r>
              <w:rPr>
                <w:rStyle w:val="IndexLink"/>
                <w:rtl w:val="true"/>
              </w:rPr>
              <w:t xml:space="preserve">- </w:t>
            </w:r>
            <w:r>
              <w:rPr>
                <w:rStyle w:val="IndexLink"/>
                <w:rtl w:val="true"/>
              </w:rPr>
              <w:t>رَبيعة بن مَقْرُوم قيسي</w:t>
            </w:r>
            <w:r>
              <w:rPr>
                <w:rStyle w:val="IndexLink"/>
                <w:rtl w:val="true"/>
              </w:rPr>
              <w:tab/>
            </w:r>
            <w:r>
              <w:rPr>
                <w:rStyle w:val="IndexLink"/>
              </w:rPr>
              <w:t>294</w:t>
            </w:r>
          </w:hyperlink>
        </w:p>
        <w:p>
          <w:pPr>
            <w:pStyle w:val="Contents6"/>
            <w:tabs>
              <w:tab w:val="clear" w:pos="7609"/>
              <w:tab w:val="right" w:pos="9026" w:leader="dot"/>
            </w:tabs>
            <w:rPr/>
          </w:pPr>
          <w:hyperlink w:anchor="__RefHeading___Toc3585587_3650668749">
            <w:r>
              <w:rPr>
                <w:webHidden/>
                <w:rStyle w:val="IndexLink"/>
                <w:rtl w:val="true"/>
              </w:rPr>
              <w:t xml:space="preserve">سوم </w:t>
            </w:r>
            <w:r>
              <w:rPr>
                <w:rStyle w:val="IndexLink"/>
                <w:rtl w:val="true"/>
              </w:rPr>
              <w:t xml:space="preserve">- </w:t>
            </w:r>
            <w:r>
              <w:rPr>
                <w:rStyle w:val="IndexLink"/>
                <w:rtl w:val="true"/>
              </w:rPr>
              <w:t>جَرْوَل بن اَوْس، معروف به حُطَيئه</w:t>
            </w:r>
            <w:r>
              <w:rPr>
                <w:rStyle w:val="IndexLink"/>
                <w:rtl w:val="true"/>
              </w:rPr>
              <w:tab/>
            </w:r>
            <w:r>
              <w:rPr>
                <w:rStyle w:val="IndexLink"/>
              </w:rPr>
              <w:t>294</w:t>
            </w:r>
          </w:hyperlink>
        </w:p>
        <w:p>
          <w:pPr>
            <w:pStyle w:val="Contents6"/>
            <w:tabs>
              <w:tab w:val="clear" w:pos="7609"/>
              <w:tab w:val="right" w:pos="9026" w:leader="dot"/>
            </w:tabs>
            <w:rPr/>
          </w:pPr>
          <w:hyperlink w:anchor="__RefHeading___Toc3585589_3650668749">
            <w:r>
              <w:rPr>
                <w:webHidden/>
                <w:rStyle w:val="IndexLink"/>
                <w:rtl w:val="true"/>
              </w:rPr>
              <w:t xml:space="preserve">چهارم </w:t>
            </w:r>
            <w:r>
              <w:rPr>
                <w:rStyle w:val="IndexLink"/>
                <w:rtl w:val="true"/>
              </w:rPr>
              <w:t xml:space="preserve">- </w:t>
            </w:r>
            <w:r>
              <w:rPr>
                <w:rStyle w:val="IndexLink"/>
                <w:rtl w:val="true"/>
              </w:rPr>
              <w:t>شويد بن ابي‌كاهل</w:t>
            </w:r>
            <w:r>
              <w:rPr>
                <w:rStyle w:val="IndexLink"/>
                <w:rtl w:val="true"/>
              </w:rPr>
              <w:tab/>
            </w:r>
            <w:r>
              <w:rPr>
                <w:rStyle w:val="IndexLink"/>
              </w:rPr>
              <w:t>294</w:t>
            </w:r>
          </w:hyperlink>
        </w:p>
        <w:p>
          <w:pPr>
            <w:pStyle w:val="Contents6"/>
            <w:tabs>
              <w:tab w:val="clear" w:pos="7609"/>
              <w:tab w:val="right" w:pos="9026" w:leader="dot"/>
            </w:tabs>
            <w:rPr/>
          </w:pPr>
          <w:hyperlink w:anchor="__RefHeading___Toc3585591_3650668749">
            <w:r>
              <w:rPr>
                <w:webHidden/>
                <w:rStyle w:val="IndexLink"/>
                <w:rtl w:val="true"/>
              </w:rPr>
              <w:t xml:space="preserve">پنجم </w:t>
            </w:r>
            <w:r>
              <w:rPr>
                <w:rStyle w:val="IndexLink"/>
                <w:rtl w:val="true"/>
              </w:rPr>
              <w:t xml:space="preserve">- </w:t>
            </w:r>
            <w:r>
              <w:rPr>
                <w:rStyle w:val="IndexLink"/>
                <w:rtl w:val="true"/>
              </w:rPr>
              <w:t>نابغه جُعدي</w:t>
            </w:r>
            <w:r>
              <w:rPr>
                <w:rStyle w:val="IndexLink"/>
                <w:rtl w:val="true"/>
              </w:rPr>
              <w:tab/>
            </w:r>
            <w:r>
              <w:rPr>
                <w:rStyle w:val="IndexLink"/>
              </w:rPr>
              <w:t>295</w:t>
            </w:r>
          </w:hyperlink>
        </w:p>
        <w:p>
          <w:pPr>
            <w:pStyle w:val="Contents6"/>
            <w:tabs>
              <w:tab w:val="clear" w:pos="7609"/>
              <w:tab w:val="right" w:pos="9026" w:leader="dot"/>
            </w:tabs>
            <w:rPr/>
          </w:pPr>
          <w:hyperlink w:anchor="__RefHeading___Toc3585593_3650668749">
            <w:r>
              <w:rPr>
                <w:webHidden/>
                <w:rStyle w:val="IndexLink"/>
                <w:rtl w:val="true"/>
              </w:rPr>
              <w:t xml:space="preserve">ششم </w:t>
            </w:r>
            <w:r>
              <w:rPr>
                <w:rStyle w:val="IndexLink"/>
                <w:rtl w:val="true"/>
              </w:rPr>
              <w:t xml:space="preserve">- </w:t>
            </w:r>
            <w:r>
              <w:rPr>
                <w:rStyle w:val="IndexLink"/>
                <w:rtl w:val="true"/>
              </w:rPr>
              <w:t>ظالم بن عمرو بن سفيان، معروف به ابوالاسود دئلي</w:t>
            </w:r>
            <w:r>
              <w:rPr>
                <w:rStyle w:val="IndexLink"/>
                <w:rtl w:val="true"/>
              </w:rPr>
              <w:tab/>
            </w:r>
            <w:r>
              <w:rPr>
                <w:rStyle w:val="IndexLink"/>
              </w:rPr>
              <w:t>295</w:t>
            </w:r>
          </w:hyperlink>
        </w:p>
        <w:p>
          <w:pPr>
            <w:pStyle w:val="Contents6"/>
            <w:tabs>
              <w:tab w:val="clear" w:pos="7609"/>
              <w:tab w:val="right" w:pos="9026" w:leader="dot"/>
            </w:tabs>
            <w:rPr/>
          </w:pPr>
          <w:hyperlink w:anchor="__RefHeading___Toc3585595_3650668749">
            <w:r>
              <w:rPr>
                <w:webHidden/>
                <w:rStyle w:val="IndexLink"/>
                <w:rtl w:val="true"/>
              </w:rPr>
              <w:t xml:space="preserve">هفتم </w:t>
            </w:r>
            <w:r>
              <w:rPr>
                <w:rStyle w:val="IndexLink"/>
                <w:rtl w:val="true"/>
              </w:rPr>
              <w:t xml:space="preserve">- </w:t>
            </w:r>
            <w:r>
              <w:rPr>
                <w:rStyle w:val="IndexLink"/>
                <w:rtl w:val="true"/>
              </w:rPr>
              <w:t>متوكل بن عبدالله بن كُنانه، معروف به متوكل ليثي و متوكل كُناني</w:t>
            </w:r>
            <w:r>
              <w:rPr>
                <w:rStyle w:val="IndexLink"/>
                <w:rtl w:val="true"/>
              </w:rPr>
              <w:tab/>
            </w:r>
            <w:r>
              <w:rPr>
                <w:rStyle w:val="IndexLink"/>
              </w:rPr>
              <w:t>295</w:t>
            </w:r>
          </w:hyperlink>
        </w:p>
        <w:p>
          <w:pPr>
            <w:pStyle w:val="Contents6"/>
            <w:tabs>
              <w:tab w:val="clear" w:pos="7609"/>
              <w:tab w:val="right" w:pos="9026" w:leader="dot"/>
            </w:tabs>
            <w:rPr/>
          </w:pPr>
          <w:hyperlink w:anchor="__RefHeading___Toc3585597_3650668749">
            <w:r>
              <w:rPr>
                <w:webHidden/>
                <w:rStyle w:val="IndexLink"/>
                <w:rtl w:val="true"/>
              </w:rPr>
              <w:t xml:space="preserve">هشتم </w:t>
            </w:r>
            <w:r>
              <w:rPr>
                <w:rStyle w:val="IndexLink"/>
                <w:rtl w:val="true"/>
              </w:rPr>
              <w:t xml:space="preserve">- </w:t>
            </w:r>
            <w:r>
              <w:rPr>
                <w:rStyle w:val="IndexLink"/>
                <w:rtl w:val="true"/>
              </w:rPr>
              <w:t>ابو مَعْرَض مُغَيرة بن عبدالله بن مُدْرَكَه، مشهور به اُقَيْشِر اَسَدي</w:t>
            </w:r>
            <w:r>
              <w:rPr>
                <w:rStyle w:val="IndexLink"/>
                <w:rtl w:val="true"/>
              </w:rPr>
              <w:tab/>
            </w:r>
            <w:r>
              <w:rPr>
                <w:rStyle w:val="IndexLink"/>
              </w:rPr>
              <w:t>296</w:t>
            </w:r>
          </w:hyperlink>
        </w:p>
        <w:p>
          <w:pPr>
            <w:pStyle w:val="Contents6"/>
            <w:tabs>
              <w:tab w:val="clear" w:pos="7609"/>
              <w:tab w:val="right" w:pos="9026" w:leader="dot"/>
            </w:tabs>
            <w:rPr/>
          </w:pPr>
          <w:hyperlink w:anchor="__RefHeading___Toc3585599_3650668749">
            <w:r>
              <w:rPr>
                <w:webHidden/>
                <w:rStyle w:val="IndexLink"/>
                <w:rtl w:val="true"/>
              </w:rPr>
              <w:t xml:space="preserve">نهم </w:t>
            </w:r>
            <w:r>
              <w:rPr>
                <w:rStyle w:val="IndexLink"/>
                <w:rtl w:val="true"/>
              </w:rPr>
              <w:t xml:space="preserve">- </w:t>
            </w:r>
            <w:r>
              <w:rPr>
                <w:rStyle w:val="IndexLink"/>
                <w:rtl w:val="true"/>
              </w:rPr>
              <w:t>عبدالله بن زبير اسدي</w:t>
            </w:r>
            <w:r>
              <w:rPr>
                <w:rStyle w:val="IndexLink"/>
                <w:rtl w:val="true"/>
              </w:rPr>
              <w:tab/>
            </w:r>
            <w:r>
              <w:rPr>
                <w:rStyle w:val="IndexLink"/>
              </w:rPr>
              <w:t>296</w:t>
            </w:r>
          </w:hyperlink>
        </w:p>
        <w:p>
          <w:pPr>
            <w:pStyle w:val="Contents6"/>
            <w:tabs>
              <w:tab w:val="clear" w:pos="7609"/>
              <w:tab w:val="right" w:pos="9026" w:leader="dot"/>
            </w:tabs>
            <w:rPr/>
          </w:pPr>
          <w:hyperlink w:anchor="__RefHeading___Toc3585601_3650668749">
            <w:r>
              <w:rPr>
                <w:webHidden/>
                <w:rStyle w:val="IndexLink"/>
                <w:rtl w:val="true"/>
              </w:rPr>
              <w:t xml:space="preserve">دهم </w:t>
            </w:r>
            <w:r>
              <w:rPr>
                <w:rStyle w:val="IndexLink"/>
                <w:rtl w:val="true"/>
              </w:rPr>
              <w:t xml:space="preserve">- </w:t>
            </w:r>
            <w:r>
              <w:rPr>
                <w:rStyle w:val="IndexLink"/>
                <w:rtl w:val="true"/>
              </w:rPr>
              <w:t>سُراقة بن مِرْداس بارقي</w:t>
            </w:r>
            <w:r>
              <w:rPr>
                <w:rStyle w:val="IndexLink"/>
                <w:rtl w:val="true"/>
              </w:rPr>
              <w:tab/>
            </w:r>
            <w:r>
              <w:rPr>
                <w:rStyle w:val="IndexLink"/>
              </w:rPr>
              <w:t>296</w:t>
            </w:r>
          </w:hyperlink>
        </w:p>
        <w:p>
          <w:pPr>
            <w:pStyle w:val="Contents6"/>
            <w:tabs>
              <w:tab w:val="clear" w:pos="7609"/>
              <w:tab w:val="right" w:pos="9026" w:leader="dot"/>
            </w:tabs>
            <w:rPr/>
          </w:pPr>
          <w:hyperlink w:anchor="__RefHeading___Toc3585603_3650668749">
            <w:r>
              <w:rPr>
                <w:webHidden/>
                <w:rStyle w:val="IndexLink"/>
                <w:rtl w:val="true"/>
              </w:rPr>
              <w:t xml:space="preserve">يازدهم </w:t>
            </w:r>
            <w:r>
              <w:rPr>
                <w:rStyle w:val="IndexLink"/>
                <w:rtl w:val="true"/>
              </w:rPr>
              <w:t xml:space="preserve">- </w:t>
            </w:r>
            <w:r>
              <w:rPr>
                <w:rStyle w:val="IndexLink"/>
                <w:rtl w:val="true"/>
              </w:rPr>
              <w:t>اَيْمَن بن خُرَيم</w:t>
            </w:r>
            <w:r>
              <w:rPr>
                <w:rStyle w:val="IndexLink"/>
                <w:rtl w:val="true"/>
              </w:rPr>
              <w:tab/>
            </w:r>
            <w:r>
              <w:rPr>
                <w:rStyle w:val="IndexLink"/>
              </w:rPr>
              <w:t>297</w:t>
            </w:r>
          </w:hyperlink>
        </w:p>
        <w:p>
          <w:pPr>
            <w:pStyle w:val="Contents6"/>
            <w:tabs>
              <w:tab w:val="clear" w:pos="7609"/>
              <w:tab w:val="right" w:pos="9026" w:leader="dot"/>
            </w:tabs>
            <w:rPr/>
          </w:pPr>
          <w:hyperlink w:anchor="__RefHeading___Toc3585605_3650668749">
            <w:r>
              <w:rPr>
                <w:webHidden/>
                <w:rStyle w:val="IndexLink"/>
                <w:rtl w:val="true"/>
              </w:rPr>
              <w:t xml:space="preserve">دوازدهم </w:t>
            </w:r>
            <w:r>
              <w:rPr>
                <w:rStyle w:val="IndexLink"/>
                <w:rtl w:val="true"/>
              </w:rPr>
              <w:t xml:space="preserve">- </w:t>
            </w:r>
            <w:r>
              <w:rPr>
                <w:rStyle w:val="IndexLink"/>
                <w:rtl w:val="true"/>
              </w:rPr>
              <w:t>ابوالمُصَبَّح عبدالرحمان بن عبدالله، معروف به اَعشي هَمْدان</w:t>
            </w:r>
            <w:r>
              <w:rPr>
                <w:rStyle w:val="IndexLink"/>
                <w:rtl w:val="true"/>
              </w:rPr>
              <w:tab/>
            </w:r>
            <w:r>
              <w:rPr>
                <w:rStyle w:val="IndexLink"/>
              </w:rPr>
              <w:t>297</w:t>
            </w:r>
          </w:hyperlink>
        </w:p>
        <w:p>
          <w:pPr>
            <w:pStyle w:val="Contents6"/>
            <w:tabs>
              <w:tab w:val="clear" w:pos="7609"/>
              <w:tab w:val="right" w:pos="9026" w:leader="dot"/>
            </w:tabs>
            <w:rPr/>
          </w:pPr>
          <w:hyperlink w:anchor="__RefHeading___Toc3585607_3650668749">
            <w:r>
              <w:rPr>
                <w:webHidden/>
                <w:rStyle w:val="IndexLink"/>
                <w:rtl w:val="true"/>
              </w:rPr>
              <w:t xml:space="preserve">سيزدهم </w:t>
            </w:r>
            <w:r>
              <w:rPr>
                <w:rStyle w:val="IndexLink"/>
                <w:rtl w:val="true"/>
              </w:rPr>
              <w:t xml:space="preserve">- </w:t>
            </w:r>
            <w:r>
              <w:rPr>
                <w:rStyle w:val="IndexLink"/>
                <w:rtl w:val="true"/>
              </w:rPr>
              <w:t>كَعْب بن جُعَيْل</w:t>
            </w:r>
            <w:r>
              <w:rPr>
                <w:rStyle w:val="IndexLink"/>
                <w:rtl w:val="true"/>
              </w:rPr>
              <w:tab/>
            </w:r>
            <w:r>
              <w:rPr>
                <w:rStyle w:val="IndexLink"/>
              </w:rPr>
              <w:t>297</w:t>
            </w:r>
          </w:hyperlink>
        </w:p>
        <w:p>
          <w:pPr>
            <w:pStyle w:val="Contents6"/>
            <w:tabs>
              <w:tab w:val="clear" w:pos="7609"/>
              <w:tab w:val="right" w:pos="9026" w:leader="dot"/>
            </w:tabs>
            <w:rPr/>
          </w:pPr>
          <w:hyperlink w:anchor="__RefHeading___Toc3585609_3650668749">
            <w:r>
              <w:rPr>
                <w:webHidden/>
                <w:rStyle w:val="IndexLink"/>
                <w:rtl w:val="true"/>
              </w:rPr>
              <w:t xml:space="preserve">چهاردهم </w:t>
            </w:r>
            <w:r>
              <w:rPr>
                <w:rStyle w:val="IndexLink"/>
                <w:rtl w:val="true"/>
              </w:rPr>
              <w:t xml:space="preserve">- </w:t>
            </w:r>
            <w:r>
              <w:rPr>
                <w:rStyle w:val="IndexLink"/>
                <w:rtl w:val="true"/>
              </w:rPr>
              <w:t>مالك بن اسماء بن خارجه فَزاري</w:t>
            </w:r>
            <w:r>
              <w:rPr>
                <w:rStyle w:val="IndexLink"/>
                <w:rtl w:val="true"/>
              </w:rPr>
              <w:tab/>
            </w:r>
            <w:r>
              <w:rPr>
                <w:rStyle w:val="IndexLink"/>
              </w:rPr>
              <w:t>298</w:t>
            </w:r>
          </w:hyperlink>
        </w:p>
        <w:p>
          <w:pPr>
            <w:pStyle w:val="Contents6"/>
            <w:tabs>
              <w:tab w:val="clear" w:pos="7609"/>
              <w:tab w:val="right" w:pos="9026" w:leader="dot"/>
            </w:tabs>
            <w:rPr/>
          </w:pPr>
          <w:hyperlink w:anchor="__RefHeading___Toc3585611_3650668749">
            <w:r>
              <w:rPr>
                <w:webHidden/>
                <w:rStyle w:val="IndexLink"/>
                <w:rtl w:val="true"/>
              </w:rPr>
              <w:t xml:space="preserve">پانزدهم </w:t>
            </w:r>
            <w:r>
              <w:rPr>
                <w:rStyle w:val="IndexLink"/>
                <w:rtl w:val="true"/>
              </w:rPr>
              <w:t xml:space="preserve">- </w:t>
            </w:r>
            <w:r>
              <w:rPr>
                <w:rStyle w:val="IndexLink"/>
                <w:rtl w:val="true"/>
              </w:rPr>
              <w:t>حَكَم بن عبدل اسدي</w:t>
            </w:r>
            <w:r>
              <w:rPr>
                <w:rStyle w:val="IndexLink"/>
                <w:rtl w:val="true"/>
              </w:rPr>
              <w:tab/>
            </w:r>
            <w:r>
              <w:rPr>
                <w:rStyle w:val="IndexLink"/>
              </w:rPr>
              <w:t>298</w:t>
            </w:r>
          </w:hyperlink>
        </w:p>
        <w:p>
          <w:pPr>
            <w:pStyle w:val="Contents6"/>
            <w:tabs>
              <w:tab w:val="clear" w:pos="7609"/>
              <w:tab w:val="right" w:pos="9026" w:leader="dot"/>
            </w:tabs>
            <w:rPr/>
          </w:pPr>
          <w:hyperlink w:anchor="__RefHeading___Toc3585613_3650668749">
            <w:r>
              <w:rPr>
                <w:webHidden/>
                <w:rStyle w:val="IndexLink"/>
                <w:rtl w:val="true"/>
              </w:rPr>
              <w:t xml:space="preserve">شانزدهم </w:t>
            </w:r>
            <w:r>
              <w:rPr>
                <w:rStyle w:val="IndexLink"/>
                <w:rtl w:val="true"/>
              </w:rPr>
              <w:t xml:space="preserve">- </w:t>
            </w:r>
            <w:r>
              <w:rPr>
                <w:rStyle w:val="IndexLink"/>
                <w:rtl w:val="true"/>
              </w:rPr>
              <w:t>همّام بن غالب بن صعصعه، معروف به فَرَزْدَق</w:t>
            </w:r>
            <w:r>
              <w:rPr>
                <w:rStyle w:val="IndexLink"/>
                <w:rtl w:val="true"/>
              </w:rPr>
              <w:tab/>
            </w:r>
            <w:r>
              <w:rPr>
                <w:rStyle w:val="IndexLink"/>
              </w:rPr>
              <w:t>298</w:t>
            </w:r>
          </w:hyperlink>
        </w:p>
        <w:p>
          <w:pPr>
            <w:pStyle w:val="Contents6"/>
            <w:tabs>
              <w:tab w:val="clear" w:pos="7609"/>
              <w:tab w:val="right" w:pos="9026" w:leader="dot"/>
            </w:tabs>
            <w:rPr/>
          </w:pPr>
          <w:hyperlink w:anchor="__RefHeading___Toc3585615_3650668749">
            <w:r>
              <w:rPr>
                <w:webHidden/>
                <w:rStyle w:val="IndexLink"/>
                <w:rtl w:val="true"/>
              </w:rPr>
              <w:t xml:space="preserve">هفدهم </w:t>
            </w:r>
            <w:r>
              <w:rPr>
                <w:rStyle w:val="IndexLink"/>
                <w:rtl w:val="true"/>
              </w:rPr>
              <w:t xml:space="preserve">- </w:t>
            </w:r>
            <w:r>
              <w:rPr>
                <w:rStyle w:val="IndexLink"/>
                <w:rtl w:val="true"/>
              </w:rPr>
              <w:t>حَرمَلة بن مُنْذِر، معروف به ابوزُبَيْد طايي</w:t>
            </w:r>
            <w:r>
              <w:rPr>
                <w:rStyle w:val="IndexLink"/>
                <w:rtl w:val="true"/>
              </w:rPr>
              <w:tab/>
            </w:r>
            <w:r>
              <w:rPr>
                <w:rStyle w:val="IndexLink"/>
              </w:rPr>
              <w:t>299</w:t>
            </w:r>
          </w:hyperlink>
        </w:p>
        <w:p>
          <w:pPr>
            <w:pStyle w:val="Contents6"/>
            <w:tabs>
              <w:tab w:val="clear" w:pos="7609"/>
              <w:tab w:val="right" w:pos="9026" w:leader="dot"/>
            </w:tabs>
            <w:rPr/>
          </w:pPr>
          <w:hyperlink w:anchor="__RefHeading___Toc3585617_3650668749">
            <w:r>
              <w:rPr>
                <w:webHidden/>
                <w:rStyle w:val="IndexLink"/>
                <w:rtl w:val="true"/>
              </w:rPr>
              <w:t xml:space="preserve">هجدهم </w:t>
            </w:r>
            <w:r>
              <w:rPr>
                <w:rStyle w:val="IndexLink"/>
                <w:rtl w:val="true"/>
              </w:rPr>
              <w:t xml:space="preserve">- </w:t>
            </w:r>
            <w:r>
              <w:rPr>
                <w:rStyle w:val="IndexLink"/>
                <w:rtl w:val="true"/>
              </w:rPr>
              <w:t>سليمان بن صُرَد خُزاعي</w:t>
            </w:r>
            <w:r>
              <w:rPr>
                <w:rStyle w:val="IndexLink"/>
                <w:rtl w:val="true"/>
              </w:rPr>
              <w:tab/>
            </w:r>
            <w:r>
              <w:rPr>
                <w:rStyle w:val="IndexLink"/>
              </w:rPr>
              <w:t>300</w:t>
            </w:r>
          </w:hyperlink>
        </w:p>
        <w:p>
          <w:pPr>
            <w:pStyle w:val="Contents6"/>
            <w:tabs>
              <w:tab w:val="clear" w:pos="7609"/>
              <w:tab w:val="right" w:pos="9026" w:leader="dot"/>
            </w:tabs>
            <w:rPr/>
          </w:pPr>
          <w:hyperlink w:anchor="__RefHeading___Toc3585619_3650668749">
            <w:r>
              <w:rPr>
                <w:webHidden/>
                <w:rStyle w:val="IndexLink"/>
                <w:rtl w:val="true"/>
              </w:rPr>
              <w:t xml:space="preserve">نوزدهم </w:t>
            </w:r>
            <w:r>
              <w:rPr>
                <w:rStyle w:val="IndexLink"/>
                <w:rtl w:val="true"/>
              </w:rPr>
              <w:t xml:space="preserve">- </w:t>
            </w:r>
            <w:r>
              <w:rPr>
                <w:rStyle w:val="IndexLink"/>
                <w:rtl w:val="true"/>
              </w:rPr>
              <w:t>عمرو بن ضابي بن حَرَث بَرْجَمي</w:t>
            </w:r>
            <w:r>
              <w:rPr>
                <w:rStyle w:val="IndexLink"/>
                <w:rtl w:val="true"/>
              </w:rPr>
              <w:tab/>
            </w:r>
            <w:r>
              <w:rPr>
                <w:rStyle w:val="IndexLink"/>
              </w:rPr>
              <w:t>300</w:t>
            </w:r>
          </w:hyperlink>
        </w:p>
        <w:p>
          <w:pPr>
            <w:pStyle w:val="Contents6"/>
            <w:tabs>
              <w:tab w:val="clear" w:pos="7609"/>
              <w:tab w:val="right" w:pos="9026" w:leader="dot"/>
            </w:tabs>
            <w:rPr/>
          </w:pPr>
          <w:hyperlink w:anchor="__RefHeading___Toc3585621_3650668749">
            <w:r>
              <w:rPr>
                <w:webHidden/>
                <w:rStyle w:val="IndexLink"/>
                <w:rtl w:val="true"/>
              </w:rPr>
              <w:t xml:space="preserve">بيستم </w:t>
            </w:r>
            <w:r>
              <w:rPr>
                <w:rStyle w:val="IndexLink"/>
                <w:rtl w:val="true"/>
              </w:rPr>
              <w:t xml:space="preserve">- </w:t>
            </w:r>
            <w:r>
              <w:rPr>
                <w:rStyle w:val="IndexLink"/>
                <w:rtl w:val="true"/>
              </w:rPr>
              <w:t>عُمارة بن عقبة بن ابي‌معيط</w:t>
            </w:r>
            <w:r>
              <w:rPr>
                <w:rStyle w:val="IndexLink"/>
                <w:rtl w:val="true"/>
              </w:rPr>
              <w:tab/>
            </w:r>
            <w:r>
              <w:rPr>
                <w:rStyle w:val="IndexLink"/>
              </w:rPr>
              <w:t>300</w:t>
            </w:r>
          </w:hyperlink>
        </w:p>
        <w:p>
          <w:pPr>
            <w:pStyle w:val="Contents6"/>
            <w:tabs>
              <w:tab w:val="clear" w:pos="7609"/>
              <w:tab w:val="right" w:pos="9026" w:leader="dot"/>
            </w:tabs>
            <w:rPr/>
          </w:pPr>
          <w:hyperlink w:anchor="__RefHeading___Toc3585623_3650668749">
            <w:r>
              <w:rPr>
                <w:webHidden/>
                <w:rStyle w:val="IndexLink"/>
                <w:rtl w:val="true"/>
              </w:rPr>
              <w:t xml:space="preserve">بيست و يكم و بيست و دوم و بيست و سوم </w:t>
            </w:r>
            <w:r>
              <w:rPr>
                <w:rStyle w:val="IndexLink"/>
                <w:rtl w:val="true"/>
              </w:rPr>
              <w:t xml:space="preserve">- </w:t>
            </w:r>
            <w:r>
              <w:rPr>
                <w:rStyle w:val="IndexLink"/>
                <w:rtl w:val="true"/>
              </w:rPr>
              <w:t>نضر، نعمان و نعيم پسران عجلان انصاري خزرجي</w:t>
            </w:r>
            <w:r>
              <w:rPr>
                <w:rStyle w:val="IndexLink"/>
                <w:rtl w:val="true"/>
              </w:rPr>
              <w:tab/>
            </w:r>
            <w:r>
              <w:rPr>
                <w:rStyle w:val="IndexLink"/>
              </w:rPr>
              <w:t>300</w:t>
            </w:r>
          </w:hyperlink>
        </w:p>
        <w:p>
          <w:pPr>
            <w:pStyle w:val="Contents6"/>
            <w:tabs>
              <w:tab w:val="clear" w:pos="7609"/>
              <w:tab w:val="right" w:pos="9026" w:leader="dot"/>
            </w:tabs>
            <w:rPr/>
          </w:pPr>
          <w:hyperlink w:anchor="__RefHeading___Toc3585625_3650668749">
            <w:r>
              <w:rPr>
                <w:webHidden/>
                <w:rStyle w:val="IndexLink"/>
                <w:rtl w:val="true"/>
              </w:rPr>
              <w:t xml:space="preserve">بيست و چهارم </w:t>
            </w:r>
            <w:r>
              <w:rPr>
                <w:rStyle w:val="IndexLink"/>
                <w:rtl w:val="true"/>
              </w:rPr>
              <w:t xml:space="preserve">- </w:t>
            </w:r>
            <w:r>
              <w:rPr>
                <w:rStyle w:val="IndexLink"/>
                <w:rtl w:val="true"/>
              </w:rPr>
              <w:t>فُضالة بن شريك بن سلمان</w:t>
            </w:r>
            <w:r>
              <w:rPr>
                <w:rStyle w:val="IndexLink"/>
                <w:rtl w:val="true"/>
              </w:rPr>
              <w:tab/>
            </w:r>
            <w:r>
              <w:rPr>
                <w:rStyle w:val="IndexLink"/>
              </w:rPr>
              <w:t>301</w:t>
            </w:r>
          </w:hyperlink>
        </w:p>
        <w:p>
          <w:pPr>
            <w:pStyle w:val="Contents6"/>
            <w:tabs>
              <w:tab w:val="clear" w:pos="7609"/>
              <w:tab w:val="right" w:pos="9026" w:leader="dot"/>
            </w:tabs>
            <w:rPr/>
          </w:pPr>
          <w:hyperlink w:anchor="__RefHeading___Toc3585627_3650668749">
            <w:r>
              <w:rPr>
                <w:webHidden/>
                <w:rStyle w:val="IndexLink"/>
                <w:rtl w:val="true"/>
              </w:rPr>
              <w:t xml:space="preserve">بيست و پنجم </w:t>
            </w:r>
            <w:r>
              <w:rPr>
                <w:rStyle w:val="IndexLink"/>
                <w:rtl w:val="true"/>
              </w:rPr>
              <w:t xml:space="preserve">- </w:t>
            </w:r>
            <w:r>
              <w:rPr>
                <w:rStyle w:val="IndexLink"/>
                <w:rtl w:val="true"/>
              </w:rPr>
              <w:t>عبدالله بن خليفه بولايي</w:t>
            </w:r>
            <w:r>
              <w:rPr>
                <w:rStyle w:val="IndexLink"/>
                <w:rtl w:val="true"/>
              </w:rPr>
              <w:tab/>
            </w:r>
            <w:r>
              <w:rPr>
                <w:rStyle w:val="IndexLink"/>
              </w:rPr>
              <w:t>301</w:t>
            </w:r>
          </w:hyperlink>
        </w:p>
        <w:p>
          <w:pPr>
            <w:pStyle w:val="Contents6"/>
            <w:tabs>
              <w:tab w:val="clear" w:pos="7609"/>
              <w:tab w:val="right" w:pos="9026" w:leader="dot"/>
            </w:tabs>
            <w:rPr/>
          </w:pPr>
          <w:hyperlink w:anchor="__RefHeading___Toc3585629_3650668749">
            <w:r>
              <w:rPr>
                <w:webHidden/>
                <w:rStyle w:val="IndexLink"/>
                <w:rtl w:val="true"/>
              </w:rPr>
              <w:t xml:space="preserve">بيست و ششم </w:t>
            </w:r>
            <w:r>
              <w:rPr>
                <w:rStyle w:val="IndexLink"/>
                <w:rtl w:val="true"/>
              </w:rPr>
              <w:t xml:space="preserve">- </w:t>
            </w:r>
            <w:r>
              <w:rPr>
                <w:rStyle w:val="IndexLink"/>
                <w:rtl w:val="true"/>
              </w:rPr>
              <w:t>اَياس بن عَثَل طايي</w:t>
            </w:r>
            <w:r>
              <w:rPr>
                <w:rStyle w:val="IndexLink"/>
                <w:rtl w:val="true"/>
              </w:rPr>
              <w:tab/>
            </w:r>
            <w:r>
              <w:rPr>
                <w:rStyle w:val="IndexLink"/>
              </w:rPr>
              <w:t>301</w:t>
            </w:r>
          </w:hyperlink>
        </w:p>
        <w:p>
          <w:pPr>
            <w:pStyle w:val="Contents6"/>
            <w:tabs>
              <w:tab w:val="clear" w:pos="7609"/>
              <w:tab w:val="right" w:pos="9026" w:leader="dot"/>
            </w:tabs>
            <w:rPr/>
          </w:pPr>
          <w:hyperlink w:anchor="__RefHeading___Toc3585631_3650668749">
            <w:r>
              <w:rPr>
                <w:webHidden/>
                <w:rStyle w:val="IndexLink"/>
                <w:rtl w:val="true"/>
              </w:rPr>
              <w:t xml:space="preserve">بيست و هفتم </w:t>
            </w:r>
            <w:r>
              <w:rPr>
                <w:rStyle w:val="IndexLink"/>
                <w:rtl w:val="true"/>
              </w:rPr>
              <w:t xml:space="preserve">- </w:t>
            </w:r>
            <w:r>
              <w:rPr>
                <w:rStyle w:val="IndexLink"/>
                <w:rtl w:val="true"/>
              </w:rPr>
              <w:t>يزيد بن مُغْفَل مِذْحجي جُعْفي</w:t>
            </w:r>
            <w:r>
              <w:rPr>
                <w:rStyle w:val="IndexLink"/>
                <w:rtl w:val="true"/>
              </w:rPr>
              <w:tab/>
            </w:r>
            <w:r>
              <w:rPr>
                <w:rStyle w:val="IndexLink"/>
              </w:rPr>
              <w:t>301</w:t>
            </w:r>
          </w:hyperlink>
        </w:p>
        <w:p>
          <w:pPr>
            <w:pStyle w:val="Contents6"/>
            <w:tabs>
              <w:tab w:val="clear" w:pos="7609"/>
              <w:tab w:val="right" w:pos="9026" w:leader="dot"/>
            </w:tabs>
            <w:rPr/>
          </w:pPr>
          <w:hyperlink w:anchor="__RefHeading___Toc3585633_3650668749">
            <w:r>
              <w:rPr>
                <w:webHidden/>
                <w:rStyle w:val="IndexLink"/>
                <w:rtl w:val="true"/>
              </w:rPr>
              <w:t xml:space="preserve">بيست و هشتم </w:t>
            </w:r>
            <w:r>
              <w:rPr>
                <w:rStyle w:val="IndexLink"/>
                <w:rtl w:val="true"/>
              </w:rPr>
              <w:t xml:space="preserve">- </w:t>
            </w:r>
            <w:r>
              <w:rPr>
                <w:rStyle w:val="IndexLink"/>
                <w:rtl w:val="true"/>
              </w:rPr>
              <w:t>رَبيعة بن حُوط</w:t>
            </w:r>
            <w:r>
              <w:rPr>
                <w:rStyle w:val="IndexLink"/>
                <w:rtl w:val="true"/>
              </w:rPr>
              <w:tab/>
            </w:r>
            <w:r>
              <w:rPr>
                <w:rStyle w:val="IndexLink"/>
              </w:rPr>
              <w:t>301</w:t>
            </w:r>
          </w:hyperlink>
        </w:p>
        <w:p>
          <w:pPr>
            <w:pStyle w:val="Contents6"/>
            <w:tabs>
              <w:tab w:val="clear" w:pos="7609"/>
              <w:tab w:val="right" w:pos="9026" w:leader="dot"/>
            </w:tabs>
            <w:rPr/>
          </w:pPr>
          <w:hyperlink w:anchor="__RefHeading___Toc3585635_3650668749">
            <w:r>
              <w:rPr>
                <w:webHidden/>
                <w:rStyle w:val="IndexLink"/>
                <w:rtl w:val="true"/>
              </w:rPr>
              <w:t xml:space="preserve">بيست و نهم </w:t>
            </w:r>
            <w:r>
              <w:rPr>
                <w:rStyle w:val="IndexLink"/>
                <w:rtl w:val="true"/>
              </w:rPr>
              <w:t xml:space="preserve">- </w:t>
            </w:r>
            <w:r>
              <w:rPr>
                <w:rStyle w:val="IndexLink"/>
                <w:rtl w:val="true"/>
              </w:rPr>
              <w:t>عبدالله بن هَمّام</w:t>
            </w:r>
            <w:r>
              <w:rPr>
                <w:rStyle w:val="IndexLink"/>
                <w:rtl w:val="true"/>
              </w:rPr>
              <w:tab/>
            </w:r>
            <w:r>
              <w:rPr>
                <w:rStyle w:val="IndexLink"/>
              </w:rPr>
              <w:t>301</w:t>
            </w:r>
          </w:hyperlink>
        </w:p>
        <w:p>
          <w:pPr>
            <w:pStyle w:val="Contents6"/>
            <w:tabs>
              <w:tab w:val="clear" w:pos="7609"/>
              <w:tab w:val="right" w:pos="9026" w:leader="dot"/>
            </w:tabs>
            <w:rPr/>
          </w:pPr>
          <w:hyperlink w:anchor="__RefHeading___Toc3585637_3650668749">
            <w:r>
              <w:rPr>
                <w:webHidden/>
                <w:rStyle w:val="IndexLink"/>
                <w:rtl w:val="true"/>
              </w:rPr>
              <w:t xml:space="preserve">سي‌ام </w:t>
            </w:r>
            <w:r>
              <w:rPr>
                <w:rStyle w:val="IndexLink"/>
                <w:rtl w:val="true"/>
              </w:rPr>
              <w:t xml:space="preserve">- </w:t>
            </w:r>
            <w:r>
              <w:rPr>
                <w:rStyle w:val="IndexLink"/>
                <w:rtl w:val="true"/>
              </w:rPr>
              <w:t>عُمر بن يزيد بن هلال نَخَعي</w:t>
            </w:r>
            <w:r>
              <w:rPr>
                <w:rStyle w:val="IndexLink"/>
                <w:rtl w:val="true"/>
              </w:rPr>
              <w:tab/>
            </w:r>
            <w:r>
              <w:rPr>
                <w:rStyle w:val="IndexLink"/>
              </w:rPr>
              <w:t>302</w:t>
            </w:r>
          </w:hyperlink>
        </w:p>
        <w:p>
          <w:pPr>
            <w:pStyle w:val="Contents6"/>
            <w:tabs>
              <w:tab w:val="clear" w:pos="7609"/>
              <w:tab w:val="right" w:pos="9026" w:leader="dot"/>
            </w:tabs>
            <w:rPr/>
          </w:pPr>
          <w:hyperlink w:anchor="__RefHeading___Toc3585639_3650668749">
            <w:r>
              <w:rPr>
                <w:webHidden/>
                <w:rStyle w:val="IndexLink"/>
                <w:rtl w:val="true"/>
              </w:rPr>
              <w:t xml:space="preserve">سي و يكم </w:t>
            </w:r>
            <w:r>
              <w:rPr>
                <w:rStyle w:val="IndexLink"/>
                <w:rtl w:val="true"/>
              </w:rPr>
              <w:t xml:space="preserve">- </w:t>
            </w:r>
            <w:r>
              <w:rPr>
                <w:rStyle w:val="IndexLink"/>
                <w:rtl w:val="true"/>
              </w:rPr>
              <w:t>عبدالله بن حُر جُعفي</w:t>
            </w:r>
            <w:r>
              <w:rPr>
                <w:rStyle w:val="IndexLink"/>
                <w:rtl w:val="true"/>
              </w:rPr>
              <w:tab/>
            </w:r>
            <w:r>
              <w:rPr>
                <w:rStyle w:val="IndexLink"/>
              </w:rPr>
              <w:t>302</w:t>
            </w:r>
          </w:hyperlink>
        </w:p>
        <w:p>
          <w:pPr>
            <w:pStyle w:val="Contents6"/>
            <w:tabs>
              <w:tab w:val="clear" w:pos="7609"/>
              <w:tab w:val="right" w:pos="9026" w:leader="dot"/>
            </w:tabs>
            <w:rPr/>
          </w:pPr>
          <w:hyperlink w:anchor="__RefHeading___Toc3585641_3650668749">
            <w:r>
              <w:rPr>
                <w:webHidden/>
                <w:rStyle w:val="IndexLink"/>
                <w:rtl w:val="true"/>
              </w:rPr>
              <w:t xml:space="preserve">سي و دوم </w:t>
            </w:r>
            <w:r>
              <w:rPr>
                <w:rStyle w:val="IndexLink"/>
                <w:rtl w:val="true"/>
              </w:rPr>
              <w:t xml:space="preserve">- </w:t>
            </w:r>
            <w:r>
              <w:rPr>
                <w:rStyle w:val="IndexLink"/>
                <w:rtl w:val="true"/>
              </w:rPr>
              <w:t>عَوْف بن عبدالله بن اَحْمَر اَزْدي</w:t>
            </w:r>
            <w:r>
              <w:rPr>
                <w:rStyle w:val="IndexLink"/>
                <w:rtl w:val="true"/>
              </w:rPr>
              <w:tab/>
            </w:r>
            <w:r>
              <w:rPr>
                <w:rStyle w:val="IndexLink"/>
              </w:rPr>
              <w:t>302</w:t>
            </w:r>
          </w:hyperlink>
        </w:p>
        <w:p>
          <w:pPr>
            <w:pStyle w:val="Contents6"/>
            <w:tabs>
              <w:tab w:val="clear" w:pos="7609"/>
              <w:tab w:val="right" w:pos="9026" w:leader="dot"/>
            </w:tabs>
            <w:rPr/>
          </w:pPr>
          <w:hyperlink w:anchor="__RefHeading___Toc3585643_3650668749">
            <w:r>
              <w:rPr>
                <w:webHidden/>
                <w:rStyle w:val="IndexLink"/>
                <w:rtl w:val="true"/>
              </w:rPr>
              <w:t xml:space="preserve">سي و سوم </w:t>
            </w:r>
            <w:r>
              <w:rPr>
                <w:rStyle w:val="IndexLink"/>
                <w:rtl w:val="true"/>
              </w:rPr>
              <w:t xml:space="preserve">- </w:t>
            </w:r>
            <w:r>
              <w:rPr>
                <w:rStyle w:val="IndexLink"/>
                <w:rtl w:val="true"/>
              </w:rPr>
              <w:t>وَهَب بن زَمْعَه جَمْحي، معروف به ابودَهْبَل</w:t>
            </w:r>
            <w:r>
              <w:rPr>
                <w:rStyle w:val="IndexLink"/>
                <w:rtl w:val="true"/>
              </w:rPr>
              <w:tab/>
            </w:r>
            <w:r>
              <w:rPr>
                <w:rStyle w:val="IndexLink"/>
              </w:rPr>
              <w:t>302</w:t>
            </w:r>
          </w:hyperlink>
        </w:p>
        <w:p>
          <w:pPr>
            <w:pStyle w:val="Contents6"/>
            <w:tabs>
              <w:tab w:val="clear" w:pos="7609"/>
              <w:tab w:val="right" w:pos="9026" w:leader="dot"/>
            </w:tabs>
            <w:rPr/>
          </w:pPr>
          <w:hyperlink w:anchor="__RefHeading___Toc3585645_3650668749">
            <w:r>
              <w:rPr>
                <w:webHidden/>
                <w:rStyle w:val="IndexLink"/>
                <w:rtl w:val="true"/>
              </w:rPr>
              <w:t xml:space="preserve">سي و چهارم </w:t>
            </w:r>
            <w:r>
              <w:rPr>
                <w:rStyle w:val="IndexLink"/>
                <w:rtl w:val="true"/>
              </w:rPr>
              <w:t xml:space="preserve">- </w:t>
            </w:r>
            <w:r>
              <w:rPr>
                <w:rStyle w:val="IndexLink"/>
                <w:rtl w:val="true"/>
              </w:rPr>
              <w:t>شُرَيح قاضي</w:t>
            </w:r>
            <w:r>
              <w:rPr>
                <w:rStyle w:val="IndexLink"/>
                <w:rtl w:val="true"/>
              </w:rPr>
              <w:tab/>
            </w:r>
            <w:r>
              <w:rPr>
                <w:rStyle w:val="IndexLink"/>
              </w:rPr>
              <w:t>302</w:t>
            </w:r>
          </w:hyperlink>
        </w:p>
        <w:p>
          <w:pPr>
            <w:pStyle w:val="Contents6"/>
            <w:tabs>
              <w:tab w:val="clear" w:pos="7609"/>
              <w:tab w:val="right" w:pos="9026" w:leader="dot"/>
            </w:tabs>
            <w:rPr/>
          </w:pPr>
          <w:hyperlink w:anchor="__RefHeading___Toc3585647_3650668749">
            <w:r>
              <w:rPr>
                <w:webHidden/>
                <w:rStyle w:val="IndexLink"/>
                <w:rtl w:val="true"/>
              </w:rPr>
              <w:t xml:space="preserve">سي و پنجم </w:t>
            </w:r>
            <w:r>
              <w:rPr>
                <w:rStyle w:val="IndexLink"/>
                <w:rtl w:val="true"/>
              </w:rPr>
              <w:t xml:space="preserve">- </w:t>
            </w:r>
            <w:r>
              <w:rPr>
                <w:rStyle w:val="IndexLink"/>
                <w:rtl w:val="true"/>
              </w:rPr>
              <w:t>صعصعة بن صَوْحان</w:t>
            </w:r>
            <w:r>
              <w:rPr>
                <w:rStyle w:val="IndexLink"/>
                <w:rtl w:val="true"/>
              </w:rPr>
              <w:tab/>
            </w:r>
            <w:r>
              <w:rPr>
                <w:rStyle w:val="IndexLink"/>
              </w:rPr>
              <w:t>303</w:t>
            </w:r>
          </w:hyperlink>
        </w:p>
        <w:p>
          <w:pPr>
            <w:pStyle w:val="Contents6"/>
            <w:tabs>
              <w:tab w:val="clear" w:pos="7609"/>
              <w:tab w:val="right" w:pos="9026" w:leader="dot"/>
            </w:tabs>
            <w:rPr/>
          </w:pPr>
          <w:hyperlink w:anchor="__RefHeading___Toc3585649_3650668749">
            <w:r>
              <w:rPr>
                <w:webHidden/>
                <w:rStyle w:val="IndexLink"/>
                <w:rtl w:val="true"/>
              </w:rPr>
              <w:t xml:space="preserve">سي و ششم </w:t>
            </w:r>
            <w:r>
              <w:rPr>
                <w:rStyle w:val="IndexLink"/>
                <w:rtl w:val="true"/>
              </w:rPr>
              <w:t xml:space="preserve">- </w:t>
            </w:r>
            <w:r>
              <w:rPr>
                <w:rStyle w:val="IndexLink"/>
                <w:rtl w:val="true"/>
              </w:rPr>
              <w:t>لَبيد بن ربيعه عامري</w:t>
            </w:r>
            <w:r>
              <w:rPr>
                <w:rStyle w:val="IndexLink"/>
                <w:rtl w:val="true"/>
              </w:rPr>
              <w:tab/>
            </w:r>
            <w:r>
              <w:rPr>
                <w:rStyle w:val="IndexLink"/>
              </w:rPr>
              <w:t>303</w:t>
            </w:r>
          </w:hyperlink>
        </w:p>
        <w:p>
          <w:pPr>
            <w:pStyle w:val="Contents4"/>
            <w:tabs>
              <w:tab w:val="clear" w:pos="8176"/>
              <w:tab w:val="right" w:pos="9026" w:leader="dot"/>
            </w:tabs>
            <w:rPr/>
          </w:pPr>
          <w:hyperlink w:anchor="__RefHeading___Toc3585651_3650668749">
            <w:r>
              <w:rPr>
                <w:webHidden/>
                <w:rStyle w:val="IndexLink"/>
                <w:rtl w:val="true"/>
              </w:rPr>
              <w:t>ب</w:t>
            </w:r>
            <w:r>
              <w:rPr>
                <w:rStyle w:val="IndexLink"/>
                <w:rtl w:val="true"/>
              </w:rPr>
              <w:t xml:space="preserve">) </w:t>
            </w:r>
            <w:r>
              <w:rPr>
                <w:rStyle w:val="IndexLink"/>
                <w:rtl w:val="true"/>
              </w:rPr>
              <w:t>خطيبان</w:t>
            </w:r>
            <w:r>
              <w:rPr>
                <w:rStyle w:val="IndexLink"/>
                <w:rtl w:val="true"/>
              </w:rPr>
              <w:tab/>
            </w:r>
            <w:r>
              <w:rPr>
                <w:rStyle w:val="IndexLink"/>
              </w:rPr>
              <w:t>303</w:t>
            </w:r>
          </w:hyperlink>
        </w:p>
        <w:p>
          <w:pPr>
            <w:pStyle w:val="Contents5"/>
            <w:tabs>
              <w:tab w:val="clear" w:pos="7892"/>
              <w:tab w:val="right" w:pos="9026" w:leader="dot"/>
            </w:tabs>
            <w:rPr/>
          </w:pPr>
          <w:hyperlink w:anchor="__RefHeading___Toc3585653_3650668749">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3585655_3650668749">
            <w:r>
              <w:rPr>
                <w:webHidden/>
                <w:rStyle w:val="IndexLink"/>
                <w:rtl w:val="true"/>
              </w:rPr>
              <w:t xml:space="preserve">يك </w:t>
            </w:r>
            <w:r>
              <w:rPr>
                <w:rStyle w:val="IndexLink"/>
                <w:rtl w:val="true"/>
              </w:rPr>
              <w:t xml:space="preserve">- </w:t>
            </w:r>
            <w:r>
              <w:rPr>
                <w:rStyle w:val="IndexLink"/>
                <w:rtl w:val="true"/>
              </w:rPr>
              <w:t>صعصعة بن صَوْحان</w:t>
            </w:r>
            <w:r>
              <w:rPr>
                <w:rStyle w:val="IndexLink"/>
                <w:rtl w:val="true"/>
              </w:rPr>
              <w:tab/>
            </w:r>
            <w:r>
              <w:rPr>
                <w:rStyle w:val="IndexLink"/>
              </w:rPr>
              <w:t>304</w:t>
            </w:r>
          </w:hyperlink>
        </w:p>
        <w:p>
          <w:pPr>
            <w:pStyle w:val="Contents5"/>
            <w:tabs>
              <w:tab w:val="clear" w:pos="7892"/>
              <w:tab w:val="right" w:pos="9026" w:leader="dot"/>
            </w:tabs>
            <w:rPr/>
          </w:pPr>
          <w:hyperlink w:anchor="__RefHeading___Toc3585657_3650668749">
            <w:r>
              <w:rPr>
                <w:webHidden/>
                <w:rStyle w:val="IndexLink"/>
                <w:rtl w:val="true"/>
              </w:rPr>
              <w:t xml:space="preserve">دو </w:t>
            </w:r>
            <w:r>
              <w:rPr>
                <w:rStyle w:val="IndexLink"/>
                <w:rtl w:val="true"/>
              </w:rPr>
              <w:t xml:space="preserve">- </w:t>
            </w:r>
            <w:r>
              <w:rPr>
                <w:rStyle w:val="IndexLink"/>
                <w:rtl w:val="true"/>
              </w:rPr>
              <w:t>نعمان بن بشير</w:t>
            </w:r>
            <w:r>
              <w:rPr>
                <w:rStyle w:val="IndexLink"/>
                <w:rtl w:val="true"/>
              </w:rPr>
              <w:tab/>
            </w:r>
            <w:r>
              <w:rPr>
                <w:rStyle w:val="IndexLink"/>
              </w:rPr>
              <w:t>304</w:t>
            </w:r>
          </w:hyperlink>
        </w:p>
        <w:p>
          <w:pPr>
            <w:pStyle w:val="Contents5"/>
            <w:tabs>
              <w:tab w:val="clear" w:pos="7892"/>
              <w:tab w:val="right" w:pos="9026" w:leader="dot"/>
            </w:tabs>
            <w:rPr/>
          </w:pPr>
          <w:hyperlink w:anchor="__RefHeading___Toc3585659_3650668749">
            <w:r>
              <w:rPr>
                <w:webHidden/>
                <w:rStyle w:val="IndexLink"/>
                <w:rtl w:val="true"/>
              </w:rPr>
              <w:t xml:space="preserve">سه </w:t>
            </w:r>
            <w:r>
              <w:rPr>
                <w:rStyle w:val="IndexLink"/>
                <w:rtl w:val="true"/>
              </w:rPr>
              <w:t xml:space="preserve">- </w:t>
            </w:r>
            <w:r>
              <w:rPr>
                <w:rStyle w:val="IndexLink"/>
                <w:rtl w:val="true"/>
              </w:rPr>
              <w:t>زياد بن ابيه</w:t>
            </w:r>
            <w:r>
              <w:rPr>
                <w:rStyle w:val="IndexLink"/>
                <w:rtl w:val="true"/>
              </w:rPr>
              <w:tab/>
            </w:r>
            <w:r>
              <w:rPr>
                <w:rStyle w:val="IndexLink"/>
              </w:rPr>
              <w:t>304</w:t>
            </w:r>
          </w:hyperlink>
        </w:p>
        <w:p>
          <w:pPr>
            <w:pStyle w:val="Contents5"/>
            <w:tabs>
              <w:tab w:val="clear" w:pos="7892"/>
              <w:tab w:val="right" w:pos="9026" w:leader="dot"/>
            </w:tabs>
            <w:rPr/>
          </w:pPr>
          <w:hyperlink w:anchor="__RefHeading___Toc3585661_3650668749">
            <w:r>
              <w:rPr>
                <w:webHidden/>
                <w:rStyle w:val="IndexLink"/>
                <w:rtl w:val="true"/>
              </w:rPr>
              <w:t xml:space="preserve">چهار </w:t>
            </w:r>
            <w:r>
              <w:rPr>
                <w:rStyle w:val="IndexLink"/>
                <w:rtl w:val="true"/>
              </w:rPr>
              <w:t xml:space="preserve">- </w:t>
            </w:r>
            <w:r>
              <w:rPr>
                <w:rStyle w:val="IndexLink"/>
                <w:rtl w:val="true"/>
              </w:rPr>
              <w:t>وليد بن عقبة بن ابي‌معيط</w:t>
            </w:r>
            <w:r>
              <w:rPr>
                <w:rStyle w:val="IndexLink"/>
                <w:rtl w:val="true"/>
              </w:rPr>
              <w:tab/>
            </w:r>
            <w:r>
              <w:rPr>
                <w:rStyle w:val="IndexLink"/>
              </w:rPr>
              <w:t>305</w:t>
            </w:r>
          </w:hyperlink>
        </w:p>
        <w:p>
          <w:pPr>
            <w:pStyle w:val="Contents5"/>
            <w:tabs>
              <w:tab w:val="clear" w:pos="7892"/>
              <w:tab w:val="right" w:pos="9026" w:leader="dot"/>
            </w:tabs>
            <w:rPr/>
          </w:pPr>
          <w:hyperlink w:anchor="__RefHeading___Toc3585663_3650668749">
            <w:r>
              <w:rPr>
                <w:webHidden/>
                <w:rStyle w:val="IndexLink"/>
                <w:rtl w:val="true"/>
              </w:rPr>
              <w:t xml:space="preserve">پنج، شش و هفت </w:t>
            </w:r>
            <w:r>
              <w:rPr>
                <w:rStyle w:val="IndexLink"/>
                <w:rtl w:val="true"/>
              </w:rPr>
              <w:t xml:space="preserve">- </w:t>
            </w:r>
            <w:r>
              <w:rPr>
                <w:rStyle w:val="IndexLink"/>
                <w:rtl w:val="true"/>
              </w:rPr>
              <w:t>متوكل ليثي، اقيشر اسدي، عبدالله بن زبير اسدي</w:t>
            </w:r>
            <w:r>
              <w:rPr>
                <w:rStyle w:val="IndexLink"/>
                <w:rtl w:val="true"/>
              </w:rPr>
              <w:tab/>
            </w:r>
            <w:r>
              <w:rPr>
                <w:rStyle w:val="IndexLink"/>
              </w:rPr>
              <w:t>305</w:t>
            </w:r>
          </w:hyperlink>
        </w:p>
        <w:p>
          <w:pPr>
            <w:pStyle w:val="Contents5"/>
            <w:tabs>
              <w:tab w:val="clear" w:pos="7892"/>
              <w:tab w:val="right" w:pos="9026" w:leader="dot"/>
            </w:tabs>
            <w:rPr/>
          </w:pPr>
          <w:hyperlink w:anchor="__RefHeading___Toc3585665_3650668749">
            <w:r>
              <w:rPr>
                <w:webHidden/>
                <w:rStyle w:val="IndexLink"/>
                <w:rtl w:val="true"/>
              </w:rPr>
              <w:t xml:space="preserve">هشت </w:t>
            </w:r>
            <w:r>
              <w:rPr>
                <w:rStyle w:val="IndexLink"/>
                <w:rtl w:val="true"/>
              </w:rPr>
              <w:t xml:space="preserve">- </w:t>
            </w:r>
            <w:r>
              <w:rPr>
                <w:rStyle w:val="IndexLink"/>
                <w:rtl w:val="true"/>
              </w:rPr>
              <w:t>عابس بن ابي‌شبيب شاكري همداني</w:t>
            </w:r>
            <w:r>
              <w:rPr>
                <w:rStyle w:val="IndexLink"/>
                <w:rtl w:val="true"/>
              </w:rPr>
              <w:tab/>
            </w:r>
            <w:r>
              <w:rPr>
                <w:rStyle w:val="IndexLink"/>
              </w:rPr>
              <w:t>305</w:t>
            </w:r>
          </w:hyperlink>
        </w:p>
        <w:p>
          <w:pPr>
            <w:pStyle w:val="Contents4"/>
            <w:tabs>
              <w:tab w:val="clear" w:pos="8176"/>
              <w:tab w:val="right" w:pos="9026" w:leader="dot"/>
            </w:tabs>
            <w:rPr/>
          </w:pPr>
          <w:hyperlink w:anchor="__RefHeading___Toc3585667_3650668749">
            <w:r>
              <w:rPr>
                <w:webHidden/>
                <w:rStyle w:val="IndexLink"/>
                <w:rtl w:val="true"/>
              </w:rPr>
              <w:t>ج</w:t>
            </w:r>
            <w:r>
              <w:rPr>
                <w:rStyle w:val="IndexLink"/>
                <w:rtl w:val="true"/>
              </w:rPr>
              <w:t xml:space="preserve">) </w:t>
            </w:r>
            <w:r>
              <w:rPr>
                <w:rStyle w:val="IndexLink"/>
                <w:rtl w:val="true"/>
              </w:rPr>
              <w:t>صحابه، محدثان، فقها و ديگر انديشمندان</w:t>
            </w:r>
            <w:r>
              <w:rPr>
                <w:rStyle w:val="IndexLink"/>
                <w:rtl w:val="true"/>
              </w:rPr>
              <w:tab/>
            </w:r>
            <w:r>
              <w:rPr>
                <w:rStyle w:val="IndexLink"/>
              </w:rPr>
              <w:t>305</w:t>
            </w:r>
          </w:hyperlink>
        </w:p>
        <w:p>
          <w:pPr>
            <w:pStyle w:val="Contents3"/>
            <w:tabs>
              <w:tab w:val="clear" w:pos="8459"/>
              <w:tab w:val="right" w:pos="9026" w:leader="dot"/>
            </w:tabs>
            <w:rPr/>
          </w:pPr>
          <w:hyperlink w:anchor="__RefHeading___Toc3585669_3650668749">
            <w:r>
              <w:rPr>
                <w:webHidden/>
                <w:rStyle w:val="IndexLink"/>
              </w:rPr>
              <w:t>٣</w:t>
            </w:r>
            <w:r>
              <w:rPr>
                <w:rStyle w:val="IndexLink"/>
                <w:rtl w:val="true"/>
              </w:rPr>
              <w:t xml:space="preserve">. </w:t>
            </w:r>
            <w:r>
              <w:rPr>
                <w:rStyle w:val="IndexLink"/>
                <w:rtl w:val="true"/>
              </w:rPr>
              <w:t>افسانه‌ها و اسطوره‌ها</w:t>
            </w:r>
            <w:r>
              <w:rPr>
                <w:rStyle w:val="IndexLink"/>
                <w:rtl w:val="true"/>
              </w:rPr>
              <w:tab/>
            </w:r>
            <w:r>
              <w:rPr>
                <w:rStyle w:val="IndexLink"/>
              </w:rPr>
              <w:t>318</w:t>
            </w:r>
          </w:hyperlink>
        </w:p>
        <w:p>
          <w:pPr>
            <w:pStyle w:val="Contents3"/>
            <w:tabs>
              <w:tab w:val="clear" w:pos="8459"/>
              <w:tab w:val="right" w:pos="9026" w:leader="dot"/>
            </w:tabs>
            <w:rPr/>
          </w:pPr>
          <w:hyperlink w:anchor="__RefHeading___Toc3585671_3650668749">
            <w:r>
              <w:rPr>
                <w:webHidden/>
                <w:rStyle w:val="IndexLink"/>
              </w:rPr>
              <w:t>۴</w:t>
            </w:r>
            <w:r>
              <w:rPr>
                <w:rStyle w:val="IndexLink"/>
                <w:rtl w:val="true"/>
              </w:rPr>
              <w:t xml:space="preserve">. </w:t>
            </w:r>
            <w:r>
              <w:rPr>
                <w:rStyle w:val="IndexLink"/>
                <w:rtl w:val="true"/>
              </w:rPr>
              <w:t>آداب قرائت قرآن</w:t>
            </w:r>
            <w:r>
              <w:rPr>
                <w:rStyle w:val="IndexLink"/>
                <w:rtl w:val="true"/>
              </w:rPr>
              <w:tab/>
            </w:r>
            <w:r>
              <w:rPr>
                <w:rStyle w:val="IndexLink"/>
              </w:rPr>
              <w:t>320</w:t>
            </w:r>
          </w:hyperlink>
        </w:p>
        <w:p>
          <w:pPr>
            <w:pStyle w:val="Contents4"/>
            <w:tabs>
              <w:tab w:val="clear" w:pos="8176"/>
              <w:tab w:val="right" w:pos="9026" w:leader="dot"/>
            </w:tabs>
            <w:rPr/>
          </w:pPr>
          <w:hyperlink w:anchor="__RefHeading___Toc3585673_3650668749">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3585675_3650668749">
            <w:r>
              <w:rPr>
                <w:webHidden/>
                <w:rStyle w:val="IndexLink"/>
                <w:rtl w:val="true"/>
              </w:rPr>
              <w:t>الف</w:t>
            </w:r>
            <w:r>
              <w:rPr>
                <w:rStyle w:val="IndexLink"/>
                <w:rtl w:val="true"/>
              </w:rPr>
              <w:t xml:space="preserve">) </w:t>
            </w:r>
            <w:r>
              <w:rPr>
                <w:rStyle w:val="IndexLink"/>
                <w:rtl w:val="true"/>
              </w:rPr>
              <w:t>خواندن قرآن با صداى نيكو</w:t>
            </w:r>
            <w:r>
              <w:rPr>
                <w:rStyle w:val="IndexLink"/>
                <w:rtl w:val="true"/>
              </w:rPr>
              <w:tab/>
            </w:r>
            <w:r>
              <w:rPr>
                <w:rStyle w:val="IndexLink"/>
              </w:rPr>
              <w:t>320</w:t>
            </w:r>
          </w:hyperlink>
        </w:p>
        <w:p>
          <w:pPr>
            <w:pStyle w:val="Contents4"/>
            <w:tabs>
              <w:tab w:val="clear" w:pos="8176"/>
              <w:tab w:val="right" w:pos="9026" w:leader="dot"/>
            </w:tabs>
            <w:rPr/>
          </w:pPr>
          <w:hyperlink w:anchor="__RefHeading___Toc3585677_3650668749">
            <w:r>
              <w:rPr>
                <w:webHidden/>
                <w:rStyle w:val="IndexLink"/>
                <w:rtl w:val="true"/>
              </w:rPr>
              <w:t>ب</w:t>
            </w:r>
            <w:r>
              <w:rPr>
                <w:rStyle w:val="IndexLink"/>
                <w:rtl w:val="true"/>
              </w:rPr>
              <w:t xml:space="preserve">) </w:t>
            </w:r>
            <w:r>
              <w:rPr>
                <w:rStyle w:val="IndexLink"/>
                <w:rtl w:val="true"/>
              </w:rPr>
              <w:t>پاكيزه كردن دهان</w:t>
            </w:r>
            <w:r>
              <w:rPr>
                <w:rStyle w:val="IndexLink"/>
                <w:rtl w:val="true"/>
              </w:rPr>
              <w:tab/>
            </w:r>
            <w:r>
              <w:rPr>
                <w:rStyle w:val="IndexLink"/>
              </w:rPr>
              <w:t>320</w:t>
            </w:r>
          </w:hyperlink>
        </w:p>
        <w:p>
          <w:pPr>
            <w:pStyle w:val="Contents4"/>
            <w:tabs>
              <w:tab w:val="clear" w:pos="8176"/>
              <w:tab w:val="right" w:pos="9026" w:leader="dot"/>
            </w:tabs>
            <w:rPr/>
          </w:pPr>
          <w:hyperlink w:anchor="__RefHeading___Toc3585679_3650668749">
            <w:r>
              <w:rPr>
                <w:webHidden/>
                <w:rStyle w:val="IndexLink"/>
                <w:rtl w:val="true"/>
              </w:rPr>
              <w:t>ج</w:t>
            </w:r>
            <w:r>
              <w:rPr>
                <w:rStyle w:val="IndexLink"/>
                <w:rtl w:val="true"/>
              </w:rPr>
              <w:t xml:space="preserve">) </w:t>
            </w:r>
            <w:r>
              <w:rPr>
                <w:rStyle w:val="IndexLink"/>
                <w:rtl w:val="true"/>
              </w:rPr>
              <w:t>استعاذه</w:t>
            </w:r>
            <w:r>
              <w:rPr>
                <w:rStyle w:val="IndexLink"/>
                <w:rtl w:val="true"/>
              </w:rPr>
              <w:tab/>
            </w:r>
            <w:r>
              <w:rPr>
                <w:rStyle w:val="IndexLink"/>
              </w:rPr>
              <w:t>320</w:t>
            </w:r>
          </w:hyperlink>
        </w:p>
        <w:p>
          <w:pPr>
            <w:pStyle w:val="Contents4"/>
            <w:tabs>
              <w:tab w:val="clear" w:pos="8176"/>
              <w:tab w:val="right" w:pos="9026" w:leader="dot"/>
            </w:tabs>
            <w:rPr/>
          </w:pPr>
          <w:hyperlink w:anchor="__RefHeading___Toc3585681_3650668749">
            <w:r>
              <w:rPr>
                <w:webHidden/>
                <w:rStyle w:val="IndexLink"/>
                <w:rtl w:val="true"/>
              </w:rPr>
              <w:t>د</w:t>
            </w:r>
            <w:r>
              <w:rPr>
                <w:rStyle w:val="IndexLink"/>
                <w:rtl w:val="true"/>
              </w:rPr>
              <w:t xml:space="preserve">) </w:t>
            </w:r>
            <w:r>
              <w:rPr>
                <w:rStyle w:val="IndexLink"/>
                <w:rtl w:val="true"/>
              </w:rPr>
              <w:t>ترتيل</w:t>
            </w:r>
            <w:r>
              <w:rPr>
                <w:rStyle w:val="IndexLink"/>
                <w:rtl w:val="true"/>
              </w:rPr>
              <w:tab/>
            </w:r>
            <w:r>
              <w:rPr>
                <w:rStyle w:val="IndexLink"/>
              </w:rPr>
              <w:t>321</w:t>
            </w:r>
          </w:hyperlink>
        </w:p>
        <w:p>
          <w:pPr>
            <w:pStyle w:val="Contents4"/>
            <w:tabs>
              <w:tab w:val="clear" w:pos="8176"/>
              <w:tab w:val="right" w:pos="9026" w:leader="dot"/>
            </w:tabs>
            <w:rPr/>
          </w:pPr>
          <w:hyperlink w:anchor="__RefHeading___Toc3585683_3650668749">
            <w:r>
              <w:rPr>
                <w:webHidden/>
                <w:rStyle w:val="IndexLink"/>
                <w:rtl w:val="true"/>
              </w:rPr>
              <w:t>ه</w:t>
            </w:r>
            <w:r>
              <w:rPr>
                <w:rStyle w:val="IndexLink"/>
                <w:rtl w:val="true"/>
              </w:rPr>
              <w:t xml:space="preserve">) </w:t>
            </w:r>
            <w:r>
              <w:rPr>
                <w:rStyle w:val="IndexLink"/>
                <w:rtl w:val="true"/>
              </w:rPr>
              <w:t>تدبّر</w:t>
            </w:r>
            <w:r>
              <w:rPr>
                <w:rStyle w:val="IndexLink"/>
                <w:rtl w:val="true"/>
              </w:rPr>
              <w:tab/>
            </w:r>
            <w:r>
              <w:rPr>
                <w:rStyle w:val="IndexLink"/>
              </w:rPr>
              <w:t>321</w:t>
            </w:r>
          </w:hyperlink>
        </w:p>
        <w:p>
          <w:pPr>
            <w:pStyle w:val="Contents4"/>
            <w:tabs>
              <w:tab w:val="clear" w:pos="8176"/>
              <w:tab w:val="right" w:pos="9026" w:leader="dot"/>
            </w:tabs>
            <w:rPr/>
          </w:pPr>
          <w:hyperlink w:anchor="__RefHeading___Toc3585685_3650668749">
            <w:r>
              <w:rPr>
                <w:webHidden/>
                <w:rStyle w:val="IndexLink"/>
                <w:rtl w:val="true"/>
              </w:rPr>
              <w:t>و</w:t>
            </w:r>
            <w:r>
              <w:rPr>
                <w:rStyle w:val="IndexLink"/>
                <w:rtl w:val="true"/>
              </w:rPr>
              <w:t xml:space="preserve">) </w:t>
            </w:r>
            <w:r>
              <w:rPr>
                <w:rStyle w:val="IndexLink"/>
                <w:rtl w:val="true"/>
              </w:rPr>
              <w:t>خشوع</w:t>
            </w:r>
            <w:r>
              <w:rPr>
                <w:rStyle w:val="IndexLink"/>
                <w:rtl w:val="true"/>
              </w:rPr>
              <w:tab/>
            </w:r>
            <w:r>
              <w:rPr>
                <w:rStyle w:val="IndexLink"/>
              </w:rPr>
              <w:t>321</w:t>
            </w:r>
          </w:hyperlink>
        </w:p>
        <w:p>
          <w:pPr>
            <w:pStyle w:val="Contents4"/>
            <w:tabs>
              <w:tab w:val="clear" w:pos="8176"/>
              <w:tab w:val="right" w:pos="9026" w:leader="dot"/>
            </w:tabs>
            <w:rPr/>
          </w:pPr>
          <w:hyperlink w:anchor="__RefHeading___Toc3585687_3650668749">
            <w:r>
              <w:rPr>
                <w:webHidden/>
                <w:rStyle w:val="IndexLink"/>
                <w:rtl w:val="true"/>
              </w:rPr>
              <w:t>ز</w:t>
            </w:r>
            <w:r>
              <w:rPr>
                <w:rStyle w:val="IndexLink"/>
                <w:rtl w:val="true"/>
              </w:rPr>
              <w:t xml:space="preserve">) </w:t>
            </w:r>
            <w:r>
              <w:rPr>
                <w:rStyle w:val="IndexLink"/>
                <w:rtl w:val="true"/>
              </w:rPr>
              <w:t>كسانى كه بهتر است قرآن نخوانند</w:t>
            </w:r>
            <w:r>
              <w:rPr>
                <w:rStyle w:val="IndexLink"/>
                <w:rtl w:val="true"/>
              </w:rPr>
              <w:tab/>
            </w:r>
            <w:r>
              <w:rPr>
                <w:rStyle w:val="IndexLink"/>
              </w:rPr>
              <w:t>321</w:t>
            </w:r>
          </w:hyperlink>
        </w:p>
        <w:p>
          <w:pPr>
            <w:pStyle w:val="Contents4"/>
            <w:tabs>
              <w:tab w:val="clear" w:pos="8176"/>
              <w:tab w:val="right" w:pos="9026" w:leader="dot"/>
            </w:tabs>
            <w:rPr/>
          </w:pPr>
          <w:hyperlink w:anchor="__RefHeading___Toc3585689_3650668749">
            <w:r>
              <w:rPr>
                <w:webHidden/>
                <w:rStyle w:val="IndexLink"/>
                <w:rtl w:val="true"/>
              </w:rPr>
              <w:t>قاريان قرآن</w:t>
            </w:r>
            <w:r>
              <w:rPr>
                <w:rStyle w:val="IndexLink"/>
                <w:rtl w:val="true"/>
              </w:rPr>
              <w:tab/>
            </w:r>
            <w:r>
              <w:rPr>
                <w:rStyle w:val="IndexLink"/>
              </w:rPr>
              <w:t>322</w:t>
            </w:r>
          </w:hyperlink>
        </w:p>
        <w:p>
          <w:pPr>
            <w:pStyle w:val="Contents3"/>
            <w:tabs>
              <w:tab w:val="clear" w:pos="8459"/>
              <w:tab w:val="right" w:pos="9026" w:leader="dot"/>
            </w:tabs>
            <w:rPr/>
          </w:pPr>
          <w:hyperlink w:anchor="__RefHeading___Toc3585691_3650668749">
            <w:r>
              <w:rPr>
                <w:webHidden/>
                <w:rStyle w:val="IndexLink"/>
              </w:rPr>
              <w:t>۵</w:t>
            </w:r>
            <w:r>
              <w:rPr>
                <w:rStyle w:val="IndexLink"/>
                <w:rtl w:val="true"/>
              </w:rPr>
              <w:t xml:space="preserve">. </w:t>
            </w:r>
            <w:r>
              <w:rPr>
                <w:rStyle w:val="IndexLink"/>
                <w:rtl w:val="true"/>
              </w:rPr>
              <w:t>موسيقى و اعمال خلاف شرع رايج</w:t>
            </w:r>
            <w:r>
              <w:rPr>
                <w:rStyle w:val="IndexLink"/>
                <w:rtl w:val="true"/>
              </w:rPr>
              <w:tab/>
            </w:r>
            <w:r>
              <w:rPr>
                <w:rStyle w:val="IndexLink"/>
              </w:rPr>
              <w:t>326</w:t>
            </w:r>
          </w:hyperlink>
        </w:p>
        <w:p>
          <w:pPr>
            <w:pStyle w:val="Contents4"/>
            <w:tabs>
              <w:tab w:val="clear" w:pos="8176"/>
              <w:tab w:val="right" w:pos="9026" w:leader="dot"/>
            </w:tabs>
            <w:rPr/>
          </w:pPr>
          <w:hyperlink w:anchor="__RefHeading___Toc3585693_3650668749">
            <w:r>
              <w:rPr>
                <w:webHidden/>
                <w:rStyle w:val="IndexLink"/>
                <w:rtl w:val="true"/>
              </w:rPr>
              <w:t>الف</w:t>
            </w:r>
            <w:r>
              <w:rPr>
                <w:rStyle w:val="IndexLink"/>
                <w:rtl w:val="true"/>
              </w:rPr>
              <w:t xml:space="preserve">) </w:t>
            </w:r>
            <w:r>
              <w:rPr>
                <w:rStyle w:val="IndexLink"/>
                <w:rtl w:val="true"/>
              </w:rPr>
              <w:t>موسيقى</w:t>
            </w:r>
            <w:r>
              <w:rPr>
                <w:rStyle w:val="IndexLink"/>
                <w:rtl w:val="true"/>
              </w:rPr>
              <w:tab/>
            </w:r>
            <w:r>
              <w:rPr>
                <w:rStyle w:val="IndexLink"/>
              </w:rPr>
              <w:t>326</w:t>
            </w:r>
          </w:hyperlink>
        </w:p>
        <w:p>
          <w:pPr>
            <w:pStyle w:val="Contents4"/>
            <w:tabs>
              <w:tab w:val="clear" w:pos="8176"/>
              <w:tab w:val="right" w:pos="9026" w:leader="dot"/>
            </w:tabs>
            <w:rPr/>
          </w:pPr>
          <w:hyperlink w:anchor="__RefHeading___Toc3585695_3650668749">
            <w:r>
              <w:rPr>
                <w:webHidden/>
                <w:rStyle w:val="IndexLink"/>
                <w:rtl w:val="true"/>
              </w:rPr>
              <w:t>ب</w:t>
            </w:r>
            <w:r>
              <w:rPr>
                <w:rStyle w:val="IndexLink"/>
                <w:rtl w:val="true"/>
              </w:rPr>
              <w:t xml:space="preserve">) </w:t>
            </w:r>
            <w:r>
              <w:rPr>
                <w:rStyle w:val="IndexLink"/>
                <w:rtl w:val="true"/>
              </w:rPr>
              <w:t>مى‌خوارگى</w:t>
            </w:r>
            <w:r>
              <w:rPr>
                <w:rStyle w:val="IndexLink"/>
                <w:rtl w:val="true"/>
              </w:rPr>
              <w:tab/>
            </w:r>
            <w:r>
              <w:rPr>
                <w:rStyle w:val="IndexLink"/>
              </w:rPr>
              <w:t>328</w:t>
            </w:r>
          </w:hyperlink>
        </w:p>
        <w:p>
          <w:pPr>
            <w:pStyle w:val="Contents3"/>
            <w:tabs>
              <w:tab w:val="clear" w:pos="8459"/>
              <w:tab w:val="right" w:pos="9026" w:leader="dot"/>
            </w:tabs>
            <w:rPr/>
          </w:pPr>
          <w:hyperlink w:anchor="__RefHeading___Toc3585697_3650668749">
            <w:r>
              <w:rPr>
                <w:webHidden/>
                <w:rStyle w:val="IndexLink"/>
              </w:rPr>
              <w:t>۶</w:t>
            </w:r>
            <w:r>
              <w:rPr>
                <w:rStyle w:val="IndexLink"/>
                <w:rtl w:val="true"/>
              </w:rPr>
              <w:t xml:space="preserve">. </w:t>
            </w:r>
            <w:r>
              <w:rPr>
                <w:rStyle w:val="IndexLink"/>
                <w:rtl w:val="true"/>
              </w:rPr>
              <w:t>كتابت و خط</w:t>
            </w:r>
            <w:r>
              <w:rPr>
                <w:rStyle w:val="IndexLink"/>
                <w:rtl w:val="true"/>
              </w:rPr>
              <w:tab/>
            </w:r>
            <w:r>
              <w:rPr>
                <w:rStyle w:val="IndexLink"/>
              </w:rPr>
              <w:t>329</w:t>
            </w:r>
          </w:hyperlink>
        </w:p>
        <w:p>
          <w:pPr>
            <w:pStyle w:val="Contents4"/>
            <w:tabs>
              <w:tab w:val="clear" w:pos="8176"/>
              <w:tab w:val="right" w:pos="9026" w:leader="dot"/>
            </w:tabs>
            <w:rPr/>
          </w:pPr>
          <w:hyperlink w:anchor="__RefHeading___Toc3585699_3650668749">
            <w:r>
              <w:rPr>
                <w:webHidden/>
                <w:rStyle w:val="IndexLink"/>
                <w:rtl w:val="true"/>
              </w:rPr>
              <w:t>الف</w:t>
            </w:r>
            <w:r>
              <w:rPr>
                <w:rStyle w:val="IndexLink"/>
                <w:rtl w:val="true"/>
              </w:rPr>
              <w:t xml:space="preserve">) </w:t>
            </w:r>
            <w:r>
              <w:rPr>
                <w:rStyle w:val="IndexLink"/>
                <w:rtl w:val="true"/>
              </w:rPr>
              <w:t>آداب نوشتن</w:t>
            </w:r>
            <w:r>
              <w:rPr>
                <w:rStyle w:val="IndexLink"/>
                <w:rtl w:val="true"/>
              </w:rPr>
              <w:tab/>
            </w:r>
            <w:r>
              <w:rPr>
                <w:rStyle w:val="IndexLink"/>
              </w:rPr>
              <w:t>329</w:t>
            </w:r>
          </w:hyperlink>
        </w:p>
        <w:p>
          <w:pPr>
            <w:pStyle w:val="Contents4"/>
            <w:tabs>
              <w:tab w:val="clear" w:pos="8176"/>
              <w:tab w:val="right" w:pos="9026" w:leader="dot"/>
            </w:tabs>
            <w:rPr/>
          </w:pPr>
          <w:hyperlink w:anchor="__RefHeading___Toc3585701_3650668749">
            <w:r>
              <w:rPr>
                <w:webHidden/>
                <w:rStyle w:val="IndexLink"/>
                <w:rtl w:val="true"/>
              </w:rPr>
              <w:t>ب</w:t>
            </w:r>
            <w:r>
              <w:rPr>
                <w:rStyle w:val="IndexLink"/>
                <w:rtl w:val="true"/>
              </w:rPr>
              <w:t xml:space="preserve">) </w:t>
            </w:r>
            <w:r>
              <w:rPr>
                <w:rStyle w:val="IndexLink"/>
                <w:rtl w:val="true"/>
              </w:rPr>
              <w:t xml:space="preserve">وسايل نوشتن </w:t>
            </w:r>
            <w:r>
              <w:rPr>
                <w:rStyle w:val="IndexLink"/>
                <w:rtl w:val="true"/>
              </w:rPr>
              <w:t>(</w:t>
            </w:r>
            <w:r>
              <w:rPr>
                <w:rStyle w:val="IndexLink"/>
                <w:rtl w:val="true"/>
              </w:rPr>
              <w:t>ادوات كتابت</w:t>
            </w:r>
            <w:r>
              <w:rPr>
                <w:rStyle w:val="IndexLink"/>
                <w:rtl w:val="true"/>
              </w:rPr>
              <w:t>)</w:t>
              <w:tab/>
            </w:r>
            <w:r>
              <w:rPr>
                <w:rStyle w:val="IndexLink"/>
              </w:rPr>
              <w:t>331</w:t>
            </w:r>
          </w:hyperlink>
        </w:p>
        <w:p>
          <w:pPr>
            <w:pStyle w:val="Contents5"/>
            <w:tabs>
              <w:tab w:val="clear" w:pos="7892"/>
              <w:tab w:val="right" w:pos="9026" w:leader="dot"/>
            </w:tabs>
            <w:rPr/>
          </w:pPr>
          <w:hyperlink w:anchor="__RefHeading___Toc3585703_3650668749">
            <w:r>
              <w:rPr>
                <w:webHidden/>
                <w:rStyle w:val="IndexLink"/>
                <w:rtl w:val="true"/>
              </w:rPr>
              <w:t>اشاره</w:t>
            </w:r>
            <w:r>
              <w:rPr>
                <w:rStyle w:val="IndexLink"/>
                <w:rtl w:val="true"/>
              </w:rPr>
              <w:tab/>
            </w:r>
            <w:r>
              <w:rPr>
                <w:rStyle w:val="IndexLink"/>
              </w:rPr>
              <w:t>331</w:t>
            </w:r>
          </w:hyperlink>
        </w:p>
        <w:p>
          <w:pPr>
            <w:pStyle w:val="Contents5"/>
            <w:tabs>
              <w:tab w:val="clear" w:pos="7892"/>
              <w:tab w:val="right" w:pos="9026" w:leader="dot"/>
            </w:tabs>
            <w:rPr/>
          </w:pPr>
          <w:hyperlink w:anchor="__RefHeading___Toc3585705_3650668749">
            <w:r>
              <w:rPr>
                <w:webHidden/>
                <w:rStyle w:val="IndexLink"/>
                <w:rtl w:val="true"/>
              </w:rPr>
              <w:t>ج</w:t>
            </w:r>
            <w:r>
              <w:rPr>
                <w:rStyle w:val="IndexLink"/>
                <w:rtl w:val="true"/>
              </w:rPr>
              <w:t xml:space="preserve">) </w:t>
            </w:r>
            <w:r>
              <w:rPr>
                <w:rStyle w:val="IndexLink"/>
                <w:rtl w:val="true"/>
              </w:rPr>
              <w:t>خط كوفى</w:t>
            </w:r>
            <w:r>
              <w:rPr>
                <w:rStyle w:val="IndexLink"/>
                <w:rtl w:val="true"/>
              </w:rPr>
              <w:tab/>
            </w:r>
            <w:r>
              <w:rPr>
                <w:rStyle w:val="IndexLink"/>
              </w:rPr>
              <w:t>334</w:t>
            </w:r>
          </w:hyperlink>
        </w:p>
        <w:p>
          <w:pPr>
            <w:pStyle w:val="Contents2"/>
            <w:tabs>
              <w:tab w:val="clear" w:pos="8743"/>
              <w:tab w:val="right" w:pos="9026" w:leader="dot"/>
            </w:tabs>
            <w:rPr/>
          </w:pPr>
          <w:hyperlink w:anchor="__RefHeading___Toc3585707_3650668749">
            <w:r>
              <w:rPr>
                <w:webHidden/>
                <w:rStyle w:val="IndexLink"/>
                <w:rtl w:val="true"/>
              </w:rPr>
              <w:t>فصل ششم</w:t>
            </w:r>
            <w:r>
              <w:rPr>
                <w:rStyle w:val="IndexLink"/>
                <w:rtl w:val="true"/>
              </w:rPr>
              <w:t xml:space="preserve">: </w:t>
            </w:r>
            <w:r>
              <w:rPr>
                <w:rStyle w:val="IndexLink"/>
                <w:rtl w:val="true"/>
              </w:rPr>
              <w:t>آداب و رسوم</w:t>
            </w:r>
            <w:r>
              <w:rPr>
                <w:rStyle w:val="IndexLink"/>
                <w:rtl w:val="true"/>
              </w:rPr>
              <w:tab/>
            </w:r>
            <w:r>
              <w:rPr>
                <w:rStyle w:val="IndexLink"/>
              </w:rPr>
              <w:t>339</w:t>
            </w:r>
          </w:hyperlink>
        </w:p>
        <w:p>
          <w:pPr>
            <w:pStyle w:val="Contents3"/>
            <w:tabs>
              <w:tab w:val="clear" w:pos="8459"/>
              <w:tab w:val="right" w:pos="9026" w:leader="dot"/>
            </w:tabs>
            <w:rPr/>
          </w:pPr>
          <w:hyperlink w:anchor="__RefHeading___Toc3585709_3650668749">
            <w:r>
              <w:rPr>
                <w:webHidden/>
                <w:rStyle w:val="IndexLink"/>
                <w:rtl w:val="true"/>
              </w:rPr>
              <w:t>اشاره</w:t>
            </w:r>
            <w:r>
              <w:rPr>
                <w:rStyle w:val="IndexLink"/>
                <w:rtl w:val="true"/>
              </w:rPr>
              <w:tab/>
            </w:r>
            <w:r>
              <w:rPr>
                <w:rStyle w:val="IndexLink"/>
              </w:rPr>
              <w:t>339</w:t>
            </w:r>
          </w:hyperlink>
        </w:p>
        <w:p>
          <w:pPr>
            <w:pStyle w:val="Contents3"/>
            <w:tabs>
              <w:tab w:val="clear" w:pos="8459"/>
              <w:tab w:val="right" w:pos="9026" w:leader="dot"/>
            </w:tabs>
            <w:rPr/>
          </w:pPr>
          <w:hyperlink w:anchor="__RefHeading___Toc3585711_3650668749">
            <w:r>
              <w:rPr>
                <w:webHidden/>
                <w:rStyle w:val="IndexLink"/>
              </w:rPr>
              <w:t>١</w:t>
            </w:r>
            <w:r>
              <w:rPr>
                <w:rStyle w:val="IndexLink"/>
                <w:rtl w:val="true"/>
              </w:rPr>
              <w:t xml:space="preserve">. </w:t>
            </w:r>
            <w:r>
              <w:rPr>
                <w:rStyle w:val="IndexLink"/>
                <w:rtl w:val="true"/>
              </w:rPr>
              <w:t>خواستگارى</w:t>
            </w:r>
            <w:r>
              <w:rPr>
                <w:rStyle w:val="IndexLink"/>
                <w:rtl w:val="true"/>
              </w:rPr>
              <w:tab/>
            </w:r>
            <w:r>
              <w:rPr>
                <w:rStyle w:val="IndexLink"/>
              </w:rPr>
              <w:t>340</w:t>
            </w:r>
          </w:hyperlink>
        </w:p>
        <w:p>
          <w:pPr>
            <w:pStyle w:val="Contents3"/>
            <w:tabs>
              <w:tab w:val="clear" w:pos="8459"/>
              <w:tab w:val="right" w:pos="9026" w:leader="dot"/>
            </w:tabs>
            <w:rPr/>
          </w:pPr>
          <w:hyperlink w:anchor="__RefHeading___Toc3585713_3650668749">
            <w:r>
              <w:rPr>
                <w:webHidden/>
                <w:rStyle w:val="IndexLink"/>
              </w:rPr>
              <w:t>٢</w:t>
            </w:r>
            <w:r>
              <w:rPr>
                <w:rStyle w:val="IndexLink"/>
                <w:rtl w:val="true"/>
              </w:rPr>
              <w:t xml:space="preserve">. </w:t>
            </w:r>
            <w:r>
              <w:rPr>
                <w:rStyle w:val="IndexLink"/>
                <w:rtl w:val="true"/>
              </w:rPr>
              <w:t>ازدواج</w:t>
            </w:r>
            <w:r>
              <w:rPr>
                <w:rStyle w:val="IndexLink"/>
                <w:rtl w:val="true"/>
              </w:rPr>
              <w:tab/>
            </w:r>
            <w:r>
              <w:rPr>
                <w:rStyle w:val="IndexLink"/>
              </w:rPr>
              <w:t>342</w:t>
            </w:r>
          </w:hyperlink>
        </w:p>
        <w:p>
          <w:pPr>
            <w:pStyle w:val="Contents4"/>
            <w:tabs>
              <w:tab w:val="clear" w:pos="8176"/>
              <w:tab w:val="right" w:pos="9026" w:leader="dot"/>
            </w:tabs>
            <w:rPr/>
          </w:pPr>
          <w:hyperlink w:anchor="__RefHeading___Toc3585715_3650668749">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3585717_3650668749">
            <w:r>
              <w:rPr>
                <w:webHidden/>
                <w:rStyle w:val="IndexLink"/>
                <w:rtl w:val="true"/>
              </w:rPr>
              <w:t>الف</w:t>
            </w:r>
            <w:r>
              <w:rPr>
                <w:rStyle w:val="IndexLink"/>
                <w:rtl w:val="true"/>
              </w:rPr>
              <w:t xml:space="preserve">) </w:t>
            </w:r>
            <w:r>
              <w:rPr>
                <w:rStyle w:val="IndexLink"/>
                <w:rtl w:val="true"/>
              </w:rPr>
              <w:t>تعيين مهريه</w:t>
            </w:r>
            <w:r>
              <w:rPr>
                <w:rStyle w:val="IndexLink"/>
                <w:rtl w:val="true"/>
              </w:rPr>
              <w:tab/>
            </w:r>
            <w:r>
              <w:rPr>
                <w:rStyle w:val="IndexLink"/>
              </w:rPr>
              <w:t>342</w:t>
            </w:r>
          </w:hyperlink>
        </w:p>
        <w:p>
          <w:pPr>
            <w:pStyle w:val="Contents4"/>
            <w:tabs>
              <w:tab w:val="clear" w:pos="8176"/>
              <w:tab w:val="right" w:pos="9026" w:leader="dot"/>
            </w:tabs>
            <w:rPr/>
          </w:pPr>
          <w:hyperlink w:anchor="__RefHeading___Toc3585719_3650668749">
            <w:r>
              <w:rPr>
                <w:webHidden/>
                <w:rStyle w:val="IndexLink"/>
                <w:rtl w:val="true"/>
              </w:rPr>
              <w:t>ب</w:t>
            </w:r>
            <w:r>
              <w:rPr>
                <w:rStyle w:val="IndexLink"/>
                <w:rtl w:val="true"/>
              </w:rPr>
              <w:t xml:space="preserve">) </w:t>
            </w:r>
            <w:r>
              <w:rPr>
                <w:rStyle w:val="IndexLink"/>
                <w:rtl w:val="true"/>
              </w:rPr>
              <w:t>جهيزيه</w:t>
            </w:r>
            <w:r>
              <w:rPr>
                <w:rStyle w:val="IndexLink"/>
                <w:rtl w:val="true"/>
              </w:rPr>
              <w:tab/>
            </w:r>
            <w:r>
              <w:rPr>
                <w:rStyle w:val="IndexLink"/>
              </w:rPr>
              <w:t>343</w:t>
            </w:r>
          </w:hyperlink>
        </w:p>
        <w:p>
          <w:pPr>
            <w:pStyle w:val="Contents4"/>
            <w:tabs>
              <w:tab w:val="clear" w:pos="8176"/>
              <w:tab w:val="right" w:pos="9026" w:leader="dot"/>
            </w:tabs>
            <w:rPr/>
          </w:pPr>
          <w:hyperlink w:anchor="__RefHeading___Toc3585721_3650668749">
            <w:r>
              <w:rPr>
                <w:webHidden/>
                <w:rStyle w:val="IndexLink"/>
                <w:rtl w:val="true"/>
              </w:rPr>
              <w:t>ج</w:t>
            </w:r>
            <w:r>
              <w:rPr>
                <w:rStyle w:val="IndexLink"/>
                <w:rtl w:val="true"/>
              </w:rPr>
              <w:t xml:space="preserve">) </w:t>
            </w:r>
            <w:r>
              <w:rPr>
                <w:rStyle w:val="IndexLink"/>
                <w:rtl w:val="true"/>
              </w:rPr>
              <w:t>خطبه نكاح</w:t>
            </w:r>
            <w:r>
              <w:rPr>
                <w:rStyle w:val="IndexLink"/>
                <w:rtl w:val="true"/>
              </w:rPr>
              <w:tab/>
            </w:r>
            <w:r>
              <w:rPr>
                <w:rStyle w:val="IndexLink"/>
              </w:rPr>
              <w:t>343</w:t>
            </w:r>
          </w:hyperlink>
        </w:p>
        <w:p>
          <w:pPr>
            <w:pStyle w:val="Contents4"/>
            <w:tabs>
              <w:tab w:val="clear" w:pos="8176"/>
              <w:tab w:val="right" w:pos="9026" w:leader="dot"/>
            </w:tabs>
            <w:rPr/>
          </w:pPr>
          <w:hyperlink w:anchor="__RefHeading___Toc3585723_3650668749">
            <w:r>
              <w:rPr>
                <w:webHidden/>
                <w:rStyle w:val="IndexLink"/>
                <w:rtl w:val="true"/>
              </w:rPr>
              <w:t>د</w:t>
            </w:r>
            <w:r>
              <w:rPr>
                <w:rStyle w:val="IndexLink"/>
                <w:rtl w:val="true"/>
              </w:rPr>
              <w:t xml:space="preserve">) </w:t>
            </w:r>
            <w:r>
              <w:rPr>
                <w:rStyle w:val="IndexLink"/>
                <w:rtl w:val="true"/>
              </w:rPr>
              <w:t xml:space="preserve">فاصله بين عقد و عروسى </w:t>
            </w:r>
            <w:r>
              <w:rPr>
                <w:rStyle w:val="IndexLink"/>
                <w:rtl w:val="true"/>
              </w:rPr>
              <w:t>(</w:t>
            </w:r>
            <w:r>
              <w:rPr>
                <w:rStyle w:val="IndexLink"/>
                <w:rtl w:val="true"/>
              </w:rPr>
              <w:t>زفاف</w:t>
            </w:r>
            <w:r>
              <w:rPr>
                <w:rStyle w:val="IndexLink"/>
                <w:rtl w:val="true"/>
              </w:rPr>
              <w:t>)</w:t>
              <w:tab/>
            </w:r>
            <w:r>
              <w:rPr>
                <w:rStyle w:val="IndexLink"/>
              </w:rPr>
              <w:t>344</w:t>
            </w:r>
          </w:hyperlink>
        </w:p>
        <w:p>
          <w:pPr>
            <w:pStyle w:val="Contents4"/>
            <w:tabs>
              <w:tab w:val="clear" w:pos="8176"/>
              <w:tab w:val="right" w:pos="9026" w:leader="dot"/>
            </w:tabs>
            <w:rPr/>
          </w:pPr>
          <w:hyperlink w:anchor="__RefHeading___Toc3585725_3650668749">
            <w:r>
              <w:rPr>
                <w:webHidden/>
                <w:rStyle w:val="IndexLink"/>
                <w:rtl w:val="true"/>
              </w:rPr>
              <w:t>ه</w:t>
            </w:r>
            <w:r>
              <w:rPr>
                <w:rStyle w:val="IndexLink"/>
                <w:rtl w:val="true"/>
              </w:rPr>
              <w:t xml:space="preserve">) </w:t>
            </w:r>
            <w:r>
              <w:rPr>
                <w:rStyle w:val="IndexLink"/>
                <w:rtl w:val="true"/>
              </w:rPr>
              <w:t xml:space="preserve">مراسم عروسى </w:t>
            </w:r>
            <w:r>
              <w:rPr>
                <w:rStyle w:val="IndexLink"/>
                <w:rtl w:val="true"/>
              </w:rPr>
              <w:t>(</w:t>
            </w:r>
            <w:r>
              <w:rPr>
                <w:rStyle w:val="IndexLink"/>
                <w:rtl w:val="true"/>
              </w:rPr>
              <w:t>زفاف</w:t>
            </w:r>
            <w:r>
              <w:rPr>
                <w:rStyle w:val="IndexLink"/>
                <w:rtl w:val="true"/>
              </w:rPr>
              <w:t>)</w:t>
              <w:tab/>
            </w:r>
            <w:r>
              <w:rPr>
                <w:rStyle w:val="IndexLink"/>
              </w:rPr>
              <w:t>344</w:t>
            </w:r>
          </w:hyperlink>
        </w:p>
        <w:p>
          <w:pPr>
            <w:pStyle w:val="Contents5"/>
            <w:tabs>
              <w:tab w:val="clear" w:pos="7892"/>
              <w:tab w:val="right" w:pos="9026" w:leader="dot"/>
            </w:tabs>
            <w:rPr/>
          </w:pPr>
          <w:hyperlink w:anchor="__RefHeading___Toc3585727_3650668749">
            <w:r>
              <w:rPr>
                <w:webHidden/>
                <w:rStyle w:val="IndexLink"/>
                <w:rtl w:val="true"/>
              </w:rPr>
              <w:t>اشاره</w:t>
            </w:r>
            <w:r>
              <w:rPr>
                <w:rStyle w:val="IndexLink"/>
                <w:rtl w:val="true"/>
              </w:rPr>
              <w:tab/>
            </w:r>
            <w:r>
              <w:rPr>
                <w:rStyle w:val="IndexLink"/>
              </w:rPr>
              <w:t>344</w:t>
            </w:r>
          </w:hyperlink>
        </w:p>
        <w:p>
          <w:pPr>
            <w:pStyle w:val="Contents5"/>
            <w:tabs>
              <w:tab w:val="clear" w:pos="7892"/>
              <w:tab w:val="right" w:pos="9026" w:leader="dot"/>
            </w:tabs>
            <w:rPr/>
          </w:pPr>
          <w:hyperlink w:anchor="__RefHeading___Toc3585729_3650668749">
            <w:r>
              <w:rPr>
                <w:webHidden/>
                <w:rStyle w:val="IndexLink"/>
                <w:rtl w:val="true"/>
              </w:rPr>
              <w:t xml:space="preserve">يك </w:t>
            </w:r>
            <w:r>
              <w:rPr>
                <w:rStyle w:val="IndexLink"/>
                <w:rtl w:val="true"/>
              </w:rPr>
              <w:t xml:space="preserve">- </w:t>
            </w:r>
            <w:r>
              <w:rPr>
                <w:rStyle w:val="IndexLink"/>
                <w:rtl w:val="true"/>
              </w:rPr>
              <w:t>وقوع عروسى در شب</w:t>
            </w:r>
            <w:r>
              <w:rPr>
                <w:rStyle w:val="IndexLink"/>
                <w:rtl w:val="true"/>
              </w:rPr>
              <w:tab/>
            </w:r>
            <w:r>
              <w:rPr>
                <w:rStyle w:val="IndexLink"/>
              </w:rPr>
              <w:t>344</w:t>
            </w:r>
          </w:hyperlink>
        </w:p>
        <w:p>
          <w:pPr>
            <w:pStyle w:val="Contents5"/>
            <w:tabs>
              <w:tab w:val="clear" w:pos="7892"/>
              <w:tab w:val="right" w:pos="9026" w:leader="dot"/>
            </w:tabs>
            <w:rPr/>
          </w:pPr>
          <w:hyperlink w:anchor="__RefHeading___Toc3585731_3650668749">
            <w:r>
              <w:rPr>
                <w:webHidden/>
                <w:rStyle w:val="IndexLink"/>
                <w:rtl w:val="true"/>
              </w:rPr>
              <w:t xml:space="preserve">دو </w:t>
            </w:r>
            <w:r>
              <w:rPr>
                <w:rStyle w:val="IndexLink"/>
                <w:rtl w:val="true"/>
              </w:rPr>
              <w:t xml:space="preserve">- </w:t>
            </w:r>
            <w:r>
              <w:rPr>
                <w:rStyle w:val="IndexLink"/>
                <w:rtl w:val="true"/>
              </w:rPr>
              <w:t>آرايش عروس</w:t>
            </w:r>
            <w:r>
              <w:rPr>
                <w:rStyle w:val="IndexLink"/>
                <w:rtl w:val="true"/>
              </w:rPr>
              <w:tab/>
            </w:r>
            <w:r>
              <w:rPr>
                <w:rStyle w:val="IndexLink"/>
              </w:rPr>
              <w:t>344</w:t>
            </w:r>
          </w:hyperlink>
        </w:p>
        <w:p>
          <w:pPr>
            <w:pStyle w:val="Contents5"/>
            <w:tabs>
              <w:tab w:val="clear" w:pos="7892"/>
              <w:tab w:val="right" w:pos="9026" w:leader="dot"/>
            </w:tabs>
            <w:rPr/>
          </w:pPr>
          <w:hyperlink w:anchor="__RefHeading___Toc3585733_3650668749">
            <w:r>
              <w:rPr>
                <w:webHidden/>
                <w:rStyle w:val="IndexLink"/>
                <w:rtl w:val="true"/>
              </w:rPr>
              <w:t xml:space="preserve">سه </w:t>
            </w:r>
            <w:r>
              <w:rPr>
                <w:rStyle w:val="IndexLink"/>
                <w:rtl w:val="true"/>
              </w:rPr>
              <w:t xml:space="preserve">- </w:t>
            </w:r>
            <w:r>
              <w:rPr>
                <w:rStyle w:val="IndexLink"/>
                <w:rtl w:val="true"/>
              </w:rPr>
              <w:t>بردن عروس از خانه پدر به خانه شوهر</w:t>
            </w:r>
            <w:r>
              <w:rPr>
                <w:rStyle w:val="IndexLink"/>
                <w:rtl w:val="true"/>
              </w:rPr>
              <w:tab/>
            </w:r>
            <w:r>
              <w:rPr>
                <w:rStyle w:val="IndexLink"/>
              </w:rPr>
              <w:t>345</w:t>
            </w:r>
          </w:hyperlink>
        </w:p>
        <w:p>
          <w:pPr>
            <w:pStyle w:val="Contents5"/>
            <w:tabs>
              <w:tab w:val="clear" w:pos="7892"/>
              <w:tab w:val="right" w:pos="9026" w:leader="dot"/>
            </w:tabs>
            <w:rPr/>
          </w:pPr>
          <w:hyperlink w:anchor="__RefHeading___Toc3585735_3650668749">
            <w:r>
              <w:rPr>
                <w:webHidden/>
                <w:rStyle w:val="IndexLink"/>
                <w:rtl w:val="true"/>
              </w:rPr>
              <w:t xml:space="preserve">چهار </w:t>
            </w:r>
            <w:r>
              <w:rPr>
                <w:rStyle w:val="IndexLink"/>
                <w:rtl w:val="true"/>
              </w:rPr>
              <w:t xml:space="preserve">- </w:t>
            </w:r>
            <w:r>
              <w:rPr>
                <w:rStyle w:val="IndexLink"/>
                <w:rtl w:val="true"/>
              </w:rPr>
              <w:t>همراهان عروس</w:t>
            </w:r>
            <w:r>
              <w:rPr>
                <w:rStyle w:val="IndexLink"/>
                <w:rtl w:val="true"/>
              </w:rPr>
              <w:tab/>
            </w:r>
            <w:r>
              <w:rPr>
                <w:rStyle w:val="IndexLink"/>
              </w:rPr>
              <w:t>345</w:t>
            </w:r>
          </w:hyperlink>
        </w:p>
        <w:p>
          <w:pPr>
            <w:pStyle w:val="Contents5"/>
            <w:tabs>
              <w:tab w:val="clear" w:pos="7892"/>
              <w:tab w:val="right" w:pos="9026" w:leader="dot"/>
            </w:tabs>
            <w:rPr/>
          </w:pPr>
          <w:hyperlink w:anchor="__RefHeading___Toc3585737_3650668749">
            <w:r>
              <w:rPr>
                <w:webHidden/>
                <w:rStyle w:val="IndexLink"/>
                <w:rtl w:val="true"/>
              </w:rPr>
              <w:t xml:space="preserve">پنج </w:t>
            </w:r>
            <w:r>
              <w:rPr>
                <w:rStyle w:val="IndexLink"/>
                <w:rtl w:val="true"/>
              </w:rPr>
              <w:t xml:space="preserve">- </w:t>
            </w:r>
            <w:r>
              <w:rPr>
                <w:rStyle w:val="IndexLink"/>
                <w:rtl w:val="true"/>
              </w:rPr>
              <w:t>شعرخوانى و دف‌زدن و تكبير گفتن در شب عروسى</w:t>
            </w:r>
            <w:r>
              <w:rPr>
                <w:rStyle w:val="IndexLink"/>
                <w:rtl w:val="true"/>
              </w:rPr>
              <w:tab/>
            </w:r>
            <w:r>
              <w:rPr>
                <w:rStyle w:val="IndexLink"/>
              </w:rPr>
              <w:t>345</w:t>
            </w:r>
          </w:hyperlink>
        </w:p>
        <w:p>
          <w:pPr>
            <w:pStyle w:val="Contents5"/>
            <w:tabs>
              <w:tab w:val="clear" w:pos="7892"/>
              <w:tab w:val="right" w:pos="9026" w:leader="dot"/>
            </w:tabs>
            <w:rPr/>
          </w:pPr>
          <w:hyperlink w:anchor="__RefHeading___Toc3585739_3650668749">
            <w:r>
              <w:rPr>
                <w:webHidden/>
                <w:rStyle w:val="IndexLink"/>
                <w:rtl w:val="true"/>
              </w:rPr>
              <w:t xml:space="preserve">شش </w:t>
            </w:r>
            <w:r>
              <w:rPr>
                <w:rStyle w:val="IndexLink"/>
                <w:rtl w:val="true"/>
              </w:rPr>
              <w:t xml:space="preserve">- </w:t>
            </w:r>
            <w:r>
              <w:rPr>
                <w:rStyle w:val="IndexLink"/>
                <w:rtl w:val="true"/>
              </w:rPr>
              <w:t>نِثار عروسى</w:t>
            </w:r>
            <w:r>
              <w:rPr>
                <w:rStyle w:val="IndexLink"/>
                <w:rtl w:val="true"/>
              </w:rPr>
              <w:tab/>
            </w:r>
            <w:r>
              <w:rPr>
                <w:rStyle w:val="IndexLink"/>
              </w:rPr>
              <w:t>346</w:t>
            </w:r>
          </w:hyperlink>
        </w:p>
        <w:p>
          <w:pPr>
            <w:pStyle w:val="Contents5"/>
            <w:tabs>
              <w:tab w:val="clear" w:pos="7892"/>
              <w:tab w:val="right" w:pos="9026" w:leader="dot"/>
            </w:tabs>
            <w:rPr/>
          </w:pPr>
          <w:hyperlink w:anchor="__RefHeading___Toc3585741_3650668749">
            <w:r>
              <w:rPr>
                <w:webHidden/>
                <w:rStyle w:val="IndexLink"/>
                <w:rtl w:val="true"/>
              </w:rPr>
              <w:t xml:space="preserve">هفت </w:t>
            </w:r>
            <w:r>
              <w:rPr>
                <w:rStyle w:val="IndexLink"/>
                <w:rtl w:val="true"/>
              </w:rPr>
              <w:t xml:space="preserve">- </w:t>
            </w:r>
            <w:r>
              <w:rPr>
                <w:rStyle w:val="IndexLink"/>
                <w:rtl w:val="true"/>
              </w:rPr>
              <w:t>وليمه عروسى</w:t>
            </w:r>
            <w:r>
              <w:rPr>
                <w:rStyle w:val="IndexLink"/>
                <w:rtl w:val="true"/>
              </w:rPr>
              <w:tab/>
            </w:r>
            <w:r>
              <w:rPr>
                <w:rStyle w:val="IndexLink"/>
              </w:rPr>
              <w:t>346</w:t>
            </w:r>
          </w:hyperlink>
        </w:p>
        <w:p>
          <w:pPr>
            <w:pStyle w:val="Contents5"/>
            <w:tabs>
              <w:tab w:val="clear" w:pos="7892"/>
              <w:tab w:val="right" w:pos="9026" w:leader="dot"/>
            </w:tabs>
            <w:rPr/>
          </w:pPr>
          <w:hyperlink w:anchor="__RefHeading___Toc3585743_3650668749">
            <w:r>
              <w:rPr>
                <w:webHidden/>
                <w:rStyle w:val="IndexLink"/>
                <w:rtl w:val="true"/>
              </w:rPr>
              <w:t xml:space="preserve">هشت </w:t>
            </w:r>
            <w:r>
              <w:rPr>
                <w:rStyle w:val="IndexLink"/>
                <w:rtl w:val="true"/>
              </w:rPr>
              <w:t xml:space="preserve">- </w:t>
            </w:r>
            <w:r>
              <w:rPr>
                <w:rStyle w:val="IndexLink"/>
                <w:rtl w:val="true"/>
              </w:rPr>
              <w:t>ماندن زنى از خويشان عروس در شب زفاف</w:t>
            </w:r>
            <w:r>
              <w:rPr>
                <w:rStyle w:val="IndexLink"/>
                <w:rtl w:val="true"/>
              </w:rPr>
              <w:tab/>
            </w:r>
            <w:r>
              <w:rPr>
                <w:rStyle w:val="IndexLink"/>
              </w:rPr>
              <w:t>347</w:t>
            </w:r>
          </w:hyperlink>
        </w:p>
        <w:p>
          <w:pPr>
            <w:pStyle w:val="Contents5"/>
            <w:tabs>
              <w:tab w:val="clear" w:pos="7892"/>
              <w:tab w:val="right" w:pos="9026" w:leader="dot"/>
            </w:tabs>
            <w:rPr/>
          </w:pPr>
          <w:hyperlink w:anchor="__RefHeading___Toc3585745_3650668749">
            <w:r>
              <w:rPr>
                <w:webHidden/>
                <w:rStyle w:val="IndexLink"/>
                <w:rtl w:val="true"/>
              </w:rPr>
              <w:t xml:space="preserve">نُه </w:t>
            </w:r>
            <w:r>
              <w:rPr>
                <w:rStyle w:val="IndexLink"/>
                <w:rtl w:val="true"/>
              </w:rPr>
              <w:t xml:space="preserve">- </w:t>
            </w:r>
            <w:r>
              <w:rPr>
                <w:rStyle w:val="IndexLink"/>
                <w:rtl w:val="true"/>
              </w:rPr>
              <w:t>تبريك عروسى</w:t>
            </w:r>
            <w:r>
              <w:rPr>
                <w:rStyle w:val="IndexLink"/>
                <w:rtl w:val="true"/>
              </w:rPr>
              <w:tab/>
            </w:r>
            <w:r>
              <w:rPr>
                <w:rStyle w:val="IndexLink"/>
              </w:rPr>
              <w:t>347</w:t>
            </w:r>
          </w:hyperlink>
        </w:p>
        <w:p>
          <w:pPr>
            <w:pStyle w:val="Contents5"/>
            <w:tabs>
              <w:tab w:val="clear" w:pos="7892"/>
              <w:tab w:val="right" w:pos="9026" w:leader="dot"/>
            </w:tabs>
            <w:rPr/>
          </w:pPr>
          <w:hyperlink w:anchor="__RefHeading___Toc3585747_3650668749">
            <w:r>
              <w:rPr>
                <w:webHidden/>
                <w:rStyle w:val="IndexLink"/>
                <w:rtl w:val="true"/>
              </w:rPr>
              <w:t xml:space="preserve">ده </w:t>
            </w:r>
            <w:r>
              <w:rPr>
                <w:rStyle w:val="IndexLink"/>
                <w:rtl w:val="true"/>
              </w:rPr>
              <w:t xml:space="preserve">- </w:t>
            </w:r>
            <w:r>
              <w:rPr>
                <w:rStyle w:val="IndexLink"/>
                <w:rtl w:val="true"/>
              </w:rPr>
              <w:t>شستن پاى عروس</w:t>
            </w:r>
            <w:r>
              <w:rPr>
                <w:rStyle w:val="IndexLink"/>
                <w:rtl w:val="true"/>
              </w:rPr>
              <w:tab/>
            </w:r>
            <w:r>
              <w:rPr>
                <w:rStyle w:val="IndexLink"/>
              </w:rPr>
              <w:t>348</w:t>
            </w:r>
          </w:hyperlink>
        </w:p>
        <w:p>
          <w:pPr>
            <w:pStyle w:val="Contents3"/>
            <w:tabs>
              <w:tab w:val="clear" w:pos="8459"/>
              <w:tab w:val="right" w:pos="9026" w:leader="dot"/>
            </w:tabs>
            <w:rPr/>
          </w:pPr>
          <w:hyperlink w:anchor="__RefHeading___Toc3585749_3650668749">
            <w:r>
              <w:rPr>
                <w:webHidden/>
                <w:rStyle w:val="IndexLink"/>
              </w:rPr>
              <w:t>٣</w:t>
            </w:r>
            <w:r>
              <w:rPr>
                <w:rStyle w:val="IndexLink"/>
                <w:rtl w:val="true"/>
              </w:rPr>
              <w:t xml:space="preserve">. </w:t>
            </w:r>
            <w:r>
              <w:rPr>
                <w:rStyle w:val="IndexLink"/>
                <w:rtl w:val="true"/>
              </w:rPr>
              <w:t>مراسم خاك‌سپارى مردگان</w:t>
            </w:r>
            <w:r>
              <w:rPr>
                <w:rStyle w:val="IndexLink"/>
                <w:rtl w:val="true"/>
              </w:rPr>
              <w:tab/>
            </w:r>
            <w:r>
              <w:rPr>
                <w:rStyle w:val="IndexLink"/>
              </w:rPr>
              <w:t>348</w:t>
            </w:r>
          </w:hyperlink>
        </w:p>
        <w:p>
          <w:pPr>
            <w:pStyle w:val="Contents4"/>
            <w:tabs>
              <w:tab w:val="clear" w:pos="8176"/>
              <w:tab w:val="right" w:pos="9026" w:leader="dot"/>
            </w:tabs>
            <w:rPr/>
          </w:pPr>
          <w:hyperlink w:anchor="__RefHeading___Toc3585751_3650668749">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3585753_3650668749">
            <w:r>
              <w:rPr>
                <w:webHidden/>
                <w:rStyle w:val="IndexLink"/>
                <w:rtl w:val="true"/>
              </w:rPr>
              <w:t>الف</w:t>
            </w:r>
            <w:r>
              <w:rPr>
                <w:rStyle w:val="IndexLink"/>
                <w:rtl w:val="true"/>
              </w:rPr>
              <w:t xml:space="preserve">) </w:t>
            </w:r>
            <w:r>
              <w:rPr>
                <w:rStyle w:val="IndexLink"/>
                <w:rtl w:val="true"/>
              </w:rPr>
              <w:t xml:space="preserve">غسل ميت </w:t>
            </w:r>
            <w:r>
              <w:rPr>
                <w:rStyle w:val="IndexLink"/>
                <w:rtl w:val="true"/>
              </w:rPr>
              <w:t>(</w:t>
            </w:r>
            <w:r>
              <w:rPr>
                <w:rStyle w:val="IndexLink"/>
                <w:rtl w:val="true"/>
              </w:rPr>
              <w:t>تغسيل</w:t>
            </w:r>
            <w:r>
              <w:rPr>
                <w:rStyle w:val="IndexLink"/>
                <w:rtl w:val="true"/>
              </w:rPr>
              <w:t>)</w:t>
              <w:tab/>
            </w:r>
            <w:r>
              <w:rPr>
                <w:rStyle w:val="IndexLink"/>
              </w:rPr>
              <w:t>348</w:t>
            </w:r>
          </w:hyperlink>
        </w:p>
        <w:p>
          <w:pPr>
            <w:pStyle w:val="Contents4"/>
            <w:tabs>
              <w:tab w:val="clear" w:pos="8176"/>
              <w:tab w:val="right" w:pos="9026" w:leader="dot"/>
            </w:tabs>
            <w:rPr/>
          </w:pPr>
          <w:hyperlink w:anchor="__RefHeading___Toc3585755_3650668749">
            <w:r>
              <w:rPr>
                <w:webHidden/>
                <w:rStyle w:val="IndexLink"/>
                <w:rtl w:val="true"/>
              </w:rPr>
              <w:t>ب</w:t>
            </w:r>
            <w:r>
              <w:rPr>
                <w:rStyle w:val="IndexLink"/>
                <w:rtl w:val="true"/>
              </w:rPr>
              <w:t xml:space="preserve">) </w:t>
            </w:r>
            <w:r>
              <w:rPr>
                <w:rStyle w:val="IndexLink"/>
                <w:rtl w:val="true"/>
              </w:rPr>
              <w:t>تكفين</w:t>
            </w:r>
            <w:r>
              <w:rPr>
                <w:rStyle w:val="IndexLink"/>
                <w:rtl w:val="true"/>
              </w:rPr>
              <w:tab/>
            </w:r>
            <w:r>
              <w:rPr>
                <w:rStyle w:val="IndexLink"/>
              </w:rPr>
              <w:t>350</w:t>
            </w:r>
          </w:hyperlink>
        </w:p>
        <w:p>
          <w:pPr>
            <w:pStyle w:val="Contents4"/>
            <w:tabs>
              <w:tab w:val="clear" w:pos="8176"/>
              <w:tab w:val="right" w:pos="9026" w:leader="dot"/>
            </w:tabs>
            <w:rPr/>
          </w:pPr>
          <w:hyperlink w:anchor="__RefHeading___Toc3585757_3650668749">
            <w:r>
              <w:rPr>
                <w:webHidden/>
                <w:rStyle w:val="IndexLink"/>
                <w:rtl w:val="true"/>
              </w:rPr>
              <w:t>ج</w:t>
            </w:r>
            <w:r>
              <w:rPr>
                <w:rStyle w:val="IndexLink"/>
                <w:rtl w:val="true"/>
              </w:rPr>
              <w:t xml:space="preserve">) </w:t>
            </w:r>
            <w:r>
              <w:rPr>
                <w:rStyle w:val="IndexLink"/>
                <w:rtl w:val="true"/>
              </w:rPr>
              <w:t>حنوط</w:t>
            </w:r>
            <w:r>
              <w:rPr>
                <w:rStyle w:val="IndexLink"/>
                <w:rtl w:val="true"/>
              </w:rPr>
              <w:tab/>
            </w:r>
            <w:r>
              <w:rPr>
                <w:rStyle w:val="IndexLink"/>
              </w:rPr>
              <w:t>350</w:t>
            </w:r>
          </w:hyperlink>
        </w:p>
        <w:p>
          <w:pPr>
            <w:pStyle w:val="Contents4"/>
            <w:tabs>
              <w:tab w:val="clear" w:pos="8176"/>
              <w:tab w:val="right" w:pos="9026" w:leader="dot"/>
            </w:tabs>
            <w:rPr/>
          </w:pPr>
          <w:hyperlink w:anchor="__RefHeading___Toc3585759_3650668749">
            <w:r>
              <w:rPr>
                <w:webHidden/>
                <w:rStyle w:val="IndexLink"/>
                <w:rtl w:val="true"/>
              </w:rPr>
              <w:t>د</w:t>
            </w:r>
            <w:r>
              <w:rPr>
                <w:rStyle w:val="IndexLink"/>
                <w:rtl w:val="true"/>
              </w:rPr>
              <w:t xml:space="preserve">) </w:t>
            </w:r>
            <w:r>
              <w:rPr>
                <w:rStyle w:val="IndexLink"/>
                <w:rtl w:val="true"/>
              </w:rPr>
              <w:t>نماز بر ميت</w:t>
            </w:r>
            <w:r>
              <w:rPr>
                <w:rStyle w:val="IndexLink"/>
                <w:rtl w:val="true"/>
              </w:rPr>
              <w:tab/>
            </w:r>
            <w:r>
              <w:rPr>
                <w:rStyle w:val="IndexLink"/>
              </w:rPr>
              <w:t>350</w:t>
            </w:r>
          </w:hyperlink>
        </w:p>
        <w:p>
          <w:pPr>
            <w:pStyle w:val="Contents4"/>
            <w:tabs>
              <w:tab w:val="clear" w:pos="8176"/>
              <w:tab w:val="right" w:pos="9026" w:leader="dot"/>
            </w:tabs>
            <w:rPr/>
          </w:pPr>
          <w:hyperlink w:anchor="__RefHeading___Toc3585761_3650668749">
            <w:r>
              <w:rPr>
                <w:webHidden/>
                <w:rStyle w:val="IndexLink"/>
                <w:rtl w:val="true"/>
              </w:rPr>
              <w:t>ه</w:t>
            </w:r>
            <w:r>
              <w:rPr>
                <w:rStyle w:val="IndexLink"/>
                <w:rtl w:val="true"/>
              </w:rPr>
              <w:t xml:space="preserve">) </w:t>
            </w:r>
            <w:r>
              <w:rPr>
                <w:rStyle w:val="IndexLink"/>
                <w:rtl w:val="true"/>
              </w:rPr>
              <w:t>تشييع جنازه</w:t>
            </w:r>
            <w:r>
              <w:rPr>
                <w:rStyle w:val="IndexLink"/>
                <w:rtl w:val="true"/>
              </w:rPr>
              <w:tab/>
            </w:r>
            <w:r>
              <w:rPr>
                <w:rStyle w:val="IndexLink"/>
              </w:rPr>
              <w:t>352</w:t>
            </w:r>
          </w:hyperlink>
        </w:p>
        <w:p>
          <w:pPr>
            <w:pStyle w:val="Contents4"/>
            <w:tabs>
              <w:tab w:val="clear" w:pos="8176"/>
              <w:tab w:val="right" w:pos="9026" w:leader="dot"/>
            </w:tabs>
            <w:rPr/>
          </w:pPr>
          <w:hyperlink w:anchor="__RefHeading___Toc3585763_3650668749">
            <w:r>
              <w:rPr>
                <w:webHidden/>
                <w:rStyle w:val="IndexLink"/>
                <w:rtl w:val="true"/>
              </w:rPr>
              <w:t>و</w:t>
            </w:r>
            <w:r>
              <w:rPr>
                <w:rStyle w:val="IndexLink"/>
                <w:rtl w:val="true"/>
              </w:rPr>
              <w:t xml:space="preserve">) </w:t>
            </w:r>
            <w:r>
              <w:rPr>
                <w:rStyle w:val="IndexLink"/>
                <w:rtl w:val="true"/>
              </w:rPr>
              <w:t>تدفين</w:t>
            </w:r>
            <w:r>
              <w:rPr>
                <w:rStyle w:val="IndexLink"/>
                <w:rtl w:val="true"/>
              </w:rPr>
              <w:tab/>
            </w:r>
            <w:r>
              <w:rPr>
                <w:rStyle w:val="IndexLink"/>
              </w:rPr>
              <w:t>352</w:t>
            </w:r>
          </w:hyperlink>
        </w:p>
        <w:p>
          <w:pPr>
            <w:pStyle w:val="Contents4"/>
            <w:tabs>
              <w:tab w:val="clear" w:pos="8176"/>
              <w:tab w:val="right" w:pos="9026" w:leader="dot"/>
            </w:tabs>
            <w:rPr/>
          </w:pPr>
          <w:hyperlink w:anchor="__RefHeading___Toc3585765_3650668749">
            <w:r>
              <w:rPr>
                <w:webHidden/>
                <w:rStyle w:val="IndexLink"/>
                <w:rtl w:val="true"/>
              </w:rPr>
              <w:t>ز</w:t>
            </w:r>
            <w:r>
              <w:rPr>
                <w:rStyle w:val="IndexLink"/>
                <w:rtl w:val="true"/>
              </w:rPr>
              <w:t xml:space="preserve">) </w:t>
            </w:r>
            <w:r>
              <w:rPr>
                <w:rStyle w:val="IndexLink"/>
                <w:rtl w:val="true"/>
              </w:rPr>
              <w:t>مراسم بعد از تدفين</w:t>
            </w:r>
            <w:r>
              <w:rPr>
                <w:rStyle w:val="IndexLink"/>
                <w:rtl w:val="true"/>
              </w:rPr>
              <w:tab/>
            </w:r>
            <w:r>
              <w:rPr>
                <w:rStyle w:val="IndexLink"/>
              </w:rPr>
              <w:t>354</w:t>
            </w:r>
          </w:hyperlink>
        </w:p>
        <w:p>
          <w:pPr>
            <w:pStyle w:val="Contents3"/>
            <w:tabs>
              <w:tab w:val="clear" w:pos="8459"/>
              <w:tab w:val="right" w:pos="9026" w:leader="dot"/>
            </w:tabs>
            <w:rPr/>
          </w:pPr>
          <w:hyperlink w:anchor="__RefHeading___Toc3585767_3650668749">
            <w:r>
              <w:rPr>
                <w:webHidden/>
                <w:rStyle w:val="IndexLink"/>
              </w:rPr>
              <w:t>۴</w:t>
            </w:r>
            <w:r>
              <w:rPr>
                <w:rStyle w:val="IndexLink"/>
                <w:rtl w:val="true"/>
              </w:rPr>
              <w:t xml:space="preserve">. </w:t>
            </w:r>
            <w:r>
              <w:rPr>
                <w:rStyle w:val="IndexLink"/>
                <w:rtl w:val="true"/>
              </w:rPr>
              <w:t>جنگ و صلح</w:t>
            </w:r>
            <w:r>
              <w:rPr>
                <w:rStyle w:val="IndexLink"/>
                <w:rtl w:val="true"/>
              </w:rPr>
              <w:tab/>
            </w:r>
            <w:r>
              <w:rPr>
                <w:rStyle w:val="IndexLink"/>
              </w:rPr>
              <w:t>356</w:t>
            </w:r>
          </w:hyperlink>
        </w:p>
        <w:p>
          <w:pPr>
            <w:pStyle w:val="Contents4"/>
            <w:tabs>
              <w:tab w:val="clear" w:pos="8176"/>
              <w:tab w:val="right" w:pos="9026" w:leader="dot"/>
            </w:tabs>
            <w:rPr/>
          </w:pPr>
          <w:hyperlink w:anchor="__RefHeading___Toc3585769_3650668749">
            <w:r>
              <w:rPr>
                <w:webHidden/>
                <w:rStyle w:val="IndexLink"/>
                <w:rtl w:val="true"/>
              </w:rPr>
              <w:t>الف</w:t>
            </w:r>
            <w:r>
              <w:rPr>
                <w:rStyle w:val="IndexLink"/>
                <w:rtl w:val="true"/>
              </w:rPr>
              <w:t xml:space="preserve">) </w:t>
            </w:r>
            <w:r>
              <w:rPr>
                <w:rStyle w:val="IndexLink"/>
                <w:rtl w:val="true"/>
              </w:rPr>
              <w:t>اعلان جنگ</w:t>
            </w:r>
            <w:r>
              <w:rPr>
                <w:rStyle w:val="IndexLink"/>
                <w:rtl w:val="true"/>
              </w:rPr>
              <w:tab/>
            </w:r>
            <w:r>
              <w:rPr>
                <w:rStyle w:val="IndexLink"/>
              </w:rPr>
              <w:t>356</w:t>
            </w:r>
          </w:hyperlink>
        </w:p>
        <w:p>
          <w:pPr>
            <w:pStyle w:val="Contents4"/>
            <w:tabs>
              <w:tab w:val="clear" w:pos="8176"/>
              <w:tab w:val="right" w:pos="9026" w:leader="dot"/>
            </w:tabs>
            <w:rPr/>
          </w:pPr>
          <w:hyperlink w:anchor="__RefHeading___Toc3585771_3650668749">
            <w:r>
              <w:rPr>
                <w:webHidden/>
                <w:rStyle w:val="IndexLink"/>
                <w:rtl w:val="true"/>
              </w:rPr>
              <w:t>ب</w:t>
            </w:r>
            <w:r>
              <w:rPr>
                <w:rStyle w:val="IndexLink"/>
                <w:rtl w:val="true"/>
              </w:rPr>
              <w:t xml:space="preserve">) </w:t>
            </w:r>
            <w:r>
              <w:rPr>
                <w:rStyle w:val="IndexLink"/>
                <w:rtl w:val="true"/>
              </w:rPr>
              <w:t>سربازگيرى</w:t>
            </w:r>
            <w:r>
              <w:rPr>
                <w:rStyle w:val="IndexLink"/>
                <w:rtl w:val="true"/>
              </w:rPr>
              <w:tab/>
            </w:r>
            <w:r>
              <w:rPr>
                <w:rStyle w:val="IndexLink"/>
              </w:rPr>
              <w:t>356</w:t>
            </w:r>
          </w:hyperlink>
        </w:p>
        <w:p>
          <w:pPr>
            <w:pStyle w:val="Contents4"/>
            <w:tabs>
              <w:tab w:val="clear" w:pos="8176"/>
              <w:tab w:val="right" w:pos="9026" w:leader="dot"/>
            </w:tabs>
            <w:rPr/>
          </w:pPr>
          <w:hyperlink w:anchor="__RefHeading___Toc3585773_3650668749">
            <w:r>
              <w:rPr>
                <w:webHidden/>
                <w:rStyle w:val="IndexLink"/>
                <w:rtl w:val="true"/>
              </w:rPr>
              <w:t>ج</w:t>
            </w:r>
            <w:r>
              <w:rPr>
                <w:rStyle w:val="IndexLink"/>
                <w:rtl w:val="true"/>
              </w:rPr>
              <w:t xml:space="preserve">) </w:t>
            </w:r>
            <w:r>
              <w:rPr>
                <w:rStyle w:val="IndexLink"/>
                <w:rtl w:val="true"/>
              </w:rPr>
              <w:t>نظام جمع</w:t>
            </w:r>
            <w:r>
              <w:rPr>
                <w:rStyle w:val="IndexLink"/>
                <w:rtl w:val="true"/>
              </w:rPr>
              <w:tab/>
            </w:r>
            <w:r>
              <w:rPr>
                <w:rStyle w:val="IndexLink"/>
              </w:rPr>
              <w:t>357</w:t>
            </w:r>
          </w:hyperlink>
        </w:p>
        <w:p>
          <w:pPr>
            <w:pStyle w:val="Contents4"/>
            <w:tabs>
              <w:tab w:val="clear" w:pos="8176"/>
              <w:tab w:val="right" w:pos="9026" w:leader="dot"/>
            </w:tabs>
            <w:rPr/>
          </w:pPr>
          <w:hyperlink w:anchor="__RefHeading___Toc3585775_3650668749">
            <w:r>
              <w:rPr>
                <w:webHidden/>
                <w:rStyle w:val="IndexLink"/>
                <w:rtl w:val="true"/>
              </w:rPr>
              <w:t>د</w:t>
            </w:r>
            <w:r>
              <w:rPr>
                <w:rStyle w:val="IndexLink"/>
                <w:rtl w:val="true"/>
              </w:rPr>
              <w:t xml:space="preserve">) </w:t>
            </w:r>
            <w:r>
              <w:rPr>
                <w:rStyle w:val="IndexLink"/>
                <w:rtl w:val="true"/>
              </w:rPr>
              <w:t>ادوات و سلاح‌هاى جنگى</w:t>
            </w:r>
            <w:r>
              <w:rPr>
                <w:rStyle w:val="IndexLink"/>
                <w:rtl w:val="true"/>
              </w:rPr>
              <w:tab/>
            </w:r>
            <w:r>
              <w:rPr>
                <w:rStyle w:val="IndexLink"/>
              </w:rPr>
              <w:t>359</w:t>
            </w:r>
          </w:hyperlink>
        </w:p>
        <w:p>
          <w:pPr>
            <w:pStyle w:val="Contents5"/>
            <w:tabs>
              <w:tab w:val="clear" w:pos="7892"/>
              <w:tab w:val="right" w:pos="9026" w:leader="dot"/>
            </w:tabs>
            <w:rPr/>
          </w:pPr>
          <w:hyperlink w:anchor="__RefHeading___Toc3585777_3650668749">
            <w:r>
              <w:rPr>
                <w:webHidden/>
                <w:rStyle w:val="IndexLink"/>
                <w:rtl w:val="true"/>
              </w:rPr>
              <w:t>اشاره</w:t>
            </w:r>
            <w:r>
              <w:rPr>
                <w:rStyle w:val="IndexLink"/>
                <w:rtl w:val="true"/>
              </w:rPr>
              <w:tab/>
            </w:r>
            <w:r>
              <w:rPr>
                <w:rStyle w:val="IndexLink"/>
              </w:rPr>
              <w:t>359</w:t>
            </w:r>
          </w:hyperlink>
        </w:p>
        <w:p>
          <w:pPr>
            <w:pStyle w:val="Contents5"/>
            <w:tabs>
              <w:tab w:val="clear" w:pos="7892"/>
              <w:tab w:val="right" w:pos="9026" w:leader="dot"/>
            </w:tabs>
            <w:rPr/>
          </w:pPr>
          <w:hyperlink w:anchor="__RefHeading___Toc3585779_3650668749">
            <w:r>
              <w:rPr>
                <w:webHidden/>
                <w:rStyle w:val="IndexLink"/>
                <w:rtl w:val="true"/>
              </w:rPr>
              <w:t xml:space="preserve">يك </w:t>
            </w:r>
            <w:r>
              <w:rPr>
                <w:rStyle w:val="IndexLink"/>
                <w:rtl w:val="true"/>
              </w:rPr>
              <w:t xml:space="preserve">- </w:t>
            </w:r>
            <w:r>
              <w:rPr>
                <w:rStyle w:val="IndexLink"/>
                <w:rtl w:val="true"/>
              </w:rPr>
              <w:t>سلاح‌هاى هجومى</w:t>
            </w:r>
            <w:r>
              <w:rPr>
                <w:rStyle w:val="IndexLink"/>
                <w:rtl w:val="true"/>
              </w:rPr>
              <w:tab/>
            </w:r>
            <w:r>
              <w:rPr>
                <w:rStyle w:val="IndexLink"/>
              </w:rPr>
              <w:t>359</w:t>
            </w:r>
          </w:hyperlink>
        </w:p>
        <w:p>
          <w:pPr>
            <w:pStyle w:val="Contents6"/>
            <w:tabs>
              <w:tab w:val="clear" w:pos="7609"/>
              <w:tab w:val="right" w:pos="9026" w:leader="dot"/>
            </w:tabs>
            <w:rPr/>
          </w:pPr>
          <w:hyperlink w:anchor="__RefHeading___Toc3585781_3650668749">
            <w:r>
              <w:rPr>
                <w:webHidden/>
                <w:rStyle w:val="IndexLink"/>
                <w:rtl w:val="true"/>
              </w:rPr>
              <w:t xml:space="preserve">اول </w:t>
            </w:r>
            <w:r>
              <w:rPr>
                <w:rStyle w:val="IndexLink"/>
                <w:rtl w:val="true"/>
              </w:rPr>
              <w:t xml:space="preserve">- </w:t>
            </w:r>
            <w:r>
              <w:rPr>
                <w:rStyle w:val="IndexLink"/>
                <w:rtl w:val="true"/>
              </w:rPr>
              <w:t>سلاح‌هاى هجومى سبك</w:t>
            </w:r>
            <w:r>
              <w:rPr>
                <w:rStyle w:val="IndexLink"/>
                <w:rtl w:val="true"/>
              </w:rPr>
              <w:tab/>
            </w:r>
            <w:r>
              <w:rPr>
                <w:rStyle w:val="IndexLink"/>
              </w:rPr>
              <w:t>359</w:t>
            </w:r>
          </w:hyperlink>
        </w:p>
        <w:p>
          <w:pPr>
            <w:pStyle w:val="Contents6"/>
            <w:tabs>
              <w:tab w:val="clear" w:pos="7609"/>
              <w:tab w:val="right" w:pos="9026" w:leader="dot"/>
            </w:tabs>
            <w:rPr/>
          </w:pPr>
          <w:hyperlink w:anchor="__RefHeading___Toc3585783_3650668749">
            <w:r>
              <w:rPr>
                <w:webHidden/>
                <w:rStyle w:val="IndexLink"/>
                <w:rtl w:val="true"/>
              </w:rPr>
              <w:t>اشاره</w:t>
            </w:r>
            <w:r>
              <w:rPr>
                <w:rStyle w:val="IndexLink"/>
                <w:rtl w:val="true"/>
              </w:rPr>
              <w:tab/>
            </w:r>
            <w:r>
              <w:rPr>
                <w:rStyle w:val="IndexLink"/>
              </w:rPr>
              <w:t>359</w:t>
            </w:r>
          </w:hyperlink>
        </w:p>
        <w:p>
          <w:pPr>
            <w:pStyle w:val="Contents6"/>
            <w:tabs>
              <w:tab w:val="clear" w:pos="7609"/>
              <w:tab w:val="right" w:pos="9026" w:leader="dot"/>
            </w:tabs>
            <w:rPr/>
          </w:pPr>
          <w:hyperlink w:anchor="__RefHeading___Toc3585785_3650668749">
            <w:r>
              <w:rPr>
                <w:webHidden/>
                <w:rStyle w:val="IndexLink"/>
                <w:rtl w:val="true"/>
              </w:rPr>
              <w:t xml:space="preserve">شمشير </w:t>
            </w:r>
            <w:r>
              <w:rPr>
                <w:rStyle w:val="IndexLink"/>
                <w:rtl w:val="true"/>
              </w:rPr>
              <w:t>(</w:t>
            </w:r>
            <w:r>
              <w:rPr>
                <w:rStyle w:val="IndexLink"/>
                <w:rtl w:val="true"/>
              </w:rPr>
              <w:t>سيف</w:t>
            </w:r>
            <w:r>
              <w:rPr>
                <w:rStyle w:val="IndexLink"/>
                <w:rtl w:val="true"/>
              </w:rPr>
              <w:t>)</w:t>
              <w:tab/>
            </w:r>
            <w:r>
              <w:rPr>
                <w:rStyle w:val="IndexLink"/>
              </w:rPr>
              <w:t>359</w:t>
            </w:r>
          </w:hyperlink>
        </w:p>
        <w:p>
          <w:pPr>
            <w:pStyle w:val="Contents6"/>
            <w:tabs>
              <w:tab w:val="clear" w:pos="7609"/>
              <w:tab w:val="right" w:pos="9026" w:leader="dot"/>
            </w:tabs>
            <w:rPr/>
          </w:pPr>
          <w:hyperlink w:anchor="__RefHeading___Toc3585787_3650668749">
            <w:r>
              <w:rPr>
                <w:webHidden/>
                <w:rStyle w:val="IndexLink"/>
                <w:rtl w:val="true"/>
              </w:rPr>
              <w:t>انواع شمشير</w:t>
            </w:r>
            <w:r>
              <w:rPr>
                <w:rStyle w:val="IndexLink"/>
                <w:rtl w:val="true"/>
              </w:rPr>
              <w:tab/>
            </w:r>
            <w:r>
              <w:rPr>
                <w:rStyle w:val="IndexLink"/>
              </w:rPr>
              <w:t>360</w:t>
            </w:r>
          </w:hyperlink>
        </w:p>
        <w:p>
          <w:pPr>
            <w:pStyle w:val="Contents6"/>
            <w:tabs>
              <w:tab w:val="clear" w:pos="7609"/>
              <w:tab w:val="right" w:pos="9026" w:leader="dot"/>
            </w:tabs>
            <w:rPr/>
          </w:pPr>
          <w:hyperlink w:anchor="__RefHeading___Toc3585789_3650668749">
            <w:r>
              <w:rPr>
                <w:webHidden/>
                <w:rStyle w:val="IndexLink"/>
                <w:rtl w:val="true"/>
              </w:rPr>
              <w:t>اجزاى شمشير</w:t>
            </w:r>
            <w:r>
              <w:rPr>
                <w:rStyle w:val="IndexLink"/>
                <w:rtl w:val="true"/>
              </w:rPr>
              <w:tab/>
            </w:r>
            <w:r>
              <w:rPr>
                <w:rStyle w:val="IndexLink"/>
              </w:rPr>
              <w:t>361</w:t>
            </w:r>
          </w:hyperlink>
        </w:p>
        <w:p>
          <w:pPr>
            <w:pStyle w:val="Contents6"/>
            <w:tabs>
              <w:tab w:val="clear" w:pos="7609"/>
              <w:tab w:val="right" w:pos="9026" w:leader="dot"/>
            </w:tabs>
            <w:rPr/>
          </w:pPr>
          <w:hyperlink w:anchor="__RefHeading___Toc3585791_3650668749">
            <w:r>
              <w:rPr>
                <w:webHidden/>
                <w:rStyle w:val="IndexLink"/>
                <w:rtl w:val="true"/>
              </w:rPr>
              <w:t>غلاف شمشير</w:t>
            </w:r>
            <w:r>
              <w:rPr>
                <w:rStyle w:val="IndexLink"/>
                <w:rtl w:val="true"/>
              </w:rPr>
              <w:tab/>
            </w:r>
            <w:r>
              <w:rPr>
                <w:rStyle w:val="IndexLink"/>
              </w:rPr>
              <w:t>362</w:t>
            </w:r>
          </w:hyperlink>
        </w:p>
        <w:p>
          <w:pPr>
            <w:pStyle w:val="Contents6"/>
            <w:tabs>
              <w:tab w:val="clear" w:pos="7609"/>
              <w:tab w:val="right" w:pos="9026" w:leader="dot"/>
            </w:tabs>
            <w:rPr/>
          </w:pPr>
          <w:hyperlink w:anchor="__RefHeading___Toc3585793_3650668749">
            <w:r>
              <w:rPr>
                <w:webHidden/>
                <w:rStyle w:val="IndexLink"/>
                <w:rtl w:val="true"/>
              </w:rPr>
              <w:t>خنجر</w:t>
            </w:r>
            <w:r>
              <w:rPr>
                <w:rStyle w:val="IndexLink"/>
                <w:rtl w:val="true"/>
              </w:rPr>
              <w:tab/>
            </w:r>
            <w:r>
              <w:rPr>
                <w:rStyle w:val="IndexLink"/>
              </w:rPr>
              <w:t>363</w:t>
            </w:r>
          </w:hyperlink>
        </w:p>
        <w:p>
          <w:pPr>
            <w:pStyle w:val="Contents6"/>
            <w:tabs>
              <w:tab w:val="clear" w:pos="7609"/>
              <w:tab w:val="right" w:pos="9026" w:leader="dot"/>
            </w:tabs>
            <w:rPr/>
          </w:pPr>
          <w:hyperlink w:anchor="__RefHeading___Toc3585795_3650668749">
            <w:r>
              <w:rPr>
                <w:webHidden/>
                <w:rStyle w:val="IndexLink"/>
                <w:rtl w:val="true"/>
              </w:rPr>
              <w:t xml:space="preserve">نيزه </w:t>
            </w:r>
            <w:r>
              <w:rPr>
                <w:rStyle w:val="IndexLink"/>
                <w:rtl w:val="true"/>
              </w:rPr>
              <w:t>(</w:t>
            </w:r>
            <w:r>
              <w:rPr>
                <w:rStyle w:val="IndexLink"/>
                <w:rtl w:val="true"/>
              </w:rPr>
              <w:t>رُمح</w:t>
            </w:r>
            <w:r>
              <w:rPr>
                <w:rStyle w:val="IndexLink"/>
                <w:rtl w:val="true"/>
              </w:rPr>
              <w:t>)</w:t>
              <w:tab/>
            </w:r>
            <w:r>
              <w:rPr>
                <w:rStyle w:val="IndexLink"/>
              </w:rPr>
              <w:t>364</w:t>
            </w:r>
          </w:hyperlink>
        </w:p>
        <w:p>
          <w:pPr>
            <w:pStyle w:val="Contents6"/>
            <w:tabs>
              <w:tab w:val="clear" w:pos="7609"/>
              <w:tab w:val="right" w:pos="9026" w:leader="dot"/>
            </w:tabs>
            <w:rPr/>
          </w:pPr>
          <w:hyperlink w:anchor="__RefHeading___Toc3585797_3650668749">
            <w:r>
              <w:rPr>
                <w:webHidden/>
                <w:rStyle w:val="IndexLink"/>
                <w:rtl w:val="true"/>
              </w:rPr>
              <w:t>كاربردى‌هاى نيزه</w:t>
            </w:r>
            <w:r>
              <w:rPr>
                <w:rStyle w:val="IndexLink"/>
                <w:rtl w:val="true"/>
              </w:rPr>
              <w:tab/>
            </w:r>
            <w:r>
              <w:rPr>
                <w:rStyle w:val="IndexLink"/>
              </w:rPr>
              <w:t>364</w:t>
            </w:r>
          </w:hyperlink>
        </w:p>
        <w:p>
          <w:pPr>
            <w:pStyle w:val="Contents6"/>
            <w:tabs>
              <w:tab w:val="clear" w:pos="7609"/>
              <w:tab w:val="right" w:pos="9026" w:leader="dot"/>
            </w:tabs>
            <w:rPr/>
          </w:pPr>
          <w:hyperlink w:anchor="__RefHeading___Toc3585799_3650668749">
            <w:r>
              <w:rPr>
                <w:webHidden/>
                <w:rStyle w:val="IndexLink"/>
                <w:rtl w:val="true"/>
              </w:rPr>
              <w:t>اجزاى نيزه</w:t>
            </w:r>
            <w:r>
              <w:rPr>
                <w:rStyle w:val="IndexLink"/>
                <w:rtl w:val="true"/>
              </w:rPr>
              <w:tab/>
            </w:r>
            <w:r>
              <w:rPr>
                <w:rStyle w:val="IndexLink"/>
              </w:rPr>
              <w:t>364</w:t>
            </w:r>
          </w:hyperlink>
        </w:p>
        <w:p>
          <w:pPr>
            <w:pStyle w:val="Contents6"/>
            <w:tabs>
              <w:tab w:val="clear" w:pos="7609"/>
              <w:tab w:val="right" w:pos="9026" w:leader="dot"/>
            </w:tabs>
            <w:rPr/>
          </w:pPr>
          <w:hyperlink w:anchor="__RefHeading___Toc3585801_3650668749">
            <w:r>
              <w:rPr>
                <w:webHidden/>
                <w:rStyle w:val="IndexLink"/>
                <w:rtl w:val="true"/>
              </w:rPr>
              <w:t>انواع نيزه</w:t>
            </w:r>
            <w:r>
              <w:rPr>
                <w:rStyle w:val="IndexLink"/>
                <w:rtl w:val="true"/>
              </w:rPr>
              <w:tab/>
            </w:r>
            <w:r>
              <w:rPr>
                <w:rStyle w:val="IndexLink"/>
              </w:rPr>
              <w:t>365</w:t>
            </w:r>
          </w:hyperlink>
        </w:p>
        <w:p>
          <w:pPr>
            <w:pStyle w:val="Contents6"/>
            <w:tabs>
              <w:tab w:val="clear" w:pos="7609"/>
              <w:tab w:val="right" w:pos="9026" w:leader="dot"/>
            </w:tabs>
            <w:rPr/>
          </w:pPr>
          <w:hyperlink w:anchor="__RefHeading___Toc3585803_3650668749">
            <w:r>
              <w:rPr>
                <w:webHidden/>
                <w:rStyle w:val="IndexLink"/>
                <w:rtl w:val="true"/>
              </w:rPr>
              <w:t xml:space="preserve">تير وكمان </w:t>
            </w:r>
            <w:r>
              <w:rPr>
                <w:rStyle w:val="IndexLink"/>
                <w:rtl w:val="true"/>
              </w:rPr>
              <w:t>(</w:t>
            </w:r>
            <w:r>
              <w:rPr>
                <w:rStyle w:val="IndexLink"/>
                <w:rtl w:val="true"/>
              </w:rPr>
              <w:t>سهم و قوس</w:t>
            </w:r>
            <w:r>
              <w:rPr>
                <w:rStyle w:val="IndexLink"/>
                <w:rtl w:val="true"/>
              </w:rPr>
              <w:t>)</w:t>
              <w:tab/>
            </w:r>
            <w:r>
              <w:rPr>
                <w:rStyle w:val="IndexLink"/>
              </w:rPr>
              <w:t>367</w:t>
            </w:r>
          </w:hyperlink>
        </w:p>
        <w:p>
          <w:pPr>
            <w:pStyle w:val="Contents6"/>
            <w:tabs>
              <w:tab w:val="clear" w:pos="7609"/>
              <w:tab w:val="right" w:pos="9026" w:leader="dot"/>
            </w:tabs>
            <w:rPr/>
          </w:pPr>
          <w:hyperlink w:anchor="__RefHeading___Toc3585805_3650668749">
            <w:r>
              <w:rPr>
                <w:webHidden/>
                <w:rStyle w:val="IndexLink"/>
                <w:rtl w:val="true"/>
              </w:rPr>
              <w:t>كاربرد تير وكمان</w:t>
            </w:r>
            <w:r>
              <w:rPr>
                <w:rStyle w:val="IndexLink"/>
                <w:rtl w:val="true"/>
              </w:rPr>
              <w:tab/>
            </w:r>
            <w:r>
              <w:rPr>
                <w:rStyle w:val="IndexLink"/>
              </w:rPr>
              <w:t>367</w:t>
            </w:r>
          </w:hyperlink>
        </w:p>
        <w:p>
          <w:pPr>
            <w:pStyle w:val="Contents6"/>
            <w:tabs>
              <w:tab w:val="clear" w:pos="7609"/>
              <w:tab w:val="right" w:pos="9026" w:leader="dot"/>
            </w:tabs>
            <w:rPr/>
          </w:pPr>
          <w:hyperlink w:anchor="__RefHeading___Toc3585807_3650668749">
            <w:r>
              <w:rPr>
                <w:webHidden/>
                <w:rStyle w:val="IndexLink"/>
                <w:rtl w:val="true"/>
              </w:rPr>
              <w:t>اجزاى تير و كمان</w:t>
            </w:r>
            <w:r>
              <w:rPr>
                <w:rStyle w:val="IndexLink"/>
                <w:rtl w:val="true"/>
              </w:rPr>
              <w:tab/>
            </w:r>
            <w:r>
              <w:rPr>
                <w:rStyle w:val="IndexLink"/>
              </w:rPr>
              <w:t>367</w:t>
            </w:r>
          </w:hyperlink>
        </w:p>
        <w:p>
          <w:pPr>
            <w:pStyle w:val="Contents6"/>
            <w:tabs>
              <w:tab w:val="clear" w:pos="7609"/>
              <w:tab w:val="right" w:pos="9026" w:leader="dot"/>
            </w:tabs>
            <w:rPr/>
          </w:pPr>
          <w:hyperlink w:anchor="__RefHeading___Toc3585809_3650668749">
            <w:r>
              <w:rPr>
                <w:webHidden/>
                <w:rStyle w:val="IndexLink"/>
                <w:rtl w:val="true"/>
              </w:rPr>
              <w:t>انواع كمان</w:t>
            </w:r>
            <w:r>
              <w:rPr>
                <w:rStyle w:val="IndexLink"/>
                <w:rtl w:val="true"/>
              </w:rPr>
              <w:tab/>
            </w:r>
            <w:r>
              <w:rPr>
                <w:rStyle w:val="IndexLink"/>
              </w:rPr>
              <w:t>370</w:t>
            </w:r>
          </w:hyperlink>
        </w:p>
        <w:p>
          <w:pPr>
            <w:pStyle w:val="Contents6"/>
            <w:tabs>
              <w:tab w:val="clear" w:pos="7609"/>
              <w:tab w:val="right" w:pos="9026" w:leader="dot"/>
            </w:tabs>
            <w:rPr/>
          </w:pPr>
          <w:hyperlink w:anchor="__RefHeading___Toc3585811_3650668749">
            <w:r>
              <w:rPr>
                <w:webHidden/>
                <w:rStyle w:val="IndexLink"/>
                <w:rtl w:val="true"/>
              </w:rPr>
              <w:t>طريقه تيراندازى</w:t>
            </w:r>
            <w:r>
              <w:rPr>
                <w:rStyle w:val="IndexLink"/>
                <w:rtl w:val="true"/>
              </w:rPr>
              <w:tab/>
            </w:r>
            <w:r>
              <w:rPr>
                <w:rStyle w:val="IndexLink"/>
              </w:rPr>
              <w:t>371</w:t>
            </w:r>
          </w:hyperlink>
        </w:p>
        <w:p>
          <w:pPr>
            <w:pStyle w:val="Contents6"/>
            <w:tabs>
              <w:tab w:val="clear" w:pos="7609"/>
              <w:tab w:val="right" w:pos="9026" w:leader="dot"/>
            </w:tabs>
            <w:rPr/>
          </w:pPr>
          <w:hyperlink w:anchor="__RefHeading___Toc3585813_3650668749">
            <w:r>
              <w:rPr>
                <w:webHidden/>
                <w:rStyle w:val="IndexLink"/>
                <w:rtl w:val="true"/>
              </w:rPr>
              <w:t>عمود</w:t>
            </w:r>
            <w:r>
              <w:rPr>
                <w:rStyle w:val="IndexLink"/>
                <w:rtl w:val="true"/>
              </w:rPr>
              <w:tab/>
            </w:r>
            <w:r>
              <w:rPr>
                <w:rStyle w:val="IndexLink"/>
              </w:rPr>
              <w:t>371</w:t>
            </w:r>
          </w:hyperlink>
        </w:p>
        <w:p>
          <w:pPr>
            <w:pStyle w:val="Contents6"/>
            <w:tabs>
              <w:tab w:val="clear" w:pos="7609"/>
              <w:tab w:val="right" w:pos="9026" w:leader="dot"/>
            </w:tabs>
            <w:rPr/>
          </w:pPr>
          <w:hyperlink w:anchor="__RefHeading___Toc3585815_3650668749">
            <w:r>
              <w:rPr>
                <w:webHidden/>
                <w:rStyle w:val="IndexLink"/>
                <w:rtl w:val="true"/>
              </w:rPr>
              <w:t xml:space="preserve">فَلاخُن </w:t>
            </w:r>
            <w:r>
              <w:rPr>
                <w:rStyle w:val="IndexLink"/>
                <w:rtl w:val="true"/>
              </w:rPr>
              <w:t>(</w:t>
            </w:r>
            <w:r>
              <w:rPr>
                <w:rStyle w:val="IndexLink"/>
                <w:rtl w:val="true"/>
              </w:rPr>
              <w:t>مقلاع</w:t>
            </w:r>
            <w:r>
              <w:rPr>
                <w:rStyle w:val="IndexLink"/>
                <w:rtl w:val="true"/>
              </w:rPr>
              <w:t>)</w:t>
              <w:tab/>
            </w:r>
            <w:r>
              <w:rPr>
                <w:rStyle w:val="IndexLink"/>
              </w:rPr>
              <w:t>372</w:t>
            </w:r>
          </w:hyperlink>
        </w:p>
        <w:p>
          <w:pPr>
            <w:pStyle w:val="Contents6"/>
            <w:tabs>
              <w:tab w:val="clear" w:pos="7609"/>
              <w:tab w:val="right" w:pos="9026" w:leader="dot"/>
            </w:tabs>
            <w:rPr/>
          </w:pPr>
          <w:hyperlink w:anchor="__RefHeading___Toc3585817_3650668749">
            <w:r>
              <w:rPr>
                <w:webHidden/>
                <w:rStyle w:val="IndexLink"/>
                <w:rtl w:val="true"/>
              </w:rPr>
              <w:t xml:space="preserve">دوم </w:t>
            </w:r>
            <w:r>
              <w:rPr>
                <w:rStyle w:val="IndexLink"/>
                <w:rtl w:val="true"/>
              </w:rPr>
              <w:t xml:space="preserve">- </w:t>
            </w:r>
            <w:r>
              <w:rPr>
                <w:rStyle w:val="IndexLink"/>
                <w:rtl w:val="true"/>
              </w:rPr>
              <w:t>سلاح‌هاى هجومى سنگين</w:t>
            </w:r>
            <w:r>
              <w:rPr>
                <w:rStyle w:val="IndexLink"/>
                <w:rtl w:val="true"/>
              </w:rPr>
              <w:tab/>
            </w:r>
            <w:r>
              <w:rPr>
                <w:rStyle w:val="IndexLink"/>
              </w:rPr>
              <w:t>372</w:t>
            </w:r>
          </w:hyperlink>
        </w:p>
        <w:p>
          <w:pPr>
            <w:pStyle w:val="Contents6"/>
            <w:tabs>
              <w:tab w:val="clear" w:pos="7609"/>
              <w:tab w:val="right" w:pos="9026" w:leader="dot"/>
            </w:tabs>
            <w:rPr/>
          </w:pPr>
          <w:hyperlink w:anchor="__RefHeading___Toc3585819_3650668749">
            <w:r>
              <w:rPr>
                <w:webHidden/>
                <w:rStyle w:val="IndexLink"/>
                <w:rtl w:val="true"/>
              </w:rPr>
              <w:t>منجنيق</w:t>
            </w:r>
            <w:r>
              <w:rPr>
                <w:rStyle w:val="IndexLink"/>
                <w:rtl w:val="true"/>
              </w:rPr>
              <w:tab/>
            </w:r>
            <w:r>
              <w:rPr>
                <w:rStyle w:val="IndexLink"/>
              </w:rPr>
              <w:t>372</w:t>
            </w:r>
          </w:hyperlink>
        </w:p>
        <w:p>
          <w:pPr>
            <w:pStyle w:val="Contents6"/>
            <w:tabs>
              <w:tab w:val="clear" w:pos="7609"/>
              <w:tab w:val="right" w:pos="9026" w:leader="dot"/>
            </w:tabs>
            <w:rPr/>
          </w:pPr>
          <w:hyperlink w:anchor="__RefHeading___Toc3585821_3650668749">
            <w:r>
              <w:rPr>
                <w:webHidden/>
                <w:rStyle w:val="IndexLink"/>
                <w:rtl w:val="true"/>
              </w:rPr>
              <w:t>دبابه</w:t>
            </w:r>
            <w:r>
              <w:rPr>
                <w:rStyle w:val="IndexLink"/>
                <w:rtl w:val="true"/>
              </w:rPr>
              <w:tab/>
            </w:r>
            <w:r>
              <w:rPr>
                <w:rStyle w:val="IndexLink"/>
              </w:rPr>
              <w:t>374</w:t>
            </w:r>
          </w:hyperlink>
        </w:p>
        <w:p>
          <w:pPr>
            <w:pStyle w:val="Contents6"/>
            <w:tabs>
              <w:tab w:val="clear" w:pos="7609"/>
              <w:tab w:val="right" w:pos="9026" w:leader="dot"/>
            </w:tabs>
            <w:rPr/>
          </w:pPr>
          <w:hyperlink w:anchor="__RefHeading___Toc3585823_3650668749">
            <w:r>
              <w:rPr>
                <w:webHidden/>
                <w:rStyle w:val="IndexLink"/>
                <w:rtl w:val="true"/>
              </w:rPr>
              <w:t xml:space="preserve">نردبان‌هاى بلند </w:t>
            </w:r>
            <w:r>
              <w:rPr>
                <w:rStyle w:val="IndexLink"/>
                <w:rtl w:val="true"/>
              </w:rPr>
              <w:t>(</w:t>
            </w:r>
            <w:r>
              <w:rPr>
                <w:rStyle w:val="IndexLink"/>
                <w:rtl w:val="true"/>
              </w:rPr>
              <w:t>سَلالِمُ الحِصار</w:t>
            </w:r>
            <w:r>
              <w:rPr>
                <w:rStyle w:val="IndexLink"/>
                <w:rtl w:val="true"/>
              </w:rPr>
              <w:t>)</w:t>
              <w:tab/>
            </w:r>
            <w:r>
              <w:rPr>
                <w:rStyle w:val="IndexLink"/>
              </w:rPr>
              <w:t>375</w:t>
            </w:r>
          </w:hyperlink>
        </w:p>
        <w:p>
          <w:pPr>
            <w:pStyle w:val="Contents5"/>
            <w:tabs>
              <w:tab w:val="clear" w:pos="7892"/>
              <w:tab w:val="right" w:pos="9026" w:leader="dot"/>
            </w:tabs>
            <w:rPr/>
          </w:pPr>
          <w:hyperlink w:anchor="__RefHeading___Toc3585825_3650668749">
            <w:r>
              <w:rPr>
                <w:webHidden/>
                <w:rStyle w:val="IndexLink"/>
                <w:rtl w:val="true"/>
              </w:rPr>
              <w:t xml:space="preserve">دو </w:t>
            </w:r>
            <w:r>
              <w:rPr>
                <w:rStyle w:val="IndexLink"/>
                <w:rtl w:val="true"/>
              </w:rPr>
              <w:t xml:space="preserve">- </w:t>
            </w:r>
            <w:r>
              <w:rPr>
                <w:rStyle w:val="IndexLink"/>
                <w:rtl w:val="true"/>
              </w:rPr>
              <w:t>سلاح‌هاى دفاعى</w:t>
            </w:r>
            <w:r>
              <w:rPr>
                <w:rStyle w:val="IndexLink"/>
                <w:rtl w:val="true"/>
              </w:rPr>
              <w:tab/>
            </w:r>
            <w:r>
              <w:rPr>
                <w:rStyle w:val="IndexLink"/>
              </w:rPr>
              <w:t>375</w:t>
            </w:r>
          </w:hyperlink>
        </w:p>
        <w:p>
          <w:pPr>
            <w:pStyle w:val="Contents6"/>
            <w:tabs>
              <w:tab w:val="clear" w:pos="7609"/>
              <w:tab w:val="right" w:pos="9026" w:leader="dot"/>
            </w:tabs>
            <w:rPr/>
          </w:pPr>
          <w:hyperlink w:anchor="__RefHeading___Toc3585827_3650668749">
            <w:r>
              <w:rPr>
                <w:webHidden/>
                <w:rStyle w:val="IndexLink"/>
                <w:rtl w:val="true"/>
              </w:rPr>
              <w:t>اشاره</w:t>
            </w:r>
            <w:r>
              <w:rPr>
                <w:rStyle w:val="IndexLink"/>
                <w:rtl w:val="true"/>
              </w:rPr>
              <w:tab/>
            </w:r>
            <w:r>
              <w:rPr>
                <w:rStyle w:val="IndexLink"/>
              </w:rPr>
              <w:t>375</w:t>
            </w:r>
          </w:hyperlink>
        </w:p>
        <w:p>
          <w:pPr>
            <w:pStyle w:val="Contents6"/>
            <w:tabs>
              <w:tab w:val="clear" w:pos="7609"/>
              <w:tab w:val="right" w:pos="9026" w:leader="dot"/>
            </w:tabs>
            <w:rPr/>
          </w:pPr>
          <w:hyperlink w:anchor="__RefHeading___Toc3585829_3650668749">
            <w:r>
              <w:rPr>
                <w:webHidden/>
                <w:rStyle w:val="IndexLink"/>
                <w:rtl w:val="true"/>
              </w:rPr>
              <w:t xml:space="preserve">اول </w:t>
            </w:r>
            <w:r>
              <w:rPr>
                <w:rStyle w:val="IndexLink"/>
                <w:rtl w:val="true"/>
              </w:rPr>
              <w:t xml:space="preserve">- </w:t>
            </w:r>
            <w:r>
              <w:rPr>
                <w:rStyle w:val="IndexLink"/>
                <w:rtl w:val="true"/>
              </w:rPr>
              <w:t>سلاح‌هاى دفاعى سبك</w:t>
            </w:r>
            <w:r>
              <w:rPr>
                <w:rStyle w:val="IndexLink"/>
                <w:rtl w:val="true"/>
              </w:rPr>
              <w:tab/>
            </w:r>
            <w:r>
              <w:rPr>
                <w:rStyle w:val="IndexLink"/>
              </w:rPr>
              <w:t>375</w:t>
            </w:r>
          </w:hyperlink>
        </w:p>
        <w:p>
          <w:pPr>
            <w:pStyle w:val="Contents6"/>
            <w:tabs>
              <w:tab w:val="clear" w:pos="7609"/>
              <w:tab w:val="right" w:pos="9026" w:leader="dot"/>
            </w:tabs>
            <w:rPr/>
          </w:pPr>
          <w:hyperlink w:anchor="__RefHeading___Toc3585831_3650668749">
            <w:r>
              <w:rPr>
                <w:webHidden/>
                <w:rStyle w:val="IndexLink"/>
                <w:rtl w:val="true"/>
              </w:rPr>
              <w:t>اشاره</w:t>
            </w:r>
            <w:r>
              <w:rPr>
                <w:rStyle w:val="IndexLink"/>
                <w:rtl w:val="true"/>
              </w:rPr>
              <w:tab/>
            </w:r>
            <w:r>
              <w:rPr>
                <w:rStyle w:val="IndexLink"/>
              </w:rPr>
              <w:t>375</w:t>
            </w:r>
          </w:hyperlink>
        </w:p>
        <w:p>
          <w:pPr>
            <w:pStyle w:val="Contents6"/>
            <w:tabs>
              <w:tab w:val="clear" w:pos="7609"/>
              <w:tab w:val="right" w:pos="9026" w:leader="dot"/>
            </w:tabs>
            <w:rPr/>
          </w:pPr>
          <w:hyperlink w:anchor="__RefHeading___Toc3585833_3650668749">
            <w:r>
              <w:rPr>
                <w:webHidden/>
                <w:rStyle w:val="IndexLink"/>
                <w:rtl w:val="true"/>
              </w:rPr>
              <w:t xml:space="preserve">زره </w:t>
            </w:r>
            <w:r>
              <w:rPr>
                <w:rStyle w:val="IndexLink"/>
                <w:rtl w:val="true"/>
              </w:rPr>
              <w:t>(</w:t>
            </w:r>
            <w:r>
              <w:rPr>
                <w:rStyle w:val="IndexLink"/>
                <w:rtl w:val="true"/>
              </w:rPr>
              <w:t>درع</w:t>
            </w:r>
            <w:r>
              <w:rPr>
                <w:rStyle w:val="IndexLink"/>
                <w:rtl w:val="true"/>
              </w:rPr>
              <w:t>)</w:t>
              <w:tab/>
            </w:r>
            <w:r>
              <w:rPr>
                <w:rStyle w:val="IndexLink"/>
              </w:rPr>
              <w:t>375</w:t>
            </w:r>
          </w:hyperlink>
        </w:p>
        <w:p>
          <w:pPr>
            <w:pStyle w:val="Contents6"/>
            <w:tabs>
              <w:tab w:val="clear" w:pos="7609"/>
              <w:tab w:val="right" w:pos="9026" w:leader="dot"/>
            </w:tabs>
            <w:rPr/>
          </w:pPr>
          <w:hyperlink w:anchor="__RefHeading___Toc3585835_3650668749">
            <w:r>
              <w:rPr>
                <w:webHidden/>
                <w:rStyle w:val="IndexLink"/>
                <w:rtl w:val="true"/>
              </w:rPr>
              <w:t xml:space="preserve">سپر </w:t>
            </w:r>
            <w:r>
              <w:rPr>
                <w:rStyle w:val="IndexLink"/>
                <w:rtl w:val="true"/>
              </w:rPr>
              <w:t>(</w:t>
            </w:r>
            <w:r>
              <w:rPr>
                <w:rStyle w:val="IndexLink"/>
                <w:rtl w:val="true"/>
              </w:rPr>
              <w:t>تُرس، مِجَنّ</w:t>
            </w:r>
            <w:r>
              <w:rPr>
                <w:rStyle w:val="IndexLink"/>
                <w:rtl w:val="true"/>
              </w:rPr>
              <w:t>)</w:t>
              <w:tab/>
            </w:r>
            <w:r>
              <w:rPr>
                <w:rStyle w:val="IndexLink"/>
              </w:rPr>
              <w:t>377</w:t>
            </w:r>
          </w:hyperlink>
        </w:p>
        <w:p>
          <w:pPr>
            <w:pStyle w:val="Contents6"/>
            <w:tabs>
              <w:tab w:val="clear" w:pos="7609"/>
              <w:tab w:val="right" w:pos="9026" w:leader="dot"/>
            </w:tabs>
            <w:rPr/>
          </w:pPr>
          <w:hyperlink w:anchor="__RefHeading___Toc3585837_3650668749">
            <w:r>
              <w:rPr>
                <w:webHidden/>
                <w:rStyle w:val="IndexLink"/>
                <w:rtl w:val="true"/>
              </w:rPr>
              <w:t xml:space="preserve">سپر مستطيل </w:t>
            </w:r>
            <w:r>
              <w:rPr>
                <w:rStyle w:val="IndexLink"/>
                <w:rtl w:val="true"/>
              </w:rPr>
              <w:t>(</w:t>
            </w:r>
            <w:r>
              <w:rPr>
                <w:rStyle w:val="IndexLink"/>
                <w:rtl w:val="true"/>
              </w:rPr>
              <w:t>الترس المستطيل</w:t>
            </w:r>
            <w:r>
              <w:rPr>
                <w:rStyle w:val="IndexLink"/>
                <w:rtl w:val="true"/>
              </w:rPr>
              <w:t>)</w:t>
              <w:tab/>
            </w:r>
            <w:r>
              <w:rPr>
                <w:rStyle w:val="IndexLink"/>
              </w:rPr>
              <w:t>378</w:t>
            </w:r>
          </w:hyperlink>
        </w:p>
        <w:p>
          <w:pPr>
            <w:pStyle w:val="Contents6"/>
            <w:tabs>
              <w:tab w:val="clear" w:pos="7609"/>
              <w:tab w:val="right" w:pos="9026" w:leader="dot"/>
            </w:tabs>
            <w:rPr/>
          </w:pPr>
          <w:hyperlink w:anchor="__RefHeading___Toc3585839_3650668749">
            <w:r>
              <w:rPr>
                <w:webHidden/>
                <w:rStyle w:val="IndexLink"/>
                <w:rtl w:val="true"/>
              </w:rPr>
              <w:t xml:space="preserve">سپر دايره‌اى </w:t>
            </w:r>
            <w:r>
              <w:rPr>
                <w:rStyle w:val="IndexLink"/>
                <w:rtl w:val="true"/>
              </w:rPr>
              <w:t>(</w:t>
            </w:r>
            <w:r>
              <w:rPr>
                <w:rStyle w:val="IndexLink"/>
                <w:rtl w:val="true"/>
              </w:rPr>
              <w:t>الترس المستدير</w:t>
            </w:r>
            <w:r>
              <w:rPr>
                <w:rStyle w:val="IndexLink"/>
                <w:rtl w:val="true"/>
              </w:rPr>
              <w:t>)</w:t>
              <w:tab/>
            </w:r>
            <w:r>
              <w:rPr>
                <w:rStyle w:val="IndexLink"/>
              </w:rPr>
              <w:t>378</w:t>
            </w:r>
          </w:hyperlink>
        </w:p>
        <w:p>
          <w:pPr>
            <w:pStyle w:val="Contents6"/>
            <w:tabs>
              <w:tab w:val="clear" w:pos="7609"/>
              <w:tab w:val="right" w:pos="9026" w:leader="dot"/>
            </w:tabs>
            <w:rPr/>
          </w:pPr>
          <w:hyperlink w:anchor="__RefHeading___Toc3585841_3650668749">
            <w:r>
              <w:rPr>
                <w:webHidden/>
                <w:rStyle w:val="IndexLink"/>
                <w:rtl w:val="true"/>
              </w:rPr>
              <w:t xml:space="preserve">سپر گنبدى </w:t>
            </w:r>
            <w:r>
              <w:rPr>
                <w:rStyle w:val="IndexLink"/>
                <w:rtl w:val="true"/>
              </w:rPr>
              <w:t>(</w:t>
            </w:r>
            <w:r>
              <w:rPr>
                <w:rStyle w:val="IndexLink"/>
                <w:rtl w:val="true"/>
              </w:rPr>
              <w:t>ترس المُقَبَّب</w:t>
            </w:r>
            <w:r>
              <w:rPr>
                <w:rStyle w:val="IndexLink"/>
                <w:rtl w:val="true"/>
              </w:rPr>
              <w:t>)</w:t>
              <w:tab/>
            </w:r>
            <w:r>
              <w:rPr>
                <w:rStyle w:val="IndexLink"/>
              </w:rPr>
              <w:t>379</w:t>
            </w:r>
          </w:hyperlink>
        </w:p>
        <w:p>
          <w:pPr>
            <w:pStyle w:val="Contents6"/>
            <w:tabs>
              <w:tab w:val="clear" w:pos="7609"/>
              <w:tab w:val="right" w:pos="9026" w:leader="dot"/>
            </w:tabs>
            <w:rPr/>
          </w:pPr>
          <w:hyperlink w:anchor="__RefHeading___Toc3585843_3650668749">
            <w:r>
              <w:rPr>
                <w:webHidden/>
                <w:rStyle w:val="IndexLink"/>
                <w:rtl w:val="true"/>
              </w:rPr>
              <w:t xml:space="preserve">سپر مسطح </w:t>
            </w:r>
            <w:r>
              <w:rPr>
                <w:rStyle w:val="IndexLink"/>
                <w:rtl w:val="true"/>
              </w:rPr>
              <w:t>(</w:t>
            </w:r>
            <w:r>
              <w:rPr>
                <w:rStyle w:val="IndexLink"/>
                <w:rtl w:val="true"/>
              </w:rPr>
              <w:t>ترس المسطح</w:t>
            </w:r>
            <w:r>
              <w:rPr>
                <w:rStyle w:val="IndexLink"/>
                <w:rtl w:val="true"/>
              </w:rPr>
              <w:t>)</w:t>
              <w:tab/>
            </w:r>
            <w:r>
              <w:rPr>
                <w:rStyle w:val="IndexLink"/>
              </w:rPr>
              <w:t>379</w:t>
            </w:r>
          </w:hyperlink>
        </w:p>
        <w:p>
          <w:pPr>
            <w:pStyle w:val="Contents6"/>
            <w:tabs>
              <w:tab w:val="clear" w:pos="7609"/>
              <w:tab w:val="right" w:pos="9026" w:leader="dot"/>
            </w:tabs>
            <w:rPr/>
          </w:pPr>
          <w:hyperlink w:anchor="__RefHeading___Toc3585845_3650668749">
            <w:r>
              <w:rPr>
                <w:webHidden/>
                <w:rStyle w:val="IndexLink"/>
                <w:rtl w:val="true"/>
              </w:rPr>
              <w:t xml:space="preserve">خارهاى سه پهلو </w:t>
            </w:r>
            <w:r>
              <w:rPr>
                <w:rStyle w:val="IndexLink"/>
                <w:rtl w:val="true"/>
              </w:rPr>
              <w:t>(</w:t>
            </w:r>
            <w:r>
              <w:rPr>
                <w:rStyle w:val="IndexLink"/>
                <w:rtl w:val="true"/>
              </w:rPr>
              <w:t>حَسَك الشايك</w:t>
            </w:r>
            <w:r>
              <w:rPr>
                <w:rStyle w:val="IndexLink"/>
                <w:rtl w:val="true"/>
              </w:rPr>
              <w:t>)</w:t>
              <w:tab/>
            </w:r>
            <w:r>
              <w:rPr>
                <w:rStyle w:val="IndexLink"/>
              </w:rPr>
              <w:t>379</w:t>
            </w:r>
          </w:hyperlink>
        </w:p>
        <w:p>
          <w:pPr>
            <w:pStyle w:val="Contents6"/>
            <w:tabs>
              <w:tab w:val="clear" w:pos="7609"/>
              <w:tab w:val="right" w:pos="9026" w:leader="dot"/>
            </w:tabs>
            <w:rPr/>
          </w:pPr>
          <w:hyperlink w:anchor="__RefHeading___Toc3585847_3650668749">
            <w:r>
              <w:rPr>
                <w:webHidden/>
                <w:rStyle w:val="IndexLink"/>
                <w:rtl w:val="true"/>
              </w:rPr>
              <w:t>تِجْفاف</w:t>
            </w:r>
            <w:r>
              <w:rPr>
                <w:rStyle w:val="IndexLink"/>
                <w:rtl w:val="true"/>
              </w:rPr>
              <w:tab/>
            </w:r>
            <w:r>
              <w:rPr>
                <w:rStyle w:val="IndexLink"/>
              </w:rPr>
              <w:t>380</w:t>
            </w:r>
          </w:hyperlink>
        </w:p>
        <w:p>
          <w:pPr>
            <w:pStyle w:val="Contents6"/>
            <w:tabs>
              <w:tab w:val="clear" w:pos="7609"/>
              <w:tab w:val="right" w:pos="9026" w:leader="dot"/>
            </w:tabs>
            <w:rPr/>
          </w:pPr>
          <w:hyperlink w:anchor="__RefHeading___Toc3585849_3650668749">
            <w:r>
              <w:rPr>
                <w:webHidden/>
                <w:rStyle w:val="IndexLink"/>
                <w:rtl w:val="true"/>
              </w:rPr>
              <w:t xml:space="preserve">دوم </w:t>
            </w:r>
            <w:r>
              <w:rPr>
                <w:rStyle w:val="IndexLink"/>
                <w:rtl w:val="true"/>
              </w:rPr>
              <w:t xml:space="preserve">- </w:t>
            </w:r>
            <w:r>
              <w:rPr>
                <w:rStyle w:val="IndexLink"/>
                <w:rtl w:val="true"/>
              </w:rPr>
              <w:t>سلاح‌هاى دفاعى سنگين</w:t>
            </w:r>
            <w:r>
              <w:rPr>
                <w:rStyle w:val="IndexLink"/>
                <w:rtl w:val="true"/>
              </w:rPr>
              <w:tab/>
            </w:r>
            <w:r>
              <w:rPr>
                <w:rStyle w:val="IndexLink"/>
              </w:rPr>
              <w:t>380</w:t>
            </w:r>
          </w:hyperlink>
        </w:p>
        <w:p>
          <w:pPr>
            <w:pStyle w:val="Contents4"/>
            <w:tabs>
              <w:tab w:val="clear" w:pos="8176"/>
              <w:tab w:val="right" w:pos="9026" w:leader="dot"/>
            </w:tabs>
            <w:rPr/>
          </w:pPr>
          <w:hyperlink w:anchor="__RefHeading___Toc3585851_3650668749">
            <w:r>
              <w:rPr>
                <w:webHidden/>
                <w:rStyle w:val="IndexLink"/>
                <w:rtl w:val="true"/>
              </w:rPr>
              <w:t>ه</w:t>
            </w:r>
            <w:r>
              <w:rPr>
                <w:rStyle w:val="IndexLink"/>
                <w:rtl w:val="true"/>
              </w:rPr>
              <w:t xml:space="preserve">) </w:t>
            </w:r>
            <w:r>
              <w:rPr>
                <w:rStyle w:val="IndexLink"/>
                <w:rtl w:val="true"/>
              </w:rPr>
              <w:t>تعليم جنگاوران</w:t>
            </w:r>
            <w:r>
              <w:rPr>
                <w:rStyle w:val="IndexLink"/>
                <w:rtl w:val="true"/>
              </w:rPr>
              <w:tab/>
            </w:r>
            <w:r>
              <w:rPr>
                <w:rStyle w:val="IndexLink"/>
              </w:rPr>
              <w:t>381</w:t>
            </w:r>
          </w:hyperlink>
        </w:p>
        <w:p>
          <w:pPr>
            <w:pStyle w:val="Contents4"/>
            <w:tabs>
              <w:tab w:val="clear" w:pos="8176"/>
              <w:tab w:val="right" w:pos="9026" w:leader="dot"/>
            </w:tabs>
            <w:rPr/>
          </w:pPr>
          <w:hyperlink w:anchor="__RefHeading___Toc3585853_3650668749">
            <w:r>
              <w:rPr>
                <w:webHidden/>
                <w:rStyle w:val="IndexLink"/>
                <w:rtl w:val="true"/>
              </w:rPr>
              <w:t>و</w:t>
            </w:r>
            <w:r>
              <w:rPr>
                <w:rStyle w:val="IndexLink"/>
                <w:rtl w:val="true"/>
              </w:rPr>
              <w:t xml:space="preserve">) </w:t>
            </w:r>
            <w:r>
              <w:rPr>
                <w:rStyle w:val="IndexLink"/>
                <w:rtl w:val="true"/>
              </w:rPr>
              <w:t>اسلحه‌سازى</w:t>
            </w:r>
            <w:r>
              <w:rPr>
                <w:rStyle w:val="IndexLink"/>
                <w:rtl w:val="true"/>
              </w:rPr>
              <w:tab/>
            </w:r>
            <w:r>
              <w:rPr>
                <w:rStyle w:val="IndexLink"/>
              </w:rPr>
              <w:t>382</w:t>
            </w:r>
          </w:hyperlink>
        </w:p>
        <w:p>
          <w:pPr>
            <w:pStyle w:val="Contents4"/>
            <w:tabs>
              <w:tab w:val="clear" w:pos="8176"/>
              <w:tab w:val="right" w:pos="9026" w:leader="dot"/>
            </w:tabs>
            <w:rPr/>
          </w:pPr>
          <w:hyperlink w:anchor="__RefHeading___Toc3585855_3650668749">
            <w:r>
              <w:rPr>
                <w:webHidden/>
                <w:rStyle w:val="IndexLink"/>
                <w:rtl w:val="true"/>
              </w:rPr>
              <w:t>ز</w:t>
            </w:r>
            <w:r>
              <w:rPr>
                <w:rStyle w:val="IndexLink"/>
                <w:rtl w:val="true"/>
              </w:rPr>
              <w:t xml:space="preserve">) </w:t>
            </w:r>
            <w:r>
              <w:rPr>
                <w:rStyle w:val="IndexLink"/>
                <w:rtl w:val="true"/>
              </w:rPr>
              <w:t>پيك</w:t>
            </w:r>
            <w:r>
              <w:rPr>
                <w:rStyle w:val="IndexLink"/>
                <w:rtl w:val="true"/>
              </w:rPr>
              <w:tab/>
            </w:r>
            <w:r>
              <w:rPr>
                <w:rStyle w:val="IndexLink"/>
              </w:rPr>
              <w:t>382</w:t>
            </w:r>
          </w:hyperlink>
        </w:p>
        <w:p>
          <w:pPr>
            <w:pStyle w:val="Contents4"/>
            <w:tabs>
              <w:tab w:val="clear" w:pos="8176"/>
              <w:tab w:val="right" w:pos="9026" w:leader="dot"/>
            </w:tabs>
            <w:rPr/>
          </w:pPr>
          <w:hyperlink w:anchor="__RefHeading___Toc3585857_3650668749">
            <w:r>
              <w:rPr>
                <w:webHidden/>
                <w:rStyle w:val="IndexLink"/>
                <w:rtl w:val="true"/>
              </w:rPr>
              <w:t>ح</w:t>
            </w:r>
            <w:r>
              <w:rPr>
                <w:rStyle w:val="IndexLink"/>
                <w:rtl w:val="true"/>
              </w:rPr>
              <w:t xml:space="preserve">) </w:t>
            </w:r>
            <w:r>
              <w:rPr>
                <w:rStyle w:val="IndexLink"/>
                <w:rtl w:val="true"/>
              </w:rPr>
              <w:t>صلح</w:t>
            </w:r>
            <w:r>
              <w:rPr>
                <w:rStyle w:val="IndexLink"/>
                <w:rtl w:val="true"/>
              </w:rPr>
              <w:tab/>
            </w:r>
            <w:r>
              <w:rPr>
                <w:rStyle w:val="IndexLink"/>
              </w:rPr>
              <w:t>385</w:t>
            </w:r>
          </w:hyperlink>
        </w:p>
        <w:p>
          <w:pPr>
            <w:pStyle w:val="Contents4"/>
            <w:tabs>
              <w:tab w:val="clear" w:pos="8176"/>
              <w:tab w:val="right" w:pos="9026" w:leader="dot"/>
            </w:tabs>
            <w:rPr/>
          </w:pPr>
          <w:hyperlink w:anchor="__RefHeading___Toc3585859_3650668749">
            <w:r>
              <w:rPr>
                <w:webHidden/>
                <w:rStyle w:val="IndexLink"/>
                <w:rtl w:val="true"/>
              </w:rPr>
              <w:t>ط</w:t>
            </w:r>
            <w:r>
              <w:rPr>
                <w:rStyle w:val="IndexLink"/>
                <w:rtl w:val="true"/>
              </w:rPr>
              <w:t xml:space="preserve">) </w:t>
            </w:r>
            <w:r>
              <w:rPr>
                <w:rStyle w:val="IndexLink"/>
                <w:rtl w:val="true"/>
              </w:rPr>
              <w:t>شعارهاى جنگى</w:t>
            </w:r>
            <w:r>
              <w:rPr>
                <w:rStyle w:val="IndexLink"/>
                <w:rtl w:val="true"/>
              </w:rPr>
              <w:tab/>
            </w:r>
            <w:r>
              <w:rPr>
                <w:rStyle w:val="IndexLink"/>
              </w:rPr>
              <w:t>387</w:t>
            </w:r>
          </w:hyperlink>
        </w:p>
        <w:p>
          <w:pPr>
            <w:pStyle w:val="Contents4"/>
            <w:tabs>
              <w:tab w:val="clear" w:pos="8176"/>
              <w:tab w:val="right" w:pos="9026" w:leader="dot"/>
            </w:tabs>
            <w:rPr/>
          </w:pPr>
          <w:hyperlink w:anchor="__RefHeading___Toc3585861_3650668749">
            <w:r>
              <w:rPr>
                <w:webHidden/>
                <w:rStyle w:val="IndexLink"/>
                <w:rtl w:val="true"/>
              </w:rPr>
              <w:t>ى</w:t>
            </w:r>
            <w:r>
              <w:rPr>
                <w:rStyle w:val="IndexLink"/>
                <w:rtl w:val="true"/>
              </w:rPr>
              <w:t xml:space="preserve">) </w:t>
            </w:r>
            <w:r>
              <w:rPr>
                <w:rStyle w:val="IndexLink"/>
                <w:rtl w:val="true"/>
              </w:rPr>
              <w:t>طريقه تقسيم غنايم جنگى</w:t>
            </w:r>
            <w:r>
              <w:rPr>
                <w:rStyle w:val="IndexLink"/>
                <w:rtl w:val="true"/>
              </w:rPr>
              <w:tab/>
            </w:r>
            <w:r>
              <w:rPr>
                <w:rStyle w:val="IndexLink"/>
              </w:rPr>
              <w:t>387</w:t>
            </w:r>
          </w:hyperlink>
        </w:p>
        <w:p>
          <w:pPr>
            <w:pStyle w:val="Contents4"/>
            <w:tabs>
              <w:tab w:val="clear" w:pos="8176"/>
              <w:tab w:val="right" w:pos="9026" w:leader="dot"/>
            </w:tabs>
            <w:rPr/>
          </w:pPr>
          <w:hyperlink w:anchor="__RefHeading___Toc3585863_3650668749">
            <w:r>
              <w:rPr>
                <w:webHidden/>
                <w:rStyle w:val="IndexLink"/>
                <w:rtl w:val="true"/>
              </w:rPr>
              <w:t>ك</w:t>
            </w:r>
            <w:r>
              <w:rPr>
                <w:rStyle w:val="IndexLink"/>
                <w:rtl w:val="true"/>
              </w:rPr>
              <w:t xml:space="preserve">) </w:t>
            </w:r>
            <w:r>
              <w:rPr>
                <w:rStyle w:val="IndexLink"/>
                <w:rtl w:val="true"/>
              </w:rPr>
              <w:t>پرچم</w:t>
            </w:r>
            <w:r>
              <w:rPr>
                <w:rStyle w:val="IndexLink"/>
                <w:rtl w:val="true"/>
              </w:rPr>
              <w:tab/>
            </w:r>
            <w:r>
              <w:rPr>
                <w:rStyle w:val="IndexLink"/>
              </w:rPr>
              <w:t>389</w:t>
            </w:r>
          </w:hyperlink>
        </w:p>
        <w:p>
          <w:pPr>
            <w:pStyle w:val="Contents4"/>
            <w:tabs>
              <w:tab w:val="clear" w:pos="8176"/>
              <w:tab w:val="right" w:pos="9026" w:leader="dot"/>
            </w:tabs>
            <w:rPr/>
          </w:pPr>
          <w:hyperlink w:anchor="__RefHeading___Toc3585865_3650668749">
            <w:r>
              <w:rPr>
                <w:webHidden/>
                <w:rStyle w:val="IndexLink"/>
                <w:rtl w:val="true"/>
              </w:rPr>
              <w:t>ل</w:t>
            </w:r>
            <w:r>
              <w:rPr>
                <w:rStyle w:val="IndexLink"/>
                <w:rtl w:val="true"/>
              </w:rPr>
              <w:t xml:space="preserve">) </w:t>
            </w:r>
            <w:r>
              <w:rPr>
                <w:rStyle w:val="IndexLink"/>
                <w:rtl w:val="true"/>
              </w:rPr>
              <w:t>واحدهاى تشكيل دهنده سپاه</w:t>
            </w:r>
            <w:r>
              <w:rPr>
                <w:rStyle w:val="IndexLink"/>
                <w:rtl w:val="true"/>
              </w:rPr>
              <w:tab/>
            </w:r>
            <w:r>
              <w:rPr>
                <w:rStyle w:val="IndexLink"/>
              </w:rPr>
              <w:t>390</w:t>
            </w:r>
          </w:hyperlink>
        </w:p>
        <w:p>
          <w:pPr>
            <w:pStyle w:val="Contents5"/>
            <w:tabs>
              <w:tab w:val="clear" w:pos="7892"/>
              <w:tab w:val="right" w:pos="9026" w:leader="dot"/>
            </w:tabs>
            <w:rPr/>
          </w:pPr>
          <w:hyperlink w:anchor="__RefHeading___Toc3585867_3650668749">
            <w:r>
              <w:rPr>
                <w:webHidden/>
                <w:rStyle w:val="IndexLink"/>
                <w:rtl w:val="true"/>
              </w:rPr>
              <w:t>اشاره</w:t>
            </w:r>
            <w:r>
              <w:rPr>
                <w:rStyle w:val="IndexLink"/>
                <w:rtl w:val="true"/>
              </w:rPr>
              <w:tab/>
            </w:r>
            <w:r>
              <w:rPr>
                <w:rStyle w:val="IndexLink"/>
              </w:rPr>
              <w:t>390</w:t>
            </w:r>
          </w:hyperlink>
        </w:p>
        <w:p>
          <w:pPr>
            <w:pStyle w:val="Contents5"/>
            <w:tabs>
              <w:tab w:val="clear" w:pos="7892"/>
              <w:tab w:val="right" w:pos="9026" w:leader="dot"/>
            </w:tabs>
            <w:rPr/>
          </w:pPr>
          <w:hyperlink w:anchor="__RefHeading___Toc3585869_3650668749">
            <w:r>
              <w:rPr>
                <w:webHidden/>
                <w:rStyle w:val="IndexLink"/>
                <w:rtl w:val="true"/>
              </w:rPr>
              <w:t xml:space="preserve">يك </w:t>
            </w:r>
            <w:r>
              <w:rPr>
                <w:rStyle w:val="IndexLink"/>
                <w:rtl w:val="true"/>
              </w:rPr>
              <w:t xml:space="preserve">- </w:t>
            </w:r>
            <w:r>
              <w:rPr>
                <w:rStyle w:val="IndexLink"/>
                <w:rtl w:val="true"/>
              </w:rPr>
              <w:t xml:space="preserve">پياده نظام </w:t>
            </w:r>
            <w:r>
              <w:rPr>
                <w:rStyle w:val="IndexLink"/>
                <w:rtl w:val="true"/>
              </w:rPr>
              <w:t>(</w:t>
            </w:r>
            <w:r>
              <w:rPr>
                <w:rStyle w:val="IndexLink"/>
                <w:rtl w:val="true"/>
              </w:rPr>
              <w:t>رجّاله</w:t>
            </w:r>
            <w:r>
              <w:rPr>
                <w:rStyle w:val="IndexLink"/>
                <w:rtl w:val="true"/>
              </w:rPr>
              <w:t>)</w:t>
              <w:tab/>
            </w:r>
            <w:r>
              <w:rPr>
                <w:rStyle w:val="IndexLink"/>
              </w:rPr>
              <w:t>390</w:t>
            </w:r>
          </w:hyperlink>
        </w:p>
        <w:p>
          <w:pPr>
            <w:pStyle w:val="Contents5"/>
            <w:tabs>
              <w:tab w:val="clear" w:pos="7892"/>
              <w:tab w:val="right" w:pos="9026" w:leader="dot"/>
            </w:tabs>
            <w:rPr/>
          </w:pPr>
          <w:hyperlink w:anchor="__RefHeading___Toc3585871_3650668749">
            <w:r>
              <w:rPr>
                <w:webHidden/>
                <w:rStyle w:val="IndexLink"/>
                <w:rtl w:val="true"/>
              </w:rPr>
              <w:t xml:space="preserve">دو </w:t>
            </w:r>
            <w:r>
              <w:rPr>
                <w:rStyle w:val="IndexLink"/>
                <w:rtl w:val="true"/>
              </w:rPr>
              <w:t xml:space="preserve">- </w:t>
            </w:r>
            <w:r>
              <w:rPr>
                <w:rStyle w:val="IndexLink"/>
                <w:rtl w:val="true"/>
              </w:rPr>
              <w:t xml:space="preserve">سواره نظام </w:t>
            </w:r>
            <w:r>
              <w:rPr>
                <w:rStyle w:val="IndexLink"/>
                <w:rtl w:val="true"/>
              </w:rPr>
              <w:t>(</w:t>
            </w:r>
            <w:r>
              <w:rPr>
                <w:rStyle w:val="IndexLink"/>
                <w:rtl w:val="true"/>
              </w:rPr>
              <w:t>خيّاله، فُرْسان</w:t>
            </w:r>
            <w:r>
              <w:rPr>
                <w:rStyle w:val="IndexLink"/>
                <w:rtl w:val="true"/>
              </w:rPr>
              <w:t>)</w:t>
              <w:tab/>
            </w:r>
            <w:r>
              <w:rPr>
                <w:rStyle w:val="IndexLink"/>
              </w:rPr>
              <w:t>391</w:t>
            </w:r>
          </w:hyperlink>
        </w:p>
        <w:p>
          <w:pPr>
            <w:pStyle w:val="Contents6"/>
            <w:tabs>
              <w:tab w:val="clear" w:pos="7609"/>
              <w:tab w:val="right" w:pos="9026" w:leader="dot"/>
            </w:tabs>
            <w:rPr/>
          </w:pPr>
          <w:hyperlink w:anchor="__RefHeading___Toc3585873_3650668749">
            <w:r>
              <w:rPr>
                <w:webHidden/>
                <w:rStyle w:val="IndexLink"/>
                <w:rtl w:val="true"/>
              </w:rPr>
              <w:t>اشاره</w:t>
            </w:r>
            <w:r>
              <w:rPr>
                <w:rStyle w:val="IndexLink"/>
                <w:rtl w:val="true"/>
              </w:rPr>
              <w:tab/>
            </w:r>
            <w:r>
              <w:rPr>
                <w:rStyle w:val="IndexLink"/>
              </w:rPr>
              <w:t>391</w:t>
            </w:r>
          </w:hyperlink>
        </w:p>
        <w:p>
          <w:pPr>
            <w:pStyle w:val="Contents6"/>
            <w:tabs>
              <w:tab w:val="clear" w:pos="7609"/>
              <w:tab w:val="right" w:pos="9026" w:leader="dot"/>
            </w:tabs>
            <w:rPr/>
          </w:pPr>
          <w:hyperlink w:anchor="__RefHeading___Toc3585875_3650668749">
            <w:r>
              <w:rPr>
                <w:webHidden/>
                <w:rStyle w:val="IndexLink"/>
                <w:rtl w:val="true"/>
              </w:rPr>
              <w:t xml:space="preserve">اول </w:t>
            </w:r>
            <w:r>
              <w:rPr>
                <w:rStyle w:val="IndexLink"/>
                <w:rtl w:val="true"/>
              </w:rPr>
              <w:t xml:space="preserve">- </w:t>
            </w:r>
            <w:r>
              <w:rPr>
                <w:rStyle w:val="IndexLink"/>
                <w:rtl w:val="true"/>
              </w:rPr>
              <w:t>حمله</w:t>
            </w:r>
            <w:r>
              <w:rPr>
                <w:rStyle w:val="IndexLink"/>
                <w:rtl w:val="true"/>
              </w:rPr>
              <w:tab/>
            </w:r>
            <w:r>
              <w:rPr>
                <w:rStyle w:val="IndexLink"/>
              </w:rPr>
              <w:t>391</w:t>
            </w:r>
          </w:hyperlink>
        </w:p>
        <w:p>
          <w:pPr>
            <w:pStyle w:val="Contents6"/>
            <w:tabs>
              <w:tab w:val="clear" w:pos="7609"/>
              <w:tab w:val="right" w:pos="9026" w:leader="dot"/>
            </w:tabs>
            <w:rPr/>
          </w:pPr>
          <w:hyperlink w:anchor="__RefHeading___Toc3585877_3650668749">
            <w:r>
              <w:rPr>
                <w:webHidden/>
                <w:rStyle w:val="IndexLink"/>
                <w:rtl w:val="true"/>
              </w:rPr>
              <w:t xml:space="preserve">دوم </w:t>
            </w:r>
            <w:r>
              <w:rPr>
                <w:rStyle w:val="IndexLink"/>
                <w:rtl w:val="true"/>
              </w:rPr>
              <w:t xml:space="preserve">- </w:t>
            </w:r>
            <w:r>
              <w:rPr>
                <w:rStyle w:val="IndexLink"/>
                <w:rtl w:val="true"/>
              </w:rPr>
              <w:t>تعقيب و گريز</w:t>
            </w:r>
            <w:r>
              <w:rPr>
                <w:rStyle w:val="IndexLink"/>
                <w:rtl w:val="true"/>
              </w:rPr>
              <w:tab/>
            </w:r>
            <w:r>
              <w:rPr>
                <w:rStyle w:val="IndexLink"/>
              </w:rPr>
              <w:t>391</w:t>
            </w:r>
          </w:hyperlink>
        </w:p>
        <w:p>
          <w:pPr>
            <w:pStyle w:val="Contents6"/>
            <w:tabs>
              <w:tab w:val="clear" w:pos="7609"/>
              <w:tab w:val="right" w:pos="9026" w:leader="dot"/>
            </w:tabs>
            <w:rPr/>
          </w:pPr>
          <w:hyperlink w:anchor="__RefHeading___Toc3585879_3650668749">
            <w:r>
              <w:rPr>
                <w:webHidden/>
                <w:rStyle w:val="IndexLink"/>
                <w:rtl w:val="true"/>
              </w:rPr>
              <w:t xml:space="preserve">سوم </w:t>
            </w:r>
            <w:r>
              <w:rPr>
                <w:rStyle w:val="IndexLink"/>
                <w:rtl w:val="true"/>
              </w:rPr>
              <w:t xml:space="preserve">- </w:t>
            </w:r>
            <w:r>
              <w:rPr>
                <w:rStyle w:val="IndexLink"/>
                <w:rtl w:val="true"/>
              </w:rPr>
              <w:t>جمع‌آورى اطلاعات</w:t>
            </w:r>
            <w:r>
              <w:rPr>
                <w:rStyle w:val="IndexLink"/>
                <w:rtl w:val="true"/>
              </w:rPr>
              <w:tab/>
            </w:r>
            <w:r>
              <w:rPr>
                <w:rStyle w:val="IndexLink"/>
              </w:rPr>
              <w:t>392</w:t>
            </w:r>
          </w:hyperlink>
        </w:p>
        <w:p>
          <w:pPr>
            <w:pStyle w:val="Contents6"/>
            <w:tabs>
              <w:tab w:val="clear" w:pos="7609"/>
              <w:tab w:val="right" w:pos="9026" w:leader="dot"/>
            </w:tabs>
            <w:rPr/>
          </w:pPr>
          <w:hyperlink w:anchor="__RefHeading___Toc3585881_3650668749">
            <w:r>
              <w:rPr>
                <w:webHidden/>
                <w:rStyle w:val="IndexLink"/>
                <w:rtl w:val="true"/>
              </w:rPr>
              <w:t xml:space="preserve">چهارم </w:t>
            </w:r>
            <w:r>
              <w:rPr>
                <w:rStyle w:val="IndexLink"/>
                <w:rtl w:val="true"/>
              </w:rPr>
              <w:t xml:space="preserve">- </w:t>
            </w:r>
            <w:r>
              <w:rPr>
                <w:rStyle w:val="IndexLink"/>
                <w:rtl w:val="true"/>
              </w:rPr>
              <w:t>پشتيبانى</w:t>
            </w:r>
            <w:r>
              <w:rPr>
                <w:rStyle w:val="IndexLink"/>
                <w:rtl w:val="true"/>
              </w:rPr>
              <w:tab/>
            </w:r>
            <w:r>
              <w:rPr>
                <w:rStyle w:val="IndexLink"/>
              </w:rPr>
              <w:t>392</w:t>
            </w:r>
          </w:hyperlink>
        </w:p>
        <w:p>
          <w:pPr>
            <w:pStyle w:val="Contents5"/>
            <w:tabs>
              <w:tab w:val="clear" w:pos="7892"/>
              <w:tab w:val="right" w:pos="9026" w:leader="dot"/>
            </w:tabs>
            <w:rPr/>
          </w:pPr>
          <w:hyperlink w:anchor="__RefHeading___Toc3585883_3650668749">
            <w:r>
              <w:rPr>
                <w:webHidden/>
                <w:rStyle w:val="IndexLink"/>
                <w:rtl w:val="true"/>
              </w:rPr>
              <w:t xml:space="preserve">سه </w:t>
            </w:r>
            <w:r>
              <w:rPr>
                <w:rStyle w:val="IndexLink"/>
                <w:rtl w:val="true"/>
              </w:rPr>
              <w:t xml:space="preserve">- </w:t>
            </w:r>
            <w:r>
              <w:rPr>
                <w:rStyle w:val="IndexLink"/>
                <w:rtl w:val="true"/>
              </w:rPr>
              <w:t xml:space="preserve">تيراندازان </w:t>
            </w:r>
            <w:r>
              <w:rPr>
                <w:rStyle w:val="IndexLink"/>
                <w:rtl w:val="true"/>
              </w:rPr>
              <w:t>(</w:t>
            </w:r>
            <w:r>
              <w:rPr>
                <w:rStyle w:val="IndexLink"/>
                <w:rtl w:val="true"/>
              </w:rPr>
              <w:t>رُماة، نَشّابون</w:t>
            </w:r>
            <w:r>
              <w:rPr>
                <w:rStyle w:val="IndexLink"/>
                <w:rtl w:val="true"/>
              </w:rPr>
              <w:t>)</w:t>
              <w:tab/>
            </w:r>
            <w:r>
              <w:rPr>
                <w:rStyle w:val="IndexLink"/>
              </w:rPr>
              <w:t>392</w:t>
            </w:r>
          </w:hyperlink>
        </w:p>
        <w:p>
          <w:pPr>
            <w:pStyle w:val="Contents5"/>
            <w:tabs>
              <w:tab w:val="clear" w:pos="7892"/>
              <w:tab w:val="right" w:pos="9026" w:leader="dot"/>
            </w:tabs>
            <w:rPr/>
          </w:pPr>
          <w:hyperlink w:anchor="__RefHeading___Toc3585885_3650668749">
            <w:r>
              <w:rPr>
                <w:webHidden/>
                <w:rStyle w:val="IndexLink"/>
                <w:rtl w:val="true"/>
              </w:rPr>
              <w:t xml:space="preserve">چهار </w:t>
            </w:r>
            <w:r>
              <w:rPr>
                <w:rStyle w:val="IndexLink"/>
                <w:rtl w:val="true"/>
              </w:rPr>
              <w:t xml:space="preserve">- </w:t>
            </w:r>
            <w:r>
              <w:rPr>
                <w:rStyle w:val="IndexLink"/>
                <w:rtl w:val="true"/>
              </w:rPr>
              <w:t xml:space="preserve">كارگران </w:t>
            </w:r>
            <w:r>
              <w:rPr>
                <w:rStyle w:val="IndexLink"/>
                <w:rtl w:val="true"/>
              </w:rPr>
              <w:t>(</w:t>
            </w:r>
            <w:r>
              <w:rPr>
                <w:rStyle w:val="IndexLink"/>
                <w:rtl w:val="true"/>
              </w:rPr>
              <w:t>فَعَلَه</w:t>
            </w:r>
            <w:r>
              <w:rPr>
                <w:rStyle w:val="IndexLink"/>
                <w:rtl w:val="true"/>
              </w:rPr>
              <w:t>)</w:t>
              <w:tab/>
            </w:r>
            <w:r>
              <w:rPr>
                <w:rStyle w:val="IndexLink"/>
              </w:rPr>
              <w:t>393</w:t>
            </w:r>
          </w:hyperlink>
        </w:p>
        <w:p>
          <w:pPr>
            <w:pStyle w:val="Contents5"/>
            <w:tabs>
              <w:tab w:val="clear" w:pos="7892"/>
              <w:tab w:val="right" w:pos="9026" w:leader="dot"/>
            </w:tabs>
            <w:rPr/>
          </w:pPr>
          <w:hyperlink w:anchor="__RefHeading___Toc3585887_3650668749">
            <w:r>
              <w:rPr>
                <w:webHidden/>
                <w:rStyle w:val="IndexLink"/>
                <w:rtl w:val="true"/>
              </w:rPr>
              <w:t xml:space="preserve">پنج </w:t>
            </w:r>
            <w:r>
              <w:rPr>
                <w:rStyle w:val="IndexLink"/>
                <w:rtl w:val="true"/>
              </w:rPr>
              <w:t xml:space="preserve">- </w:t>
            </w:r>
            <w:r>
              <w:rPr>
                <w:rStyle w:val="IndexLink"/>
                <w:rtl w:val="true"/>
              </w:rPr>
              <w:t xml:space="preserve">واحد خدمات </w:t>
            </w:r>
            <w:r>
              <w:rPr>
                <w:rStyle w:val="IndexLink"/>
                <w:rtl w:val="true"/>
              </w:rPr>
              <w:t>(</w:t>
            </w:r>
            <w:r>
              <w:rPr>
                <w:rStyle w:val="IndexLink"/>
                <w:rtl w:val="true"/>
              </w:rPr>
              <w:t>تداركات</w:t>
            </w:r>
            <w:r>
              <w:rPr>
                <w:rStyle w:val="IndexLink"/>
                <w:rtl w:val="true"/>
              </w:rPr>
              <w:t>)</w:t>
              <w:tab/>
            </w:r>
            <w:r>
              <w:rPr>
                <w:rStyle w:val="IndexLink"/>
              </w:rPr>
              <w:t>393</w:t>
            </w:r>
          </w:hyperlink>
        </w:p>
        <w:p>
          <w:pPr>
            <w:pStyle w:val="Contents4"/>
            <w:tabs>
              <w:tab w:val="clear" w:pos="8176"/>
              <w:tab w:val="right" w:pos="9026" w:leader="dot"/>
            </w:tabs>
            <w:rPr/>
          </w:pPr>
          <w:hyperlink w:anchor="__RefHeading___Toc3585889_3650668749">
            <w:r>
              <w:rPr>
                <w:webHidden/>
                <w:rStyle w:val="IndexLink"/>
                <w:rtl w:val="true"/>
              </w:rPr>
              <w:t>م</w:t>
            </w:r>
            <w:r>
              <w:rPr>
                <w:rStyle w:val="IndexLink"/>
                <w:rtl w:val="true"/>
              </w:rPr>
              <w:t xml:space="preserve">) </w:t>
            </w:r>
            <w:r>
              <w:rPr>
                <w:rStyle w:val="IndexLink"/>
                <w:rtl w:val="true"/>
              </w:rPr>
              <w:t>مراحل جنگ</w:t>
            </w:r>
            <w:r>
              <w:rPr>
                <w:rStyle w:val="IndexLink"/>
                <w:rtl w:val="true"/>
              </w:rPr>
              <w:tab/>
            </w:r>
            <w:r>
              <w:rPr>
                <w:rStyle w:val="IndexLink"/>
              </w:rPr>
              <w:t>394</w:t>
            </w:r>
          </w:hyperlink>
        </w:p>
        <w:p>
          <w:pPr>
            <w:pStyle w:val="Contents5"/>
            <w:tabs>
              <w:tab w:val="clear" w:pos="7892"/>
              <w:tab w:val="right" w:pos="9026" w:leader="dot"/>
            </w:tabs>
            <w:rPr/>
          </w:pPr>
          <w:hyperlink w:anchor="__RefHeading___Toc3585891_3650668749">
            <w:r>
              <w:rPr>
                <w:webHidden/>
                <w:rStyle w:val="IndexLink"/>
                <w:rtl w:val="true"/>
              </w:rPr>
              <w:t>اشاره</w:t>
            </w:r>
            <w:r>
              <w:rPr>
                <w:rStyle w:val="IndexLink"/>
                <w:rtl w:val="true"/>
              </w:rPr>
              <w:tab/>
            </w:r>
            <w:r>
              <w:rPr>
                <w:rStyle w:val="IndexLink"/>
              </w:rPr>
              <w:t>394</w:t>
            </w:r>
          </w:hyperlink>
        </w:p>
        <w:p>
          <w:pPr>
            <w:pStyle w:val="Contents5"/>
            <w:tabs>
              <w:tab w:val="clear" w:pos="7892"/>
              <w:tab w:val="right" w:pos="9026" w:leader="dot"/>
            </w:tabs>
            <w:rPr/>
          </w:pPr>
          <w:hyperlink w:anchor="__RefHeading___Toc3585893_3650668749">
            <w:r>
              <w:rPr>
                <w:webHidden/>
                <w:rStyle w:val="IndexLink"/>
                <w:rtl w:val="true"/>
              </w:rPr>
              <w:t xml:space="preserve">يك </w:t>
            </w:r>
            <w:r>
              <w:rPr>
                <w:rStyle w:val="IndexLink"/>
                <w:rtl w:val="true"/>
              </w:rPr>
              <w:t xml:space="preserve">- </w:t>
            </w:r>
            <w:r>
              <w:rPr>
                <w:rStyle w:val="IndexLink"/>
                <w:rtl w:val="true"/>
              </w:rPr>
              <w:t>جمع نيرو</w:t>
            </w:r>
            <w:r>
              <w:rPr>
                <w:rStyle w:val="IndexLink"/>
                <w:rtl w:val="true"/>
              </w:rPr>
              <w:tab/>
            </w:r>
            <w:r>
              <w:rPr>
                <w:rStyle w:val="IndexLink"/>
              </w:rPr>
              <w:t>394</w:t>
            </w:r>
          </w:hyperlink>
        </w:p>
        <w:p>
          <w:pPr>
            <w:pStyle w:val="Contents5"/>
            <w:tabs>
              <w:tab w:val="clear" w:pos="7892"/>
              <w:tab w:val="right" w:pos="9026" w:leader="dot"/>
            </w:tabs>
            <w:rPr/>
          </w:pPr>
          <w:hyperlink w:anchor="__RefHeading___Toc3585895_3650668749">
            <w:r>
              <w:rPr>
                <w:webHidden/>
                <w:rStyle w:val="IndexLink"/>
                <w:rtl w:val="true"/>
              </w:rPr>
              <w:t xml:space="preserve">دو </w:t>
            </w:r>
            <w:r>
              <w:rPr>
                <w:rStyle w:val="IndexLink"/>
                <w:rtl w:val="true"/>
              </w:rPr>
              <w:t xml:space="preserve">- </w:t>
            </w:r>
            <w:r>
              <w:rPr>
                <w:rStyle w:val="IndexLink"/>
                <w:rtl w:val="true"/>
              </w:rPr>
              <w:t>حركت به سوى دشمن</w:t>
            </w:r>
            <w:r>
              <w:rPr>
                <w:rStyle w:val="IndexLink"/>
                <w:rtl w:val="true"/>
              </w:rPr>
              <w:tab/>
            </w:r>
            <w:r>
              <w:rPr>
                <w:rStyle w:val="IndexLink"/>
              </w:rPr>
              <w:t>394</w:t>
            </w:r>
          </w:hyperlink>
        </w:p>
        <w:p>
          <w:pPr>
            <w:pStyle w:val="Contents5"/>
            <w:tabs>
              <w:tab w:val="clear" w:pos="7892"/>
              <w:tab w:val="right" w:pos="9026" w:leader="dot"/>
            </w:tabs>
            <w:rPr/>
          </w:pPr>
          <w:hyperlink w:anchor="__RefHeading___Toc3585897_3650668749">
            <w:r>
              <w:rPr>
                <w:webHidden/>
                <w:rStyle w:val="IndexLink"/>
                <w:rtl w:val="true"/>
              </w:rPr>
              <w:t xml:space="preserve">سه </w:t>
            </w:r>
            <w:r>
              <w:rPr>
                <w:rStyle w:val="IndexLink"/>
                <w:rtl w:val="true"/>
              </w:rPr>
              <w:t xml:space="preserve">- </w:t>
            </w:r>
            <w:r>
              <w:rPr>
                <w:rStyle w:val="IndexLink"/>
                <w:rtl w:val="true"/>
              </w:rPr>
              <w:t>استقرار در لشكرگاه</w:t>
            </w:r>
            <w:r>
              <w:rPr>
                <w:rStyle w:val="IndexLink"/>
                <w:rtl w:val="true"/>
              </w:rPr>
              <w:tab/>
            </w:r>
            <w:r>
              <w:rPr>
                <w:rStyle w:val="IndexLink"/>
              </w:rPr>
              <w:t>396</w:t>
            </w:r>
          </w:hyperlink>
        </w:p>
        <w:p>
          <w:pPr>
            <w:pStyle w:val="Contents5"/>
            <w:tabs>
              <w:tab w:val="clear" w:pos="7892"/>
              <w:tab w:val="right" w:pos="9026" w:leader="dot"/>
            </w:tabs>
            <w:rPr/>
          </w:pPr>
          <w:hyperlink w:anchor="__RefHeading___Toc3585899_3650668749">
            <w:r>
              <w:rPr>
                <w:webHidden/>
                <w:rStyle w:val="IndexLink"/>
                <w:rtl w:val="true"/>
              </w:rPr>
              <w:t xml:space="preserve">چهار </w:t>
            </w:r>
            <w:r>
              <w:rPr>
                <w:rStyle w:val="IndexLink"/>
                <w:rtl w:val="true"/>
              </w:rPr>
              <w:t xml:space="preserve">- </w:t>
            </w:r>
            <w:r>
              <w:rPr>
                <w:rStyle w:val="IndexLink"/>
                <w:rtl w:val="true"/>
              </w:rPr>
              <w:t>آمادگى‌هاى قبل از جنگ</w:t>
            </w:r>
            <w:r>
              <w:rPr>
                <w:rStyle w:val="IndexLink"/>
                <w:rtl w:val="true"/>
              </w:rPr>
              <w:tab/>
            </w:r>
            <w:r>
              <w:rPr>
                <w:rStyle w:val="IndexLink"/>
              </w:rPr>
              <w:t>397</w:t>
            </w:r>
          </w:hyperlink>
        </w:p>
        <w:p>
          <w:pPr>
            <w:pStyle w:val="Contents5"/>
            <w:tabs>
              <w:tab w:val="clear" w:pos="7892"/>
              <w:tab w:val="right" w:pos="9026" w:leader="dot"/>
            </w:tabs>
            <w:rPr/>
          </w:pPr>
          <w:hyperlink w:anchor="__RefHeading___Toc3585901_3650668749">
            <w:r>
              <w:rPr>
                <w:webHidden/>
                <w:rStyle w:val="IndexLink"/>
                <w:rtl w:val="true"/>
              </w:rPr>
              <w:t xml:space="preserve">پنج </w:t>
            </w:r>
            <w:r>
              <w:rPr>
                <w:rStyle w:val="IndexLink"/>
                <w:rtl w:val="true"/>
              </w:rPr>
              <w:t xml:space="preserve">- </w:t>
            </w:r>
            <w:r>
              <w:rPr>
                <w:rStyle w:val="IndexLink"/>
                <w:rtl w:val="true"/>
              </w:rPr>
              <w:t>شروع جنگ</w:t>
            </w:r>
            <w:r>
              <w:rPr>
                <w:rStyle w:val="IndexLink"/>
                <w:rtl w:val="true"/>
              </w:rPr>
              <w:tab/>
            </w:r>
            <w:r>
              <w:rPr>
                <w:rStyle w:val="IndexLink"/>
              </w:rPr>
              <w:t>398</w:t>
            </w:r>
          </w:hyperlink>
        </w:p>
        <w:p>
          <w:pPr>
            <w:pStyle w:val="Contents5"/>
            <w:tabs>
              <w:tab w:val="clear" w:pos="7892"/>
              <w:tab w:val="right" w:pos="9026" w:leader="dot"/>
            </w:tabs>
            <w:rPr/>
          </w:pPr>
          <w:hyperlink w:anchor="__RefHeading___Toc3585903_3650668749">
            <w:r>
              <w:rPr>
                <w:webHidden/>
                <w:rStyle w:val="IndexLink"/>
                <w:rtl w:val="true"/>
              </w:rPr>
              <w:t xml:space="preserve">شش </w:t>
            </w:r>
            <w:r>
              <w:rPr>
                <w:rStyle w:val="IndexLink"/>
                <w:rtl w:val="true"/>
              </w:rPr>
              <w:t xml:space="preserve">- </w:t>
            </w:r>
            <w:r>
              <w:rPr>
                <w:rStyle w:val="IndexLink"/>
                <w:rtl w:val="true"/>
              </w:rPr>
              <w:t>تدابير دفاعى</w:t>
            </w:r>
            <w:r>
              <w:rPr>
                <w:rStyle w:val="IndexLink"/>
                <w:rtl w:val="true"/>
              </w:rPr>
              <w:tab/>
            </w:r>
            <w:r>
              <w:rPr>
                <w:rStyle w:val="IndexLink"/>
              </w:rPr>
              <w:t>399</w:t>
            </w:r>
          </w:hyperlink>
        </w:p>
        <w:p>
          <w:pPr>
            <w:pStyle w:val="Contents4"/>
            <w:tabs>
              <w:tab w:val="clear" w:pos="8176"/>
              <w:tab w:val="right" w:pos="9026" w:leader="dot"/>
            </w:tabs>
            <w:rPr/>
          </w:pPr>
          <w:hyperlink w:anchor="__RefHeading___Toc3585905_3650668749">
            <w:r>
              <w:rPr>
                <w:webHidden/>
                <w:rStyle w:val="IndexLink"/>
                <w:rtl w:val="true"/>
              </w:rPr>
              <w:t>ن</w:t>
            </w:r>
            <w:r>
              <w:rPr>
                <w:rStyle w:val="IndexLink"/>
                <w:rtl w:val="true"/>
              </w:rPr>
              <w:t xml:space="preserve">) </w:t>
            </w:r>
            <w:r>
              <w:rPr>
                <w:rStyle w:val="IndexLink"/>
                <w:rtl w:val="true"/>
              </w:rPr>
              <w:t>درجات نظامى سپاه اسلام</w:t>
            </w:r>
            <w:r>
              <w:rPr>
                <w:rStyle w:val="IndexLink"/>
                <w:rtl w:val="true"/>
              </w:rPr>
              <w:tab/>
            </w:r>
            <w:r>
              <w:rPr>
                <w:rStyle w:val="IndexLink"/>
              </w:rPr>
              <w:t>400</w:t>
            </w:r>
          </w:hyperlink>
        </w:p>
        <w:p>
          <w:pPr>
            <w:pStyle w:val="Contents5"/>
            <w:tabs>
              <w:tab w:val="clear" w:pos="7892"/>
              <w:tab w:val="right" w:pos="9026" w:leader="dot"/>
            </w:tabs>
            <w:rPr/>
          </w:pPr>
          <w:hyperlink w:anchor="__RefHeading___Toc3585907_3650668749">
            <w:r>
              <w:rPr>
                <w:webHidden/>
                <w:rStyle w:val="IndexLink"/>
                <w:rtl w:val="true"/>
              </w:rPr>
              <w:t>اشاره</w:t>
            </w:r>
            <w:r>
              <w:rPr>
                <w:rStyle w:val="IndexLink"/>
                <w:rtl w:val="true"/>
              </w:rPr>
              <w:tab/>
            </w:r>
            <w:r>
              <w:rPr>
                <w:rStyle w:val="IndexLink"/>
              </w:rPr>
              <w:t>400</w:t>
            </w:r>
          </w:hyperlink>
        </w:p>
        <w:p>
          <w:pPr>
            <w:pStyle w:val="Contents5"/>
            <w:tabs>
              <w:tab w:val="clear" w:pos="7892"/>
              <w:tab w:val="right" w:pos="9026" w:leader="dot"/>
            </w:tabs>
            <w:rPr/>
          </w:pPr>
          <w:hyperlink w:anchor="__RefHeading___Toc3585909_3650668749">
            <w:r>
              <w:rPr>
                <w:webHidden/>
                <w:rStyle w:val="IndexLink"/>
                <w:rtl w:val="true"/>
              </w:rPr>
              <w:t xml:space="preserve">يك </w:t>
            </w:r>
            <w:r>
              <w:rPr>
                <w:rStyle w:val="IndexLink"/>
                <w:rtl w:val="true"/>
              </w:rPr>
              <w:t xml:space="preserve">- </w:t>
            </w:r>
            <w:r>
              <w:rPr>
                <w:rStyle w:val="IndexLink"/>
                <w:rtl w:val="true"/>
              </w:rPr>
              <w:t>درجات نظامى سپاه اسلام</w:t>
            </w:r>
            <w:r>
              <w:rPr>
                <w:rStyle w:val="IndexLink"/>
                <w:rtl w:val="true"/>
              </w:rPr>
              <w:tab/>
            </w:r>
            <w:r>
              <w:rPr>
                <w:rStyle w:val="IndexLink"/>
              </w:rPr>
              <w:t>400</w:t>
            </w:r>
          </w:hyperlink>
        </w:p>
        <w:p>
          <w:pPr>
            <w:pStyle w:val="Contents6"/>
            <w:tabs>
              <w:tab w:val="clear" w:pos="7609"/>
              <w:tab w:val="right" w:pos="9026" w:leader="dot"/>
            </w:tabs>
            <w:rPr/>
          </w:pPr>
          <w:hyperlink w:anchor="__RefHeading___Toc3585911_3650668749">
            <w:r>
              <w:rPr>
                <w:webHidden/>
                <w:rStyle w:val="IndexLink"/>
                <w:rtl w:val="true"/>
              </w:rPr>
              <w:t>اشاره</w:t>
            </w:r>
            <w:r>
              <w:rPr>
                <w:rStyle w:val="IndexLink"/>
                <w:rtl w:val="true"/>
              </w:rPr>
              <w:tab/>
            </w:r>
            <w:r>
              <w:rPr>
                <w:rStyle w:val="IndexLink"/>
              </w:rPr>
              <w:t>400</w:t>
            </w:r>
          </w:hyperlink>
        </w:p>
        <w:p>
          <w:pPr>
            <w:pStyle w:val="Contents6"/>
            <w:tabs>
              <w:tab w:val="clear" w:pos="7609"/>
              <w:tab w:val="right" w:pos="9026" w:leader="dot"/>
            </w:tabs>
            <w:rPr/>
          </w:pPr>
          <w:hyperlink w:anchor="__RefHeading___Toc3585913_3650668749">
            <w:r>
              <w:rPr>
                <w:webHidden/>
                <w:rStyle w:val="IndexLink"/>
                <w:rtl w:val="true"/>
              </w:rPr>
              <w:t xml:space="preserve">اول </w:t>
            </w:r>
            <w:r>
              <w:rPr>
                <w:rStyle w:val="IndexLink"/>
                <w:rtl w:val="true"/>
              </w:rPr>
              <w:t xml:space="preserve">- </w:t>
            </w:r>
            <w:r>
              <w:rPr>
                <w:rStyle w:val="IndexLink"/>
                <w:rtl w:val="true"/>
              </w:rPr>
              <w:t xml:space="preserve">فرمانده كل سپاه </w:t>
            </w:r>
            <w:r>
              <w:rPr>
                <w:rStyle w:val="IndexLink"/>
                <w:rtl w:val="true"/>
              </w:rPr>
              <w:t>(</w:t>
            </w:r>
            <w:r>
              <w:rPr>
                <w:rStyle w:val="IndexLink"/>
                <w:rtl w:val="true"/>
              </w:rPr>
              <w:t>امير الجيش</w:t>
            </w:r>
            <w:r>
              <w:rPr>
                <w:rStyle w:val="IndexLink"/>
                <w:rtl w:val="true"/>
              </w:rPr>
              <w:t>)</w:t>
              <w:tab/>
            </w:r>
            <w:r>
              <w:rPr>
                <w:rStyle w:val="IndexLink"/>
              </w:rPr>
              <w:t>400</w:t>
            </w:r>
          </w:hyperlink>
        </w:p>
        <w:p>
          <w:pPr>
            <w:pStyle w:val="Contents6"/>
            <w:tabs>
              <w:tab w:val="clear" w:pos="7609"/>
              <w:tab w:val="right" w:pos="9026" w:leader="dot"/>
            </w:tabs>
            <w:rPr/>
          </w:pPr>
          <w:hyperlink w:anchor="__RefHeading___Toc3585915_3650668749">
            <w:r>
              <w:rPr>
                <w:webHidden/>
                <w:rStyle w:val="IndexLink"/>
                <w:rtl w:val="true"/>
              </w:rPr>
              <w:t xml:space="preserve">دوم </w:t>
            </w:r>
            <w:r>
              <w:rPr>
                <w:rStyle w:val="IndexLink"/>
                <w:rtl w:val="true"/>
              </w:rPr>
              <w:t xml:space="preserve">- </w:t>
            </w:r>
            <w:r>
              <w:rPr>
                <w:rStyle w:val="IndexLink"/>
                <w:rtl w:val="true"/>
              </w:rPr>
              <w:t xml:space="preserve">فرماندهان واحدهاى اصلى </w:t>
            </w:r>
            <w:r>
              <w:rPr>
                <w:rStyle w:val="IndexLink"/>
                <w:rtl w:val="true"/>
              </w:rPr>
              <w:t>(</w:t>
            </w:r>
            <w:r>
              <w:rPr>
                <w:rStyle w:val="IndexLink"/>
                <w:rtl w:val="true"/>
              </w:rPr>
              <w:t>اُمَراء التعبيه</w:t>
            </w:r>
            <w:r>
              <w:rPr>
                <w:rStyle w:val="IndexLink"/>
                <w:rtl w:val="true"/>
              </w:rPr>
              <w:t>)</w:t>
              <w:tab/>
            </w:r>
            <w:r>
              <w:rPr>
                <w:rStyle w:val="IndexLink"/>
              </w:rPr>
              <w:t>400</w:t>
            </w:r>
          </w:hyperlink>
        </w:p>
        <w:p>
          <w:pPr>
            <w:pStyle w:val="Contents6"/>
            <w:tabs>
              <w:tab w:val="clear" w:pos="7609"/>
              <w:tab w:val="right" w:pos="9026" w:leader="dot"/>
            </w:tabs>
            <w:rPr/>
          </w:pPr>
          <w:hyperlink w:anchor="__RefHeading___Toc3585917_3650668749">
            <w:r>
              <w:rPr>
                <w:webHidden/>
                <w:rStyle w:val="IndexLink"/>
                <w:rtl w:val="true"/>
              </w:rPr>
              <w:t xml:space="preserve">سوم </w:t>
            </w:r>
            <w:r>
              <w:rPr>
                <w:rStyle w:val="IndexLink"/>
                <w:rtl w:val="true"/>
              </w:rPr>
              <w:t xml:space="preserve">- </w:t>
            </w:r>
            <w:r>
              <w:rPr>
                <w:rStyle w:val="IndexLink"/>
                <w:rtl w:val="true"/>
              </w:rPr>
              <w:t xml:space="preserve">فرمانده گردان </w:t>
            </w:r>
            <w:r>
              <w:rPr>
                <w:rStyle w:val="IndexLink"/>
                <w:rtl w:val="true"/>
              </w:rPr>
              <w:t>(</w:t>
            </w:r>
            <w:r>
              <w:rPr>
                <w:rStyle w:val="IndexLink"/>
                <w:rtl w:val="true"/>
              </w:rPr>
              <w:t>امير الكُرْدُوس</w:t>
            </w:r>
            <w:r>
              <w:rPr>
                <w:rStyle w:val="IndexLink"/>
                <w:rtl w:val="true"/>
              </w:rPr>
              <w:t>)</w:t>
              <w:tab/>
            </w:r>
            <w:r>
              <w:rPr>
                <w:rStyle w:val="IndexLink"/>
              </w:rPr>
              <w:t>400</w:t>
            </w:r>
          </w:hyperlink>
        </w:p>
        <w:p>
          <w:pPr>
            <w:pStyle w:val="Contents6"/>
            <w:tabs>
              <w:tab w:val="clear" w:pos="7609"/>
              <w:tab w:val="right" w:pos="9026" w:leader="dot"/>
            </w:tabs>
            <w:rPr/>
          </w:pPr>
          <w:hyperlink w:anchor="__RefHeading___Toc3585919_3650668749">
            <w:r>
              <w:rPr>
                <w:webHidden/>
                <w:rStyle w:val="IndexLink"/>
                <w:rtl w:val="true"/>
              </w:rPr>
              <w:t xml:space="preserve">چهارم </w:t>
            </w:r>
            <w:r>
              <w:rPr>
                <w:rStyle w:val="IndexLink"/>
                <w:rtl w:val="true"/>
              </w:rPr>
              <w:t xml:space="preserve">- </w:t>
            </w:r>
            <w:r>
              <w:rPr>
                <w:rStyle w:val="IndexLink"/>
                <w:rtl w:val="true"/>
              </w:rPr>
              <w:t>قائد</w:t>
            </w:r>
            <w:r>
              <w:rPr>
                <w:rStyle w:val="IndexLink"/>
                <w:rtl w:val="true"/>
              </w:rPr>
              <w:tab/>
            </w:r>
            <w:r>
              <w:rPr>
                <w:rStyle w:val="IndexLink"/>
              </w:rPr>
              <w:t>400</w:t>
            </w:r>
          </w:hyperlink>
        </w:p>
        <w:p>
          <w:pPr>
            <w:pStyle w:val="Contents6"/>
            <w:tabs>
              <w:tab w:val="clear" w:pos="7609"/>
              <w:tab w:val="right" w:pos="9026" w:leader="dot"/>
            </w:tabs>
            <w:rPr/>
          </w:pPr>
          <w:hyperlink w:anchor="__RefHeading___Toc3585921_3650668749">
            <w:r>
              <w:rPr>
                <w:webHidden/>
                <w:rStyle w:val="IndexLink"/>
                <w:rtl w:val="true"/>
              </w:rPr>
              <w:t xml:space="preserve">پنجم </w:t>
            </w:r>
            <w:r>
              <w:rPr>
                <w:rStyle w:val="IndexLink"/>
                <w:rtl w:val="true"/>
              </w:rPr>
              <w:t>-</w:t>
            </w:r>
            <w:r>
              <w:rPr>
                <w:rStyle w:val="IndexLink"/>
                <w:rtl w:val="true"/>
              </w:rPr>
              <w:t>خليفه</w:t>
            </w:r>
            <w:r>
              <w:rPr>
                <w:rStyle w:val="IndexLink"/>
                <w:rtl w:val="true"/>
              </w:rPr>
              <w:tab/>
            </w:r>
            <w:r>
              <w:rPr>
                <w:rStyle w:val="IndexLink"/>
              </w:rPr>
              <w:t>400</w:t>
            </w:r>
          </w:hyperlink>
        </w:p>
        <w:p>
          <w:pPr>
            <w:pStyle w:val="Contents6"/>
            <w:tabs>
              <w:tab w:val="clear" w:pos="7609"/>
              <w:tab w:val="right" w:pos="9026" w:leader="dot"/>
            </w:tabs>
            <w:rPr/>
          </w:pPr>
          <w:hyperlink w:anchor="__RefHeading___Toc3585923_3650668749">
            <w:r>
              <w:rPr>
                <w:webHidden/>
                <w:rStyle w:val="IndexLink"/>
                <w:rtl w:val="true"/>
              </w:rPr>
              <w:t xml:space="preserve">ششم </w:t>
            </w:r>
            <w:r>
              <w:rPr>
                <w:rStyle w:val="IndexLink"/>
                <w:rtl w:val="true"/>
              </w:rPr>
              <w:t xml:space="preserve">- </w:t>
            </w:r>
            <w:r>
              <w:rPr>
                <w:rStyle w:val="IndexLink"/>
                <w:rtl w:val="true"/>
              </w:rPr>
              <w:t>عريف</w:t>
            </w:r>
            <w:r>
              <w:rPr>
                <w:rStyle w:val="IndexLink"/>
                <w:rtl w:val="true"/>
              </w:rPr>
              <w:tab/>
            </w:r>
            <w:r>
              <w:rPr>
                <w:rStyle w:val="IndexLink"/>
              </w:rPr>
              <w:t>401</w:t>
            </w:r>
          </w:hyperlink>
        </w:p>
        <w:p>
          <w:pPr>
            <w:pStyle w:val="Contents5"/>
            <w:tabs>
              <w:tab w:val="clear" w:pos="7892"/>
              <w:tab w:val="right" w:pos="9026" w:leader="dot"/>
            </w:tabs>
            <w:rPr/>
          </w:pPr>
          <w:hyperlink w:anchor="__RefHeading___Toc3585925_3650668749">
            <w:r>
              <w:rPr>
                <w:webHidden/>
                <w:rStyle w:val="IndexLink"/>
                <w:rtl w:val="true"/>
              </w:rPr>
              <w:t xml:space="preserve">دو </w:t>
            </w:r>
            <w:r>
              <w:rPr>
                <w:rStyle w:val="IndexLink"/>
                <w:rtl w:val="true"/>
              </w:rPr>
              <w:t xml:space="preserve">- </w:t>
            </w:r>
            <w:r>
              <w:rPr>
                <w:rStyle w:val="IndexLink"/>
                <w:rtl w:val="true"/>
              </w:rPr>
              <w:t>درجات نظامى ايرانيان</w:t>
            </w:r>
            <w:r>
              <w:rPr>
                <w:rStyle w:val="IndexLink"/>
                <w:rtl w:val="true"/>
              </w:rPr>
              <w:tab/>
            </w:r>
            <w:r>
              <w:rPr>
                <w:rStyle w:val="IndexLink"/>
              </w:rPr>
              <w:t>401</w:t>
            </w:r>
          </w:hyperlink>
        </w:p>
        <w:p>
          <w:pPr>
            <w:pStyle w:val="Contents5"/>
            <w:tabs>
              <w:tab w:val="clear" w:pos="7892"/>
              <w:tab w:val="right" w:pos="9026" w:leader="dot"/>
            </w:tabs>
            <w:rPr/>
          </w:pPr>
          <w:hyperlink w:anchor="__RefHeading___Toc3585927_3650668749">
            <w:r>
              <w:rPr>
                <w:webHidden/>
                <w:rStyle w:val="IndexLink"/>
                <w:rtl w:val="true"/>
              </w:rPr>
              <w:t xml:space="preserve">سه </w:t>
            </w:r>
            <w:r>
              <w:rPr>
                <w:rStyle w:val="IndexLink"/>
                <w:rtl w:val="true"/>
              </w:rPr>
              <w:t xml:space="preserve">- </w:t>
            </w:r>
            <w:r>
              <w:rPr>
                <w:rStyle w:val="IndexLink"/>
                <w:rtl w:val="true"/>
              </w:rPr>
              <w:t>درجات نظامى روم</w:t>
            </w:r>
            <w:r>
              <w:rPr>
                <w:rStyle w:val="IndexLink"/>
                <w:rtl w:val="true"/>
              </w:rPr>
              <w:tab/>
            </w:r>
            <w:r>
              <w:rPr>
                <w:rStyle w:val="IndexLink"/>
              </w:rPr>
              <w:t>402</w:t>
            </w:r>
          </w:hyperlink>
        </w:p>
        <w:p>
          <w:pPr>
            <w:pStyle w:val="Contents6"/>
            <w:tabs>
              <w:tab w:val="clear" w:pos="7609"/>
              <w:tab w:val="right" w:pos="9026" w:leader="dot"/>
            </w:tabs>
            <w:rPr/>
          </w:pPr>
          <w:hyperlink w:anchor="__RefHeading___Toc3585929_3650668749">
            <w:r>
              <w:rPr>
                <w:webHidden/>
                <w:rStyle w:val="IndexLink"/>
                <w:rtl w:val="true"/>
              </w:rPr>
              <w:t>اشاره</w:t>
            </w:r>
            <w:r>
              <w:rPr>
                <w:rStyle w:val="IndexLink"/>
                <w:rtl w:val="true"/>
              </w:rPr>
              <w:tab/>
            </w:r>
            <w:r>
              <w:rPr>
                <w:rStyle w:val="IndexLink"/>
              </w:rPr>
              <w:t>402</w:t>
            </w:r>
          </w:hyperlink>
        </w:p>
        <w:p>
          <w:pPr>
            <w:pStyle w:val="Contents6"/>
            <w:tabs>
              <w:tab w:val="clear" w:pos="7609"/>
              <w:tab w:val="right" w:pos="9026" w:leader="dot"/>
            </w:tabs>
            <w:rPr/>
          </w:pPr>
          <w:hyperlink w:anchor="__RefHeading___Toc3585931_3650668749">
            <w:r>
              <w:rPr>
                <w:webHidden/>
                <w:rStyle w:val="IndexLink"/>
                <w:rtl w:val="true"/>
              </w:rPr>
              <w:t xml:space="preserve">اول </w:t>
            </w:r>
            <w:r>
              <w:rPr>
                <w:rStyle w:val="IndexLink"/>
                <w:rtl w:val="true"/>
              </w:rPr>
              <w:t xml:space="preserve">- </w:t>
            </w:r>
            <w:r>
              <w:rPr>
                <w:rStyle w:val="IndexLink"/>
                <w:rtl w:val="true"/>
              </w:rPr>
              <w:t>بِطْريق</w:t>
            </w:r>
            <w:r>
              <w:rPr>
                <w:rStyle w:val="IndexLink"/>
                <w:rtl w:val="true"/>
              </w:rPr>
              <w:tab/>
            </w:r>
            <w:r>
              <w:rPr>
                <w:rStyle w:val="IndexLink"/>
              </w:rPr>
              <w:t>402</w:t>
            </w:r>
          </w:hyperlink>
        </w:p>
        <w:p>
          <w:pPr>
            <w:pStyle w:val="Contents6"/>
            <w:tabs>
              <w:tab w:val="clear" w:pos="7609"/>
              <w:tab w:val="right" w:pos="9026" w:leader="dot"/>
            </w:tabs>
            <w:rPr/>
          </w:pPr>
          <w:hyperlink w:anchor="__RefHeading___Toc3585933_3650668749">
            <w:r>
              <w:rPr>
                <w:webHidden/>
                <w:rStyle w:val="IndexLink"/>
                <w:rtl w:val="true"/>
              </w:rPr>
              <w:t xml:space="preserve">دوم </w:t>
            </w:r>
            <w:r>
              <w:rPr>
                <w:rStyle w:val="IndexLink"/>
                <w:rtl w:val="true"/>
              </w:rPr>
              <w:t xml:space="preserve">- </w:t>
            </w:r>
            <w:r>
              <w:rPr>
                <w:rStyle w:val="IndexLink"/>
                <w:rtl w:val="true"/>
              </w:rPr>
              <w:t>طُومْرُخ</w:t>
            </w:r>
            <w:r>
              <w:rPr>
                <w:rStyle w:val="IndexLink"/>
                <w:rtl w:val="true"/>
              </w:rPr>
              <w:tab/>
            </w:r>
            <w:r>
              <w:rPr>
                <w:rStyle w:val="IndexLink"/>
              </w:rPr>
              <w:t>402</w:t>
            </w:r>
          </w:hyperlink>
        </w:p>
        <w:p>
          <w:pPr>
            <w:pStyle w:val="Contents6"/>
            <w:tabs>
              <w:tab w:val="clear" w:pos="7609"/>
              <w:tab w:val="right" w:pos="9026" w:leader="dot"/>
            </w:tabs>
            <w:rPr/>
          </w:pPr>
          <w:hyperlink w:anchor="__RefHeading___Toc3585935_3650668749">
            <w:r>
              <w:rPr>
                <w:webHidden/>
                <w:rStyle w:val="IndexLink"/>
                <w:rtl w:val="true"/>
              </w:rPr>
              <w:t xml:space="preserve">سوم </w:t>
            </w:r>
            <w:r>
              <w:rPr>
                <w:rStyle w:val="IndexLink"/>
                <w:rtl w:val="true"/>
              </w:rPr>
              <w:t xml:space="preserve">- </w:t>
            </w:r>
            <w:r>
              <w:rPr>
                <w:rStyle w:val="IndexLink"/>
                <w:rtl w:val="true"/>
              </w:rPr>
              <w:t>طُرَنْجار</w:t>
            </w:r>
            <w:r>
              <w:rPr>
                <w:rStyle w:val="IndexLink"/>
                <w:rtl w:val="true"/>
              </w:rPr>
              <w:tab/>
            </w:r>
            <w:r>
              <w:rPr>
                <w:rStyle w:val="IndexLink"/>
              </w:rPr>
              <w:t>402</w:t>
            </w:r>
          </w:hyperlink>
        </w:p>
        <w:p>
          <w:pPr>
            <w:pStyle w:val="Contents6"/>
            <w:tabs>
              <w:tab w:val="clear" w:pos="7609"/>
              <w:tab w:val="right" w:pos="9026" w:leader="dot"/>
            </w:tabs>
            <w:rPr/>
          </w:pPr>
          <w:hyperlink w:anchor="__RefHeading___Toc3585937_3650668749">
            <w:r>
              <w:rPr>
                <w:webHidden/>
                <w:rStyle w:val="IndexLink"/>
                <w:rtl w:val="true"/>
              </w:rPr>
              <w:t xml:space="preserve">چهارم </w:t>
            </w:r>
            <w:r>
              <w:rPr>
                <w:rStyle w:val="IndexLink"/>
                <w:rtl w:val="true"/>
              </w:rPr>
              <w:t xml:space="preserve">- </w:t>
            </w:r>
            <w:r>
              <w:rPr>
                <w:rStyle w:val="IndexLink"/>
                <w:rtl w:val="true"/>
              </w:rPr>
              <w:t>قُومِسْ</w:t>
            </w:r>
            <w:r>
              <w:rPr>
                <w:rStyle w:val="IndexLink"/>
                <w:rtl w:val="true"/>
              </w:rPr>
              <w:tab/>
            </w:r>
            <w:r>
              <w:rPr>
                <w:rStyle w:val="IndexLink"/>
              </w:rPr>
              <w:t>402</w:t>
            </w:r>
          </w:hyperlink>
        </w:p>
        <w:p>
          <w:pPr>
            <w:pStyle w:val="Contents6"/>
            <w:tabs>
              <w:tab w:val="clear" w:pos="7609"/>
              <w:tab w:val="right" w:pos="9026" w:leader="dot"/>
            </w:tabs>
            <w:rPr/>
          </w:pPr>
          <w:hyperlink w:anchor="__RefHeading___Toc3585939_3650668749">
            <w:r>
              <w:rPr>
                <w:webHidden/>
                <w:rStyle w:val="IndexLink"/>
                <w:rtl w:val="true"/>
              </w:rPr>
              <w:t xml:space="preserve">پنجم </w:t>
            </w:r>
            <w:r>
              <w:rPr>
                <w:rStyle w:val="IndexLink"/>
                <w:rtl w:val="true"/>
              </w:rPr>
              <w:t xml:space="preserve">- </w:t>
            </w:r>
            <w:r>
              <w:rPr>
                <w:rStyle w:val="IndexLink"/>
                <w:rtl w:val="true"/>
              </w:rPr>
              <w:t>قَمْطَرُخ</w:t>
            </w:r>
            <w:r>
              <w:rPr>
                <w:rStyle w:val="IndexLink"/>
                <w:rtl w:val="true"/>
              </w:rPr>
              <w:tab/>
            </w:r>
            <w:r>
              <w:rPr>
                <w:rStyle w:val="IndexLink"/>
              </w:rPr>
              <w:t>402</w:t>
            </w:r>
          </w:hyperlink>
        </w:p>
        <w:p>
          <w:pPr>
            <w:pStyle w:val="Contents6"/>
            <w:tabs>
              <w:tab w:val="clear" w:pos="7609"/>
              <w:tab w:val="right" w:pos="9026" w:leader="dot"/>
            </w:tabs>
            <w:rPr/>
          </w:pPr>
          <w:hyperlink w:anchor="__RefHeading___Toc3585941_3650668749">
            <w:r>
              <w:rPr>
                <w:webHidden/>
                <w:rStyle w:val="IndexLink"/>
                <w:rtl w:val="true"/>
              </w:rPr>
              <w:t xml:space="preserve">ششم </w:t>
            </w:r>
            <w:r>
              <w:rPr>
                <w:rStyle w:val="IndexLink"/>
                <w:rtl w:val="true"/>
              </w:rPr>
              <w:t xml:space="preserve">- </w:t>
            </w:r>
            <w:r>
              <w:rPr>
                <w:rStyle w:val="IndexLink"/>
                <w:rtl w:val="true"/>
              </w:rPr>
              <w:t>داقْرُخ</w:t>
            </w:r>
            <w:r>
              <w:rPr>
                <w:rStyle w:val="IndexLink"/>
                <w:rtl w:val="true"/>
              </w:rPr>
              <w:tab/>
            </w:r>
            <w:r>
              <w:rPr>
                <w:rStyle w:val="IndexLink"/>
              </w:rPr>
              <w:t>402</w:t>
            </w:r>
          </w:hyperlink>
        </w:p>
        <w:p>
          <w:pPr>
            <w:pStyle w:val="Contents4"/>
            <w:tabs>
              <w:tab w:val="clear" w:pos="8176"/>
              <w:tab w:val="right" w:pos="9026" w:leader="dot"/>
            </w:tabs>
            <w:rPr/>
          </w:pPr>
          <w:hyperlink w:anchor="__RefHeading___Toc3585943_3650668749">
            <w:r>
              <w:rPr>
                <w:webHidden/>
                <w:rStyle w:val="IndexLink"/>
                <w:rtl w:val="true"/>
              </w:rPr>
              <w:t>س</w:t>
            </w:r>
            <w:r>
              <w:rPr>
                <w:rStyle w:val="IndexLink"/>
                <w:rtl w:val="true"/>
              </w:rPr>
              <w:t xml:space="preserve">) </w:t>
            </w:r>
            <w:r>
              <w:rPr>
                <w:rStyle w:val="IndexLink"/>
                <w:rtl w:val="true"/>
              </w:rPr>
              <w:t>آرايش جنگى</w:t>
            </w:r>
            <w:r>
              <w:rPr>
                <w:rStyle w:val="IndexLink"/>
                <w:rtl w:val="true"/>
              </w:rPr>
              <w:tab/>
            </w:r>
            <w:r>
              <w:rPr>
                <w:rStyle w:val="IndexLink"/>
              </w:rPr>
              <w:t>402</w:t>
            </w:r>
          </w:hyperlink>
        </w:p>
        <w:p>
          <w:pPr>
            <w:pStyle w:val="Contents5"/>
            <w:tabs>
              <w:tab w:val="clear" w:pos="7892"/>
              <w:tab w:val="right" w:pos="9026" w:leader="dot"/>
            </w:tabs>
            <w:rPr/>
          </w:pPr>
          <w:hyperlink w:anchor="__RefHeading___Toc3585945_3650668749">
            <w:r>
              <w:rPr>
                <w:webHidden/>
                <w:rStyle w:val="IndexLink"/>
                <w:rtl w:val="true"/>
              </w:rPr>
              <w:t>اشاره</w:t>
            </w:r>
            <w:r>
              <w:rPr>
                <w:rStyle w:val="IndexLink"/>
                <w:rtl w:val="true"/>
              </w:rPr>
              <w:tab/>
            </w:r>
            <w:r>
              <w:rPr>
                <w:rStyle w:val="IndexLink"/>
              </w:rPr>
              <w:t>402</w:t>
            </w:r>
          </w:hyperlink>
        </w:p>
        <w:p>
          <w:pPr>
            <w:pStyle w:val="Contents5"/>
            <w:tabs>
              <w:tab w:val="clear" w:pos="7892"/>
              <w:tab w:val="right" w:pos="9026" w:leader="dot"/>
            </w:tabs>
            <w:rPr/>
          </w:pPr>
          <w:hyperlink w:anchor="__RefHeading___Toc3585947_3650668749">
            <w:r>
              <w:rPr>
                <w:webHidden/>
                <w:rStyle w:val="IndexLink"/>
                <w:rtl w:val="true"/>
              </w:rPr>
              <w:t xml:space="preserve">يك </w:t>
            </w:r>
            <w:r>
              <w:rPr>
                <w:rStyle w:val="IndexLink"/>
                <w:rtl w:val="true"/>
              </w:rPr>
              <w:t xml:space="preserve">- </w:t>
            </w:r>
            <w:r>
              <w:rPr>
                <w:rStyle w:val="IndexLink"/>
                <w:rtl w:val="true"/>
              </w:rPr>
              <w:t xml:space="preserve">نظام كَرّ و فَرّ </w:t>
            </w:r>
            <w:r>
              <w:rPr>
                <w:rStyle w:val="IndexLink"/>
                <w:rtl w:val="true"/>
              </w:rPr>
              <w:t>(</w:t>
            </w:r>
            <w:r>
              <w:rPr>
                <w:rStyle w:val="IndexLink"/>
                <w:rtl w:val="true"/>
              </w:rPr>
              <w:t>هجوم و فرار</w:t>
            </w:r>
            <w:r>
              <w:rPr>
                <w:rStyle w:val="IndexLink"/>
                <w:rtl w:val="true"/>
              </w:rPr>
              <w:t>)</w:t>
              <w:tab/>
            </w:r>
            <w:r>
              <w:rPr>
                <w:rStyle w:val="IndexLink"/>
              </w:rPr>
              <w:t>403</w:t>
            </w:r>
          </w:hyperlink>
        </w:p>
        <w:p>
          <w:pPr>
            <w:pStyle w:val="Contents5"/>
            <w:tabs>
              <w:tab w:val="clear" w:pos="7892"/>
              <w:tab w:val="right" w:pos="9026" w:leader="dot"/>
            </w:tabs>
            <w:rPr/>
          </w:pPr>
          <w:hyperlink w:anchor="__RefHeading___Toc3585949_3650668749">
            <w:r>
              <w:rPr>
                <w:webHidden/>
                <w:rStyle w:val="IndexLink"/>
                <w:rtl w:val="true"/>
              </w:rPr>
              <w:t xml:space="preserve">دو </w:t>
            </w:r>
            <w:r>
              <w:rPr>
                <w:rStyle w:val="IndexLink"/>
                <w:rtl w:val="true"/>
              </w:rPr>
              <w:t xml:space="preserve">- </w:t>
            </w:r>
            <w:r>
              <w:rPr>
                <w:rStyle w:val="IndexLink"/>
                <w:rtl w:val="true"/>
              </w:rPr>
              <w:t xml:space="preserve">نظام صَفّ </w:t>
            </w:r>
            <w:r>
              <w:rPr>
                <w:rStyle w:val="IndexLink"/>
                <w:rtl w:val="true"/>
              </w:rPr>
              <w:t>(</w:t>
            </w:r>
            <w:r>
              <w:rPr>
                <w:rStyle w:val="IndexLink"/>
                <w:rtl w:val="true"/>
              </w:rPr>
              <w:t>نظام زَحْف</w:t>
            </w:r>
            <w:r>
              <w:rPr>
                <w:rStyle w:val="IndexLink"/>
                <w:rtl w:val="true"/>
              </w:rPr>
              <w:t>)</w:t>
              <w:tab/>
            </w:r>
            <w:r>
              <w:rPr>
                <w:rStyle w:val="IndexLink"/>
              </w:rPr>
              <w:t>403</w:t>
            </w:r>
          </w:hyperlink>
        </w:p>
        <w:p>
          <w:pPr>
            <w:pStyle w:val="Contents5"/>
            <w:tabs>
              <w:tab w:val="clear" w:pos="7892"/>
              <w:tab w:val="right" w:pos="9026" w:leader="dot"/>
            </w:tabs>
            <w:rPr/>
          </w:pPr>
          <w:hyperlink w:anchor="__RefHeading___Toc3585951_3650668749">
            <w:r>
              <w:rPr>
                <w:webHidden/>
                <w:rStyle w:val="IndexLink"/>
                <w:rtl w:val="true"/>
              </w:rPr>
              <w:t xml:space="preserve">سه </w:t>
            </w:r>
            <w:r>
              <w:rPr>
                <w:rStyle w:val="IndexLink"/>
                <w:rtl w:val="true"/>
              </w:rPr>
              <w:t xml:space="preserve">- </w:t>
            </w:r>
            <w:r>
              <w:rPr>
                <w:rStyle w:val="IndexLink"/>
                <w:rtl w:val="true"/>
              </w:rPr>
              <w:t>نظام خميس</w:t>
            </w:r>
            <w:r>
              <w:rPr>
                <w:rStyle w:val="IndexLink"/>
                <w:rtl w:val="true"/>
              </w:rPr>
              <w:tab/>
            </w:r>
            <w:r>
              <w:rPr>
                <w:rStyle w:val="IndexLink"/>
              </w:rPr>
              <w:t>404</w:t>
            </w:r>
          </w:hyperlink>
        </w:p>
        <w:p>
          <w:pPr>
            <w:pStyle w:val="Contents6"/>
            <w:tabs>
              <w:tab w:val="clear" w:pos="7609"/>
              <w:tab w:val="right" w:pos="9026" w:leader="dot"/>
            </w:tabs>
            <w:rPr/>
          </w:pPr>
          <w:hyperlink w:anchor="__RefHeading___Toc3585953_3650668749">
            <w:r>
              <w:rPr>
                <w:webHidden/>
                <w:rStyle w:val="IndexLink"/>
                <w:rtl w:val="true"/>
              </w:rPr>
              <w:t>اشاره</w:t>
            </w:r>
            <w:r>
              <w:rPr>
                <w:rStyle w:val="IndexLink"/>
                <w:rtl w:val="true"/>
              </w:rPr>
              <w:tab/>
            </w:r>
            <w:r>
              <w:rPr>
                <w:rStyle w:val="IndexLink"/>
              </w:rPr>
              <w:t>404</w:t>
            </w:r>
          </w:hyperlink>
        </w:p>
        <w:p>
          <w:pPr>
            <w:pStyle w:val="Contents6"/>
            <w:tabs>
              <w:tab w:val="clear" w:pos="7609"/>
              <w:tab w:val="right" w:pos="9026" w:leader="dot"/>
            </w:tabs>
            <w:rPr/>
          </w:pPr>
          <w:hyperlink w:anchor="__RefHeading___Toc3585955_3650668749">
            <w:r>
              <w:rPr>
                <w:webHidden/>
                <w:rStyle w:val="IndexLink"/>
                <w:rtl w:val="true"/>
              </w:rPr>
              <w:t xml:space="preserve">اول </w:t>
            </w:r>
            <w:r>
              <w:rPr>
                <w:rStyle w:val="IndexLink"/>
                <w:rtl w:val="true"/>
              </w:rPr>
              <w:t xml:space="preserve">- </w:t>
            </w:r>
            <w:r>
              <w:rPr>
                <w:rStyle w:val="IndexLink"/>
                <w:rtl w:val="true"/>
              </w:rPr>
              <w:t xml:space="preserve">طليعه </w:t>
            </w:r>
            <w:r>
              <w:rPr>
                <w:rStyle w:val="IndexLink"/>
                <w:rtl w:val="true"/>
              </w:rPr>
              <w:t>(</w:t>
            </w:r>
            <w:r>
              <w:rPr>
                <w:rStyle w:val="IndexLink"/>
                <w:rtl w:val="true"/>
              </w:rPr>
              <w:t>مقدمه</w:t>
            </w:r>
            <w:r>
              <w:rPr>
                <w:rStyle w:val="IndexLink"/>
                <w:rtl w:val="true"/>
              </w:rPr>
              <w:t>)</w:t>
              <w:tab/>
            </w:r>
            <w:r>
              <w:rPr>
                <w:rStyle w:val="IndexLink"/>
              </w:rPr>
              <w:t>405</w:t>
            </w:r>
          </w:hyperlink>
        </w:p>
        <w:p>
          <w:pPr>
            <w:pStyle w:val="Contents6"/>
            <w:tabs>
              <w:tab w:val="clear" w:pos="7609"/>
              <w:tab w:val="right" w:pos="9026" w:leader="dot"/>
            </w:tabs>
            <w:rPr/>
          </w:pPr>
          <w:hyperlink w:anchor="__RefHeading___Toc3585957_3650668749">
            <w:r>
              <w:rPr>
                <w:webHidden/>
                <w:rStyle w:val="IndexLink"/>
                <w:rtl w:val="true"/>
              </w:rPr>
              <w:t xml:space="preserve">دوم </w:t>
            </w:r>
            <w:r>
              <w:rPr>
                <w:rStyle w:val="IndexLink"/>
                <w:rtl w:val="true"/>
              </w:rPr>
              <w:t xml:space="preserve">- </w:t>
            </w:r>
            <w:r>
              <w:rPr>
                <w:rStyle w:val="IndexLink"/>
                <w:rtl w:val="true"/>
              </w:rPr>
              <w:t>قلب</w:t>
            </w:r>
            <w:r>
              <w:rPr>
                <w:rStyle w:val="IndexLink"/>
                <w:rtl w:val="true"/>
              </w:rPr>
              <w:tab/>
            </w:r>
            <w:r>
              <w:rPr>
                <w:rStyle w:val="IndexLink"/>
              </w:rPr>
              <w:t>405</w:t>
            </w:r>
          </w:hyperlink>
        </w:p>
        <w:p>
          <w:pPr>
            <w:pStyle w:val="Contents6"/>
            <w:tabs>
              <w:tab w:val="clear" w:pos="7609"/>
              <w:tab w:val="right" w:pos="9026" w:leader="dot"/>
            </w:tabs>
            <w:rPr/>
          </w:pPr>
          <w:hyperlink w:anchor="__RefHeading___Toc3585959_3650668749">
            <w:r>
              <w:rPr>
                <w:webHidden/>
                <w:rStyle w:val="IndexLink"/>
                <w:rtl w:val="true"/>
              </w:rPr>
              <w:t xml:space="preserve">سوم </w:t>
            </w:r>
            <w:r>
              <w:rPr>
                <w:rStyle w:val="IndexLink"/>
                <w:rtl w:val="true"/>
              </w:rPr>
              <w:t xml:space="preserve">- </w:t>
            </w:r>
            <w:r>
              <w:rPr>
                <w:rStyle w:val="IndexLink"/>
                <w:rtl w:val="true"/>
              </w:rPr>
              <w:t>مَيْمَنه</w:t>
            </w:r>
            <w:r>
              <w:rPr>
                <w:rStyle w:val="IndexLink"/>
                <w:rtl w:val="true"/>
              </w:rPr>
              <w:tab/>
            </w:r>
            <w:r>
              <w:rPr>
                <w:rStyle w:val="IndexLink"/>
              </w:rPr>
              <w:t>405</w:t>
            </w:r>
          </w:hyperlink>
        </w:p>
        <w:p>
          <w:pPr>
            <w:pStyle w:val="Contents6"/>
            <w:tabs>
              <w:tab w:val="clear" w:pos="7609"/>
              <w:tab w:val="right" w:pos="9026" w:leader="dot"/>
            </w:tabs>
            <w:rPr/>
          </w:pPr>
          <w:hyperlink w:anchor="__RefHeading___Toc3585961_3650668749">
            <w:r>
              <w:rPr>
                <w:webHidden/>
                <w:rStyle w:val="IndexLink"/>
                <w:rtl w:val="true"/>
              </w:rPr>
              <w:t xml:space="preserve">چهارم </w:t>
            </w:r>
            <w:r>
              <w:rPr>
                <w:rStyle w:val="IndexLink"/>
                <w:rtl w:val="true"/>
              </w:rPr>
              <w:t xml:space="preserve">- </w:t>
            </w:r>
            <w:r>
              <w:rPr>
                <w:rStyle w:val="IndexLink"/>
                <w:rtl w:val="true"/>
              </w:rPr>
              <w:t>مَيْسَره</w:t>
            </w:r>
            <w:r>
              <w:rPr>
                <w:rStyle w:val="IndexLink"/>
                <w:rtl w:val="true"/>
              </w:rPr>
              <w:tab/>
            </w:r>
            <w:r>
              <w:rPr>
                <w:rStyle w:val="IndexLink"/>
              </w:rPr>
              <w:t>405</w:t>
            </w:r>
          </w:hyperlink>
        </w:p>
        <w:p>
          <w:pPr>
            <w:pStyle w:val="Contents6"/>
            <w:tabs>
              <w:tab w:val="clear" w:pos="7609"/>
              <w:tab w:val="right" w:pos="9026" w:leader="dot"/>
            </w:tabs>
            <w:rPr/>
          </w:pPr>
          <w:hyperlink w:anchor="__RefHeading___Toc3585963_3650668749">
            <w:r>
              <w:rPr>
                <w:webHidden/>
                <w:rStyle w:val="IndexLink"/>
                <w:rtl w:val="true"/>
              </w:rPr>
              <w:t xml:space="preserve">پنجم </w:t>
            </w:r>
            <w:r>
              <w:rPr>
                <w:rStyle w:val="IndexLink"/>
                <w:rtl w:val="true"/>
              </w:rPr>
              <w:t xml:space="preserve">- </w:t>
            </w:r>
            <w:r>
              <w:rPr>
                <w:rStyle w:val="IndexLink"/>
                <w:rtl w:val="true"/>
              </w:rPr>
              <w:t xml:space="preserve">ساقه </w:t>
            </w:r>
            <w:r>
              <w:rPr>
                <w:rStyle w:val="IndexLink"/>
                <w:rtl w:val="true"/>
              </w:rPr>
              <w:t>(</w:t>
            </w:r>
            <w:r>
              <w:rPr>
                <w:rStyle w:val="IndexLink"/>
                <w:rtl w:val="true"/>
              </w:rPr>
              <w:t>موَخره</w:t>
            </w:r>
            <w:r>
              <w:rPr>
                <w:rStyle w:val="IndexLink"/>
                <w:rtl w:val="true"/>
              </w:rPr>
              <w:t>)</w:t>
              <w:tab/>
            </w:r>
            <w:r>
              <w:rPr>
                <w:rStyle w:val="IndexLink"/>
              </w:rPr>
              <w:t>406</w:t>
            </w:r>
          </w:hyperlink>
        </w:p>
        <w:p>
          <w:pPr>
            <w:pStyle w:val="Contents6"/>
            <w:tabs>
              <w:tab w:val="clear" w:pos="7609"/>
              <w:tab w:val="right" w:pos="9026" w:leader="dot"/>
            </w:tabs>
            <w:rPr/>
          </w:pPr>
          <w:hyperlink w:anchor="__RefHeading___Toc3585965_3650668749">
            <w:r>
              <w:rPr>
                <w:webHidden/>
                <w:rStyle w:val="IndexLink"/>
                <w:rtl w:val="true"/>
              </w:rPr>
              <w:t>اشاره</w:t>
            </w:r>
            <w:r>
              <w:rPr>
                <w:rStyle w:val="IndexLink"/>
                <w:rtl w:val="true"/>
              </w:rPr>
              <w:tab/>
            </w:r>
            <w:r>
              <w:rPr>
                <w:rStyle w:val="IndexLink"/>
              </w:rPr>
              <w:t>406</w:t>
            </w:r>
          </w:hyperlink>
        </w:p>
        <w:p>
          <w:pPr>
            <w:pStyle w:val="Contents6"/>
            <w:tabs>
              <w:tab w:val="clear" w:pos="7609"/>
              <w:tab w:val="right" w:pos="9026" w:leader="dot"/>
            </w:tabs>
            <w:rPr/>
          </w:pPr>
          <w:hyperlink w:anchor="__RefHeading___Toc3585967_3650668749">
            <w:r>
              <w:rPr>
                <w:webHidden/>
                <w:rStyle w:val="IndexLink"/>
                <w:rtl w:val="true"/>
              </w:rPr>
              <w:t>صفّ مُسْتَوي</w:t>
            </w:r>
            <w:r>
              <w:rPr>
                <w:rStyle w:val="IndexLink"/>
                <w:rtl w:val="true"/>
              </w:rPr>
              <w:tab/>
            </w:r>
            <w:r>
              <w:rPr>
                <w:rStyle w:val="IndexLink"/>
              </w:rPr>
              <w:t>407</w:t>
            </w:r>
          </w:hyperlink>
        </w:p>
        <w:p>
          <w:pPr>
            <w:pStyle w:val="Contents6"/>
            <w:tabs>
              <w:tab w:val="clear" w:pos="7609"/>
              <w:tab w:val="right" w:pos="9026" w:leader="dot"/>
            </w:tabs>
            <w:rPr/>
          </w:pPr>
          <w:hyperlink w:anchor="__RefHeading___Toc3585969_3650668749">
            <w:r>
              <w:rPr>
                <w:webHidden/>
                <w:rStyle w:val="IndexLink"/>
                <w:rtl w:val="true"/>
              </w:rPr>
              <w:t>صفّ هلالى</w:t>
            </w:r>
            <w:r>
              <w:rPr>
                <w:rStyle w:val="IndexLink"/>
                <w:rtl w:val="true"/>
              </w:rPr>
              <w:tab/>
            </w:r>
            <w:r>
              <w:rPr>
                <w:rStyle w:val="IndexLink"/>
              </w:rPr>
              <w:t>407</w:t>
            </w:r>
          </w:hyperlink>
        </w:p>
        <w:p>
          <w:pPr>
            <w:pStyle w:val="Contents6"/>
            <w:tabs>
              <w:tab w:val="clear" w:pos="7609"/>
              <w:tab w:val="right" w:pos="9026" w:leader="dot"/>
            </w:tabs>
            <w:rPr/>
          </w:pPr>
          <w:hyperlink w:anchor="__RefHeading___Toc3585971_3650668749">
            <w:r>
              <w:rPr>
                <w:webHidden/>
                <w:rStyle w:val="IndexLink"/>
                <w:rtl w:val="true"/>
              </w:rPr>
              <w:t>صفّ مَعْطوف</w:t>
            </w:r>
            <w:r>
              <w:rPr>
                <w:rStyle w:val="IndexLink"/>
                <w:rtl w:val="true"/>
              </w:rPr>
              <w:tab/>
            </w:r>
            <w:r>
              <w:rPr>
                <w:rStyle w:val="IndexLink"/>
              </w:rPr>
              <w:t>407</w:t>
            </w:r>
          </w:hyperlink>
        </w:p>
        <w:p>
          <w:pPr>
            <w:pStyle w:val="Contents5"/>
            <w:tabs>
              <w:tab w:val="clear" w:pos="7892"/>
              <w:tab w:val="right" w:pos="9026" w:leader="dot"/>
            </w:tabs>
            <w:rPr/>
          </w:pPr>
          <w:hyperlink w:anchor="__RefHeading___Toc3585973_3650668749">
            <w:r>
              <w:rPr>
                <w:webHidden/>
                <w:rStyle w:val="IndexLink"/>
                <w:rtl w:val="true"/>
              </w:rPr>
              <w:t xml:space="preserve">چهار </w:t>
            </w:r>
            <w:r>
              <w:rPr>
                <w:rStyle w:val="IndexLink"/>
                <w:rtl w:val="true"/>
              </w:rPr>
              <w:t xml:space="preserve">- </w:t>
            </w:r>
            <w:r>
              <w:rPr>
                <w:rStyle w:val="IndexLink"/>
                <w:rtl w:val="true"/>
              </w:rPr>
              <w:t>نظام كراديس</w:t>
            </w:r>
            <w:r>
              <w:rPr>
                <w:rStyle w:val="IndexLink"/>
                <w:rtl w:val="true"/>
              </w:rPr>
              <w:tab/>
            </w:r>
            <w:r>
              <w:rPr>
                <w:rStyle w:val="IndexLink"/>
              </w:rPr>
              <w:t>408</w:t>
            </w:r>
          </w:hyperlink>
        </w:p>
        <w:p>
          <w:pPr>
            <w:pStyle w:val="Contents4"/>
            <w:tabs>
              <w:tab w:val="clear" w:pos="8176"/>
              <w:tab w:val="right" w:pos="9026" w:leader="dot"/>
            </w:tabs>
            <w:rPr/>
          </w:pPr>
          <w:hyperlink w:anchor="__RefHeading___Toc3585975_3650668749">
            <w:r>
              <w:rPr>
                <w:webHidden/>
                <w:rStyle w:val="IndexLink"/>
                <w:rtl w:val="true"/>
              </w:rPr>
              <w:t>ع</w:t>
            </w:r>
            <w:r>
              <w:rPr>
                <w:rStyle w:val="IndexLink"/>
                <w:rtl w:val="true"/>
              </w:rPr>
              <w:t xml:space="preserve">) </w:t>
            </w:r>
            <w:r>
              <w:rPr>
                <w:rStyle w:val="IndexLink"/>
                <w:rtl w:val="true"/>
              </w:rPr>
              <w:t>جاسوسى</w:t>
            </w:r>
            <w:r>
              <w:rPr>
                <w:rStyle w:val="IndexLink"/>
                <w:rtl w:val="true"/>
              </w:rPr>
              <w:tab/>
            </w:r>
            <w:r>
              <w:rPr>
                <w:rStyle w:val="IndexLink"/>
              </w:rPr>
              <w:t>409</w:t>
            </w:r>
          </w:hyperlink>
        </w:p>
        <w:p>
          <w:pPr>
            <w:pStyle w:val="Contents3"/>
            <w:tabs>
              <w:tab w:val="clear" w:pos="8459"/>
              <w:tab w:val="right" w:pos="9026" w:leader="dot"/>
            </w:tabs>
            <w:rPr/>
          </w:pPr>
          <w:hyperlink w:anchor="__RefHeading___Toc3585977_3650668749">
            <w:r>
              <w:rPr>
                <w:webHidden/>
                <w:rStyle w:val="IndexLink"/>
              </w:rPr>
              <w:t>۵</w:t>
            </w:r>
            <w:r>
              <w:rPr>
                <w:rStyle w:val="IndexLink"/>
                <w:rtl w:val="true"/>
              </w:rPr>
              <w:t xml:space="preserve">. </w:t>
            </w:r>
            <w:r>
              <w:rPr>
                <w:rStyle w:val="IndexLink"/>
                <w:rtl w:val="true"/>
              </w:rPr>
              <w:t>پخت وپز</w:t>
            </w:r>
            <w:r>
              <w:rPr>
                <w:rStyle w:val="IndexLink"/>
                <w:rtl w:val="true"/>
              </w:rPr>
              <w:tab/>
            </w:r>
            <w:r>
              <w:rPr>
                <w:rStyle w:val="IndexLink"/>
              </w:rPr>
              <w:t>411</w:t>
            </w:r>
          </w:hyperlink>
        </w:p>
        <w:p>
          <w:pPr>
            <w:pStyle w:val="Contents4"/>
            <w:tabs>
              <w:tab w:val="clear" w:pos="8176"/>
              <w:tab w:val="right" w:pos="9026" w:leader="dot"/>
            </w:tabs>
            <w:rPr/>
          </w:pPr>
          <w:hyperlink w:anchor="__RefHeading___Toc3585979_3650668749">
            <w:r>
              <w:rPr>
                <w:webHidden/>
                <w:rStyle w:val="IndexLink"/>
                <w:rtl w:val="true"/>
              </w:rPr>
              <w:t>الف</w:t>
            </w:r>
            <w:r>
              <w:rPr>
                <w:rStyle w:val="IndexLink"/>
                <w:rtl w:val="true"/>
              </w:rPr>
              <w:t xml:space="preserve">) </w:t>
            </w:r>
            <w:r>
              <w:rPr>
                <w:rStyle w:val="IndexLink"/>
                <w:rtl w:val="true"/>
              </w:rPr>
              <w:t>طريقه آتش روشن كردن</w:t>
            </w:r>
            <w:r>
              <w:rPr>
                <w:rStyle w:val="IndexLink"/>
                <w:rtl w:val="true"/>
              </w:rPr>
              <w:tab/>
            </w:r>
            <w:r>
              <w:rPr>
                <w:rStyle w:val="IndexLink"/>
              </w:rPr>
              <w:t>411</w:t>
            </w:r>
          </w:hyperlink>
        </w:p>
        <w:p>
          <w:pPr>
            <w:pStyle w:val="Contents4"/>
            <w:tabs>
              <w:tab w:val="clear" w:pos="8176"/>
              <w:tab w:val="right" w:pos="9026" w:leader="dot"/>
            </w:tabs>
            <w:rPr/>
          </w:pPr>
          <w:hyperlink w:anchor="__RefHeading___Toc3585981_3650668749">
            <w:r>
              <w:rPr>
                <w:webHidden/>
                <w:rStyle w:val="IndexLink"/>
                <w:rtl w:val="true"/>
              </w:rPr>
              <w:t>ب</w:t>
            </w:r>
            <w:r>
              <w:rPr>
                <w:rStyle w:val="IndexLink"/>
                <w:rtl w:val="true"/>
              </w:rPr>
              <w:t xml:space="preserve">) </w:t>
            </w:r>
            <w:r>
              <w:rPr>
                <w:rStyle w:val="IndexLink"/>
                <w:rtl w:val="true"/>
              </w:rPr>
              <w:t>پختن غذا</w:t>
            </w:r>
            <w:r>
              <w:rPr>
                <w:rStyle w:val="IndexLink"/>
                <w:rtl w:val="true"/>
              </w:rPr>
              <w:tab/>
            </w:r>
            <w:r>
              <w:rPr>
                <w:rStyle w:val="IndexLink"/>
              </w:rPr>
              <w:t>412</w:t>
            </w:r>
          </w:hyperlink>
        </w:p>
        <w:p>
          <w:pPr>
            <w:pStyle w:val="Contents4"/>
            <w:tabs>
              <w:tab w:val="clear" w:pos="8176"/>
              <w:tab w:val="right" w:pos="9026" w:leader="dot"/>
            </w:tabs>
            <w:rPr/>
          </w:pPr>
          <w:hyperlink w:anchor="__RefHeading___Toc3585983_3650668749">
            <w:r>
              <w:rPr>
                <w:webHidden/>
                <w:rStyle w:val="IndexLink"/>
                <w:rtl w:val="true"/>
              </w:rPr>
              <w:t>ج</w:t>
            </w:r>
            <w:r>
              <w:rPr>
                <w:rStyle w:val="IndexLink"/>
                <w:rtl w:val="true"/>
              </w:rPr>
              <w:t xml:space="preserve">) </w:t>
            </w:r>
            <w:r>
              <w:rPr>
                <w:rStyle w:val="IndexLink"/>
                <w:rtl w:val="true"/>
              </w:rPr>
              <w:t>پختن نان</w:t>
            </w:r>
            <w:r>
              <w:rPr>
                <w:rStyle w:val="IndexLink"/>
                <w:rtl w:val="true"/>
              </w:rPr>
              <w:tab/>
            </w:r>
            <w:r>
              <w:rPr>
                <w:rStyle w:val="IndexLink"/>
              </w:rPr>
              <w:t>412</w:t>
            </w:r>
          </w:hyperlink>
        </w:p>
        <w:p>
          <w:pPr>
            <w:pStyle w:val="Contents3"/>
            <w:tabs>
              <w:tab w:val="clear" w:pos="8459"/>
              <w:tab w:val="right" w:pos="9026" w:leader="dot"/>
            </w:tabs>
            <w:rPr/>
          </w:pPr>
          <w:hyperlink w:anchor="__RefHeading___Toc3585985_3650668749">
            <w:r>
              <w:rPr>
                <w:webHidden/>
                <w:rStyle w:val="IndexLink"/>
              </w:rPr>
              <w:t>۶</w:t>
            </w:r>
            <w:r>
              <w:rPr>
                <w:rStyle w:val="IndexLink"/>
                <w:rtl w:val="true"/>
              </w:rPr>
              <w:t xml:space="preserve">. </w:t>
            </w:r>
            <w:r>
              <w:rPr>
                <w:rStyle w:val="IndexLink"/>
                <w:rtl w:val="true"/>
              </w:rPr>
              <w:t>سير و سفر و تفرّج</w:t>
            </w:r>
            <w:r>
              <w:rPr>
                <w:rStyle w:val="IndexLink"/>
                <w:rtl w:val="true"/>
              </w:rPr>
              <w:tab/>
            </w:r>
            <w:r>
              <w:rPr>
                <w:rStyle w:val="IndexLink"/>
              </w:rPr>
              <w:t>414</w:t>
            </w:r>
          </w:hyperlink>
        </w:p>
        <w:p>
          <w:pPr>
            <w:pStyle w:val="Contents4"/>
            <w:tabs>
              <w:tab w:val="clear" w:pos="8176"/>
              <w:tab w:val="right" w:pos="9026" w:leader="dot"/>
            </w:tabs>
            <w:rPr/>
          </w:pPr>
          <w:hyperlink w:anchor="__RefHeading___Toc3585987_3650668749">
            <w:r>
              <w:rPr>
                <w:webHidden/>
                <w:rStyle w:val="IndexLink"/>
                <w:rtl w:val="true"/>
              </w:rPr>
              <w:t>الف</w:t>
            </w:r>
            <w:r>
              <w:rPr>
                <w:rStyle w:val="IndexLink"/>
                <w:rtl w:val="true"/>
              </w:rPr>
              <w:t xml:space="preserve">) </w:t>
            </w:r>
            <w:r>
              <w:rPr>
                <w:rStyle w:val="IndexLink"/>
                <w:rtl w:val="true"/>
              </w:rPr>
              <w:t>آداب سفر</w:t>
            </w:r>
            <w:r>
              <w:rPr>
                <w:rStyle w:val="IndexLink"/>
                <w:rtl w:val="true"/>
              </w:rPr>
              <w:tab/>
            </w:r>
            <w:r>
              <w:rPr>
                <w:rStyle w:val="IndexLink"/>
              </w:rPr>
              <w:t>414</w:t>
            </w:r>
          </w:hyperlink>
        </w:p>
        <w:p>
          <w:pPr>
            <w:pStyle w:val="Contents5"/>
            <w:tabs>
              <w:tab w:val="clear" w:pos="7892"/>
              <w:tab w:val="right" w:pos="9026" w:leader="dot"/>
            </w:tabs>
            <w:rPr/>
          </w:pPr>
          <w:hyperlink w:anchor="__RefHeading___Toc3585989_3650668749">
            <w:r>
              <w:rPr>
                <w:webHidden/>
                <w:rStyle w:val="IndexLink"/>
                <w:rtl w:val="true"/>
              </w:rPr>
              <w:t>اشاره</w:t>
            </w:r>
            <w:r>
              <w:rPr>
                <w:rStyle w:val="IndexLink"/>
                <w:rtl w:val="true"/>
              </w:rPr>
              <w:tab/>
            </w:r>
            <w:r>
              <w:rPr>
                <w:rStyle w:val="IndexLink"/>
              </w:rPr>
              <w:t>414</w:t>
            </w:r>
          </w:hyperlink>
        </w:p>
        <w:p>
          <w:pPr>
            <w:pStyle w:val="Contents5"/>
            <w:tabs>
              <w:tab w:val="clear" w:pos="7892"/>
              <w:tab w:val="right" w:pos="9026" w:leader="dot"/>
            </w:tabs>
            <w:rPr/>
          </w:pPr>
          <w:hyperlink w:anchor="__RefHeading___Toc3585991_3650668749">
            <w:r>
              <w:rPr>
                <w:webHidden/>
                <w:rStyle w:val="IndexLink"/>
                <w:rtl w:val="true"/>
              </w:rPr>
              <w:t xml:space="preserve">يك </w:t>
            </w:r>
            <w:r>
              <w:rPr>
                <w:rStyle w:val="IndexLink"/>
                <w:rtl w:val="true"/>
              </w:rPr>
              <w:t xml:space="preserve">- </w:t>
            </w:r>
            <w:r>
              <w:rPr>
                <w:rStyle w:val="IndexLink"/>
                <w:rtl w:val="true"/>
              </w:rPr>
              <w:t>انتخاب همراه مناسب</w:t>
            </w:r>
            <w:r>
              <w:rPr>
                <w:rStyle w:val="IndexLink"/>
                <w:rtl w:val="true"/>
              </w:rPr>
              <w:tab/>
            </w:r>
            <w:r>
              <w:rPr>
                <w:rStyle w:val="IndexLink"/>
              </w:rPr>
              <w:t>414</w:t>
            </w:r>
          </w:hyperlink>
        </w:p>
        <w:p>
          <w:pPr>
            <w:pStyle w:val="Contents5"/>
            <w:tabs>
              <w:tab w:val="clear" w:pos="7892"/>
              <w:tab w:val="right" w:pos="9026" w:leader="dot"/>
            </w:tabs>
            <w:rPr/>
          </w:pPr>
          <w:hyperlink w:anchor="__RefHeading___Toc3585993_3650668749">
            <w:r>
              <w:rPr>
                <w:webHidden/>
                <w:rStyle w:val="IndexLink"/>
                <w:rtl w:val="true"/>
              </w:rPr>
              <w:t xml:space="preserve">دو </w:t>
            </w:r>
            <w:r>
              <w:rPr>
                <w:rStyle w:val="IndexLink"/>
                <w:rtl w:val="true"/>
              </w:rPr>
              <w:t xml:space="preserve">- </w:t>
            </w:r>
            <w:r>
              <w:rPr>
                <w:rStyle w:val="IndexLink"/>
                <w:rtl w:val="true"/>
              </w:rPr>
              <w:t>برداشتن وسايل شخصى ضرورى</w:t>
            </w:r>
            <w:r>
              <w:rPr>
                <w:rStyle w:val="IndexLink"/>
                <w:rtl w:val="true"/>
              </w:rPr>
              <w:tab/>
            </w:r>
            <w:r>
              <w:rPr>
                <w:rStyle w:val="IndexLink"/>
              </w:rPr>
              <w:t>414</w:t>
            </w:r>
          </w:hyperlink>
        </w:p>
        <w:p>
          <w:pPr>
            <w:pStyle w:val="Contents5"/>
            <w:tabs>
              <w:tab w:val="clear" w:pos="7892"/>
              <w:tab w:val="right" w:pos="9026" w:leader="dot"/>
            </w:tabs>
            <w:rPr/>
          </w:pPr>
          <w:hyperlink w:anchor="__RefHeading___Toc3585995_3650668749">
            <w:r>
              <w:rPr>
                <w:webHidden/>
                <w:rStyle w:val="IndexLink"/>
                <w:rtl w:val="true"/>
              </w:rPr>
              <w:t xml:space="preserve">سه </w:t>
            </w:r>
            <w:r>
              <w:rPr>
                <w:rStyle w:val="IndexLink"/>
                <w:rtl w:val="true"/>
              </w:rPr>
              <w:t xml:space="preserve">- </w:t>
            </w:r>
            <w:r>
              <w:rPr>
                <w:rStyle w:val="IndexLink"/>
                <w:rtl w:val="true"/>
              </w:rPr>
              <w:t>برداشتن عصا</w:t>
            </w:r>
            <w:r>
              <w:rPr>
                <w:rStyle w:val="IndexLink"/>
                <w:rtl w:val="true"/>
              </w:rPr>
              <w:tab/>
            </w:r>
            <w:r>
              <w:rPr>
                <w:rStyle w:val="IndexLink"/>
              </w:rPr>
              <w:t>414</w:t>
            </w:r>
          </w:hyperlink>
        </w:p>
        <w:p>
          <w:pPr>
            <w:pStyle w:val="Contents5"/>
            <w:tabs>
              <w:tab w:val="clear" w:pos="7892"/>
              <w:tab w:val="right" w:pos="9026" w:leader="dot"/>
            </w:tabs>
            <w:rPr/>
          </w:pPr>
          <w:hyperlink w:anchor="__RefHeading___Toc3585997_3650668749">
            <w:r>
              <w:rPr>
                <w:webHidden/>
                <w:rStyle w:val="IndexLink"/>
                <w:rtl w:val="true"/>
              </w:rPr>
              <w:t xml:space="preserve">چهار </w:t>
            </w:r>
            <w:r>
              <w:rPr>
                <w:rStyle w:val="IndexLink"/>
                <w:rtl w:val="true"/>
              </w:rPr>
              <w:t xml:space="preserve">- </w:t>
            </w:r>
            <w:r>
              <w:rPr>
                <w:rStyle w:val="IndexLink"/>
                <w:rtl w:val="true"/>
              </w:rPr>
              <w:t>ياد خدا نمودن</w:t>
            </w:r>
            <w:r>
              <w:rPr>
                <w:rStyle w:val="IndexLink"/>
                <w:rtl w:val="true"/>
              </w:rPr>
              <w:tab/>
            </w:r>
            <w:r>
              <w:rPr>
                <w:rStyle w:val="IndexLink"/>
              </w:rPr>
              <w:t>415</w:t>
            </w:r>
          </w:hyperlink>
        </w:p>
        <w:p>
          <w:pPr>
            <w:pStyle w:val="Contents5"/>
            <w:tabs>
              <w:tab w:val="clear" w:pos="7892"/>
              <w:tab w:val="right" w:pos="9026" w:leader="dot"/>
            </w:tabs>
            <w:rPr/>
          </w:pPr>
          <w:hyperlink w:anchor="__RefHeading___Toc3585999_3650668749">
            <w:r>
              <w:rPr>
                <w:webHidden/>
                <w:rStyle w:val="IndexLink"/>
                <w:rtl w:val="true"/>
              </w:rPr>
              <w:t xml:space="preserve">پنج </w:t>
            </w:r>
            <w:r>
              <w:rPr>
                <w:rStyle w:val="IndexLink"/>
                <w:rtl w:val="true"/>
              </w:rPr>
              <w:t xml:space="preserve">- </w:t>
            </w:r>
            <w:r>
              <w:rPr>
                <w:rStyle w:val="IndexLink"/>
                <w:rtl w:val="true"/>
              </w:rPr>
              <w:t>صدقه دادن</w:t>
            </w:r>
            <w:r>
              <w:rPr>
                <w:rStyle w:val="IndexLink"/>
                <w:rtl w:val="true"/>
              </w:rPr>
              <w:tab/>
            </w:r>
            <w:r>
              <w:rPr>
                <w:rStyle w:val="IndexLink"/>
              </w:rPr>
              <w:t>415</w:t>
            </w:r>
          </w:hyperlink>
        </w:p>
        <w:p>
          <w:pPr>
            <w:pStyle w:val="Contents5"/>
            <w:tabs>
              <w:tab w:val="clear" w:pos="7892"/>
              <w:tab w:val="right" w:pos="9026" w:leader="dot"/>
            </w:tabs>
            <w:rPr/>
          </w:pPr>
          <w:hyperlink w:anchor="__RefHeading___Toc3586001_3650668749">
            <w:r>
              <w:rPr>
                <w:webHidden/>
                <w:rStyle w:val="IndexLink"/>
                <w:rtl w:val="true"/>
              </w:rPr>
              <w:t xml:space="preserve">شش </w:t>
            </w:r>
            <w:r>
              <w:rPr>
                <w:rStyle w:val="IndexLink"/>
                <w:rtl w:val="true"/>
              </w:rPr>
              <w:t xml:space="preserve">- </w:t>
            </w:r>
            <w:r>
              <w:rPr>
                <w:rStyle w:val="IndexLink"/>
                <w:rtl w:val="true"/>
              </w:rPr>
              <w:t>بدرقه مسافر</w:t>
            </w:r>
            <w:r>
              <w:rPr>
                <w:rStyle w:val="IndexLink"/>
                <w:rtl w:val="true"/>
              </w:rPr>
              <w:tab/>
            </w:r>
            <w:r>
              <w:rPr>
                <w:rStyle w:val="IndexLink"/>
              </w:rPr>
              <w:t>415</w:t>
            </w:r>
          </w:hyperlink>
        </w:p>
        <w:p>
          <w:pPr>
            <w:pStyle w:val="Contents5"/>
            <w:tabs>
              <w:tab w:val="clear" w:pos="7892"/>
              <w:tab w:val="right" w:pos="9026" w:leader="dot"/>
            </w:tabs>
            <w:rPr/>
          </w:pPr>
          <w:hyperlink w:anchor="__RefHeading___Toc3586003_3650668749">
            <w:r>
              <w:rPr>
                <w:webHidden/>
                <w:rStyle w:val="IndexLink"/>
                <w:rtl w:val="true"/>
              </w:rPr>
              <w:t xml:space="preserve">هفت </w:t>
            </w:r>
            <w:r>
              <w:rPr>
                <w:rStyle w:val="IndexLink"/>
                <w:rtl w:val="true"/>
              </w:rPr>
              <w:t xml:space="preserve">- </w:t>
            </w:r>
            <w:r>
              <w:rPr>
                <w:rStyle w:val="IndexLink"/>
                <w:rtl w:val="true"/>
              </w:rPr>
              <w:t>مروّت و جوانمردى در سفر</w:t>
            </w:r>
            <w:r>
              <w:rPr>
                <w:rStyle w:val="IndexLink"/>
                <w:rtl w:val="true"/>
              </w:rPr>
              <w:tab/>
            </w:r>
            <w:r>
              <w:rPr>
                <w:rStyle w:val="IndexLink"/>
              </w:rPr>
              <w:t>415</w:t>
            </w:r>
          </w:hyperlink>
        </w:p>
        <w:p>
          <w:pPr>
            <w:pStyle w:val="Contents5"/>
            <w:tabs>
              <w:tab w:val="clear" w:pos="7892"/>
              <w:tab w:val="right" w:pos="9026" w:leader="dot"/>
            </w:tabs>
            <w:rPr/>
          </w:pPr>
          <w:hyperlink w:anchor="__RefHeading___Toc3586005_3650668749">
            <w:r>
              <w:rPr>
                <w:webHidden/>
                <w:rStyle w:val="IndexLink"/>
                <w:rtl w:val="true"/>
              </w:rPr>
              <w:t xml:space="preserve">هشت </w:t>
            </w:r>
            <w:r>
              <w:rPr>
                <w:rStyle w:val="IndexLink"/>
                <w:rtl w:val="true"/>
              </w:rPr>
              <w:t xml:space="preserve">- </w:t>
            </w:r>
            <w:r>
              <w:rPr>
                <w:rStyle w:val="IndexLink"/>
                <w:rtl w:val="true"/>
              </w:rPr>
              <w:t>شعر و آواز خواندن در سفر</w:t>
            </w:r>
            <w:r>
              <w:rPr>
                <w:rStyle w:val="IndexLink"/>
                <w:rtl w:val="true"/>
              </w:rPr>
              <w:tab/>
            </w:r>
            <w:r>
              <w:rPr>
                <w:rStyle w:val="IndexLink"/>
              </w:rPr>
              <w:t>415</w:t>
            </w:r>
          </w:hyperlink>
        </w:p>
        <w:p>
          <w:pPr>
            <w:pStyle w:val="Contents5"/>
            <w:tabs>
              <w:tab w:val="clear" w:pos="7892"/>
              <w:tab w:val="right" w:pos="9026" w:leader="dot"/>
            </w:tabs>
            <w:rPr/>
          </w:pPr>
          <w:hyperlink w:anchor="__RefHeading___Toc3586007_3650668749">
            <w:r>
              <w:rPr>
                <w:webHidden/>
                <w:rStyle w:val="IndexLink"/>
                <w:rtl w:val="true"/>
              </w:rPr>
              <w:t xml:space="preserve">نُه </w:t>
            </w:r>
            <w:r>
              <w:rPr>
                <w:rStyle w:val="IndexLink"/>
                <w:rtl w:val="true"/>
              </w:rPr>
              <w:t xml:space="preserve">- </w:t>
            </w:r>
            <w:r>
              <w:rPr>
                <w:rStyle w:val="IndexLink"/>
                <w:rtl w:val="true"/>
              </w:rPr>
              <w:t>مسئوليت به عهده گرفتن در سفر</w:t>
            </w:r>
            <w:r>
              <w:rPr>
                <w:rStyle w:val="IndexLink"/>
                <w:rtl w:val="true"/>
              </w:rPr>
              <w:tab/>
            </w:r>
            <w:r>
              <w:rPr>
                <w:rStyle w:val="IndexLink"/>
              </w:rPr>
              <w:t>416</w:t>
            </w:r>
          </w:hyperlink>
        </w:p>
        <w:p>
          <w:pPr>
            <w:pStyle w:val="Contents5"/>
            <w:tabs>
              <w:tab w:val="clear" w:pos="7892"/>
              <w:tab w:val="right" w:pos="9026" w:leader="dot"/>
            </w:tabs>
            <w:rPr/>
          </w:pPr>
          <w:hyperlink w:anchor="__RefHeading___Toc3586009_3650668749">
            <w:r>
              <w:rPr>
                <w:webHidden/>
                <w:rStyle w:val="IndexLink"/>
                <w:rtl w:val="true"/>
              </w:rPr>
              <w:t xml:space="preserve">ده </w:t>
            </w:r>
            <w:r>
              <w:rPr>
                <w:rStyle w:val="IndexLink"/>
                <w:rtl w:val="true"/>
              </w:rPr>
              <w:t xml:space="preserve">- </w:t>
            </w:r>
            <w:r>
              <w:rPr>
                <w:rStyle w:val="IndexLink"/>
                <w:rtl w:val="true"/>
              </w:rPr>
              <w:t>سوغات آوردن از سفر</w:t>
            </w:r>
            <w:r>
              <w:rPr>
                <w:rStyle w:val="IndexLink"/>
                <w:rtl w:val="true"/>
              </w:rPr>
              <w:tab/>
            </w:r>
            <w:r>
              <w:rPr>
                <w:rStyle w:val="IndexLink"/>
              </w:rPr>
              <w:t>416</w:t>
            </w:r>
          </w:hyperlink>
        </w:p>
        <w:p>
          <w:pPr>
            <w:pStyle w:val="Contents5"/>
            <w:tabs>
              <w:tab w:val="clear" w:pos="7892"/>
              <w:tab w:val="right" w:pos="9026" w:leader="dot"/>
            </w:tabs>
            <w:rPr/>
          </w:pPr>
          <w:hyperlink w:anchor="__RefHeading___Toc3586011_3650668749">
            <w:r>
              <w:rPr>
                <w:webHidden/>
                <w:rStyle w:val="IndexLink"/>
                <w:rtl w:val="true"/>
              </w:rPr>
              <w:t xml:space="preserve">يازده </w:t>
            </w:r>
            <w:r>
              <w:rPr>
                <w:rStyle w:val="IndexLink"/>
                <w:rtl w:val="true"/>
              </w:rPr>
              <w:t xml:space="preserve">- </w:t>
            </w:r>
            <w:r>
              <w:rPr>
                <w:rStyle w:val="IndexLink"/>
                <w:rtl w:val="true"/>
              </w:rPr>
              <w:t>مصافحه و معانقه با مسافر</w:t>
            </w:r>
            <w:r>
              <w:rPr>
                <w:rStyle w:val="IndexLink"/>
                <w:rtl w:val="true"/>
              </w:rPr>
              <w:tab/>
            </w:r>
            <w:r>
              <w:rPr>
                <w:rStyle w:val="IndexLink"/>
              </w:rPr>
              <w:t>416</w:t>
            </w:r>
          </w:hyperlink>
        </w:p>
        <w:p>
          <w:pPr>
            <w:pStyle w:val="Contents4"/>
            <w:tabs>
              <w:tab w:val="clear" w:pos="8176"/>
              <w:tab w:val="right" w:pos="9026" w:leader="dot"/>
            </w:tabs>
            <w:rPr/>
          </w:pPr>
          <w:hyperlink w:anchor="__RefHeading___Toc3586013_3650668749">
            <w:r>
              <w:rPr>
                <w:webHidden/>
                <w:rStyle w:val="IndexLink"/>
                <w:rtl w:val="true"/>
              </w:rPr>
              <w:t>ب</w:t>
            </w:r>
            <w:r>
              <w:rPr>
                <w:rStyle w:val="IndexLink"/>
                <w:rtl w:val="true"/>
              </w:rPr>
              <w:t xml:space="preserve">) </w:t>
            </w:r>
            <w:r>
              <w:rPr>
                <w:rStyle w:val="IndexLink"/>
                <w:rtl w:val="true"/>
              </w:rPr>
              <w:t>وسايل حمل و نقل</w:t>
            </w:r>
            <w:r>
              <w:rPr>
                <w:rStyle w:val="IndexLink"/>
                <w:rtl w:val="true"/>
              </w:rPr>
              <w:tab/>
            </w:r>
            <w:r>
              <w:rPr>
                <w:rStyle w:val="IndexLink"/>
              </w:rPr>
              <w:t>416</w:t>
            </w:r>
          </w:hyperlink>
        </w:p>
        <w:p>
          <w:pPr>
            <w:pStyle w:val="Contents3"/>
            <w:tabs>
              <w:tab w:val="clear" w:pos="8459"/>
              <w:tab w:val="right" w:pos="9026" w:leader="dot"/>
            </w:tabs>
            <w:rPr/>
          </w:pPr>
          <w:hyperlink w:anchor="__RefHeading___Toc3586015_3650668749">
            <w:r>
              <w:rPr>
                <w:webHidden/>
                <w:rStyle w:val="IndexLink"/>
              </w:rPr>
              <w:t>٧</w:t>
            </w:r>
            <w:r>
              <w:rPr>
                <w:rStyle w:val="IndexLink"/>
                <w:rtl w:val="true"/>
              </w:rPr>
              <w:t xml:space="preserve">. </w:t>
            </w:r>
            <w:r>
              <w:rPr>
                <w:rStyle w:val="IndexLink"/>
                <w:rtl w:val="true"/>
              </w:rPr>
              <w:t>وسايل روشنايى</w:t>
            </w:r>
            <w:r>
              <w:rPr>
                <w:rStyle w:val="IndexLink"/>
                <w:rtl w:val="true"/>
              </w:rPr>
              <w:tab/>
            </w:r>
            <w:r>
              <w:rPr>
                <w:rStyle w:val="IndexLink"/>
              </w:rPr>
              <w:t>418</w:t>
            </w:r>
          </w:hyperlink>
        </w:p>
        <w:p>
          <w:pPr>
            <w:pStyle w:val="Contents4"/>
            <w:tabs>
              <w:tab w:val="clear" w:pos="8176"/>
              <w:tab w:val="right" w:pos="9026" w:leader="dot"/>
            </w:tabs>
            <w:rPr/>
          </w:pPr>
          <w:hyperlink w:anchor="__RefHeading___Toc3586017_3650668749">
            <w:r>
              <w:rPr>
                <w:webHidden/>
                <w:rStyle w:val="IndexLink"/>
                <w:rtl w:val="true"/>
              </w:rPr>
              <w:t>اشاره</w:t>
            </w:r>
            <w:r>
              <w:rPr>
                <w:rStyle w:val="IndexLink"/>
                <w:rtl w:val="true"/>
              </w:rPr>
              <w:tab/>
            </w:r>
            <w:r>
              <w:rPr>
                <w:rStyle w:val="IndexLink"/>
              </w:rPr>
              <w:t>418</w:t>
            </w:r>
          </w:hyperlink>
        </w:p>
        <w:p>
          <w:pPr>
            <w:pStyle w:val="Contents4"/>
            <w:tabs>
              <w:tab w:val="clear" w:pos="8176"/>
              <w:tab w:val="right" w:pos="9026" w:leader="dot"/>
            </w:tabs>
            <w:rPr/>
          </w:pPr>
          <w:hyperlink w:anchor="__RefHeading___Toc3586019_3650668749">
            <w:r>
              <w:rPr>
                <w:webHidden/>
                <w:rStyle w:val="IndexLink"/>
                <w:rtl w:val="true"/>
              </w:rPr>
              <w:t>الف</w:t>
            </w:r>
            <w:r>
              <w:rPr>
                <w:rStyle w:val="IndexLink"/>
                <w:rtl w:val="true"/>
              </w:rPr>
              <w:t xml:space="preserve">) </w:t>
            </w:r>
            <w:r>
              <w:rPr>
                <w:rStyle w:val="IndexLink"/>
                <w:rtl w:val="true"/>
              </w:rPr>
              <w:t xml:space="preserve">سِراج </w:t>
            </w:r>
            <w:r>
              <w:rPr>
                <w:rStyle w:val="IndexLink"/>
                <w:rtl w:val="true"/>
              </w:rPr>
              <w:t>(</w:t>
            </w:r>
            <w:r>
              <w:rPr>
                <w:rStyle w:val="IndexLink"/>
                <w:rtl w:val="true"/>
              </w:rPr>
              <w:t>مصباح</w:t>
            </w:r>
            <w:r>
              <w:rPr>
                <w:rStyle w:val="IndexLink"/>
                <w:rtl w:val="true"/>
              </w:rPr>
              <w:t>)</w:t>
              <w:tab/>
            </w:r>
            <w:r>
              <w:rPr>
                <w:rStyle w:val="IndexLink"/>
              </w:rPr>
              <w:t>418</w:t>
            </w:r>
          </w:hyperlink>
        </w:p>
        <w:p>
          <w:pPr>
            <w:pStyle w:val="Contents4"/>
            <w:tabs>
              <w:tab w:val="clear" w:pos="8176"/>
              <w:tab w:val="right" w:pos="9026" w:leader="dot"/>
            </w:tabs>
            <w:rPr/>
          </w:pPr>
          <w:hyperlink w:anchor="__RefHeading___Toc3586021_3650668749">
            <w:r>
              <w:rPr>
                <w:webHidden/>
                <w:rStyle w:val="IndexLink"/>
                <w:rtl w:val="true"/>
              </w:rPr>
              <w:t>ب</w:t>
            </w:r>
            <w:r>
              <w:rPr>
                <w:rStyle w:val="IndexLink"/>
                <w:rtl w:val="true"/>
              </w:rPr>
              <w:t xml:space="preserve">) </w:t>
            </w:r>
            <w:r>
              <w:rPr>
                <w:rStyle w:val="IndexLink"/>
                <w:rtl w:val="true"/>
              </w:rPr>
              <w:t>قنديل</w:t>
            </w:r>
            <w:r>
              <w:rPr>
                <w:rStyle w:val="IndexLink"/>
                <w:rtl w:val="true"/>
              </w:rPr>
              <w:tab/>
            </w:r>
            <w:r>
              <w:rPr>
                <w:rStyle w:val="IndexLink"/>
              </w:rPr>
              <w:t>419</w:t>
            </w:r>
          </w:hyperlink>
        </w:p>
        <w:p>
          <w:pPr>
            <w:pStyle w:val="Contents4"/>
            <w:tabs>
              <w:tab w:val="clear" w:pos="8176"/>
              <w:tab w:val="right" w:pos="9026" w:leader="dot"/>
            </w:tabs>
            <w:rPr/>
          </w:pPr>
          <w:hyperlink w:anchor="__RefHeading___Toc3586023_3650668749">
            <w:r>
              <w:rPr>
                <w:webHidden/>
                <w:rStyle w:val="IndexLink"/>
                <w:rtl w:val="true"/>
              </w:rPr>
              <w:t>ج</w:t>
            </w:r>
            <w:r>
              <w:rPr>
                <w:rStyle w:val="IndexLink"/>
                <w:rtl w:val="true"/>
              </w:rPr>
              <w:t xml:space="preserve">) </w:t>
            </w:r>
            <w:r>
              <w:rPr>
                <w:rStyle w:val="IndexLink"/>
                <w:rtl w:val="true"/>
              </w:rPr>
              <w:t>شمع</w:t>
            </w:r>
            <w:r>
              <w:rPr>
                <w:rStyle w:val="IndexLink"/>
                <w:rtl w:val="true"/>
              </w:rPr>
              <w:tab/>
            </w:r>
            <w:r>
              <w:rPr>
                <w:rStyle w:val="IndexLink"/>
              </w:rPr>
              <w:t>420</w:t>
            </w:r>
          </w:hyperlink>
        </w:p>
        <w:p>
          <w:pPr>
            <w:pStyle w:val="Contents4"/>
            <w:tabs>
              <w:tab w:val="clear" w:pos="8176"/>
              <w:tab w:val="right" w:pos="9026" w:leader="dot"/>
            </w:tabs>
            <w:rPr/>
          </w:pPr>
          <w:hyperlink w:anchor="__RefHeading___Toc3586025_3650668749">
            <w:r>
              <w:rPr>
                <w:webHidden/>
                <w:rStyle w:val="IndexLink"/>
                <w:rtl w:val="true"/>
              </w:rPr>
              <w:t>د</w:t>
            </w:r>
            <w:r>
              <w:rPr>
                <w:rStyle w:val="IndexLink"/>
                <w:rtl w:val="true"/>
              </w:rPr>
              <w:t xml:space="preserve">) </w:t>
            </w:r>
            <w:r>
              <w:rPr>
                <w:rStyle w:val="IndexLink"/>
                <w:rtl w:val="true"/>
              </w:rPr>
              <w:t>حراديّ</w:t>
            </w:r>
            <w:r>
              <w:rPr>
                <w:rStyle w:val="IndexLink"/>
                <w:rtl w:val="true"/>
              </w:rPr>
              <w:tab/>
            </w:r>
            <w:r>
              <w:rPr>
                <w:rStyle w:val="IndexLink"/>
              </w:rPr>
              <w:t>420</w:t>
            </w:r>
          </w:hyperlink>
        </w:p>
        <w:p>
          <w:pPr>
            <w:pStyle w:val="Contents3"/>
            <w:tabs>
              <w:tab w:val="clear" w:pos="8459"/>
              <w:tab w:val="right" w:pos="9026" w:leader="dot"/>
            </w:tabs>
            <w:rPr/>
          </w:pPr>
          <w:hyperlink w:anchor="__RefHeading___Toc3586027_3650668749">
            <w:r>
              <w:rPr>
                <w:webHidden/>
                <w:rStyle w:val="IndexLink"/>
              </w:rPr>
              <w:t>٨</w:t>
            </w:r>
            <w:r>
              <w:rPr>
                <w:rStyle w:val="IndexLink"/>
                <w:rtl w:val="true"/>
              </w:rPr>
              <w:t xml:space="preserve">. </w:t>
            </w:r>
            <w:r>
              <w:rPr>
                <w:rStyle w:val="IndexLink"/>
                <w:rtl w:val="true"/>
              </w:rPr>
              <w:t>ظروف</w:t>
            </w:r>
            <w:r>
              <w:rPr>
                <w:rStyle w:val="IndexLink"/>
                <w:rtl w:val="true"/>
              </w:rPr>
              <w:tab/>
            </w:r>
            <w:r>
              <w:rPr>
                <w:rStyle w:val="IndexLink"/>
              </w:rPr>
              <w:t>421</w:t>
            </w:r>
          </w:hyperlink>
        </w:p>
        <w:p>
          <w:pPr>
            <w:pStyle w:val="Contents4"/>
            <w:tabs>
              <w:tab w:val="clear" w:pos="8176"/>
              <w:tab w:val="right" w:pos="9026" w:leader="dot"/>
            </w:tabs>
            <w:rPr/>
          </w:pPr>
          <w:hyperlink w:anchor="__RefHeading___Toc3586029_3650668749">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3586031_3650668749">
            <w:r>
              <w:rPr>
                <w:webHidden/>
                <w:rStyle w:val="IndexLink"/>
                <w:rtl w:val="true"/>
              </w:rPr>
              <w:t>الف</w:t>
            </w:r>
            <w:r>
              <w:rPr>
                <w:rStyle w:val="IndexLink"/>
                <w:rtl w:val="true"/>
              </w:rPr>
              <w:t xml:space="preserve">) </w:t>
            </w:r>
            <w:r>
              <w:rPr>
                <w:rStyle w:val="IndexLink"/>
                <w:rtl w:val="true"/>
              </w:rPr>
              <w:t>ابريق</w:t>
            </w:r>
            <w:r>
              <w:rPr>
                <w:rStyle w:val="IndexLink"/>
                <w:rtl w:val="true"/>
              </w:rPr>
              <w:tab/>
            </w:r>
            <w:r>
              <w:rPr>
                <w:rStyle w:val="IndexLink"/>
              </w:rPr>
              <w:t>421</w:t>
            </w:r>
          </w:hyperlink>
        </w:p>
        <w:p>
          <w:pPr>
            <w:pStyle w:val="Contents4"/>
            <w:tabs>
              <w:tab w:val="clear" w:pos="8176"/>
              <w:tab w:val="right" w:pos="9026" w:leader="dot"/>
            </w:tabs>
            <w:rPr/>
          </w:pPr>
          <w:hyperlink w:anchor="__RefHeading___Toc3586033_3650668749">
            <w:r>
              <w:rPr>
                <w:webHidden/>
                <w:rStyle w:val="IndexLink"/>
                <w:rtl w:val="true"/>
              </w:rPr>
              <w:t>ب</w:t>
            </w:r>
            <w:r>
              <w:rPr>
                <w:rStyle w:val="IndexLink"/>
                <w:rtl w:val="true"/>
              </w:rPr>
              <w:t xml:space="preserve">) </w:t>
            </w:r>
            <w:r>
              <w:rPr>
                <w:rStyle w:val="IndexLink"/>
                <w:rtl w:val="true"/>
              </w:rPr>
              <w:t>اِداوَه</w:t>
            </w:r>
            <w:r>
              <w:rPr>
                <w:rStyle w:val="IndexLink"/>
                <w:rtl w:val="true"/>
              </w:rPr>
              <w:tab/>
            </w:r>
            <w:r>
              <w:rPr>
                <w:rStyle w:val="IndexLink"/>
              </w:rPr>
              <w:t>421</w:t>
            </w:r>
          </w:hyperlink>
        </w:p>
        <w:p>
          <w:pPr>
            <w:pStyle w:val="Contents4"/>
            <w:tabs>
              <w:tab w:val="clear" w:pos="8176"/>
              <w:tab w:val="right" w:pos="9026" w:leader="dot"/>
            </w:tabs>
            <w:rPr/>
          </w:pPr>
          <w:hyperlink w:anchor="__RefHeading___Toc3586035_3650668749">
            <w:r>
              <w:rPr>
                <w:webHidden/>
                <w:rStyle w:val="IndexLink"/>
                <w:rtl w:val="true"/>
              </w:rPr>
              <w:t>ج</w:t>
            </w:r>
            <w:r>
              <w:rPr>
                <w:rStyle w:val="IndexLink"/>
                <w:rtl w:val="true"/>
              </w:rPr>
              <w:t xml:space="preserve">) </w:t>
            </w:r>
            <w:r>
              <w:rPr>
                <w:rStyle w:val="IndexLink"/>
                <w:rtl w:val="true"/>
              </w:rPr>
              <w:t>بُرْمَه</w:t>
            </w:r>
            <w:r>
              <w:rPr>
                <w:rStyle w:val="IndexLink"/>
                <w:rtl w:val="true"/>
              </w:rPr>
              <w:tab/>
            </w:r>
            <w:r>
              <w:rPr>
                <w:rStyle w:val="IndexLink"/>
              </w:rPr>
              <w:t>421</w:t>
            </w:r>
          </w:hyperlink>
        </w:p>
        <w:p>
          <w:pPr>
            <w:pStyle w:val="Contents4"/>
            <w:tabs>
              <w:tab w:val="clear" w:pos="8176"/>
              <w:tab w:val="right" w:pos="9026" w:leader="dot"/>
            </w:tabs>
            <w:rPr/>
          </w:pPr>
          <w:hyperlink w:anchor="__RefHeading___Toc3586037_3650668749">
            <w:r>
              <w:rPr>
                <w:webHidden/>
                <w:rStyle w:val="IndexLink"/>
                <w:rtl w:val="true"/>
              </w:rPr>
              <w:t>د</w:t>
            </w:r>
            <w:r>
              <w:rPr>
                <w:rStyle w:val="IndexLink"/>
                <w:rtl w:val="true"/>
              </w:rPr>
              <w:t xml:space="preserve">) </w:t>
            </w:r>
            <w:r>
              <w:rPr>
                <w:rStyle w:val="IndexLink"/>
                <w:rtl w:val="true"/>
              </w:rPr>
              <w:t>تَوْر</w:t>
            </w:r>
            <w:r>
              <w:rPr>
                <w:rStyle w:val="IndexLink"/>
                <w:rtl w:val="true"/>
              </w:rPr>
              <w:tab/>
            </w:r>
            <w:r>
              <w:rPr>
                <w:rStyle w:val="IndexLink"/>
              </w:rPr>
              <w:t>421</w:t>
            </w:r>
          </w:hyperlink>
        </w:p>
        <w:p>
          <w:pPr>
            <w:pStyle w:val="Contents4"/>
            <w:tabs>
              <w:tab w:val="clear" w:pos="8176"/>
              <w:tab w:val="right" w:pos="9026" w:leader="dot"/>
            </w:tabs>
            <w:rPr/>
          </w:pPr>
          <w:hyperlink w:anchor="__RefHeading___Toc3586039_3650668749">
            <w:r>
              <w:rPr>
                <w:webHidden/>
                <w:rStyle w:val="IndexLink"/>
                <w:rtl w:val="true"/>
              </w:rPr>
              <w:t>ه</w:t>
            </w:r>
            <w:r>
              <w:rPr>
                <w:rStyle w:val="IndexLink"/>
                <w:rtl w:val="true"/>
              </w:rPr>
              <w:t xml:space="preserve">) </w:t>
            </w:r>
            <w:r>
              <w:rPr>
                <w:rStyle w:val="IndexLink"/>
                <w:rtl w:val="true"/>
              </w:rPr>
              <w:t>جِراب</w:t>
            </w:r>
            <w:r>
              <w:rPr>
                <w:rStyle w:val="IndexLink"/>
                <w:rtl w:val="true"/>
              </w:rPr>
              <w:tab/>
            </w:r>
            <w:r>
              <w:rPr>
                <w:rStyle w:val="IndexLink"/>
              </w:rPr>
              <w:t>422</w:t>
            </w:r>
          </w:hyperlink>
        </w:p>
        <w:p>
          <w:pPr>
            <w:pStyle w:val="Contents4"/>
            <w:tabs>
              <w:tab w:val="clear" w:pos="8176"/>
              <w:tab w:val="right" w:pos="9026" w:leader="dot"/>
            </w:tabs>
            <w:rPr/>
          </w:pPr>
          <w:hyperlink w:anchor="__RefHeading___Toc3586041_3650668749">
            <w:r>
              <w:rPr>
                <w:webHidden/>
                <w:rStyle w:val="IndexLink"/>
                <w:rtl w:val="true"/>
              </w:rPr>
              <w:t>و</w:t>
            </w:r>
            <w:r>
              <w:rPr>
                <w:rStyle w:val="IndexLink"/>
                <w:rtl w:val="true"/>
              </w:rPr>
              <w:t xml:space="preserve">) </w:t>
            </w:r>
            <w:r>
              <w:rPr>
                <w:rStyle w:val="IndexLink"/>
                <w:rtl w:val="true"/>
              </w:rPr>
              <w:t>جَرَّه</w:t>
            </w:r>
            <w:r>
              <w:rPr>
                <w:rStyle w:val="IndexLink"/>
                <w:rtl w:val="true"/>
              </w:rPr>
              <w:tab/>
            </w:r>
            <w:r>
              <w:rPr>
                <w:rStyle w:val="IndexLink"/>
              </w:rPr>
              <w:t>422</w:t>
            </w:r>
          </w:hyperlink>
        </w:p>
        <w:p>
          <w:pPr>
            <w:pStyle w:val="Contents4"/>
            <w:tabs>
              <w:tab w:val="clear" w:pos="8176"/>
              <w:tab w:val="right" w:pos="9026" w:leader="dot"/>
            </w:tabs>
            <w:rPr/>
          </w:pPr>
          <w:hyperlink w:anchor="__RefHeading___Toc3586043_3650668749">
            <w:r>
              <w:rPr>
                <w:webHidden/>
                <w:rStyle w:val="IndexLink"/>
                <w:rtl w:val="true"/>
              </w:rPr>
              <w:t>ز</w:t>
            </w:r>
            <w:r>
              <w:rPr>
                <w:rStyle w:val="IndexLink"/>
                <w:rtl w:val="true"/>
              </w:rPr>
              <w:t xml:space="preserve">) </w:t>
            </w:r>
            <w:r>
              <w:rPr>
                <w:rStyle w:val="IndexLink"/>
                <w:rtl w:val="true"/>
              </w:rPr>
              <w:t>جَفْنَه</w:t>
            </w:r>
            <w:r>
              <w:rPr>
                <w:rStyle w:val="IndexLink"/>
                <w:rtl w:val="true"/>
              </w:rPr>
              <w:tab/>
            </w:r>
            <w:r>
              <w:rPr>
                <w:rStyle w:val="IndexLink"/>
              </w:rPr>
              <w:t>422</w:t>
            </w:r>
          </w:hyperlink>
        </w:p>
        <w:p>
          <w:pPr>
            <w:pStyle w:val="Contents4"/>
            <w:tabs>
              <w:tab w:val="clear" w:pos="8176"/>
              <w:tab w:val="right" w:pos="9026" w:leader="dot"/>
            </w:tabs>
            <w:rPr/>
          </w:pPr>
          <w:hyperlink w:anchor="__RefHeading___Toc3586045_3650668749">
            <w:r>
              <w:rPr>
                <w:webHidden/>
                <w:rStyle w:val="IndexLink"/>
                <w:rtl w:val="true"/>
              </w:rPr>
              <w:t>ح</w:t>
            </w:r>
            <w:r>
              <w:rPr>
                <w:rStyle w:val="IndexLink"/>
                <w:rtl w:val="true"/>
              </w:rPr>
              <w:t xml:space="preserve">) </w:t>
            </w:r>
            <w:r>
              <w:rPr>
                <w:rStyle w:val="IndexLink"/>
                <w:rtl w:val="true"/>
              </w:rPr>
              <w:t>دَلْو</w:t>
            </w:r>
            <w:r>
              <w:rPr>
                <w:rStyle w:val="IndexLink"/>
                <w:rtl w:val="true"/>
              </w:rPr>
              <w:tab/>
            </w:r>
            <w:r>
              <w:rPr>
                <w:rStyle w:val="IndexLink"/>
              </w:rPr>
              <w:t>422</w:t>
            </w:r>
          </w:hyperlink>
        </w:p>
        <w:p>
          <w:pPr>
            <w:pStyle w:val="Contents4"/>
            <w:tabs>
              <w:tab w:val="clear" w:pos="8176"/>
              <w:tab w:val="right" w:pos="9026" w:leader="dot"/>
            </w:tabs>
            <w:rPr/>
          </w:pPr>
          <w:hyperlink w:anchor="__RefHeading___Toc3586047_3650668749">
            <w:r>
              <w:rPr>
                <w:webHidden/>
                <w:rStyle w:val="IndexLink"/>
                <w:rtl w:val="true"/>
              </w:rPr>
              <w:t>ط</w:t>
            </w:r>
            <w:r>
              <w:rPr>
                <w:rStyle w:val="IndexLink"/>
                <w:rtl w:val="true"/>
              </w:rPr>
              <w:t xml:space="preserve">) </w:t>
            </w:r>
            <w:r>
              <w:rPr>
                <w:rStyle w:val="IndexLink"/>
                <w:rtl w:val="true"/>
              </w:rPr>
              <w:t>زِكْوَه</w:t>
            </w:r>
            <w:r>
              <w:rPr>
                <w:rStyle w:val="IndexLink"/>
                <w:rtl w:val="true"/>
              </w:rPr>
              <w:tab/>
            </w:r>
            <w:r>
              <w:rPr>
                <w:rStyle w:val="IndexLink"/>
              </w:rPr>
              <w:t>423</w:t>
            </w:r>
          </w:hyperlink>
        </w:p>
        <w:p>
          <w:pPr>
            <w:pStyle w:val="Contents4"/>
            <w:tabs>
              <w:tab w:val="clear" w:pos="8176"/>
              <w:tab w:val="right" w:pos="9026" w:leader="dot"/>
            </w:tabs>
            <w:rPr/>
          </w:pPr>
          <w:hyperlink w:anchor="__RefHeading___Toc3586049_3650668749">
            <w:r>
              <w:rPr>
                <w:webHidden/>
                <w:rStyle w:val="IndexLink"/>
                <w:rtl w:val="true"/>
              </w:rPr>
              <w:t>ي</w:t>
            </w:r>
            <w:r>
              <w:rPr>
                <w:rStyle w:val="IndexLink"/>
                <w:rtl w:val="true"/>
              </w:rPr>
              <w:t xml:space="preserve">) </w:t>
            </w:r>
            <w:r>
              <w:rPr>
                <w:rStyle w:val="IndexLink"/>
                <w:rtl w:val="true"/>
              </w:rPr>
              <w:t>زِقّ</w:t>
            </w:r>
            <w:r>
              <w:rPr>
                <w:rStyle w:val="IndexLink"/>
                <w:rtl w:val="true"/>
              </w:rPr>
              <w:tab/>
            </w:r>
            <w:r>
              <w:rPr>
                <w:rStyle w:val="IndexLink"/>
              </w:rPr>
              <w:t>423</w:t>
            </w:r>
          </w:hyperlink>
        </w:p>
        <w:p>
          <w:pPr>
            <w:pStyle w:val="Contents4"/>
            <w:tabs>
              <w:tab w:val="clear" w:pos="8176"/>
              <w:tab w:val="right" w:pos="9026" w:leader="dot"/>
            </w:tabs>
            <w:rPr/>
          </w:pPr>
          <w:hyperlink w:anchor="__RefHeading___Toc3586051_3650668749">
            <w:r>
              <w:rPr>
                <w:webHidden/>
                <w:rStyle w:val="IndexLink"/>
                <w:rtl w:val="true"/>
              </w:rPr>
              <w:t>ك</w:t>
            </w:r>
            <w:r>
              <w:rPr>
                <w:rStyle w:val="IndexLink"/>
                <w:rtl w:val="true"/>
              </w:rPr>
              <w:t xml:space="preserve">) </w:t>
            </w:r>
            <w:r>
              <w:rPr>
                <w:rStyle w:val="IndexLink"/>
                <w:rtl w:val="true"/>
              </w:rPr>
              <w:t>سطيحه</w:t>
            </w:r>
            <w:r>
              <w:rPr>
                <w:rStyle w:val="IndexLink"/>
                <w:rtl w:val="true"/>
              </w:rPr>
              <w:tab/>
            </w:r>
            <w:r>
              <w:rPr>
                <w:rStyle w:val="IndexLink"/>
              </w:rPr>
              <w:t>423</w:t>
            </w:r>
          </w:hyperlink>
        </w:p>
        <w:p>
          <w:pPr>
            <w:pStyle w:val="Contents4"/>
            <w:tabs>
              <w:tab w:val="clear" w:pos="8176"/>
              <w:tab w:val="right" w:pos="9026" w:leader="dot"/>
            </w:tabs>
            <w:rPr/>
          </w:pPr>
          <w:hyperlink w:anchor="__RefHeading___Toc3586053_3650668749">
            <w:r>
              <w:rPr>
                <w:webHidden/>
                <w:rStyle w:val="IndexLink"/>
                <w:rtl w:val="true"/>
              </w:rPr>
              <w:t>ل</w:t>
            </w:r>
            <w:r>
              <w:rPr>
                <w:rStyle w:val="IndexLink"/>
                <w:rtl w:val="true"/>
              </w:rPr>
              <w:t xml:space="preserve">) </w:t>
            </w:r>
            <w:r>
              <w:rPr>
                <w:rStyle w:val="IndexLink"/>
                <w:rtl w:val="true"/>
              </w:rPr>
              <w:t>شَنّ</w:t>
            </w:r>
            <w:r>
              <w:rPr>
                <w:rStyle w:val="IndexLink"/>
                <w:rtl w:val="true"/>
              </w:rPr>
              <w:tab/>
            </w:r>
            <w:r>
              <w:rPr>
                <w:rStyle w:val="IndexLink"/>
              </w:rPr>
              <w:t>423</w:t>
            </w:r>
          </w:hyperlink>
        </w:p>
        <w:p>
          <w:pPr>
            <w:pStyle w:val="Contents4"/>
            <w:tabs>
              <w:tab w:val="clear" w:pos="8176"/>
              <w:tab w:val="right" w:pos="9026" w:leader="dot"/>
            </w:tabs>
            <w:rPr/>
          </w:pPr>
          <w:hyperlink w:anchor="__RefHeading___Toc3586055_3650668749">
            <w:r>
              <w:rPr>
                <w:webHidden/>
                <w:rStyle w:val="IndexLink"/>
                <w:rtl w:val="true"/>
              </w:rPr>
              <w:t>م</w:t>
            </w:r>
            <w:r>
              <w:rPr>
                <w:rStyle w:val="IndexLink"/>
                <w:rtl w:val="true"/>
              </w:rPr>
              <w:t xml:space="preserve">) </w:t>
            </w:r>
            <w:r>
              <w:rPr>
                <w:rStyle w:val="IndexLink"/>
                <w:rtl w:val="true"/>
              </w:rPr>
              <w:t>صَحْفَه</w:t>
            </w:r>
            <w:r>
              <w:rPr>
                <w:rStyle w:val="IndexLink"/>
                <w:rtl w:val="true"/>
              </w:rPr>
              <w:tab/>
            </w:r>
            <w:r>
              <w:rPr>
                <w:rStyle w:val="IndexLink"/>
              </w:rPr>
              <w:t>424</w:t>
            </w:r>
          </w:hyperlink>
        </w:p>
        <w:p>
          <w:pPr>
            <w:pStyle w:val="Contents4"/>
            <w:tabs>
              <w:tab w:val="clear" w:pos="8176"/>
              <w:tab w:val="right" w:pos="9026" w:leader="dot"/>
            </w:tabs>
            <w:rPr/>
          </w:pPr>
          <w:hyperlink w:anchor="__RefHeading___Toc3586057_3650668749">
            <w:r>
              <w:rPr>
                <w:webHidden/>
                <w:rStyle w:val="IndexLink"/>
                <w:rtl w:val="true"/>
              </w:rPr>
              <w:t>ن</w:t>
            </w:r>
            <w:r>
              <w:rPr>
                <w:rStyle w:val="IndexLink"/>
                <w:rtl w:val="true"/>
              </w:rPr>
              <w:t xml:space="preserve">) </w:t>
            </w:r>
            <w:r>
              <w:rPr>
                <w:rStyle w:val="IndexLink"/>
                <w:rtl w:val="true"/>
              </w:rPr>
              <w:t xml:space="preserve">طَست </w:t>
            </w:r>
            <w:r>
              <w:rPr>
                <w:rStyle w:val="IndexLink"/>
                <w:rtl w:val="true"/>
              </w:rPr>
              <w:t>(</w:t>
            </w:r>
            <w:r>
              <w:rPr>
                <w:rStyle w:val="IndexLink"/>
                <w:rtl w:val="true"/>
              </w:rPr>
              <w:t>طشت</w:t>
            </w:r>
            <w:r>
              <w:rPr>
                <w:rStyle w:val="IndexLink"/>
                <w:rtl w:val="true"/>
              </w:rPr>
              <w:t>)</w:t>
              <w:tab/>
            </w:r>
            <w:r>
              <w:rPr>
                <w:rStyle w:val="IndexLink"/>
              </w:rPr>
              <w:t>424</w:t>
            </w:r>
          </w:hyperlink>
        </w:p>
        <w:p>
          <w:pPr>
            <w:pStyle w:val="Contents4"/>
            <w:tabs>
              <w:tab w:val="clear" w:pos="8176"/>
              <w:tab w:val="right" w:pos="9026" w:leader="dot"/>
            </w:tabs>
            <w:rPr/>
          </w:pPr>
          <w:hyperlink w:anchor="__RefHeading___Toc3586059_3650668749">
            <w:r>
              <w:rPr>
                <w:webHidden/>
                <w:rStyle w:val="IndexLink"/>
                <w:rtl w:val="true"/>
              </w:rPr>
              <w:t>س</w:t>
            </w:r>
            <w:r>
              <w:rPr>
                <w:rStyle w:val="IndexLink"/>
                <w:rtl w:val="true"/>
              </w:rPr>
              <w:t xml:space="preserve">) </w:t>
            </w:r>
            <w:r>
              <w:rPr>
                <w:rStyle w:val="IndexLink"/>
                <w:rtl w:val="true"/>
              </w:rPr>
              <w:t>ظَبْيَه</w:t>
            </w:r>
            <w:r>
              <w:rPr>
                <w:rStyle w:val="IndexLink"/>
                <w:rtl w:val="true"/>
              </w:rPr>
              <w:tab/>
            </w:r>
            <w:r>
              <w:rPr>
                <w:rStyle w:val="IndexLink"/>
              </w:rPr>
              <w:t>424</w:t>
            </w:r>
          </w:hyperlink>
        </w:p>
        <w:p>
          <w:pPr>
            <w:pStyle w:val="Contents4"/>
            <w:tabs>
              <w:tab w:val="clear" w:pos="8176"/>
              <w:tab w:val="right" w:pos="9026" w:leader="dot"/>
            </w:tabs>
            <w:rPr/>
          </w:pPr>
          <w:hyperlink w:anchor="__RefHeading___Toc3586061_3650668749">
            <w:r>
              <w:rPr>
                <w:webHidden/>
                <w:rStyle w:val="IndexLink"/>
                <w:rtl w:val="true"/>
              </w:rPr>
              <w:t>ع</w:t>
            </w:r>
            <w:r>
              <w:rPr>
                <w:rStyle w:val="IndexLink"/>
                <w:rtl w:val="true"/>
              </w:rPr>
              <w:t xml:space="preserve">) </w:t>
            </w:r>
            <w:r>
              <w:rPr>
                <w:rStyle w:val="IndexLink"/>
                <w:rtl w:val="true"/>
              </w:rPr>
              <w:t>عُكَّه</w:t>
            </w:r>
            <w:r>
              <w:rPr>
                <w:rStyle w:val="IndexLink"/>
                <w:rtl w:val="true"/>
              </w:rPr>
              <w:tab/>
            </w:r>
            <w:r>
              <w:rPr>
                <w:rStyle w:val="IndexLink"/>
              </w:rPr>
              <w:t>424</w:t>
            </w:r>
          </w:hyperlink>
        </w:p>
        <w:p>
          <w:pPr>
            <w:pStyle w:val="Contents4"/>
            <w:tabs>
              <w:tab w:val="clear" w:pos="8176"/>
              <w:tab w:val="right" w:pos="9026" w:leader="dot"/>
            </w:tabs>
            <w:rPr/>
          </w:pPr>
          <w:hyperlink w:anchor="__RefHeading___Toc3586063_3650668749">
            <w:r>
              <w:rPr>
                <w:webHidden/>
                <w:rStyle w:val="IndexLink"/>
                <w:rtl w:val="true"/>
              </w:rPr>
              <w:t>ف</w:t>
            </w:r>
            <w:r>
              <w:rPr>
                <w:rStyle w:val="IndexLink"/>
                <w:rtl w:val="true"/>
              </w:rPr>
              <w:t xml:space="preserve">) </w:t>
            </w:r>
            <w:r>
              <w:rPr>
                <w:rStyle w:val="IndexLink"/>
                <w:rtl w:val="true"/>
              </w:rPr>
              <w:t>قارُورَه</w:t>
            </w:r>
            <w:r>
              <w:rPr>
                <w:rStyle w:val="IndexLink"/>
                <w:rtl w:val="true"/>
              </w:rPr>
              <w:tab/>
            </w:r>
            <w:r>
              <w:rPr>
                <w:rStyle w:val="IndexLink"/>
              </w:rPr>
              <w:t>425</w:t>
            </w:r>
          </w:hyperlink>
        </w:p>
        <w:p>
          <w:pPr>
            <w:pStyle w:val="Contents4"/>
            <w:tabs>
              <w:tab w:val="clear" w:pos="8176"/>
              <w:tab w:val="right" w:pos="9026" w:leader="dot"/>
            </w:tabs>
            <w:rPr/>
          </w:pPr>
          <w:hyperlink w:anchor="__RefHeading___Toc3586065_3650668749">
            <w:r>
              <w:rPr>
                <w:webHidden/>
                <w:rStyle w:val="IndexLink"/>
                <w:rtl w:val="true"/>
              </w:rPr>
              <w:t>ص</w:t>
            </w:r>
            <w:r>
              <w:rPr>
                <w:rStyle w:val="IndexLink"/>
                <w:rtl w:val="true"/>
              </w:rPr>
              <w:t xml:space="preserve">) </w:t>
            </w:r>
            <w:r>
              <w:rPr>
                <w:rStyle w:val="IndexLink"/>
                <w:rtl w:val="true"/>
              </w:rPr>
              <w:t>قَدَح</w:t>
            </w:r>
            <w:r>
              <w:rPr>
                <w:rStyle w:val="IndexLink"/>
                <w:rtl w:val="true"/>
              </w:rPr>
              <w:tab/>
            </w:r>
            <w:r>
              <w:rPr>
                <w:rStyle w:val="IndexLink"/>
              </w:rPr>
              <w:t>425</w:t>
            </w:r>
          </w:hyperlink>
        </w:p>
        <w:p>
          <w:pPr>
            <w:pStyle w:val="Contents4"/>
            <w:tabs>
              <w:tab w:val="clear" w:pos="8176"/>
              <w:tab w:val="right" w:pos="9026" w:leader="dot"/>
            </w:tabs>
            <w:rPr/>
          </w:pPr>
          <w:hyperlink w:anchor="__RefHeading___Toc3586067_3650668749">
            <w:r>
              <w:rPr>
                <w:webHidden/>
                <w:rStyle w:val="IndexLink"/>
                <w:rtl w:val="true"/>
              </w:rPr>
              <w:t>ق</w:t>
            </w:r>
            <w:r>
              <w:rPr>
                <w:rStyle w:val="IndexLink"/>
                <w:rtl w:val="true"/>
              </w:rPr>
              <w:t xml:space="preserve">) </w:t>
            </w:r>
            <w:r>
              <w:rPr>
                <w:rStyle w:val="IndexLink"/>
                <w:rtl w:val="true"/>
              </w:rPr>
              <w:t>قِدْر</w:t>
            </w:r>
            <w:r>
              <w:rPr>
                <w:rStyle w:val="IndexLink"/>
                <w:rtl w:val="true"/>
              </w:rPr>
              <w:tab/>
            </w:r>
            <w:r>
              <w:rPr>
                <w:rStyle w:val="IndexLink"/>
              </w:rPr>
              <w:t>425</w:t>
            </w:r>
          </w:hyperlink>
        </w:p>
        <w:p>
          <w:pPr>
            <w:pStyle w:val="Contents4"/>
            <w:tabs>
              <w:tab w:val="clear" w:pos="8176"/>
              <w:tab w:val="right" w:pos="9026" w:leader="dot"/>
            </w:tabs>
            <w:rPr/>
          </w:pPr>
          <w:hyperlink w:anchor="__RefHeading___Toc3586069_3650668749">
            <w:r>
              <w:rPr>
                <w:webHidden/>
                <w:rStyle w:val="IndexLink"/>
                <w:rtl w:val="true"/>
              </w:rPr>
              <w:t>ر</w:t>
            </w:r>
            <w:r>
              <w:rPr>
                <w:rStyle w:val="IndexLink"/>
                <w:rtl w:val="true"/>
              </w:rPr>
              <w:t xml:space="preserve">) </w:t>
            </w:r>
            <w:r>
              <w:rPr>
                <w:rStyle w:val="IndexLink"/>
                <w:rtl w:val="true"/>
              </w:rPr>
              <w:t>قِرْبَه</w:t>
            </w:r>
            <w:r>
              <w:rPr>
                <w:rStyle w:val="IndexLink"/>
                <w:rtl w:val="true"/>
              </w:rPr>
              <w:tab/>
            </w:r>
            <w:r>
              <w:rPr>
                <w:rStyle w:val="IndexLink"/>
              </w:rPr>
              <w:t>425</w:t>
            </w:r>
          </w:hyperlink>
        </w:p>
        <w:p>
          <w:pPr>
            <w:pStyle w:val="Contents4"/>
            <w:tabs>
              <w:tab w:val="clear" w:pos="8176"/>
              <w:tab w:val="right" w:pos="9026" w:leader="dot"/>
            </w:tabs>
            <w:rPr/>
          </w:pPr>
          <w:hyperlink w:anchor="__RefHeading___Toc3586071_3650668749">
            <w:r>
              <w:rPr>
                <w:webHidden/>
                <w:rStyle w:val="IndexLink"/>
                <w:rtl w:val="true"/>
              </w:rPr>
              <w:t>ش</w:t>
            </w:r>
            <w:r>
              <w:rPr>
                <w:rStyle w:val="IndexLink"/>
                <w:rtl w:val="true"/>
              </w:rPr>
              <w:t xml:space="preserve">) </w:t>
            </w:r>
            <w:r>
              <w:rPr>
                <w:rStyle w:val="IndexLink"/>
                <w:rtl w:val="true"/>
              </w:rPr>
              <w:t xml:space="preserve">قَسْ </w:t>
            </w:r>
            <w:r>
              <w:rPr>
                <w:rStyle w:val="IndexLink"/>
                <w:rtl w:val="true"/>
              </w:rPr>
              <w:t>(</w:t>
            </w:r>
            <w:r>
              <w:rPr>
                <w:rStyle w:val="IndexLink"/>
                <w:rtl w:val="true"/>
              </w:rPr>
              <w:t>قَسّه</w:t>
            </w:r>
            <w:r>
              <w:rPr>
                <w:rStyle w:val="IndexLink"/>
                <w:rtl w:val="true"/>
              </w:rPr>
              <w:t>)</w:t>
              <w:tab/>
            </w:r>
            <w:r>
              <w:rPr>
                <w:rStyle w:val="IndexLink"/>
              </w:rPr>
              <w:t>426</w:t>
            </w:r>
          </w:hyperlink>
        </w:p>
        <w:p>
          <w:pPr>
            <w:pStyle w:val="Contents4"/>
            <w:tabs>
              <w:tab w:val="clear" w:pos="8176"/>
              <w:tab w:val="right" w:pos="9026" w:leader="dot"/>
            </w:tabs>
            <w:rPr/>
          </w:pPr>
          <w:hyperlink w:anchor="__RefHeading___Toc3586073_3650668749">
            <w:r>
              <w:rPr>
                <w:webHidden/>
                <w:rStyle w:val="IndexLink"/>
                <w:rtl w:val="true"/>
              </w:rPr>
              <w:t>ت</w:t>
            </w:r>
            <w:r>
              <w:rPr>
                <w:rStyle w:val="IndexLink"/>
                <w:rtl w:val="true"/>
              </w:rPr>
              <w:t xml:space="preserve">) </w:t>
            </w:r>
            <w:r>
              <w:rPr>
                <w:rStyle w:val="IndexLink"/>
                <w:rtl w:val="true"/>
              </w:rPr>
              <w:t>قَصْعَه</w:t>
            </w:r>
            <w:r>
              <w:rPr>
                <w:rStyle w:val="IndexLink"/>
                <w:rtl w:val="true"/>
              </w:rPr>
              <w:tab/>
            </w:r>
            <w:r>
              <w:rPr>
                <w:rStyle w:val="IndexLink"/>
              </w:rPr>
              <w:t>426</w:t>
            </w:r>
          </w:hyperlink>
        </w:p>
        <w:p>
          <w:pPr>
            <w:pStyle w:val="Contents4"/>
            <w:tabs>
              <w:tab w:val="clear" w:pos="8176"/>
              <w:tab w:val="right" w:pos="9026" w:leader="dot"/>
            </w:tabs>
            <w:rPr/>
          </w:pPr>
          <w:hyperlink w:anchor="__RefHeading___Toc3586075_3650668749">
            <w:r>
              <w:rPr>
                <w:webHidden/>
                <w:rStyle w:val="IndexLink"/>
                <w:rtl w:val="true"/>
              </w:rPr>
              <w:t>ث</w:t>
            </w:r>
            <w:r>
              <w:rPr>
                <w:rStyle w:val="IndexLink"/>
                <w:rtl w:val="true"/>
              </w:rPr>
              <w:t xml:space="preserve">) </w:t>
            </w:r>
            <w:r>
              <w:rPr>
                <w:rStyle w:val="IndexLink"/>
                <w:rtl w:val="true"/>
              </w:rPr>
              <w:t>قَعْب</w:t>
            </w:r>
            <w:r>
              <w:rPr>
                <w:rStyle w:val="IndexLink"/>
                <w:rtl w:val="true"/>
              </w:rPr>
              <w:tab/>
            </w:r>
            <w:r>
              <w:rPr>
                <w:rStyle w:val="IndexLink"/>
              </w:rPr>
              <w:t>426</w:t>
            </w:r>
          </w:hyperlink>
        </w:p>
        <w:p>
          <w:pPr>
            <w:pStyle w:val="Contents4"/>
            <w:tabs>
              <w:tab w:val="clear" w:pos="8176"/>
              <w:tab w:val="right" w:pos="9026" w:leader="dot"/>
            </w:tabs>
            <w:rPr/>
          </w:pPr>
          <w:hyperlink w:anchor="__RefHeading___Toc3586077_3650668749">
            <w:r>
              <w:rPr>
                <w:webHidden/>
                <w:rStyle w:val="IndexLink"/>
                <w:rtl w:val="true"/>
              </w:rPr>
              <w:t>خ</w:t>
            </w:r>
            <w:r>
              <w:rPr>
                <w:rStyle w:val="IndexLink"/>
                <w:rtl w:val="true"/>
              </w:rPr>
              <w:t xml:space="preserve">) </w:t>
            </w:r>
            <w:r>
              <w:rPr>
                <w:rStyle w:val="IndexLink"/>
                <w:rtl w:val="true"/>
              </w:rPr>
              <w:t>قُلَّه</w:t>
            </w:r>
            <w:r>
              <w:rPr>
                <w:rStyle w:val="IndexLink"/>
                <w:rtl w:val="true"/>
              </w:rPr>
              <w:tab/>
            </w:r>
            <w:r>
              <w:rPr>
                <w:rStyle w:val="IndexLink"/>
              </w:rPr>
              <w:t>426</w:t>
            </w:r>
          </w:hyperlink>
        </w:p>
        <w:p>
          <w:pPr>
            <w:pStyle w:val="Contents4"/>
            <w:tabs>
              <w:tab w:val="clear" w:pos="8176"/>
              <w:tab w:val="right" w:pos="9026" w:leader="dot"/>
            </w:tabs>
            <w:rPr/>
          </w:pPr>
          <w:hyperlink w:anchor="__RefHeading___Toc3586079_3650668749">
            <w:r>
              <w:rPr>
                <w:webHidden/>
                <w:rStyle w:val="IndexLink"/>
                <w:rtl w:val="true"/>
              </w:rPr>
              <w:t>ذ</w:t>
            </w:r>
            <w:r>
              <w:rPr>
                <w:rStyle w:val="IndexLink"/>
                <w:rtl w:val="true"/>
              </w:rPr>
              <w:t xml:space="preserve">) </w:t>
            </w:r>
            <w:r>
              <w:rPr>
                <w:rStyle w:val="IndexLink"/>
                <w:rtl w:val="true"/>
              </w:rPr>
              <w:t>قَوْصَرَه</w:t>
            </w:r>
            <w:r>
              <w:rPr>
                <w:rStyle w:val="IndexLink"/>
                <w:rtl w:val="true"/>
              </w:rPr>
              <w:tab/>
            </w:r>
            <w:r>
              <w:rPr>
                <w:rStyle w:val="IndexLink"/>
              </w:rPr>
              <w:t>427</w:t>
            </w:r>
          </w:hyperlink>
        </w:p>
        <w:p>
          <w:pPr>
            <w:pStyle w:val="Contents4"/>
            <w:tabs>
              <w:tab w:val="clear" w:pos="8176"/>
              <w:tab w:val="right" w:pos="9026" w:leader="dot"/>
            </w:tabs>
            <w:rPr/>
          </w:pPr>
          <w:hyperlink w:anchor="__RefHeading___Toc3586081_3650668749">
            <w:r>
              <w:rPr>
                <w:webHidden/>
                <w:rStyle w:val="IndexLink"/>
                <w:rtl w:val="true"/>
              </w:rPr>
              <w:t>ض</w:t>
            </w:r>
            <w:r>
              <w:rPr>
                <w:rStyle w:val="IndexLink"/>
                <w:rtl w:val="true"/>
              </w:rPr>
              <w:t xml:space="preserve">) </w:t>
            </w:r>
            <w:r>
              <w:rPr>
                <w:rStyle w:val="IndexLink"/>
                <w:rtl w:val="true"/>
              </w:rPr>
              <w:t>كَأْس</w:t>
            </w:r>
            <w:r>
              <w:rPr>
                <w:rStyle w:val="IndexLink"/>
                <w:rtl w:val="true"/>
              </w:rPr>
              <w:tab/>
            </w:r>
            <w:r>
              <w:rPr>
                <w:rStyle w:val="IndexLink"/>
              </w:rPr>
              <w:t>427</w:t>
            </w:r>
          </w:hyperlink>
        </w:p>
        <w:p>
          <w:pPr>
            <w:pStyle w:val="Contents4"/>
            <w:tabs>
              <w:tab w:val="clear" w:pos="8176"/>
              <w:tab w:val="right" w:pos="9026" w:leader="dot"/>
            </w:tabs>
            <w:rPr/>
          </w:pPr>
          <w:hyperlink w:anchor="__RefHeading___Toc3586083_3650668749">
            <w:r>
              <w:rPr>
                <w:webHidden/>
                <w:rStyle w:val="IndexLink"/>
                <w:rtl w:val="true"/>
              </w:rPr>
              <w:t>ظ</w:t>
            </w:r>
            <w:r>
              <w:rPr>
                <w:rStyle w:val="IndexLink"/>
                <w:rtl w:val="true"/>
              </w:rPr>
              <w:t xml:space="preserve">) </w:t>
            </w:r>
            <w:r>
              <w:rPr>
                <w:rStyle w:val="IndexLink"/>
                <w:rtl w:val="true"/>
              </w:rPr>
              <w:t>كُوب</w:t>
            </w:r>
            <w:r>
              <w:rPr>
                <w:rStyle w:val="IndexLink"/>
                <w:rtl w:val="true"/>
              </w:rPr>
              <w:tab/>
            </w:r>
            <w:r>
              <w:rPr>
                <w:rStyle w:val="IndexLink"/>
              </w:rPr>
              <w:t>427</w:t>
            </w:r>
          </w:hyperlink>
        </w:p>
        <w:p>
          <w:pPr>
            <w:pStyle w:val="Contents4"/>
            <w:tabs>
              <w:tab w:val="clear" w:pos="8176"/>
              <w:tab w:val="right" w:pos="9026" w:leader="dot"/>
            </w:tabs>
            <w:rPr/>
          </w:pPr>
          <w:hyperlink w:anchor="__RefHeading___Toc3586085_3650668749">
            <w:r>
              <w:rPr>
                <w:webHidden/>
                <w:rStyle w:val="IndexLink"/>
                <w:rtl w:val="true"/>
              </w:rPr>
              <w:t>غ</w:t>
            </w:r>
            <w:r>
              <w:rPr>
                <w:rStyle w:val="IndexLink"/>
                <w:rtl w:val="true"/>
              </w:rPr>
              <w:t xml:space="preserve">) </w:t>
            </w:r>
            <w:r>
              <w:rPr>
                <w:rStyle w:val="IndexLink"/>
                <w:rtl w:val="true"/>
              </w:rPr>
              <w:t>كَوْز</w:t>
            </w:r>
            <w:r>
              <w:rPr>
                <w:rStyle w:val="IndexLink"/>
                <w:rtl w:val="true"/>
              </w:rPr>
              <w:tab/>
            </w:r>
            <w:r>
              <w:rPr>
                <w:rStyle w:val="IndexLink"/>
              </w:rPr>
              <w:t>427</w:t>
            </w:r>
          </w:hyperlink>
        </w:p>
        <w:p>
          <w:pPr>
            <w:pStyle w:val="Contents4"/>
            <w:tabs>
              <w:tab w:val="clear" w:pos="8176"/>
              <w:tab w:val="right" w:pos="9026" w:leader="dot"/>
            </w:tabs>
            <w:rPr/>
          </w:pPr>
          <w:hyperlink w:anchor="__RefHeading___Toc3586087_3650668749">
            <w:r>
              <w:rPr>
                <w:webHidden/>
                <w:rStyle w:val="IndexLink"/>
                <w:rtl w:val="true"/>
              </w:rPr>
              <w:t>اب</w:t>
            </w:r>
            <w:r>
              <w:rPr>
                <w:rStyle w:val="IndexLink"/>
                <w:rtl w:val="true"/>
              </w:rPr>
              <w:t xml:space="preserve">) </w:t>
            </w:r>
            <w:r>
              <w:rPr>
                <w:rStyle w:val="IndexLink"/>
                <w:rtl w:val="true"/>
              </w:rPr>
              <w:t>مِخْضَب</w:t>
            </w:r>
            <w:r>
              <w:rPr>
                <w:rStyle w:val="IndexLink"/>
                <w:rtl w:val="true"/>
              </w:rPr>
              <w:tab/>
            </w:r>
            <w:r>
              <w:rPr>
                <w:rStyle w:val="IndexLink"/>
              </w:rPr>
              <w:t>428</w:t>
            </w:r>
          </w:hyperlink>
        </w:p>
        <w:p>
          <w:pPr>
            <w:pStyle w:val="Contents4"/>
            <w:tabs>
              <w:tab w:val="clear" w:pos="8176"/>
              <w:tab w:val="right" w:pos="9026" w:leader="dot"/>
            </w:tabs>
            <w:rPr/>
          </w:pPr>
          <w:hyperlink w:anchor="__RefHeading___Toc3586089_3650668749">
            <w:r>
              <w:rPr>
                <w:webHidden/>
                <w:rStyle w:val="IndexLink"/>
                <w:rtl w:val="true"/>
              </w:rPr>
              <w:t>اج</w:t>
            </w:r>
            <w:r>
              <w:rPr>
                <w:rStyle w:val="IndexLink"/>
                <w:rtl w:val="true"/>
              </w:rPr>
              <w:t xml:space="preserve">) </w:t>
            </w:r>
            <w:r>
              <w:rPr>
                <w:rStyle w:val="IndexLink"/>
                <w:rtl w:val="true"/>
              </w:rPr>
              <w:t xml:space="preserve">مِزْوَد </w:t>
            </w:r>
            <w:r>
              <w:rPr>
                <w:rStyle w:val="IndexLink"/>
                <w:rtl w:val="true"/>
              </w:rPr>
              <w:t>(</w:t>
            </w:r>
            <w:r>
              <w:rPr>
                <w:rStyle w:val="IndexLink"/>
                <w:rtl w:val="true"/>
              </w:rPr>
              <w:t>مِزْوَدَه</w:t>
            </w:r>
            <w:r>
              <w:rPr>
                <w:rStyle w:val="IndexLink"/>
                <w:rtl w:val="true"/>
              </w:rPr>
              <w:t>)</w:t>
              <w:tab/>
            </w:r>
            <w:r>
              <w:rPr>
                <w:rStyle w:val="IndexLink"/>
              </w:rPr>
              <w:t>428</w:t>
            </w:r>
          </w:hyperlink>
        </w:p>
        <w:p>
          <w:pPr>
            <w:pStyle w:val="Contents4"/>
            <w:tabs>
              <w:tab w:val="clear" w:pos="8176"/>
              <w:tab w:val="right" w:pos="9026" w:leader="dot"/>
            </w:tabs>
            <w:rPr/>
          </w:pPr>
          <w:hyperlink w:anchor="__RefHeading___Toc3586091_3650668749">
            <w:r>
              <w:rPr>
                <w:webHidden/>
                <w:rStyle w:val="IndexLink"/>
                <w:rtl w:val="true"/>
              </w:rPr>
              <w:t>اد</w:t>
            </w:r>
            <w:r>
              <w:rPr>
                <w:rStyle w:val="IndexLink"/>
                <w:rtl w:val="true"/>
              </w:rPr>
              <w:t xml:space="preserve">) </w:t>
            </w:r>
            <w:r>
              <w:rPr>
                <w:rStyle w:val="IndexLink"/>
                <w:rtl w:val="true"/>
              </w:rPr>
              <w:t>مزاده</w:t>
            </w:r>
            <w:r>
              <w:rPr>
                <w:rStyle w:val="IndexLink"/>
                <w:rtl w:val="true"/>
              </w:rPr>
              <w:tab/>
            </w:r>
            <w:r>
              <w:rPr>
                <w:rStyle w:val="IndexLink"/>
              </w:rPr>
              <w:t>428</w:t>
            </w:r>
          </w:hyperlink>
        </w:p>
        <w:p>
          <w:pPr>
            <w:pStyle w:val="Contents4"/>
            <w:tabs>
              <w:tab w:val="clear" w:pos="8176"/>
              <w:tab w:val="right" w:pos="9026" w:leader="dot"/>
            </w:tabs>
            <w:rPr/>
          </w:pPr>
          <w:hyperlink w:anchor="__RefHeading___Toc3586093_3650668749">
            <w:r>
              <w:rPr>
                <w:webHidden/>
                <w:rStyle w:val="IndexLink"/>
                <w:rtl w:val="true"/>
              </w:rPr>
              <w:t>اه</w:t>
            </w:r>
            <w:r>
              <w:rPr>
                <w:rStyle w:val="IndexLink"/>
                <w:rtl w:val="true"/>
              </w:rPr>
              <w:t xml:space="preserve">) </w:t>
            </w:r>
            <w:r>
              <w:rPr>
                <w:rStyle w:val="IndexLink"/>
                <w:rtl w:val="true"/>
              </w:rPr>
              <w:t>مَسْك</w:t>
            </w:r>
            <w:r>
              <w:rPr>
                <w:rStyle w:val="IndexLink"/>
                <w:rtl w:val="true"/>
              </w:rPr>
              <w:tab/>
            </w:r>
            <w:r>
              <w:rPr>
                <w:rStyle w:val="IndexLink"/>
              </w:rPr>
              <w:t>428</w:t>
            </w:r>
          </w:hyperlink>
        </w:p>
        <w:p>
          <w:pPr>
            <w:pStyle w:val="Contents4"/>
            <w:tabs>
              <w:tab w:val="clear" w:pos="8176"/>
              <w:tab w:val="right" w:pos="9026" w:leader="dot"/>
            </w:tabs>
            <w:rPr/>
          </w:pPr>
          <w:hyperlink w:anchor="__RefHeading___Toc3586095_3650668749">
            <w:r>
              <w:rPr>
                <w:webHidden/>
                <w:rStyle w:val="IndexLink"/>
                <w:rtl w:val="true"/>
              </w:rPr>
              <w:t>او</w:t>
            </w:r>
            <w:r>
              <w:rPr>
                <w:rStyle w:val="IndexLink"/>
                <w:rtl w:val="true"/>
              </w:rPr>
              <w:t xml:space="preserve">) </w:t>
            </w:r>
            <w:r>
              <w:rPr>
                <w:rStyle w:val="IndexLink"/>
                <w:rtl w:val="true"/>
              </w:rPr>
              <w:t>مِطْهَرَه</w:t>
            </w:r>
            <w:r>
              <w:rPr>
                <w:rStyle w:val="IndexLink"/>
                <w:rtl w:val="true"/>
              </w:rPr>
              <w:tab/>
            </w:r>
            <w:r>
              <w:rPr>
                <w:rStyle w:val="IndexLink"/>
              </w:rPr>
              <w:t>428</w:t>
            </w:r>
          </w:hyperlink>
        </w:p>
        <w:p>
          <w:pPr>
            <w:pStyle w:val="Contents4"/>
            <w:tabs>
              <w:tab w:val="clear" w:pos="8176"/>
              <w:tab w:val="right" w:pos="9026" w:leader="dot"/>
            </w:tabs>
            <w:rPr/>
          </w:pPr>
          <w:hyperlink w:anchor="__RefHeading___Toc3586097_3650668749">
            <w:r>
              <w:rPr>
                <w:webHidden/>
                <w:rStyle w:val="IndexLink"/>
                <w:rtl w:val="true"/>
              </w:rPr>
              <w:t>از</w:t>
            </w:r>
            <w:r>
              <w:rPr>
                <w:rStyle w:val="IndexLink"/>
                <w:rtl w:val="true"/>
              </w:rPr>
              <w:t xml:space="preserve">) </w:t>
            </w:r>
            <w:r>
              <w:rPr>
                <w:rStyle w:val="IndexLink"/>
                <w:rtl w:val="true"/>
              </w:rPr>
              <w:t>مِكْتَلْ</w:t>
            </w:r>
            <w:r>
              <w:rPr>
                <w:rStyle w:val="IndexLink"/>
                <w:rtl w:val="true"/>
              </w:rPr>
              <w:tab/>
            </w:r>
            <w:r>
              <w:rPr>
                <w:rStyle w:val="IndexLink"/>
              </w:rPr>
              <w:t>429</w:t>
            </w:r>
          </w:hyperlink>
        </w:p>
        <w:p>
          <w:pPr>
            <w:pStyle w:val="Contents4"/>
            <w:tabs>
              <w:tab w:val="clear" w:pos="8176"/>
              <w:tab w:val="right" w:pos="9026" w:leader="dot"/>
            </w:tabs>
            <w:rPr/>
          </w:pPr>
          <w:hyperlink w:anchor="__RefHeading___Toc3586099_3650668749">
            <w:r>
              <w:rPr>
                <w:webHidden/>
                <w:rStyle w:val="IndexLink"/>
                <w:rtl w:val="true"/>
              </w:rPr>
              <w:t>اح</w:t>
            </w:r>
            <w:r>
              <w:rPr>
                <w:rStyle w:val="IndexLink"/>
                <w:rtl w:val="true"/>
              </w:rPr>
              <w:t xml:space="preserve">) </w:t>
            </w:r>
            <w:r>
              <w:rPr>
                <w:rStyle w:val="IndexLink"/>
                <w:rtl w:val="true"/>
              </w:rPr>
              <w:t>مِهْراس</w:t>
            </w:r>
            <w:r>
              <w:rPr>
                <w:rStyle w:val="IndexLink"/>
                <w:rtl w:val="true"/>
              </w:rPr>
              <w:tab/>
            </w:r>
            <w:r>
              <w:rPr>
                <w:rStyle w:val="IndexLink"/>
              </w:rPr>
              <w:t>429</w:t>
            </w:r>
          </w:hyperlink>
        </w:p>
        <w:p>
          <w:pPr>
            <w:pStyle w:val="Contents3"/>
            <w:tabs>
              <w:tab w:val="clear" w:pos="8459"/>
              <w:tab w:val="right" w:pos="9026" w:leader="dot"/>
            </w:tabs>
            <w:rPr/>
          </w:pPr>
          <w:hyperlink w:anchor="__RefHeading___Toc3586101_3650668749">
            <w:r>
              <w:rPr>
                <w:webHidden/>
                <w:rStyle w:val="IndexLink"/>
              </w:rPr>
              <w:t>٩</w:t>
            </w:r>
            <w:r>
              <w:rPr>
                <w:rStyle w:val="IndexLink"/>
                <w:rtl w:val="true"/>
              </w:rPr>
              <w:t xml:space="preserve">. </w:t>
            </w:r>
            <w:r>
              <w:rPr>
                <w:rStyle w:val="IndexLink"/>
                <w:rtl w:val="true"/>
              </w:rPr>
              <w:t>دوستي</w:t>
            </w:r>
            <w:r>
              <w:rPr>
                <w:rStyle w:val="IndexLink"/>
                <w:rtl w:val="true"/>
              </w:rPr>
              <w:tab/>
            </w:r>
            <w:r>
              <w:rPr>
                <w:rStyle w:val="IndexLink"/>
              </w:rPr>
              <w:t>429</w:t>
            </w:r>
          </w:hyperlink>
        </w:p>
        <w:p>
          <w:pPr>
            <w:pStyle w:val="Contents3"/>
            <w:tabs>
              <w:tab w:val="clear" w:pos="8459"/>
              <w:tab w:val="right" w:pos="9026" w:leader="dot"/>
            </w:tabs>
            <w:rPr/>
          </w:pPr>
          <w:hyperlink w:anchor="__RefHeading___Toc3586103_3650668749">
            <w:r>
              <w:rPr>
                <w:webHidden/>
                <w:rStyle w:val="IndexLink"/>
              </w:rPr>
              <w:t>١٠</w:t>
            </w:r>
            <w:r>
              <w:rPr>
                <w:rStyle w:val="IndexLink"/>
                <w:rtl w:val="true"/>
              </w:rPr>
              <w:t xml:space="preserve">. </w:t>
            </w:r>
            <w:r>
              <w:rPr>
                <w:rStyle w:val="IndexLink"/>
                <w:rtl w:val="true"/>
              </w:rPr>
              <w:t>آرايش ظاهري زنان و مردان</w:t>
            </w:r>
            <w:r>
              <w:rPr>
                <w:rStyle w:val="IndexLink"/>
                <w:rtl w:val="true"/>
              </w:rPr>
              <w:tab/>
            </w:r>
            <w:r>
              <w:rPr>
                <w:rStyle w:val="IndexLink"/>
              </w:rPr>
              <w:t>431</w:t>
            </w:r>
          </w:hyperlink>
        </w:p>
        <w:p>
          <w:pPr>
            <w:pStyle w:val="Contents4"/>
            <w:tabs>
              <w:tab w:val="clear" w:pos="8176"/>
              <w:tab w:val="right" w:pos="9026" w:leader="dot"/>
            </w:tabs>
            <w:rPr/>
          </w:pPr>
          <w:hyperlink w:anchor="__RefHeading___Toc3586105_3650668749">
            <w:r>
              <w:rPr>
                <w:webHidden/>
                <w:rStyle w:val="IndexLink"/>
                <w:rtl w:val="true"/>
              </w:rPr>
              <w:t>اشاره</w:t>
            </w:r>
            <w:r>
              <w:rPr>
                <w:rStyle w:val="IndexLink"/>
                <w:rtl w:val="true"/>
              </w:rPr>
              <w:tab/>
            </w:r>
            <w:r>
              <w:rPr>
                <w:rStyle w:val="IndexLink"/>
              </w:rPr>
              <w:t>431</w:t>
            </w:r>
          </w:hyperlink>
        </w:p>
        <w:p>
          <w:pPr>
            <w:pStyle w:val="Contents4"/>
            <w:tabs>
              <w:tab w:val="clear" w:pos="8176"/>
              <w:tab w:val="right" w:pos="9026" w:leader="dot"/>
            </w:tabs>
            <w:rPr/>
          </w:pPr>
          <w:hyperlink w:anchor="__RefHeading___Toc3586107_3650668749">
            <w:r>
              <w:rPr>
                <w:webHidden/>
                <w:rStyle w:val="IndexLink"/>
                <w:rtl w:val="true"/>
              </w:rPr>
              <w:t>الف</w:t>
            </w:r>
            <w:r>
              <w:rPr>
                <w:rStyle w:val="IndexLink"/>
                <w:rtl w:val="true"/>
              </w:rPr>
              <w:t xml:space="preserve">) </w:t>
            </w:r>
            <w:r>
              <w:rPr>
                <w:rStyle w:val="IndexLink"/>
                <w:rtl w:val="true"/>
              </w:rPr>
              <w:t>آرايش‌ها و زينت‌هاي مشترك زنان و مردان</w:t>
            </w:r>
            <w:r>
              <w:rPr>
                <w:rStyle w:val="IndexLink"/>
                <w:rtl w:val="true"/>
              </w:rPr>
              <w:tab/>
            </w:r>
            <w:r>
              <w:rPr>
                <w:rStyle w:val="IndexLink"/>
              </w:rPr>
              <w:t>432</w:t>
            </w:r>
          </w:hyperlink>
        </w:p>
        <w:p>
          <w:pPr>
            <w:pStyle w:val="Contents5"/>
            <w:tabs>
              <w:tab w:val="clear" w:pos="7892"/>
              <w:tab w:val="right" w:pos="9026" w:leader="dot"/>
            </w:tabs>
            <w:rPr/>
          </w:pPr>
          <w:hyperlink w:anchor="__RefHeading___Toc3586109_3650668749">
            <w:r>
              <w:rPr>
                <w:webHidden/>
                <w:rStyle w:val="IndexLink"/>
                <w:rtl w:val="true"/>
              </w:rPr>
              <w:t>اشاره</w:t>
            </w:r>
            <w:r>
              <w:rPr>
                <w:rStyle w:val="IndexLink"/>
                <w:rtl w:val="true"/>
              </w:rPr>
              <w:tab/>
            </w:r>
            <w:r>
              <w:rPr>
                <w:rStyle w:val="IndexLink"/>
              </w:rPr>
              <w:t>432</w:t>
            </w:r>
          </w:hyperlink>
        </w:p>
        <w:p>
          <w:pPr>
            <w:pStyle w:val="Contents5"/>
            <w:tabs>
              <w:tab w:val="clear" w:pos="7892"/>
              <w:tab w:val="right" w:pos="9026" w:leader="dot"/>
            </w:tabs>
            <w:rPr/>
          </w:pPr>
          <w:hyperlink w:anchor="__RefHeading___Toc3586111_3650668749">
            <w:r>
              <w:rPr>
                <w:webHidden/>
                <w:rStyle w:val="IndexLink"/>
                <w:rtl w:val="true"/>
              </w:rPr>
              <w:t xml:space="preserve">يك </w:t>
            </w:r>
            <w:r>
              <w:rPr>
                <w:rStyle w:val="IndexLink"/>
                <w:rtl w:val="true"/>
              </w:rPr>
              <w:t xml:space="preserve">- </w:t>
            </w:r>
            <w:r>
              <w:rPr>
                <w:rStyle w:val="IndexLink"/>
                <w:rtl w:val="true"/>
              </w:rPr>
              <w:t>استعمال بوهاى خوش</w:t>
            </w:r>
            <w:r>
              <w:rPr>
                <w:rStyle w:val="IndexLink"/>
                <w:rtl w:val="true"/>
              </w:rPr>
              <w:tab/>
            </w:r>
            <w:r>
              <w:rPr>
                <w:rStyle w:val="IndexLink"/>
              </w:rPr>
              <w:t>432</w:t>
            </w:r>
          </w:hyperlink>
        </w:p>
        <w:p>
          <w:pPr>
            <w:pStyle w:val="Contents6"/>
            <w:tabs>
              <w:tab w:val="clear" w:pos="7609"/>
              <w:tab w:val="right" w:pos="9026" w:leader="dot"/>
            </w:tabs>
            <w:rPr/>
          </w:pPr>
          <w:hyperlink w:anchor="__RefHeading___Toc3586113_3650668749">
            <w:r>
              <w:rPr>
                <w:webHidden/>
                <w:rStyle w:val="IndexLink"/>
                <w:rtl w:val="true"/>
              </w:rPr>
              <w:t>اشاره</w:t>
            </w:r>
            <w:r>
              <w:rPr>
                <w:rStyle w:val="IndexLink"/>
                <w:rtl w:val="true"/>
              </w:rPr>
              <w:tab/>
            </w:r>
            <w:r>
              <w:rPr>
                <w:rStyle w:val="IndexLink"/>
              </w:rPr>
              <w:t>432</w:t>
            </w:r>
          </w:hyperlink>
        </w:p>
        <w:p>
          <w:pPr>
            <w:pStyle w:val="Contents6"/>
            <w:tabs>
              <w:tab w:val="clear" w:pos="7609"/>
              <w:tab w:val="right" w:pos="9026" w:leader="dot"/>
            </w:tabs>
            <w:rPr/>
          </w:pPr>
          <w:hyperlink w:anchor="__RefHeading___Toc3586115_3650668749">
            <w:r>
              <w:rPr>
                <w:webHidden/>
                <w:rStyle w:val="IndexLink"/>
                <w:rtl w:val="true"/>
              </w:rPr>
              <w:t xml:space="preserve">اول </w:t>
            </w:r>
            <w:r>
              <w:rPr>
                <w:rStyle w:val="IndexLink"/>
                <w:rtl w:val="true"/>
              </w:rPr>
              <w:t xml:space="preserve">- </w:t>
            </w:r>
            <w:r>
              <w:rPr>
                <w:rStyle w:val="IndexLink"/>
                <w:rtl w:val="true"/>
              </w:rPr>
              <w:t>عطر</w:t>
            </w:r>
            <w:r>
              <w:rPr>
                <w:rStyle w:val="IndexLink"/>
                <w:rtl w:val="true"/>
              </w:rPr>
              <w:tab/>
            </w:r>
            <w:r>
              <w:rPr>
                <w:rStyle w:val="IndexLink"/>
              </w:rPr>
              <w:t>432</w:t>
            </w:r>
          </w:hyperlink>
        </w:p>
        <w:p>
          <w:pPr>
            <w:pStyle w:val="Contents6"/>
            <w:tabs>
              <w:tab w:val="clear" w:pos="7609"/>
              <w:tab w:val="right" w:pos="9026" w:leader="dot"/>
            </w:tabs>
            <w:rPr/>
          </w:pPr>
          <w:hyperlink w:anchor="__RefHeading___Toc3586117_3650668749">
            <w:r>
              <w:rPr>
                <w:webHidden/>
                <w:rStyle w:val="IndexLink"/>
                <w:rtl w:val="true"/>
              </w:rPr>
              <w:t xml:space="preserve">دوم </w:t>
            </w:r>
            <w:r>
              <w:rPr>
                <w:rStyle w:val="IndexLink"/>
                <w:rtl w:val="true"/>
              </w:rPr>
              <w:t xml:space="preserve">- </w:t>
            </w:r>
            <w:r>
              <w:rPr>
                <w:rStyle w:val="IndexLink"/>
                <w:rtl w:val="true"/>
              </w:rPr>
              <w:t>گياهان خوشبو</w:t>
            </w:r>
            <w:r>
              <w:rPr>
                <w:rStyle w:val="IndexLink"/>
                <w:rtl w:val="true"/>
              </w:rPr>
              <w:tab/>
            </w:r>
            <w:r>
              <w:rPr>
                <w:rStyle w:val="IndexLink"/>
              </w:rPr>
              <w:t>432</w:t>
            </w:r>
          </w:hyperlink>
        </w:p>
        <w:p>
          <w:pPr>
            <w:pStyle w:val="Contents5"/>
            <w:tabs>
              <w:tab w:val="clear" w:pos="7892"/>
              <w:tab w:val="right" w:pos="9026" w:leader="dot"/>
            </w:tabs>
            <w:rPr/>
          </w:pPr>
          <w:hyperlink w:anchor="__RefHeading___Toc3586119_3650668749">
            <w:r>
              <w:rPr>
                <w:webHidden/>
                <w:rStyle w:val="IndexLink"/>
                <w:rtl w:val="true"/>
              </w:rPr>
              <w:t xml:space="preserve">دو </w:t>
            </w:r>
            <w:r>
              <w:rPr>
                <w:rStyle w:val="IndexLink"/>
                <w:rtl w:val="true"/>
              </w:rPr>
              <w:t xml:space="preserve">- </w:t>
            </w:r>
            <w:r>
              <w:rPr>
                <w:rStyle w:val="IndexLink"/>
                <w:rtl w:val="true"/>
              </w:rPr>
              <w:t>استعمال روغن‌هاى مختلف</w:t>
            </w:r>
            <w:r>
              <w:rPr>
                <w:rStyle w:val="IndexLink"/>
                <w:rtl w:val="true"/>
              </w:rPr>
              <w:tab/>
            </w:r>
            <w:r>
              <w:rPr>
                <w:rStyle w:val="IndexLink"/>
              </w:rPr>
              <w:t>433</w:t>
            </w:r>
          </w:hyperlink>
        </w:p>
        <w:p>
          <w:pPr>
            <w:pStyle w:val="Contents6"/>
            <w:tabs>
              <w:tab w:val="clear" w:pos="7609"/>
              <w:tab w:val="right" w:pos="9026" w:leader="dot"/>
            </w:tabs>
            <w:rPr/>
          </w:pPr>
          <w:hyperlink w:anchor="__RefHeading___Toc3586121_3650668749">
            <w:r>
              <w:rPr>
                <w:webHidden/>
                <w:rStyle w:val="IndexLink"/>
                <w:rtl w:val="true"/>
              </w:rPr>
              <w:t>اشاره</w:t>
            </w:r>
            <w:r>
              <w:rPr>
                <w:rStyle w:val="IndexLink"/>
                <w:rtl w:val="true"/>
              </w:rPr>
              <w:tab/>
            </w:r>
            <w:r>
              <w:rPr>
                <w:rStyle w:val="IndexLink"/>
              </w:rPr>
              <w:t>433</w:t>
            </w:r>
          </w:hyperlink>
        </w:p>
        <w:p>
          <w:pPr>
            <w:pStyle w:val="Contents6"/>
            <w:tabs>
              <w:tab w:val="clear" w:pos="7609"/>
              <w:tab w:val="right" w:pos="9026" w:leader="dot"/>
            </w:tabs>
            <w:rPr/>
          </w:pPr>
          <w:hyperlink w:anchor="__RefHeading___Toc3586123_3650668749">
            <w:r>
              <w:rPr>
                <w:webHidden/>
                <w:rStyle w:val="IndexLink"/>
                <w:rtl w:val="true"/>
              </w:rPr>
              <w:t xml:space="preserve">اول </w:t>
            </w:r>
            <w:r>
              <w:rPr>
                <w:rStyle w:val="IndexLink"/>
                <w:rtl w:val="true"/>
              </w:rPr>
              <w:t xml:space="preserve">- </w:t>
            </w:r>
            <w:r>
              <w:rPr>
                <w:rStyle w:val="IndexLink"/>
                <w:rtl w:val="true"/>
              </w:rPr>
              <w:t>روغن بنفشه</w:t>
            </w:r>
            <w:r>
              <w:rPr>
                <w:rStyle w:val="IndexLink"/>
                <w:rtl w:val="true"/>
              </w:rPr>
              <w:tab/>
            </w:r>
            <w:r>
              <w:rPr>
                <w:rStyle w:val="IndexLink"/>
              </w:rPr>
              <w:t>433</w:t>
            </w:r>
          </w:hyperlink>
        </w:p>
        <w:p>
          <w:pPr>
            <w:pStyle w:val="Contents6"/>
            <w:tabs>
              <w:tab w:val="clear" w:pos="7609"/>
              <w:tab w:val="right" w:pos="9026" w:leader="dot"/>
            </w:tabs>
            <w:rPr/>
          </w:pPr>
          <w:hyperlink w:anchor="__RefHeading___Toc3586125_3650668749">
            <w:r>
              <w:rPr>
                <w:webHidden/>
                <w:rStyle w:val="IndexLink"/>
                <w:rtl w:val="true"/>
              </w:rPr>
              <w:t xml:space="preserve">دوم </w:t>
            </w:r>
            <w:r>
              <w:rPr>
                <w:rStyle w:val="IndexLink"/>
                <w:rtl w:val="true"/>
              </w:rPr>
              <w:t xml:space="preserve">- </w:t>
            </w:r>
            <w:r>
              <w:rPr>
                <w:rStyle w:val="IndexLink"/>
                <w:rtl w:val="true"/>
              </w:rPr>
              <w:t>روغن بان</w:t>
            </w:r>
            <w:r>
              <w:rPr>
                <w:rStyle w:val="IndexLink"/>
                <w:rtl w:val="true"/>
              </w:rPr>
              <w:tab/>
            </w:r>
            <w:r>
              <w:rPr>
                <w:rStyle w:val="IndexLink"/>
              </w:rPr>
              <w:t>434</w:t>
            </w:r>
          </w:hyperlink>
        </w:p>
        <w:p>
          <w:pPr>
            <w:pStyle w:val="Contents6"/>
            <w:tabs>
              <w:tab w:val="clear" w:pos="7609"/>
              <w:tab w:val="right" w:pos="9026" w:leader="dot"/>
            </w:tabs>
            <w:rPr/>
          </w:pPr>
          <w:hyperlink w:anchor="__RefHeading___Toc3586127_3650668749">
            <w:r>
              <w:rPr>
                <w:webHidden/>
                <w:rStyle w:val="IndexLink"/>
                <w:rtl w:val="true"/>
              </w:rPr>
              <w:t xml:space="preserve">سوم </w:t>
            </w:r>
            <w:r>
              <w:rPr>
                <w:rStyle w:val="IndexLink"/>
                <w:rtl w:val="true"/>
              </w:rPr>
              <w:t xml:space="preserve">- </w:t>
            </w:r>
            <w:r>
              <w:rPr>
                <w:rStyle w:val="IndexLink"/>
                <w:rtl w:val="true"/>
              </w:rPr>
              <w:t xml:space="preserve">روغن زَنْبَق </w:t>
            </w:r>
            <w:r>
              <w:rPr>
                <w:rStyle w:val="IndexLink"/>
                <w:rtl w:val="true"/>
              </w:rPr>
              <w:t>(</w:t>
            </w:r>
            <w:r>
              <w:rPr>
                <w:rStyle w:val="IndexLink"/>
                <w:rtl w:val="true"/>
              </w:rPr>
              <w:t>زنبه</w:t>
            </w:r>
            <w:r>
              <w:rPr>
                <w:rStyle w:val="IndexLink"/>
                <w:rtl w:val="true"/>
              </w:rPr>
              <w:t>)</w:t>
              <w:tab/>
            </w:r>
            <w:r>
              <w:rPr>
                <w:rStyle w:val="IndexLink"/>
              </w:rPr>
              <w:t>434</w:t>
            </w:r>
          </w:hyperlink>
        </w:p>
        <w:p>
          <w:pPr>
            <w:pStyle w:val="Contents6"/>
            <w:tabs>
              <w:tab w:val="clear" w:pos="7609"/>
              <w:tab w:val="right" w:pos="9026" w:leader="dot"/>
            </w:tabs>
            <w:rPr/>
          </w:pPr>
          <w:hyperlink w:anchor="__RefHeading___Toc3586129_3650668749">
            <w:r>
              <w:rPr>
                <w:webHidden/>
                <w:rStyle w:val="IndexLink"/>
                <w:rtl w:val="true"/>
              </w:rPr>
              <w:t xml:space="preserve">چهارم </w:t>
            </w:r>
            <w:r>
              <w:rPr>
                <w:rStyle w:val="IndexLink"/>
                <w:rtl w:val="true"/>
              </w:rPr>
              <w:t xml:space="preserve">- </w:t>
            </w:r>
            <w:r>
              <w:rPr>
                <w:rStyle w:val="IndexLink"/>
                <w:rtl w:val="true"/>
              </w:rPr>
              <w:t>روغن كُنجد</w:t>
            </w:r>
            <w:r>
              <w:rPr>
                <w:rStyle w:val="IndexLink"/>
                <w:rtl w:val="true"/>
              </w:rPr>
              <w:tab/>
            </w:r>
            <w:r>
              <w:rPr>
                <w:rStyle w:val="IndexLink"/>
              </w:rPr>
              <w:t>434</w:t>
            </w:r>
          </w:hyperlink>
        </w:p>
        <w:p>
          <w:pPr>
            <w:pStyle w:val="Contents5"/>
            <w:tabs>
              <w:tab w:val="clear" w:pos="7892"/>
              <w:tab w:val="right" w:pos="9026" w:leader="dot"/>
            </w:tabs>
            <w:rPr/>
          </w:pPr>
          <w:hyperlink w:anchor="__RefHeading___Toc3586131_3650668749">
            <w:r>
              <w:rPr>
                <w:webHidden/>
                <w:rStyle w:val="IndexLink"/>
                <w:rtl w:val="true"/>
              </w:rPr>
              <w:t xml:space="preserve">سه </w:t>
            </w:r>
            <w:r>
              <w:rPr>
                <w:rStyle w:val="IndexLink"/>
                <w:rtl w:val="true"/>
              </w:rPr>
              <w:t xml:space="preserve">- </w:t>
            </w:r>
            <w:r>
              <w:rPr>
                <w:rStyle w:val="IndexLink"/>
                <w:rtl w:val="true"/>
              </w:rPr>
              <w:t>استعمال رنگ‌ها</w:t>
            </w:r>
            <w:r>
              <w:rPr>
                <w:rStyle w:val="IndexLink"/>
                <w:rtl w:val="true"/>
              </w:rPr>
              <w:tab/>
            </w:r>
            <w:r>
              <w:rPr>
                <w:rStyle w:val="IndexLink"/>
              </w:rPr>
              <w:t>434</w:t>
            </w:r>
          </w:hyperlink>
        </w:p>
        <w:p>
          <w:pPr>
            <w:pStyle w:val="Contents6"/>
            <w:tabs>
              <w:tab w:val="clear" w:pos="7609"/>
              <w:tab w:val="right" w:pos="9026" w:leader="dot"/>
            </w:tabs>
            <w:rPr/>
          </w:pPr>
          <w:hyperlink w:anchor="__RefHeading___Toc3586133_3650668749">
            <w:r>
              <w:rPr>
                <w:webHidden/>
                <w:rStyle w:val="IndexLink"/>
                <w:rtl w:val="true"/>
              </w:rPr>
              <w:t>اشاره</w:t>
            </w:r>
            <w:r>
              <w:rPr>
                <w:rStyle w:val="IndexLink"/>
                <w:rtl w:val="true"/>
              </w:rPr>
              <w:tab/>
            </w:r>
            <w:r>
              <w:rPr>
                <w:rStyle w:val="IndexLink"/>
              </w:rPr>
              <w:t>434</w:t>
            </w:r>
          </w:hyperlink>
        </w:p>
        <w:p>
          <w:pPr>
            <w:pStyle w:val="Contents6"/>
            <w:tabs>
              <w:tab w:val="clear" w:pos="7609"/>
              <w:tab w:val="right" w:pos="9026" w:leader="dot"/>
            </w:tabs>
            <w:rPr/>
          </w:pPr>
          <w:hyperlink w:anchor="__RefHeading___Toc3586135_3650668749">
            <w:r>
              <w:rPr>
                <w:webHidden/>
                <w:rStyle w:val="IndexLink"/>
                <w:rtl w:val="true"/>
              </w:rPr>
              <w:t xml:space="preserve">اول </w:t>
            </w:r>
            <w:r>
              <w:rPr>
                <w:rStyle w:val="IndexLink"/>
                <w:rtl w:val="true"/>
              </w:rPr>
              <w:t xml:space="preserve">- </w:t>
            </w:r>
            <w:r>
              <w:rPr>
                <w:rStyle w:val="IndexLink"/>
                <w:rtl w:val="true"/>
              </w:rPr>
              <w:t>حناء</w:t>
            </w:r>
            <w:r>
              <w:rPr>
                <w:rStyle w:val="IndexLink"/>
                <w:rtl w:val="true"/>
              </w:rPr>
              <w:tab/>
            </w:r>
            <w:r>
              <w:rPr>
                <w:rStyle w:val="IndexLink"/>
              </w:rPr>
              <w:t>434</w:t>
            </w:r>
          </w:hyperlink>
        </w:p>
        <w:p>
          <w:pPr>
            <w:pStyle w:val="Contents6"/>
            <w:tabs>
              <w:tab w:val="clear" w:pos="7609"/>
              <w:tab w:val="right" w:pos="9026" w:leader="dot"/>
            </w:tabs>
            <w:rPr/>
          </w:pPr>
          <w:hyperlink w:anchor="__RefHeading___Toc3586137_3650668749">
            <w:r>
              <w:rPr>
                <w:webHidden/>
                <w:rStyle w:val="IndexLink"/>
                <w:rtl w:val="true"/>
              </w:rPr>
              <w:t xml:space="preserve">دوم </w:t>
            </w:r>
            <w:r>
              <w:rPr>
                <w:rStyle w:val="IndexLink"/>
                <w:rtl w:val="true"/>
              </w:rPr>
              <w:t xml:space="preserve">- </w:t>
            </w:r>
            <w:r>
              <w:rPr>
                <w:rStyle w:val="IndexLink"/>
                <w:rtl w:val="true"/>
              </w:rPr>
              <w:t xml:space="preserve">وَسْمَه </w:t>
            </w:r>
            <w:r>
              <w:rPr>
                <w:rStyle w:val="IndexLink"/>
                <w:rtl w:val="true"/>
              </w:rPr>
              <w:t>(</w:t>
            </w:r>
            <w:r>
              <w:rPr>
                <w:rStyle w:val="IndexLink"/>
                <w:rtl w:val="true"/>
              </w:rPr>
              <w:t>كَتْم</w:t>
            </w:r>
            <w:r>
              <w:rPr>
                <w:rStyle w:val="IndexLink"/>
                <w:rtl w:val="true"/>
              </w:rPr>
              <w:t>)</w:t>
              <w:tab/>
            </w:r>
            <w:r>
              <w:rPr>
                <w:rStyle w:val="IndexLink"/>
              </w:rPr>
              <w:t>434</w:t>
            </w:r>
          </w:hyperlink>
        </w:p>
        <w:p>
          <w:pPr>
            <w:pStyle w:val="Contents5"/>
            <w:tabs>
              <w:tab w:val="clear" w:pos="7892"/>
              <w:tab w:val="right" w:pos="9026" w:leader="dot"/>
            </w:tabs>
            <w:rPr/>
          </w:pPr>
          <w:hyperlink w:anchor="__RefHeading___Toc3586139_3650668749">
            <w:r>
              <w:rPr>
                <w:webHidden/>
                <w:rStyle w:val="IndexLink"/>
                <w:rtl w:val="true"/>
              </w:rPr>
              <w:t xml:space="preserve">چهار </w:t>
            </w:r>
            <w:r>
              <w:rPr>
                <w:rStyle w:val="IndexLink"/>
                <w:rtl w:val="true"/>
              </w:rPr>
              <w:t xml:space="preserve">- </w:t>
            </w:r>
            <w:r>
              <w:rPr>
                <w:rStyle w:val="IndexLink"/>
                <w:rtl w:val="true"/>
              </w:rPr>
              <w:t>سرمه كشيدن</w:t>
            </w:r>
            <w:r>
              <w:rPr>
                <w:rStyle w:val="IndexLink"/>
                <w:rtl w:val="true"/>
              </w:rPr>
              <w:tab/>
            </w:r>
            <w:r>
              <w:rPr>
                <w:rStyle w:val="IndexLink"/>
              </w:rPr>
              <w:t>435</w:t>
            </w:r>
          </w:hyperlink>
        </w:p>
        <w:p>
          <w:pPr>
            <w:pStyle w:val="Contents6"/>
            <w:tabs>
              <w:tab w:val="clear" w:pos="7609"/>
              <w:tab w:val="right" w:pos="9026" w:leader="dot"/>
            </w:tabs>
            <w:rPr/>
          </w:pPr>
          <w:hyperlink w:anchor="__RefHeading___Toc3586141_3650668749">
            <w:r>
              <w:rPr>
                <w:webHidden/>
                <w:rStyle w:val="IndexLink"/>
                <w:rtl w:val="true"/>
              </w:rPr>
              <w:t>اشاره</w:t>
            </w:r>
            <w:r>
              <w:rPr>
                <w:rStyle w:val="IndexLink"/>
                <w:rtl w:val="true"/>
              </w:rPr>
              <w:tab/>
            </w:r>
            <w:r>
              <w:rPr>
                <w:rStyle w:val="IndexLink"/>
              </w:rPr>
              <w:t>435</w:t>
            </w:r>
          </w:hyperlink>
        </w:p>
        <w:p>
          <w:pPr>
            <w:pStyle w:val="Contents6"/>
            <w:tabs>
              <w:tab w:val="clear" w:pos="7609"/>
              <w:tab w:val="right" w:pos="9026" w:leader="dot"/>
            </w:tabs>
            <w:rPr/>
          </w:pPr>
          <w:hyperlink w:anchor="__RefHeading___Toc3586143_3650668749">
            <w:r>
              <w:rPr>
                <w:webHidden/>
                <w:rStyle w:val="IndexLink"/>
                <w:rtl w:val="true"/>
              </w:rPr>
              <w:t xml:space="preserve">پنج </w:t>
            </w:r>
            <w:r>
              <w:rPr>
                <w:rStyle w:val="IndexLink"/>
                <w:rtl w:val="true"/>
              </w:rPr>
              <w:t xml:space="preserve">- </w:t>
            </w:r>
            <w:r>
              <w:rPr>
                <w:rStyle w:val="IndexLink"/>
                <w:rtl w:val="true"/>
              </w:rPr>
              <w:t>آرايش موها</w:t>
            </w:r>
            <w:r>
              <w:rPr>
                <w:rStyle w:val="IndexLink"/>
                <w:rtl w:val="true"/>
              </w:rPr>
              <w:tab/>
            </w:r>
            <w:r>
              <w:rPr>
                <w:rStyle w:val="IndexLink"/>
              </w:rPr>
              <w:t>435</w:t>
            </w:r>
          </w:hyperlink>
        </w:p>
        <w:p>
          <w:pPr>
            <w:pStyle w:val="Contents4"/>
            <w:tabs>
              <w:tab w:val="clear" w:pos="8176"/>
              <w:tab w:val="right" w:pos="9026" w:leader="dot"/>
            </w:tabs>
            <w:rPr/>
          </w:pPr>
          <w:hyperlink w:anchor="__RefHeading___Toc3586145_3650668749">
            <w:r>
              <w:rPr>
                <w:webHidden/>
                <w:rStyle w:val="IndexLink"/>
                <w:rtl w:val="true"/>
              </w:rPr>
              <w:t>ب</w:t>
            </w:r>
            <w:r>
              <w:rPr>
                <w:rStyle w:val="IndexLink"/>
                <w:rtl w:val="true"/>
              </w:rPr>
              <w:t xml:space="preserve">) </w:t>
            </w:r>
            <w:r>
              <w:rPr>
                <w:rStyle w:val="IndexLink"/>
                <w:rtl w:val="true"/>
              </w:rPr>
              <w:t>زينت‌ها و آرايش‌هاى اختصاصي زنان</w:t>
            </w:r>
            <w:r>
              <w:rPr>
                <w:rStyle w:val="IndexLink"/>
                <w:rtl w:val="true"/>
              </w:rPr>
              <w:tab/>
            </w:r>
            <w:r>
              <w:rPr>
                <w:rStyle w:val="IndexLink"/>
              </w:rPr>
              <w:t>436</w:t>
            </w:r>
          </w:hyperlink>
        </w:p>
        <w:p>
          <w:pPr>
            <w:pStyle w:val="Contents4"/>
            <w:tabs>
              <w:tab w:val="clear" w:pos="8176"/>
              <w:tab w:val="right" w:pos="9026" w:leader="dot"/>
            </w:tabs>
            <w:rPr/>
          </w:pPr>
          <w:hyperlink w:anchor="__RefHeading___Toc3586147_3650668749">
            <w:r>
              <w:rPr>
                <w:webHidden/>
                <w:rStyle w:val="IndexLink"/>
                <w:rtl w:val="true"/>
              </w:rPr>
              <w:t>ج</w:t>
            </w:r>
            <w:r>
              <w:rPr>
                <w:rStyle w:val="IndexLink"/>
                <w:rtl w:val="true"/>
              </w:rPr>
              <w:t xml:space="preserve">) </w:t>
            </w:r>
            <w:r>
              <w:rPr>
                <w:rStyle w:val="IndexLink"/>
                <w:rtl w:val="true"/>
              </w:rPr>
              <w:t>زينت‌ها و آرايش‌هاى اختصاصي مردان</w:t>
            </w:r>
            <w:r>
              <w:rPr>
                <w:rStyle w:val="IndexLink"/>
                <w:rtl w:val="true"/>
              </w:rPr>
              <w:tab/>
            </w:r>
            <w:r>
              <w:rPr>
                <w:rStyle w:val="IndexLink"/>
              </w:rPr>
              <w:t>437</w:t>
            </w:r>
          </w:hyperlink>
        </w:p>
        <w:p>
          <w:pPr>
            <w:pStyle w:val="Contents3"/>
            <w:tabs>
              <w:tab w:val="clear" w:pos="8459"/>
              <w:tab w:val="right" w:pos="9026" w:leader="dot"/>
            </w:tabs>
            <w:rPr/>
          </w:pPr>
          <w:hyperlink w:anchor="__RefHeading___Toc3586149_3650668749">
            <w:r>
              <w:rPr>
                <w:webHidden/>
                <w:rStyle w:val="IndexLink"/>
              </w:rPr>
              <w:t>١١</w:t>
            </w:r>
            <w:r>
              <w:rPr>
                <w:rStyle w:val="IndexLink"/>
                <w:rtl w:val="true"/>
              </w:rPr>
              <w:t xml:space="preserve">. </w:t>
            </w:r>
            <w:r>
              <w:rPr>
                <w:rStyle w:val="IndexLink"/>
                <w:rtl w:val="true"/>
              </w:rPr>
              <w:t>مجالس عمومي و گردهمايي‌ها</w:t>
            </w:r>
            <w:r>
              <w:rPr>
                <w:rStyle w:val="IndexLink"/>
                <w:rtl w:val="true"/>
              </w:rPr>
              <w:tab/>
            </w:r>
            <w:r>
              <w:rPr>
                <w:rStyle w:val="IndexLink"/>
              </w:rPr>
              <w:t>439</w:t>
            </w:r>
          </w:hyperlink>
        </w:p>
        <w:p>
          <w:pPr>
            <w:pStyle w:val="Contents3"/>
            <w:tabs>
              <w:tab w:val="clear" w:pos="8459"/>
              <w:tab w:val="right" w:pos="9026" w:leader="dot"/>
            </w:tabs>
            <w:rPr/>
          </w:pPr>
          <w:hyperlink w:anchor="__RefHeading___Toc3586151_3650668749">
            <w:r>
              <w:rPr>
                <w:webHidden/>
                <w:rStyle w:val="IndexLink"/>
              </w:rPr>
              <w:t>١٢</w:t>
            </w:r>
            <w:r>
              <w:rPr>
                <w:rStyle w:val="IndexLink"/>
                <w:rtl w:val="true"/>
              </w:rPr>
              <w:t xml:space="preserve">. </w:t>
            </w:r>
            <w:r>
              <w:rPr>
                <w:rStyle w:val="IndexLink"/>
                <w:rtl w:val="true"/>
              </w:rPr>
              <w:t>سرگرمي و ورزش</w:t>
            </w:r>
            <w:r>
              <w:rPr>
                <w:rStyle w:val="IndexLink"/>
                <w:rtl w:val="true"/>
              </w:rPr>
              <w:tab/>
            </w:r>
            <w:r>
              <w:rPr>
                <w:rStyle w:val="IndexLink"/>
              </w:rPr>
              <w:t>441</w:t>
            </w:r>
          </w:hyperlink>
        </w:p>
        <w:p>
          <w:pPr>
            <w:pStyle w:val="Contents3"/>
            <w:tabs>
              <w:tab w:val="clear" w:pos="8459"/>
              <w:tab w:val="right" w:pos="9026" w:leader="dot"/>
            </w:tabs>
            <w:rPr/>
          </w:pPr>
          <w:hyperlink w:anchor="__RefHeading___Toc3586153_3650668749">
            <w:r>
              <w:rPr>
                <w:webHidden/>
                <w:rStyle w:val="IndexLink"/>
              </w:rPr>
              <w:t>١٣</w:t>
            </w:r>
            <w:r>
              <w:rPr>
                <w:rStyle w:val="IndexLink"/>
                <w:rtl w:val="true"/>
              </w:rPr>
              <w:t xml:space="preserve">. </w:t>
            </w:r>
            <w:r>
              <w:rPr>
                <w:rStyle w:val="IndexLink"/>
                <w:rtl w:val="true"/>
              </w:rPr>
              <w:t>آداب و رسوم مجالس خلفا و امرا</w:t>
            </w:r>
            <w:r>
              <w:rPr>
                <w:rStyle w:val="IndexLink"/>
                <w:rtl w:val="true"/>
              </w:rPr>
              <w:tab/>
            </w:r>
            <w:r>
              <w:rPr>
                <w:rStyle w:val="IndexLink"/>
              </w:rPr>
              <w:t>444</w:t>
            </w:r>
          </w:hyperlink>
        </w:p>
        <w:p>
          <w:pPr>
            <w:pStyle w:val="Contents4"/>
            <w:tabs>
              <w:tab w:val="clear" w:pos="8176"/>
              <w:tab w:val="right" w:pos="9026" w:leader="dot"/>
            </w:tabs>
            <w:rPr/>
          </w:pPr>
          <w:hyperlink w:anchor="__RefHeading___Toc3586155_3650668749">
            <w:r>
              <w:rPr>
                <w:webHidden/>
                <w:rStyle w:val="IndexLink"/>
                <w:rtl w:val="true"/>
              </w:rPr>
              <w:t>اشاره</w:t>
            </w:r>
            <w:r>
              <w:rPr>
                <w:rStyle w:val="IndexLink"/>
                <w:rtl w:val="true"/>
              </w:rPr>
              <w:tab/>
            </w:r>
            <w:r>
              <w:rPr>
                <w:rStyle w:val="IndexLink"/>
              </w:rPr>
              <w:t>444</w:t>
            </w:r>
          </w:hyperlink>
        </w:p>
        <w:p>
          <w:pPr>
            <w:pStyle w:val="Contents4"/>
            <w:tabs>
              <w:tab w:val="clear" w:pos="8176"/>
              <w:tab w:val="right" w:pos="9026" w:leader="dot"/>
            </w:tabs>
            <w:rPr/>
          </w:pPr>
          <w:hyperlink w:anchor="__RefHeading___Toc3586157_3650668749">
            <w:r>
              <w:rPr>
                <w:webHidden/>
                <w:rStyle w:val="IndexLink"/>
                <w:rtl w:val="true"/>
              </w:rPr>
              <w:t>الف</w:t>
            </w:r>
            <w:r>
              <w:rPr>
                <w:rStyle w:val="IndexLink"/>
                <w:rtl w:val="true"/>
              </w:rPr>
              <w:t xml:space="preserve">) </w:t>
            </w:r>
            <w:r>
              <w:rPr>
                <w:rStyle w:val="IndexLink"/>
                <w:rtl w:val="true"/>
              </w:rPr>
              <w:t xml:space="preserve">دربان </w:t>
            </w:r>
            <w:r>
              <w:rPr>
                <w:rStyle w:val="IndexLink"/>
                <w:rtl w:val="true"/>
              </w:rPr>
              <w:t>(</w:t>
            </w:r>
            <w:r>
              <w:rPr>
                <w:rStyle w:val="IndexLink"/>
                <w:rtl w:val="true"/>
              </w:rPr>
              <w:t>حاجب</w:t>
            </w:r>
            <w:r>
              <w:rPr>
                <w:rStyle w:val="IndexLink"/>
                <w:rtl w:val="true"/>
              </w:rPr>
              <w:t>)</w:t>
              <w:tab/>
            </w:r>
            <w:r>
              <w:rPr>
                <w:rStyle w:val="IndexLink"/>
              </w:rPr>
              <w:t>445</w:t>
            </w:r>
          </w:hyperlink>
        </w:p>
        <w:p>
          <w:pPr>
            <w:pStyle w:val="Contents4"/>
            <w:tabs>
              <w:tab w:val="clear" w:pos="8176"/>
              <w:tab w:val="right" w:pos="9026" w:leader="dot"/>
            </w:tabs>
            <w:rPr/>
          </w:pPr>
          <w:hyperlink w:anchor="__RefHeading___Toc3586159_3650668749">
            <w:r>
              <w:rPr>
                <w:webHidden/>
                <w:rStyle w:val="IndexLink"/>
                <w:rtl w:val="true"/>
              </w:rPr>
              <w:t>ب</w:t>
            </w:r>
            <w:r>
              <w:rPr>
                <w:rStyle w:val="IndexLink"/>
                <w:rtl w:val="true"/>
              </w:rPr>
              <w:t xml:space="preserve">) </w:t>
            </w:r>
            <w:r>
              <w:rPr>
                <w:rStyle w:val="IndexLink"/>
                <w:rtl w:val="true"/>
              </w:rPr>
              <w:t>اذن دخول</w:t>
            </w:r>
            <w:r>
              <w:rPr>
                <w:rStyle w:val="IndexLink"/>
                <w:rtl w:val="true"/>
              </w:rPr>
              <w:tab/>
            </w:r>
            <w:r>
              <w:rPr>
                <w:rStyle w:val="IndexLink"/>
              </w:rPr>
              <w:t>446</w:t>
            </w:r>
          </w:hyperlink>
        </w:p>
        <w:p>
          <w:pPr>
            <w:pStyle w:val="Contents4"/>
            <w:tabs>
              <w:tab w:val="clear" w:pos="8176"/>
              <w:tab w:val="right" w:pos="9026" w:leader="dot"/>
            </w:tabs>
            <w:rPr/>
          </w:pPr>
          <w:hyperlink w:anchor="__RefHeading___Toc3586161_3650668749">
            <w:r>
              <w:rPr>
                <w:webHidden/>
                <w:rStyle w:val="IndexLink"/>
                <w:rtl w:val="true"/>
              </w:rPr>
              <w:t>ج</w:t>
            </w:r>
            <w:r>
              <w:rPr>
                <w:rStyle w:val="IndexLink"/>
                <w:rtl w:val="true"/>
              </w:rPr>
              <w:t xml:space="preserve">) </w:t>
            </w:r>
            <w:r>
              <w:rPr>
                <w:rStyle w:val="IndexLink"/>
                <w:rtl w:val="true"/>
              </w:rPr>
              <w:t>كيفيت ورود در مجلس</w:t>
            </w:r>
            <w:r>
              <w:rPr>
                <w:rStyle w:val="IndexLink"/>
                <w:rtl w:val="true"/>
              </w:rPr>
              <w:tab/>
            </w:r>
            <w:r>
              <w:rPr>
                <w:rStyle w:val="IndexLink"/>
              </w:rPr>
              <w:t>446</w:t>
            </w:r>
          </w:hyperlink>
        </w:p>
        <w:p>
          <w:pPr>
            <w:pStyle w:val="Contents4"/>
            <w:tabs>
              <w:tab w:val="clear" w:pos="8176"/>
              <w:tab w:val="right" w:pos="9026" w:leader="dot"/>
            </w:tabs>
            <w:rPr/>
          </w:pPr>
          <w:hyperlink w:anchor="__RefHeading___Toc3586163_3650668749">
            <w:r>
              <w:rPr>
                <w:webHidden/>
                <w:rStyle w:val="IndexLink"/>
                <w:rtl w:val="true"/>
              </w:rPr>
              <w:t>د</w:t>
            </w:r>
            <w:r>
              <w:rPr>
                <w:rStyle w:val="IndexLink"/>
                <w:rtl w:val="true"/>
              </w:rPr>
              <w:t xml:space="preserve">) </w:t>
            </w:r>
            <w:r>
              <w:rPr>
                <w:rStyle w:val="IndexLink"/>
                <w:rtl w:val="true"/>
              </w:rPr>
              <w:t>تجمّلات مجلس</w:t>
            </w:r>
            <w:r>
              <w:rPr>
                <w:rStyle w:val="IndexLink"/>
                <w:rtl w:val="true"/>
              </w:rPr>
              <w:tab/>
            </w:r>
            <w:r>
              <w:rPr>
                <w:rStyle w:val="IndexLink"/>
              </w:rPr>
              <w:t>447</w:t>
            </w:r>
          </w:hyperlink>
        </w:p>
        <w:p>
          <w:pPr>
            <w:pStyle w:val="Contents4"/>
            <w:tabs>
              <w:tab w:val="clear" w:pos="8176"/>
              <w:tab w:val="right" w:pos="9026" w:leader="dot"/>
            </w:tabs>
            <w:rPr/>
          </w:pPr>
          <w:hyperlink w:anchor="__RefHeading___Toc3586165_3650668749">
            <w:r>
              <w:rPr>
                <w:webHidden/>
                <w:rStyle w:val="IndexLink"/>
                <w:rtl w:val="true"/>
              </w:rPr>
              <w:t>ه</w:t>
            </w:r>
            <w:r>
              <w:rPr>
                <w:rStyle w:val="IndexLink"/>
                <w:rtl w:val="true"/>
              </w:rPr>
              <w:t xml:space="preserve">) </w:t>
            </w:r>
            <w:r>
              <w:rPr>
                <w:rStyle w:val="IndexLink"/>
                <w:rtl w:val="true"/>
              </w:rPr>
              <w:t>پاسبان در مجلس</w:t>
            </w:r>
            <w:r>
              <w:rPr>
                <w:rStyle w:val="IndexLink"/>
                <w:rtl w:val="true"/>
              </w:rPr>
              <w:tab/>
            </w:r>
            <w:r>
              <w:rPr>
                <w:rStyle w:val="IndexLink"/>
              </w:rPr>
              <w:t>447</w:t>
            </w:r>
          </w:hyperlink>
        </w:p>
        <w:p>
          <w:pPr>
            <w:pStyle w:val="Contents4"/>
            <w:tabs>
              <w:tab w:val="clear" w:pos="8176"/>
              <w:tab w:val="right" w:pos="9026" w:leader="dot"/>
            </w:tabs>
            <w:rPr/>
          </w:pPr>
          <w:hyperlink w:anchor="__RefHeading___Toc3586167_3650668749">
            <w:r>
              <w:rPr>
                <w:webHidden/>
                <w:rStyle w:val="IndexLink"/>
                <w:rtl w:val="true"/>
              </w:rPr>
              <w:t>و</w:t>
            </w:r>
            <w:r>
              <w:rPr>
                <w:rStyle w:val="IndexLink"/>
                <w:rtl w:val="true"/>
              </w:rPr>
              <w:t xml:space="preserve">) </w:t>
            </w:r>
            <w:r>
              <w:rPr>
                <w:rStyle w:val="IndexLink"/>
                <w:rtl w:val="true"/>
              </w:rPr>
              <w:t>مرخص شدن از مجلس</w:t>
            </w:r>
            <w:r>
              <w:rPr>
                <w:rStyle w:val="IndexLink"/>
                <w:rtl w:val="true"/>
              </w:rPr>
              <w:tab/>
            </w:r>
            <w:r>
              <w:rPr>
                <w:rStyle w:val="IndexLink"/>
              </w:rPr>
              <w:t>448</w:t>
            </w:r>
          </w:hyperlink>
        </w:p>
        <w:p>
          <w:pPr>
            <w:pStyle w:val="Contents3"/>
            <w:tabs>
              <w:tab w:val="clear" w:pos="8459"/>
              <w:tab w:val="right" w:pos="9026" w:leader="dot"/>
            </w:tabs>
            <w:rPr/>
          </w:pPr>
          <w:hyperlink w:anchor="__RefHeading___Toc3586169_3650668749">
            <w:r>
              <w:rPr>
                <w:webHidden/>
                <w:rStyle w:val="IndexLink"/>
              </w:rPr>
              <w:t>١۴</w:t>
            </w:r>
            <w:r>
              <w:rPr>
                <w:rStyle w:val="IndexLink"/>
                <w:rtl w:val="true"/>
              </w:rPr>
              <w:t xml:space="preserve">. </w:t>
            </w:r>
            <w:r>
              <w:rPr>
                <w:rStyle w:val="IndexLink"/>
                <w:rtl w:val="true"/>
              </w:rPr>
              <w:t>لباس پوشيدن و حجاب</w:t>
            </w:r>
            <w:r>
              <w:rPr>
                <w:rStyle w:val="IndexLink"/>
                <w:rtl w:val="true"/>
              </w:rPr>
              <w:tab/>
            </w:r>
            <w:r>
              <w:rPr>
                <w:rStyle w:val="IndexLink"/>
              </w:rPr>
              <w:t>448</w:t>
            </w:r>
          </w:hyperlink>
        </w:p>
        <w:p>
          <w:pPr>
            <w:pStyle w:val="Contents4"/>
            <w:tabs>
              <w:tab w:val="clear" w:pos="8176"/>
              <w:tab w:val="right" w:pos="9026" w:leader="dot"/>
            </w:tabs>
            <w:rPr/>
          </w:pPr>
          <w:hyperlink w:anchor="__RefHeading___Toc3586171_3650668749">
            <w:r>
              <w:rPr>
                <w:webHidden/>
                <w:rStyle w:val="IndexLink"/>
                <w:rtl w:val="true"/>
              </w:rPr>
              <w:t>اشاره</w:t>
            </w:r>
            <w:r>
              <w:rPr>
                <w:rStyle w:val="IndexLink"/>
                <w:rtl w:val="true"/>
              </w:rPr>
              <w:tab/>
            </w:r>
            <w:r>
              <w:rPr>
                <w:rStyle w:val="IndexLink"/>
              </w:rPr>
              <w:t>448</w:t>
            </w:r>
          </w:hyperlink>
        </w:p>
        <w:p>
          <w:pPr>
            <w:pStyle w:val="Contents4"/>
            <w:tabs>
              <w:tab w:val="clear" w:pos="8176"/>
              <w:tab w:val="right" w:pos="9026" w:leader="dot"/>
            </w:tabs>
            <w:rPr/>
          </w:pPr>
          <w:hyperlink w:anchor="__RefHeading___Toc3586173_3650668749">
            <w:r>
              <w:rPr>
                <w:webHidden/>
                <w:rStyle w:val="IndexLink"/>
                <w:rtl w:val="true"/>
              </w:rPr>
              <w:t>الف</w:t>
            </w:r>
            <w:r>
              <w:rPr>
                <w:rStyle w:val="IndexLink"/>
                <w:rtl w:val="true"/>
              </w:rPr>
              <w:t xml:space="preserve">) </w:t>
            </w:r>
            <w:r>
              <w:rPr>
                <w:rStyle w:val="IndexLink"/>
                <w:rtl w:val="true"/>
              </w:rPr>
              <w:t>پارچه‌ها</w:t>
            </w:r>
            <w:r>
              <w:rPr>
                <w:rStyle w:val="IndexLink"/>
                <w:rtl w:val="true"/>
              </w:rPr>
              <w:tab/>
            </w:r>
            <w:r>
              <w:rPr>
                <w:rStyle w:val="IndexLink"/>
              </w:rPr>
              <w:t>448</w:t>
            </w:r>
          </w:hyperlink>
        </w:p>
        <w:p>
          <w:pPr>
            <w:pStyle w:val="Contents5"/>
            <w:tabs>
              <w:tab w:val="clear" w:pos="7892"/>
              <w:tab w:val="right" w:pos="9026" w:leader="dot"/>
            </w:tabs>
            <w:rPr/>
          </w:pPr>
          <w:hyperlink w:anchor="__RefHeading___Toc3586175_3650668749">
            <w:r>
              <w:rPr>
                <w:webHidden/>
                <w:rStyle w:val="IndexLink"/>
                <w:rtl w:val="true"/>
              </w:rPr>
              <w:t xml:space="preserve">يك </w:t>
            </w:r>
            <w:r>
              <w:rPr>
                <w:rStyle w:val="IndexLink"/>
                <w:rtl w:val="true"/>
              </w:rPr>
              <w:t xml:space="preserve">- </w:t>
            </w:r>
            <w:r>
              <w:rPr>
                <w:rStyle w:val="IndexLink"/>
                <w:rtl w:val="true"/>
              </w:rPr>
              <w:t>مواد پارچه‌ها</w:t>
            </w:r>
            <w:r>
              <w:rPr>
                <w:rStyle w:val="IndexLink"/>
                <w:rtl w:val="true"/>
              </w:rPr>
              <w:tab/>
            </w:r>
            <w:r>
              <w:rPr>
                <w:rStyle w:val="IndexLink"/>
              </w:rPr>
              <w:t>448</w:t>
            </w:r>
          </w:hyperlink>
        </w:p>
        <w:p>
          <w:pPr>
            <w:pStyle w:val="Contents5"/>
            <w:tabs>
              <w:tab w:val="clear" w:pos="7892"/>
              <w:tab w:val="right" w:pos="9026" w:leader="dot"/>
            </w:tabs>
            <w:rPr/>
          </w:pPr>
          <w:hyperlink w:anchor="__RefHeading___Toc3586177_3650668749">
            <w:r>
              <w:rPr>
                <w:webHidden/>
                <w:rStyle w:val="IndexLink"/>
                <w:rtl w:val="true"/>
              </w:rPr>
              <w:t xml:space="preserve">دو </w:t>
            </w:r>
            <w:r>
              <w:rPr>
                <w:rStyle w:val="IndexLink"/>
                <w:rtl w:val="true"/>
              </w:rPr>
              <w:t xml:space="preserve">- </w:t>
            </w:r>
            <w:r>
              <w:rPr>
                <w:rStyle w:val="IndexLink"/>
                <w:rtl w:val="true"/>
              </w:rPr>
              <w:t>نام پارچه‌ها</w:t>
            </w:r>
            <w:r>
              <w:rPr>
                <w:rStyle w:val="IndexLink"/>
                <w:rtl w:val="true"/>
              </w:rPr>
              <w:tab/>
            </w:r>
            <w:r>
              <w:rPr>
                <w:rStyle w:val="IndexLink"/>
              </w:rPr>
              <w:t>448</w:t>
            </w:r>
          </w:hyperlink>
        </w:p>
        <w:p>
          <w:pPr>
            <w:pStyle w:val="Contents6"/>
            <w:tabs>
              <w:tab w:val="clear" w:pos="7609"/>
              <w:tab w:val="right" w:pos="9026" w:leader="dot"/>
            </w:tabs>
            <w:rPr/>
          </w:pPr>
          <w:hyperlink w:anchor="__RefHeading___Toc3586179_3650668749">
            <w:r>
              <w:rPr>
                <w:webHidden/>
                <w:rStyle w:val="IndexLink"/>
                <w:rtl w:val="true"/>
              </w:rPr>
              <w:t>اشاره</w:t>
            </w:r>
            <w:r>
              <w:rPr>
                <w:rStyle w:val="IndexLink"/>
                <w:rtl w:val="true"/>
              </w:rPr>
              <w:tab/>
            </w:r>
            <w:r>
              <w:rPr>
                <w:rStyle w:val="IndexLink"/>
              </w:rPr>
              <w:t>448</w:t>
            </w:r>
          </w:hyperlink>
        </w:p>
        <w:p>
          <w:pPr>
            <w:pStyle w:val="Contents6"/>
            <w:tabs>
              <w:tab w:val="clear" w:pos="7609"/>
              <w:tab w:val="right" w:pos="9026" w:leader="dot"/>
            </w:tabs>
            <w:rPr/>
          </w:pPr>
          <w:hyperlink w:anchor="__RefHeading___Toc3586181_3650668749">
            <w:r>
              <w:rPr>
                <w:webHidden/>
                <w:rStyle w:val="IndexLink"/>
                <w:rtl w:val="true"/>
              </w:rPr>
              <w:t xml:space="preserve">اول </w:t>
            </w:r>
            <w:r>
              <w:rPr>
                <w:rStyle w:val="IndexLink"/>
                <w:rtl w:val="true"/>
              </w:rPr>
              <w:t xml:space="preserve">- </w:t>
            </w:r>
            <w:r>
              <w:rPr>
                <w:rStyle w:val="IndexLink"/>
                <w:rtl w:val="true"/>
              </w:rPr>
              <w:t>اِسْتَبْرَق</w:t>
            </w:r>
            <w:r>
              <w:rPr>
                <w:rStyle w:val="IndexLink"/>
                <w:rtl w:val="true"/>
              </w:rPr>
              <w:tab/>
            </w:r>
            <w:r>
              <w:rPr>
                <w:rStyle w:val="IndexLink"/>
              </w:rPr>
              <w:t>449</w:t>
            </w:r>
          </w:hyperlink>
        </w:p>
        <w:p>
          <w:pPr>
            <w:pStyle w:val="Contents6"/>
            <w:tabs>
              <w:tab w:val="clear" w:pos="7609"/>
              <w:tab w:val="right" w:pos="9026" w:leader="dot"/>
            </w:tabs>
            <w:rPr/>
          </w:pPr>
          <w:hyperlink w:anchor="__RefHeading___Toc3586183_3650668749">
            <w:r>
              <w:rPr>
                <w:webHidden/>
                <w:rStyle w:val="IndexLink"/>
                <w:rtl w:val="true"/>
              </w:rPr>
              <w:t xml:space="preserve">دوم </w:t>
            </w:r>
            <w:r>
              <w:rPr>
                <w:rStyle w:val="IndexLink"/>
                <w:rtl w:val="true"/>
              </w:rPr>
              <w:t xml:space="preserve">- </w:t>
            </w:r>
            <w:r>
              <w:rPr>
                <w:rStyle w:val="IndexLink"/>
                <w:rtl w:val="true"/>
              </w:rPr>
              <w:t>بَزّ</w:t>
            </w:r>
            <w:r>
              <w:rPr>
                <w:rStyle w:val="IndexLink"/>
                <w:rtl w:val="true"/>
              </w:rPr>
              <w:tab/>
            </w:r>
            <w:r>
              <w:rPr>
                <w:rStyle w:val="IndexLink"/>
              </w:rPr>
              <w:t>449</w:t>
            </w:r>
          </w:hyperlink>
        </w:p>
        <w:p>
          <w:pPr>
            <w:pStyle w:val="Contents6"/>
            <w:tabs>
              <w:tab w:val="clear" w:pos="7609"/>
              <w:tab w:val="right" w:pos="9026" w:leader="dot"/>
            </w:tabs>
            <w:rPr/>
          </w:pPr>
          <w:hyperlink w:anchor="__RefHeading___Toc3586185_3650668749">
            <w:r>
              <w:rPr>
                <w:webHidden/>
                <w:rStyle w:val="IndexLink"/>
                <w:rtl w:val="true"/>
              </w:rPr>
              <w:t xml:space="preserve">سوم </w:t>
            </w:r>
            <w:r>
              <w:rPr>
                <w:rStyle w:val="IndexLink"/>
                <w:rtl w:val="true"/>
              </w:rPr>
              <w:t xml:space="preserve">- </w:t>
            </w:r>
            <w:r>
              <w:rPr>
                <w:rStyle w:val="IndexLink"/>
                <w:rtl w:val="true"/>
              </w:rPr>
              <w:t>حرير</w:t>
            </w:r>
            <w:r>
              <w:rPr>
                <w:rStyle w:val="IndexLink"/>
                <w:rtl w:val="true"/>
              </w:rPr>
              <w:tab/>
            </w:r>
            <w:r>
              <w:rPr>
                <w:rStyle w:val="IndexLink"/>
              </w:rPr>
              <w:t>449</w:t>
            </w:r>
          </w:hyperlink>
        </w:p>
        <w:p>
          <w:pPr>
            <w:pStyle w:val="Contents6"/>
            <w:tabs>
              <w:tab w:val="clear" w:pos="7609"/>
              <w:tab w:val="right" w:pos="9026" w:leader="dot"/>
            </w:tabs>
            <w:rPr/>
          </w:pPr>
          <w:hyperlink w:anchor="__RefHeading___Toc3586187_3650668749">
            <w:r>
              <w:rPr>
                <w:webHidden/>
                <w:rStyle w:val="IndexLink"/>
                <w:rtl w:val="true"/>
              </w:rPr>
              <w:t xml:space="preserve">چهارم </w:t>
            </w:r>
            <w:r>
              <w:rPr>
                <w:rStyle w:val="IndexLink"/>
                <w:rtl w:val="true"/>
              </w:rPr>
              <w:t xml:space="preserve">- </w:t>
            </w:r>
            <w:r>
              <w:rPr>
                <w:rStyle w:val="IndexLink"/>
                <w:rtl w:val="true"/>
              </w:rPr>
              <w:t>خَزّ</w:t>
            </w:r>
            <w:r>
              <w:rPr>
                <w:rStyle w:val="IndexLink"/>
                <w:rtl w:val="true"/>
              </w:rPr>
              <w:tab/>
            </w:r>
            <w:r>
              <w:rPr>
                <w:rStyle w:val="IndexLink"/>
              </w:rPr>
              <w:t>449</w:t>
            </w:r>
          </w:hyperlink>
        </w:p>
        <w:p>
          <w:pPr>
            <w:pStyle w:val="Contents6"/>
            <w:tabs>
              <w:tab w:val="clear" w:pos="7609"/>
              <w:tab w:val="right" w:pos="9026" w:leader="dot"/>
            </w:tabs>
            <w:rPr/>
          </w:pPr>
          <w:hyperlink w:anchor="__RefHeading___Toc3586189_3650668749">
            <w:r>
              <w:rPr>
                <w:webHidden/>
                <w:rStyle w:val="IndexLink"/>
                <w:rtl w:val="true"/>
              </w:rPr>
              <w:t xml:space="preserve">پنجم </w:t>
            </w:r>
            <w:r>
              <w:rPr>
                <w:rStyle w:val="IndexLink"/>
                <w:rtl w:val="true"/>
              </w:rPr>
              <w:t xml:space="preserve">- </w:t>
            </w:r>
            <w:r>
              <w:rPr>
                <w:rStyle w:val="IndexLink"/>
                <w:rtl w:val="true"/>
              </w:rPr>
              <w:t>ديباج</w:t>
            </w:r>
            <w:r>
              <w:rPr>
                <w:rStyle w:val="IndexLink"/>
                <w:rtl w:val="true"/>
              </w:rPr>
              <w:tab/>
            </w:r>
            <w:r>
              <w:rPr>
                <w:rStyle w:val="IndexLink"/>
              </w:rPr>
              <w:t>450</w:t>
            </w:r>
          </w:hyperlink>
        </w:p>
        <w:p>
          <w:pPr>
            <w:pStyle w:val="Contents6"/>
            <w:tabs>
              <w:tab w:val="clear" w:pos="7609"/>
              <w:tab w:val="right" w:pos="9026" w:leader="dot"/>
            </w:tabs>
            <w:rPr/>
          </w:pPr>
          <w:hyperlink w:anchor="__RefHeading___Toc3586191_3650668749">
            <w:r>
              <w:rPr>
                <w:webHidden/>
                <w:rStyle w:val="IndexLink"/>
                <w:rtl w:val="true"/>
              </w:rPr>
              <w:t xml:space="preserve">ششم </w:t>
            </w:r>
            <w:r>
              <w:rPr>
                <w:rStyle w:val="IndexLink"/>
                <w:rtl w:val="true"/>
              </w:rPr>
              <w:t xml:space="preserve">- </w:t>
            </w:r>
            <w:r>
              <w:rPr>
                <w:rStyle w:val="IndexLink"/>
                <w:rtl w:val="true"/>
              </w:rPr>
              <w:t>رَفْرَفْ</w:t>
            </w:r>
            <w:r>
              <w:rPr>
                <w:rStyle w:val="IndexLink"/>
                <w:rtl w:val="true"/>
              </w:rPr>
              <w:tab/>
            </w:r>
            <w:r>
              <w:rPr>
                <w:rStyle w:val="IndexLink"/>
              </w:rPr>
              <w:t>450</w:t>
            </w:r>
          </w:hyperlink>
        </w:p>
        <w:p>
          <w:pPr>
            <w:pStyle w:val="Contents6"/>
            <w:tabs>
              <w:tab w:val="clear" w:pos="7609"/>
              <w:tab w:val="right" w:pos="9026" w:leader="dot"/>
            </w:tabs>
            <w:rPr/>
          </w:pPr>
          <w:hyperlink w:anchor="__RefHeading___Toc3586193_3650668749">
            <w:r>
              <w:rPr>
                <w:webHidden/>
                <w:rStyle w:val="IndexLink"/>
                <w:rtl w:val="true"/>
              </w:rPr>
              <w:t xml:space="preserve">هفتم </w:t>
            </w:r>
            <w:r>
              <w:rPr>
                <w:rStyle w:val="IndexLink"/>
                <w:rtl w:val="true"/>
              </w:rPr>
              <w:t xml:space="preserve">- </w:t>
            </w:r>
            <w:r>
              <w:rPr>
                <w:rStyle w:val="IndexLink"/>
                <w:rtl w:val="true"/>
              </w:rPr>
              <w:t>سُنْدُس</w:t>
            </w:r>
            <w:r>
              <w:rPr>
                <w:rStyle w:val="IndexLink"/>
                <w:rtl w:val="true"/>
              </w:rPr>
              <w:tab/>
            </w:r>
            <w:r>
              <w:rPr>
                <w:rStyle w:val="IndexLink"/>
              </w:rPr>
              <w:t>450</w:t>
            </w:r>
          </w:hyperlink>
        </w:p>
        <w:p>
          <w:pPr>
            <w:pStyle w:val="Contents6"/>
            <w:tabs>
              <w:tab w:val="clear" w:pos="7609"/>
              <w:tab w:val="right" w:pos="9026" w:leader="dot"/>
            </w:tabs>
            <w:rPr/>
          </w:pPr>
          <w:hyperlink w:anchor="__RefHeading___Toc3586195_3650668749">
            <w:r>
              <w:rPr>
                <w:webHidden/>
                <w:rStyle w:val="IndexLink"/>
                <w:rtl w:val="true"/>
              </w:rPr>
              <w:t xml:space="preserve">هشتم </w:t>
            </w:r>
            <w:r>
              <w:rPr>
                <w:rStyle w:val="IndexLink"/>
                <w:rtl w:val="true"/>
              </w:rPr>
              <w:t xml:space="preserve">- </w:t>
            </w:r>
            <w:r>
              <w:rPr>
                <w:rStyle w:val="IndexLink"/>
                <w:rtl w:val="true"/>
              </w:rPr>
              <w:t>قِبْطيّه</w:t>
            </w:r>
            <w:r>
              <w:rPr>
                <w:rStyle w:val="IndexLink"/>
                <w:rtl w:val="true"/>
              </w:rPr>
              <w:tab/>
            </w:r>
            <w:r>
              <w:rPr>
                <w:rStyle w:val="IndexLink"/>
              </w:rPr>
              <w:t>451</w:t>
            </w:r>
          </w:hyperlink>
        </w:p>
        <w:p>
          <w:pPr>
            <w:pStyle w:val="Contents6"/>
            <w:tabs>
              <w:tab w:val="clear" w:pos="7609"/>
              <w:tab w:val="right" w:pos="9026" w:leader="dot"/>
            </w:tabs>
            <w:rPr/>
          </w:pPr>
          <w:hyperlink w:anchor="__RefHeading___Toc3586197_3650668749">
            <w:r>
              <w:rPr>
                <w:webHidden/>
                <w:rStyle w:val="IndexLink"/>
                <w:rtl w:val="true"/>
              </w:rPr>
              <w:t xml:space="preserve">نهم </w:t>
            </w:r>
            <w:r>
              <w:rPr>
                <w:rStyle w:val="IndexLink"/>
                <w:rtl w:val="true"/>
              </w:rPr>
              <w:t xml:space="preserve">- </w:t>
            </w:r>
            <w:r>
              <w:rPr>
                <w:rStyle w:val="IndexLink"/>
                <w:rtl w:val="true"/>
              </w:rPr>
              <w:t>قَزّ</w:t>
            </w:r>
            <w:r>
              <w:rPr>
                <w:rStyle w:val="IndexLink"/>
                <w:rtl w:val="true"/>
              </w:rPr>
              <w:tab/>
            </w:r>
            <w:r>
              <w:rPr>
                <w:rStyle w:val="IndexLink"/>
              </w:rPr>
              <w:t>451</w:t>
            </w:r>
          </w:hyperlink>
        </w:p>
        <w:p>
          <w:pPr>
            <w:pStyle w:val="Contents6"/>
            <w:tabs>
              <w:tab w:val="clear" w:pos="7609"/>
              <w:tab w:val="right" w:pos="9026" w:leader="dot"/>
            </w:tabs>
            <w:rPr/>
          </w:pPr>
          <w:hyperlink w:anchor="__RefHeading___Toc3586199_3650668749">
            <w:r>
              <w:rPr>
                <w:webHidden/>
                <w:rStyle w:val="IndexLink"/>
                <w:rtl w:val="true"/>
              </w:rPr>
              <w:t xml:space="preserve">دهم </w:t>
            </w:r>
            <w:r>
              <w:rPr>
                <w:rStyle w:val="IndexLink"/>
                <w:rtl w:val="true"/>
              </w:rPr>
              <w:t xml:space="preserve">- </w:t>
            </w:r>
            <w:r>
              <w:rPr>
                <w:rStyle w:val="IndexLink"/>
                <w:rtl w:val="true"/>
              </w:rPr>
              <w:t>كتان</w:t>
            </w:r>
            <w:r>
              <w:rPr>
                <w:rStyle w:val="IndexLink"/>
                <w:rtl w:val="true"/>
              </w:rPr>
              <w:tab/>
            </w:r>
            <w:r>
              <w:rPr>
                <w:rStyle w:val="IndexLink"/>
              </w:rPr>
              <w:t>451</w:t>
            </w:r>
          </w:hyperlink>
        </w:p>
        <w:p>
          <w:pPr>
            <w:pStyle w:val="Contents6"/>
            <w:tabs>
              <w:tab w:val="clear" w:pos="7609"/>
              <w:tab w:val="right" w:pos="9026" w:leader="dot"/>
            </w:tabs>
            <w:rPr/>
          </w:pPr>
          <w:hyperlink w:anchor="__RefHeading___Toc3586201_3650668749">
            <w:r>
              <w:rPr>
                <w:webHidden/>
                <w:rStyle w:val="IndexLink"/>
                <w:rtl w:val="true"/>
              </w:rPr>
              <w:t xml:space="preserve">يازدهم </w:t>
            </w:r>
            <w:r>
              <w:rPr>
                <w:rStyle w:val="IndexLink"/>
                <w:rtl w:val="true"/>
              </w:rPr>
              <w:t xml:space="preserve">- </w:t>
            </w:r>
            <w:r>
              <w:rPr>
                <w:rStyle w:val="IndexLink"/>
                <w:rtl w:val="true"/>
              </w:rPr>
              <w:t>كَرْباس</w:t>
            </w:r>
            <w:r>
              <w:rPr>
                <w:rStyle w:val="IndexLink"/>
                <w:rtl w:val="true"/>
              </w:rPr>
              <w:tab/>
            </w:r>
            <w:r>
              <w:rPr>
                <w:rStyle w:val="IndexLink"/>
              </w:rPr>
              <w:t>452</w:t>
            </w:r>
          </w:hyperlink>
        </w:p>
        <w:p>
          <w:pPr>
            <w:pStyle w:val="Contents6"/>
            <w:tabs>
              <w:tab w:val="clear" w:pos="7609"/>
              <w:tab w:val="right" w:pos="9026" w:leader="dot"/>
            </w:tabs>
            <w:rPr/>
          </w:pPr>
          <w:hyperlink w:anchor="__RefHeading___Toc3586203_3650668749">
            <w:r>
              <w:rPr>
                <w:webHidden/>
                <w:rStyle w:val="IndexLink"/>
                <w:rtl w:val="true"/>
              </w:rPr>
              <w:t xml:space="preserve">دوازدهم </w:t>
            </w:r>
            <w:r>
              <w:rPr>
                <w:rStyle w:val="IndexLink"/>
                <w:rtl w:val="true"/>
              </w:rPr>
              <w:t xml:space="preserve">- </w:t>
            </w:r>
            <w:r>
              <w:rPr>
                <w:rStyle w:val="IndexLink"/>
                <w:rtl w:val="true"/>
              </w:rPr>
              <w:t>مُعَلَّم</w:t>
            </w:r>
            <w:r>
              <w:rPr>
                <w:rStyle w:val="IndexLink"/>
                <w:rtl w:val="true"/>
              </w:rPr>
              <w:tab/>
            </w:r>
            <w:r>
              <w:rPr>
                <w:rStyle w:val="IndexLink"/>
              </w:rPr>
              <w:t>452</w:t>
            </w:r>
          </w:hyperlink>
        </w:p>
        <w:p>
          <w:pPr>
            <w:pStyle w:val="Contents6"/>
            <w:tabs>
              <w:tab w:val="clear" w:pos="7609"/>
              <w:tab w:val="right" w:pos="9026" w:leader="dot"/>
            </w:tabs>
            <w:rPr/>
          </w:pPr>
          <w:hyperlink w:anchor="__RefHeading___Toc3586205_3650668749">
            <w:r>
              <w:rPr>
                <w:webHidden/>
                <w:rStyle w:val="IndexLink"/>
                <w:rtl w:val="true"/>
              </w:rPr>
              <w:t xml:space="preserve">سيزدهم </w:t>
            </w:r>
            <w:r>
              <w:rPr>
                <w:rStyle w:val="IndexLink"/>
                <w:rtl w:val="true"/>
              </w:rPr>
              <w:t xml:space="preserve">- </w:t>
            </w:r>
            <w:r>
              <w:rPr>
                <w:rStyle w:val="IndexLink"/>
                <w:rtl w:val="true"/>
              </w:rPr>
              <w:t>مُنَيّر</w:t>
            </w:r>
            <w:r>
              <w:rPr>
                <w:rStyle w:val="IndexLink"/>
                <w:rtl w:val="true"/>
              </w:rPr>
              <w:tab/>
            </w:r>
            <w:r>
              <w:rPr>
                <w:rStyle w:val="IndexLink"/>
              </w:rPr>
              <w:t>452</w:t>
            </w:r>
          </w:hyperlink>
        </w:p>
        <w:p>
          <w:pPr>
            <w:pStyle w:val="Contents6"/>
            <w:tabs>
              <w:tab w:val="clear" w:pos="7609"/>
              <w:tab w:val="right" w:pos="9026" w:leader="dot"/>
            </w:tabs>
            <w:rPr/>
          </w:pPr>
          <w:hyperlink w:anchor="__RefHeading___Toc3586207_3650668749">
            <w:r>
              <w:rPr>
                <w:webHidden/>
                <w:rStyle w:val="IndexLink"/>
                <w:rtl w:val="true"/>
              </w:rPr>
              <w:t xml:space="preserve">چهاردهم </w:t>
            </w:r>
            <w:r>
              <w:rPr>
                <w:rStyle w:val="IndexLink"/>
                <w:rtl w:val="true"/>
              </w:rPr>
              <w:t xml:space="preserve">- </w:t>
            </w:r>
            <w:r>
              <w:rPr>
                <w:rStyle w:val="IndexLink"/>
                <w:rtl w:val="true"/>
              </w:rPr>
              <w:t>وَشي</w:t>
            </w:r>
            <w:r>
              <w:rPr>
                <w:rStyle w:val="IndexLink"/>
                <w:rtl w:val="true"/>
              </w:rPr>
              <w:tab/>
            </w:r>
            <w:r>
              <w:rPr>
                <w:rStyle w:val="IndexLink"/>
              </w:rPr>
              <w:t>452</w:t>
            </w:r>
          </w:hyperlink>
        </w:p>
        <w:p>
          <w:pPr>
            <w:pStyle w:val="Contents4"/>
            <w:tabs>
              <w:tab w:val="clear" w:pos="8176"/>
              <w:tab w:val="right" w:pos="9026" w:leader="dot"/>
            </w:tabs>
            <w:rPr/>
          </w:pPr>
          <w:hyperlink w:anchor="__RefHeading___Toc3586209_3650668749">
            <w:r>
              <w:rPr>
                <w:webHidden/>
                <w:rStyle w:val="IndexLink"/>
                <w:rtl w:val="true"/>
              </w:rPr>
              <w:t>ب</w:t>
            </w:r>
            <w:r>
              <w:rPr>
                <w:rStyle w:val="IndexLink"/>
                <w:rtl w:val="true"/>
              </w:rPr>
              <w:t xml:space="preserve">) </w:t>
            </w:r>
            <w:r>
              <w:rPr>
                <w:rStyle w:val="IndexLink"/>
                <w:rtl w:val="true"/>
              </w:rPr>
              <w:t>لباس‌ها</w:t>
            </w:r>
            <w:r>
              <w:rPr>
                <w:rStyle w:val="IndexLink"/>
                <w:rtl w:val="true"/>
              </w:rPr>
              <w:tab/>
            </w:r>
            <w:r>
              <w:rPr>
                <w:rStyle w:val="IndexLink"/>
              </w:rPr>
              <w:t>453</w:t>
            </w:r>
          </w:hyperlink>
        </w:p>
        <w:p>
          <w:pPr>
            <w:pStyle w:val="Contents5"/>
            <w:tabs>
              <w:tab w:val="clear" w:pos="7892"/>
              <w:tab w:val="right" w:pos="9026" w:leader="dot"/>
            </w:tabs>
            <w:rPr/>
          </w:pPr>
          <w:hyperlink w:anchor="__RefHeading___Toc3586211_3650668749">
            <w:r>
              <w:rPr>
                <w:webHidden/>
                <w:rStyle w:val="IndexLink"/>
                <w:rtl w:val="true"/>
              </w:rPr>
              <w:t>اشاره</w:t>
            </w:r>
            <w:r>
              <w:rPr>
                <w:rStyle w:val="IndexLink"/>
                <w:rtl w:val="true"/>
              </w:rPr>
              <w:tab/>
            </w:r>
            <w:r>
              <w:rPr>
                <w:rStyle w:val="IndexLink"/>
              </w:rPr>
              <w:t>453</w:t>
            </w:r>
          </w:hyperlink>
        </w:p>
        <w:p>
          <w:pPr>
            <w:pStyle w:val="Contents5"/>
            <w:tabs>
              <w:tab w:val="clear" w:pos="7892"/>
              <w:tab w:val="right" w:pos="9026" w:leader="dot"/>
            </w:tabs>
            <w:rPr/>
          </w:pPr>
          <w:hyperlink w:anchor="__RefHeading___Toc3586213_3650668749">
            <w:r>
              <w:rPr>
                <w:webHidden/>
                <w:rStyle w:val="IndexLink"/>
                <w:rtl w:val="true"/>
              </w:rPr>
              <w:t xml:space="preserve">يك </w:t>
            </w:r>
            <w:r>
              <w:rPr>
                <w:rStyle w:val="IndexLink"/>
                <w:rtl w:val="true"/>
              </w:rPr>
              <w:t xml:space="preserve">- </w:t>
            </w:r>
            <w:r>
              <w:rPr>
                <w:rStyle w:val="IndexLink"/>
                <w:rtl w:val="true"/>
              </w:rPr>
              <w:t>پوشش سر</w:t>
            </w:r>
            <w:r>
              <w:rPr>
                <w:rStyle w:val="IndexLink"/>
                <w:rtl w:val="true"/>
              </w:rPr>
              <w:tab/>
            </w:r>
            <w:r>
              <w:rPr>
                <w:rStyle w:val="IndexLink"/>
              </w:rPr>
              <w:t>454</w:t>
            </w:r>
          </w:hyperlink>
        </w:p>
        <w:p>
          <w:pPr>
            <w:pStyle w:val="Contents6"/>
            <w:tabs>
              <w:tab w:val="clear" w:pos="7609"/>
              <w:tab w:val="right" w:pos="9026" w:leader="dot"/>
            </w:tabs>
            <w:rPr/>
          </w:pPr>
          <w:hyperlink w:anchor="__RefHeading___Toc3586215_3650668749">
            <w:r>
              <w:rPr>
                <w:webHidden/>
                <w:rStyle w:val="IndexLink"/>
                <w:rtl w:val="true"/>
              </w:rPr>
              <w:t>اشاره</w:t>
            </w:r>
            <w:r>
              <w:rPr>
                <w:rStyle w:val="IndexLink"/>
                <w:rtl w:val="true"/>
              </w:rPr>
              <w:tab/>
            </w:r>
            <w:r>
              <w:rPr>
                <w:rStyle w:val="IndexLink"/>
              </w:rPr>
              <w:t>454</w:t>
            </w:r>
          </w:hyperlink>
        </w:p>
        <w:p>
          <w:pPr>
            <w:pStyle w:val="Contents6"/>
            <w:tabs>
              <w:tab w:val="clear" w:pos="7609"/>
              <w:tab w:val="right" w:pos="9026" w:leader="dot"/>
            </w:tabs>
            <w:rPr/>
          </w:pPr>
          <w:hyperlink w:anchor="__RefHeading___Toc3586217_3650668749">
            <w:r>
              <w:rPr>
                <w:webHidden/>
                <w:rStyle w:val="IndexLink"/>
                <w:rtl w:val="true"/>
              </w:rPr>
              <w:t xml:space="preserve">اول </w:t>
            </w:r>
            <w:r>
              <w:rPr>
                <w:rStyle w:val="IndexLink"/>
                <w:rtl w:val="true"/>
              </w:rPr>
              <w:t xml:space="preserve">- </w:t>
            </w:r>
            <w:r>
              <w:rPr>
                <w:rStyle w:val="IndexLink"/>
                <w:rtl w:val="true"/>
              </w:rPr>
              <w:t>عِمامَه</w:t>
            </w:r>
            <w:r>
              <w:rPr>
                <w:rStyle w:val="IndexLink"/>
                <w:rtl w:val="true"/>
              </w:rPr>
              <w:tab/>
            </w:r>
            <w:r>
              <w:rPr>
                <w:rStyle w:val="IndexLink"/>
              </w:rPr>
              <w:t>454</w:t>
            </w:r>
          </w:hyperlink>
        </w:p>
        <w:p>
          <w:pPr>
            <w:pStyle w:val="Contents6"/>
            <w:tabs>
              <w:tab w:val="clear" w:pos="7609"/>
              <w:tab w:val="right" w:pos="9026" w:leader="dot"/>
            </w:tabs>
            <w:rPr/>
          </w:pPr>
          <w:hyperlink w:anchor="__RefHeading___Toc3586219_3650668749">
            <w:r>
              <w:rPr>
                <w:webHidden/>
                <w:rStyle w:val="IndexLink"/>
                <w:rtl w:val="true"/>
              </w:rPr>
              <w:t>اشاره</w:t>
            </w:r>
            <w:r>
              <w:rPr>
                <w:rStyle w:val="IndexLink"/>
                <w:rtl w:val="true"/>
              </w:rPr>
              <w:tab/>
            </w:r>
            <w:r>
              <w:rPr>
                <w:rStyle w:val="IndexLink"/>
              </w:rPr>
              <w:t>454</w:t>
            </w:r>
          </w:hyperlink>
        </w:p>
        <w:p>
          <w:pPr>
            <w:pStyle w:val="Contents6"/>
            <w:tabs>
              <w:tab w:val="clear" w:pos="7609"/>
              <w:tab w:val="right" w:pos="9026" w:leader="dot"/>
            </w:tabs>
            <w:rPr/>
          </w:pPr>
          <w:hyperlink w:anchor="__RefHeading___Toc3586221_3650668749">
            <w:r>
              <w:rPr>
                <w:webHidden/>
                <w:rStyle w:val="IndexLink"/>
                <w:rtl w:val="true"/>
              </w:rPr>
              <w:t>كيفيت بستن عمامه</w:t>
            </w:r>
            <w:r>
              <w:rPr>
                <w:rStyle w:val="IndexLink"/>
                <w:rtl w:val="true"/>
              </w:rPr>
              <w:tab/>
            </w:r>
            <w:r>
              <w:rPr>
                <w:rStyle w:val="IndexLink"/>
              </w:rPr>
              <w:t>455</w:t>
            </w:r>
          </w:hyperlink>
        </w:p>
        <w:p>
          <w:pPr>
            <w:pStyle w:val="Contents6"/>
            <w:tabs>
              <w:tab w:val="clear" w:pos="7609"/>
              <w:tab w:val="right" w:pos="9026" w:leader="dot"/>
            </w:tabs>
            <w:rPr/>
          </w:pPr>
          <w:hyperlink w:anchor="__RefHeading___Toc3586223_3650668749">
            <w:r>
              <w:rPr>
                <w:webHidden/>
                <w:rStyle w:val="IndexLink"/>
                <w:rtl w:val="true"/>
              </w:rPr>
              <w:t xml:space="preserve">دوم </w:t>
            </w:r>
            <w:r>
              <w:rPr>
                <w:rStyle w:val="IndexLink"/>
                <w:rtl w:val="true"/>
              </w:rPr>
              <w:t xml:space="preserve">- </w:t>
            </w:r>
            <w:r>
              <w:rPr>
                <w:rStyle w:val="IndexLink"/>
                <w:rtl w:val="true"/>
              </w:rPr>
              <w:t>بُرْنُس</w:t>
            </w:r>
            <w:r>
              <w:rPr>
                <w:rStyle w:val="IndexLink"/>
                <w:rtl w:val="true"/>
              </w:rPr>
              <w:tab/>
            </w:r>
            <w:r>
              <w:rPr>
                <w:rStyle w:val="IndexLink"/>
              </w:rPr>
              <w:t>457</w:t>
            </w:r>
          </w:hyperlink>
        </w:p>
        <w:p>
          <w:pPr>
            <w:pStyle w:val="Contents6"/>
            <w:tabs>
              <w:tab w:val="clear" w:pos="7609"/>
              <w:tab w:val="right" w:pos="9026" w:leader="dot"/>
            </w:tabs>
            <w:rPr/>
          </w:pPr>
          <w:hyperlink w:anchor="__RefHeading___Toc3586225_3650668749">
            <w:r>
              <w:rPr>
                <w:webHidden/>
                <w:rStyle w:val="IndexLink"/>
                <w:rtl w:val="true"/>
              </w:rPr>
              <w:t xml:space="preserve">سوم </w:t>
            </w:r>
            <w:r>
              <w:rPr>
                <w:rStyle w:val="IndexLink"/>
                <w:rtl w:val="true"/>
              </w:rPr>
              <w:t xml:space="preserve">- </w:t>
            </w:r>
            <w:r>
              <w:rPr>
                <w:rStyle w:val="IndexLink"/>
                <w:rtl w:val="true"/>
              </w:rPr>
              <w:t>قَلَنْسُوَه</w:t>
            </w:r>
            <w:r>
              <w:rPr>
                <w:rStyle w:val="IndexLink"/>
                <w:rtl w:val="true"/>
              </w:rPr>
              <w:tab/>
            </w:r>
            <w:r>
              <w:rPr>
                <w:rStyle w:val="IndexLink"/>
              </w:rPr>
              <w:t>457</w:t>
            </w:r>
          </w:hyperlink>
        </w:p>
        <w:p>
          <w:pPr>
            <w:pStyle w:val="Contents6"/>
            <w:tabs>
              <w:tab w:val="clear" w:pos="7609"/>
              <w:tab w:val="right" w:pos="9026" w:leader="dot"/>
            </w:tabs>
            <w:rPr/>
          </w:pPr>
          <w:hyperlink w:anchor="__RefHeading___Toc3586227_3650668749">
            <w:r>
              <w:rPr>
                <w:webHidden/>
                <w:rStyle w:val="IndexLink"/>
                <w:rtl w:val="true"/>
              </w:rPr>
              <w:t xml:space="preserve">چهارم </w:t>
            </w:r>
            <w:r>
              <w:rPr>
                <w:rStyle w:val="IndexLink"/>
                <w:rtl w:val="true"/>
              </w:rPr>
              <w:t xml:space="preserve">- </w:t>
            </w:r>
            <w:r>
              <w:rPr>
                <w:rStyle w:val="IndexLink"/>
                <w:rtl w:val="true"/>
              </w:rPr>
              <w:t>كوفيه و عِقال</w:t>
            </w:r>
            <w:r>
              <w:rPr>
                <w:rStyle w:val="IndexLink"/>
                <w:rtl w:val="true"/>
              </w:rPr>
              <w:tab/>
            </w:r>
            <w:r>
              <w:rPr>
                <w:rStyle w:val="IndexLink"/>
              </w:rPr>
              <w:t>458</w:t>
            </w:r>
          </w:hyperlink>
        </w:p>
        <w:p>
          <w:pPr>
            <w:pStyle w:val="Contents6"/>
            <w:tabs>
              <w:tab w:val="clear" w:pos="7609"/>
              <w:tab w:val="right" w:pos="9026" w:leader="dot"/>
            </w:tabs>
            <w:rPr/>
          </w:pPr>
          <w:hyperlink w:anchor="__RefHeading___Toc3586229_3650668749">
            <w:r>
              <w:rPr>
                <w:webHidden/>
                <w:rStyle w:val="IndexLink"/>
                <w:rtl w:val="true"/>
              </w:rPr>
              <w:t xml:space="preserve">پنجم </w:t>
            </w:r>
            <w:r>
              <w:rPr>
                <w:rStyle w:val="IndexLink"/>
                <w:rtl w:val="true"/>
              </w:rPr>
              <w:t xml:space="preserve">- </w:t>
            </w:r>
            <w:r>
              <w:rPr>
                <w:rStyle w:val="IndexLink"/>
                <w:rtl w:val="true"/>
              </w:rPr>
              <w:t>بُرْقَعْ</w:t>
            </w:r>
            <w:r>
              <w:rPr>
                <w:rStyle w:val="IndexLink"/>
                <w:rtl w:val="true"/>
              </w:rPr>
              <w:tab/>
            </w:r>
            <w:r>
              <w:rPr>
                <w:rStyle w:val="IndexLink"/>
              </w:rPr>
              <w:t>458</w:t>
            </w:r>
          </w:hyperlink>
        </w:p>
        <w:p>
          <w:pPr>
            <w:pStyle w:val="Contents6"/>
            <w:tabs>
              <w:tab w:val="clear" w:pos="7609"/>
              <w:tab w:val="right" w:pos="9026" w:leader="dot"/>
            </w:tabs>
            <w:rPr/>
          </w:pPr>
          <w:hyperlink w:anchor="__RefHeading___Toc3586231_3650668749">
            <w:r>
              <w:rPr>
                <w:webHidden/>
                <w:rStyle w:val="IndexLink"/>
                <w:rtl w:val="true"/>
              </w:rPr>
              <w:t xml:space="preserve">ششم </w:t>
            </w:r>
            <w:r>
              <w:rPr>
                <w:rStyle w:val="IndexLink"/>
                <w:rtl w:val="true"/>
              </w:rPr>
              <w:t xml:space="preserve">- </w:t>
            </w:r>
            <w:r>
              <w:rPr>
                <w:rStyle w:val="IndexLink"/>
                <w:rtl w:val="true"/>
              </w:rPr>
              <w:t>نِقاب</w:t>
            </w:r>
            <w:r>
              <w:rPr>
                <w:rStyle w:val="IndexLink"/>
                <w:rtl w:val="true"/>
              </w:rPr>
              <w:tab/>
            </w:r>
            <w:r>
              <w:rPr>
                <w:rStyle w:val="IndexLink"/>
              </w:rPr>
              <w:t>459</w:t>
            </w:r>
          </w:hyperlink>
        </w:p>
        <w:p>
          <w:pPr>
            <w:pStyle w:val="Contents6"/>
            <w:tabs>
              <w:tab w:val="clear" w:pos="7609"/>
              <w:tab w:val="right" w:pos="9026" w:leader="dot"/>
            </w:tabs>
            <w:rPr/>
          </w:pPr>
          <w:hyperlink w:anchor="__RefHeading___Toc3586233_3650668749">
            <w:r>
              <w:rPr>
                <w:webHidden/>
                <w:rStyle w:val="IndexLink"/>
                <w:rtl w:val="true"/>
              </w:rPr>
              <w:t xml:space="preserve">هفتم </w:t>
            </w:r>
            <w:r>
              <w:rPr>
                <w:rStyle w:val="IndexLink"/>
                <w:rtl w:val="true"/>
              </w:rPr>
              <w:t xml:space="preserve">- </w:t>
            </w:r>
            <w:r>
              <w:rPr>
                <w:rStyle w:val="IndexLink"/>
                <w:rtl w:val="true"/>
              </w:rPr>
              <w:t>خِمار</w:t>
            </w:r>
            <w:r>
              <w:rPr>
                <w:rStyle w:val="IndexLink"/>
                <w:rtl w:val="true"/>
              </w:rPr>
              <w:tab/>
            </w:r>
            <w:r>
              <w:rPr>
                <w:rStyle w:val="IndexLink"/>
              </w:rPr>
              <w:t>459</w:t>
            </w:r>
          </w:hyperlink>
        </w:p>
        <w:p>
          <w:pPr>
            <w:pStyle w:val="Contents6"/>
            <w:tabs>
              <w:tab w:val="clear" w:pos="7609"/>
              <w:tab w:val="right" w:pos="9026" w:leader="dot"/>
            </w:tabs>
            <w:rPr/>
          </w:pPr>
          <w:hyperlink w:anchor="__RefHeading___Toc3586235_3650668749">
            <w:r>
              <w:rPr>
                <w:webHidden/>
                <w:rStyle w:val="IndexLink"/>
                <w:rtl w:val="true"/>
              </w:rPr>
              <w:t xml:space="preserve">هشتم </w:t>
            </w:r>
            <w:r>
              <w:rPr>
                <w:rStyle w:val="IndexLink"/>
                <w:rtl w:val="true"/>
              </w:rPr>
              <w:t xml:space="preserve">- </w:t>
            </w:r>
            <w:r>
              <w:rPr>
                <w:rStyle w:val="IndexLink"/>
                <w:rtl w:val="true"/>
              </w:rPr>
              <w:t>مِعْجَر</w:t>
            </w:r>
            <w:r>
              <w:rPr>
                <w:rStyle w:val="IndexLink"/>
                <w:rtl w:val="true"/>
              </w:rPr>
              <w:tab/>
            </w:r>
            <w:r>
              <w:rPr>
                <w:rStyle w:val="IndexLink"/>
              </w:rPr>
              <w:t>459</w:t>
            </w:r>
          </w:hyperlink>
        </w:p>
        <w:p>
          <w:pPr>
            <w:pStyle w:val="Contents6"/>
            <w:tabs>
              <w:tab w:val="clear" w:pos="7609"/>
              <w:tab w:val="right" w:pos="9026" w:leader="dot"/>
            </w:tabs>
            <w:rPr/>
          </w:pPr>
          <w:hyperlink w:anchor="__RefHeading___Toc3586237_3650668749">
            <w:r>
              <w:rPr>
                <w:webHidden/>
                <w:rStyle w:val="IndexLink"/>
                <w:rtl w:val="true"/>
              </w:rPr>
              <w:t xml:space="preserve">نُهم </w:t>
            </w:r>
            <w:r>
              <w:rPr>
                <w:rStyle w:val="IndexLink"/>
                <w:rtl w:val="true"/>
              </w:rPr>
              <w:t xml:space="preserve">- </w:t>
            </w:r>
            <w:r>
              <w:rPr>
                <w:rStyle w:val="IndexLink"/>
                <w:rtl w:val="true"/>
              </w:rPr>
              <w:t>قِناع و مِقْنَعَه</w:t>
            </w:r>
            <w:r>
              <w:rPr>
                <w:rStyle w:val="IndexLink"/>
                <w:rtl w:val="true"/>
              </w:rPr>
              <w:tab/>
            </w:r>
            <w:r>
              <w:rPr>
                <w:rStyle w:val="IndexLink"/>
              </w:rPr>
              <w:t>460</w:t>
            </w:r>
          </w:hyperlink>
        </w:p>
        <w:p>
          <w:pPr>
            <w:pStyle w:val="Contents6"/>
            <w:tabs>
              <w:tab w:val="clear" w:pos="7609"/>
              <w:tab w:val="right" w:pos="9026" w:leader="dot"/>
            </w:tabs>
            <w:rPr/>
          </w:pPr>
          <w:hyperlink w:anchor="__RefHeading___Toc3586239_3650668749">
            <w:r>
              <w:rPr>
                <w:webHidden/>
                <w:rStyle w:val="IndexLink"/>
                <w:rtl w:val="true"/>
              </w:rPr>
              <w:t xml:space="preserve">دهم </w:t>
            </w:r>
            <w:r>
              <w:rPr>
                <w:rStyle w:val="IndexLink"/>
                <w:rtl w:val="true"/>
              </w:rPr>
              <w:t xml:space="preserve">- </w:t>
            </w:r>
            <w:r>
              <w:rPr>
                <w:rStyle w:val="IndexLink"/>
                <w:rtl w:val="true"/>
              </w:rPr>
              <w:t>لِثام</w:t>
            </w:r>
            <w:r>
              <w:rPr>
                <w:rStyle w:val="IndexLink"/>
                <w:rtl w:val="true"/>
              </w:rPr>
              <w:tab/>
            </w:r>
            <w:r>
              <w:rPr>
                <w:rStyle w:val="IndexLink"/>
              </w:rPr>
              <w:t>460</w:t>
            </w:r>
          </w:hyperlink>
        </w:p>
        <w:p>
          <w:pPr>
            <w:pStyle w:val="Contents5"/>
            <w:tabs>
              <w:tab w:val="clear" w:pos="7892"/>
              <w:tab w:val="right" w:pos="9026" w:leader="dot"/>
            </w:tabs>
            <w:rPr/>
          </w:pPr>
          <w:hyperlink w:anchor="__RefHeading___Toc3586241_3650668749">
            <w:r>
              <w:rPr>
                <w:webHidden/>
                <w:rStyle w:val="IndexLink"/>
                <w:rtl w:val="true"/>
              </w:rPr>
              <w:t xml:space="preserve">دو </w:t>
            </w:r>
            <w:r>
              <w:rPr>
                <w:rStyle w:val="IndexLink"/>
                <w:rtl w:val="true"/>
              </w:rPr>
              <w:t xml:space="preserve">- </w:t>
            </w:r>
            <w:r>
              <w:rPr>
                <w:rStyle w:val="IndexLink"/>
                <w:rtl w:val="true"/>
              </w:rPr>
              <w:t>پوشش بدن</w:t>
            </w:r>
            <w:r>
              <w:rPr>
                <w:rStyle w:val="IndexLink"/>
                <w:rtl w:val="true"/>
              </w:rPr>
              <w:tab/>
            </w:r>
            <w:r>
              <w:rPr>
                <w:rStyle w:val="IndexLink"/>
              </w:rPr>
              <w:t>461</w:t>
            </w:r>
          </w:hyperlink>
        </w:p>
        <w:p>
          <w:pPr>
            <w:pStyle w:val="Contents6"/>
            <w:tabs>
              <w:tab w:val="clear" w:pos="7609"/>
              <w:tab w:val="right" w:pos="9026" w:leader="dot"/>
            </w:tabs>
            <w:rPr/>
          </w:pPr>
          <w:hyperlink w:anchor="__RefHeading___Toc3586243_3650668749">
            <w:r>
              <w:rPr>
                <w:webHidden/>
                <w:rStyle w:val="IndexLink"/>
                <w:rtl w:val="true"/>
              </w:rPr>
              <w:t>اشاره</w:t>
            </w:r>
            <w:r>
              <w:rPr>
                <w:rStyle w:val="IndexLink"/>
                <w:rtl w:val="true"/>
              </w:rPr>
              <w:tab/>
            </w:r>
            <w:r>
              <w:rPr>
                <w:rStyle w:val="IndexLink"/>
              </w:rPr>
              <w:t>461</w:t>
            </w:r>
          </w:hyperlink>
        </w:p>
        <w:p>
          <w:pPr>
            <w:pStyle w:val="Contents6"/>
            <w:tabs>
              <w:tab w:val="clear" w:pos="7609"/>
              <w:tab w:val="right" w:pos="9026" w:leader="dot"/>
            </w:tabs>
            <w:rPr/>
          </w:pPr>
          <w:hyperlink w:anchor="__RefHeading___Toc3586245_3650668749">
            <w:r>
              <w:rPr>
                <w:webHidden/>
                <w:rStyle w:val="IndexLink"/>
                <w:rtl w:val="true"/>
              </w:rPr>
              <w:t xml:space="preserve">يكم </w:t>
            </w:r>
            <w:r>
              <w:rPr>
                <w:rStyle w:val="IndexLink"/>
                <w:rtl w:val="true"/>
              </w:rPr>
              <w:t xml:space="preserve">- </w:t>
            </w:r>
            <w:r>
              <w:rPr>
                <w:rStyle w:val="IndexLink"/>
                <w:rtl w:val="true"/>
              </w:rPr>
              <w:t>بَتّ</w:t>
            </w:r>
            <w:r>
              <w:rPr>
                <w:rStyle w:val="IndexLink"/>
                <w:rtl w:val="true"/>
              </w:rPr>
              <w:tab/>
            </w:r>
            <w:r>
              <w:rPr>
                <w:rStyle w:val="IndexLink"/>
              </w:rPr>
              <w:t>461</w:t>
            </w:r>
          </w:hyperlink>
        </w:p>
        <w:p>
          <w:pPr>
            <w:pStyle w:val="Contents6"/>
            <w:tabs>
              <w:tab w:val="clear" w:pos="7609"/>
              <w:tab w:val="right" w:pos="9026" w:leader="dot"/>
            </w:tabs>
            <w:rPr/>
          </w:pPr>
          <w:hyperlink w:anchor="__RefHeading___Toc3586247_3650668749">
            <w:r>
              <w:rPr>
                <w:webHidden/>
                <w:rStyle w:val="IndexLink"/>
                <w:rtl w:val="true"/>
              </w:rPr>
              <w:t xml:space="preserve">دوم </w:t>
            </w:r>
            <w:r>
              <w:rPr>
                <w:rStyle w:val="IndexLink"/>
                <w:rtl w:val="true"/>
              </w:rPr>
              <w:t xml:space="preserve">- </w:t>
            </w:r>
            <w:r>
              <w:rPr>
                <w:rStyle w:val="IndexLink"/>
                <w:rtl w:val="true"/>
              </w:rPr>
              <w:t>بِجاد</w:t>
            </w:r>
            <w:r>
              <w:rPr>
                <w:rStyle w:val="IndexLink"/>
                <w:rtl w:val="true"/>
              </w:rPr>
              <w:tab/>
            </w:r>
            <w:r>
              <w:rPr>
                <w:rStyle w:val="IndexLink"/>
              </w:rPr>
              <w:t>461</w:t>
            </w:r>
          </w:hyperlink>
        </w:p>
        <w:p>
          <w:pPr>
            <w:pStyle w:val="Contents6"/>
            <w:tabs>
              <w:tab w:val="clear" w:pos="7609"/>
              <w:tab w:val="right" w:pos="9026" w:leader="dot"/>
            </w:tabs>
            <w:rPr/>
          </w:pPr>
          <w:hyperlink w:anchor="__RefHeading___Toc3586249_3650668749">
            <w:r>
              <w:rPr>
                <w:webHidden/>
                <w:rStyle w:val="IndexLink"/>
                <w:rtl w:val="true"/>
              </w:rPr>
              <w:t xml:space="preserve">سوم </w:t>
            </w:r>
            <w:r>
              <w:rPr>
                <w:rStyle w:val="IndexLink"/>
                <w:rtl w:val="true"/>
              </w:rPr>
              <w:t xml:space="preserve">- </w:t>
            </w:r>
            <w:r>
              <w:rPr>
                <w:rStyle w:val="IndexLink"/>
                <w:rtl w:val="true"/>
              </w:rPr>
              <w:t>بُرْجُد</w:t>
            </w:r>
            <w:r>
              <w:rPr>
                <w:rStyle w:val="IndexLink"/>
                <w:rtl w:val="true"/>
              </w:rPr>
              <w:tab/>
            </w:r>
            <w:r>
              <w:rPr>
                <w:rStyle w:val="IndexLink"/>
              </w:rPr>
              <w:t>461</w:t>
            </w:r>
          </w:hyperlink>
        </w:p>
        <w:p>
          <w:pPr>
            <w:pStyle w:val="Contents6"/>
            <w:tabs>
              <w:tab w:val="clear" w:pos="7609"/>
              <w:tab w:val="right" w:pos="9026" w:leader="dot"/>
            </w:tabs>
            <w:rPr/>
          </w:pPr>
          <w:hyperlink w:anchor="__RefHeading___Toc3586251_3650668749">
            <w:r>
              <w:rPr>
                <w:webHidden/>
                <w:rStyle w:val="IndexLink"/>
                <w:rtl w:val="true"/>
              </w:rPr>
              <w:t xml:space="preserve">چهارم </w:t>
            </w:r>
            <w:r>
              <w:rPr>
                <w:rStyle w:val="IndexLink"/>
                <w:rtl w:val="true"/>
              </w:rPr>
              <w:t xml:space="preserve">- </w:t>
            </w:r>
            <w:r>
              <w:rPr>
                <w:rStyle w:val="IndexLink"/>
                <w:rtl w:val="true"/>
              </w:rPr>
              <w:t>بُرْد</w:t>
            </w:r>
            <w:r>
              <w:rPr>
                <w:rStyle w:val="IndexLink"/>
                <w:rtl w:val="true"/>
              </w:rPr>
              <w:tab/>
            </w:r>
            <w:r>
              <w:rPr>
                <w:rStyle w:val="IndexLink"/>
              </w:rPr>
              <w:t>461</w:t>
            </w:r>
          </w:hyperlink>
        </w:p>
        <w:p>
          <w:pPr>
            <w:pStyle w:val="Contents6"/>
            <w:tabs>
              <w:tab w:val="clear" w:pos="7609"/>
              <w:tab w:val="right" w:pos="9026" w:leader="dot"/>
            </w:tabs>
            <w:rPr/>
          </w:pPr>
          <w:hyperlink w:anchor="__RefHeading___Toc3586253_3650668749">
            <w:r>
              <w:rPr>
                <w:webHidden/>
                <w:rStyle w:val="IndexLink"/>
                <w:rtl w:val="true"/>
              </w:rPr>
              <w:t xml:space="preserve">پنجم </w:t>
            </w:r>
            <w:r>
              <w:rPr>
                <w:rStyle w:val="IndexLink"/>
                <w:rtl w:val="true"/>
              </w:rPr>
              <w:t xml:space="preserve">- </w:t>
            </w:r>
            <w:r>
              <w:rPr>
                <w:rStyle w:val="IndexLink"/>
                <w:rtl w:val="true"/>
              </w:rPr>
              <w:t>بُرْدَه</w:t>
            </w:r>
            <w:r>
              <w:rPr>
                <w:rStyle w:val="IndexLink"/>
                <w:rtl w:val="true"/>
              </w:rPr>
              <w:tab/>
            </w:r>
            <w:r>
              <w:rPr>
                <w:rStyle w:val="IndexLink"/>
              </w:rPr>
              <w:t>462</w:t>
            </w:r>
          </w:hyperlink>
        </w:p>
        <w:p>
          <w:pPr>
            <w:pStyle w:val="Contents6"/>
            <w:tabs>
              <w:tab w:val="clear" w:pos="7609"/>
              <w:tab w:val="right" w:pos="9026" w:leader="dot"/>
            </w:tabs>
            <w:rPr/>
          </w:pPr>
          <w:hyperlink w:anchor="__RefHeading___Toc3586255_3650668749">
            <w:r>
              <w:rPr>
                <w:webHidden/>
                <w:rStyle w:val="IndexLink"/>
                <w:rtl w:val="true"/>
              </w:rPr>
              <w:t xml:space="preserve">ششم </w:t>
            </w:r>
            <w:r>
              <w:rPr>
                <w:rStyle w:val="IndexLink"/>
                <w:rtl w:val="true"/>
              </w:rPr>
              <w:t xml:space="preserve">- </w:t>
            </w:r>
            <w:r>
              <w:rPr>
                <w:rStyle w:val="IndexLink"/>
                <w:rtl w:val="true"/>
              </w:rPr>
              <w:t>ثَوب قِطْري</w:t>
            </w:r>
            <w:r>
              <w:rPr>
                <w:rStyle w:val="IndexLink"/>
                <w:rtl w:val="true"/>
              </w:rPr>
              <w:tab/>
            </w:r>
            <w:r>
              <w:rPr>
                <w:rStyle w:val="IndexLink"/>
              </w:rPr>
              <w:t>463</w:t>
            </w:r>
          </w:hyperlink>
        </w:p>
        <w:p>
          <w:pPr>
            <w:pStyle w:val="Contents6"/>
            <w:tabs>
              <w:tab w:val="clear" w:pos="7609"/>
              <w:tab w:val="right" w:pos="9026" w:leader="dot"/>
            </w:tabs>
            <w:rPr/>
          </w:pPr>
          <w:hyperlink w:anchor="__RefHeading___Toc3586257_3650668749">
            <w:r>
              <w:rPr>
                <w:webHidden/>
                <w:rStyle w:val="IndexLink"/>
                <w:rtl w:val="true"/>
              </w:rPr>
              <w:t xml:space="preserve">هفتم </w:t>
            </w:r>
            <w:r>
              <w:rPr>
                <w:rStyle w:val="IndexLink"/>
                <w:rtl w:val="true"/>
              </w:rPr>
              <w:t xml:space="preserve">- </w:t>
            </w:r>
            <w:r>
              <w:rPr>
                <w:rStyle w:val="IndexLink"/>
                <w:rtl w:val="true"/>
              </w:rPr>
              <w:t>جُبَّه</w:t>
            </w:r>
            <w:r>
              <w:rPr>
                <w:rStyle w:val="IndexLink"/>
                <w:rtl w:val="true"/>
              </w:rPr>
              <w:tab/>
            </w:r>
            <w:r>
              <w:rPr>
                <w:rStyle w:val="IndexLink"/>
              </w:rPr>
              <w:t>463</w:t>
            </w:r>
          </w:hyperlink>
        </w:p>
        <w:p>
          <w:pPr>
            <w:pStyle w:val="Contents6"/>
            <w:tabs>
              <w:tab w:val="clear" w:pos="7609"/>
              <w:tab w:val="right" w:pos="9026" w:leader="dot"/>
            </w:tabs>
            <w:rPr/>
          </w:pPr>
          <w:hyperlink w:anchor="__RefHeading___Toc3586259_3650668749">
            <w:r>
              <w:rPr>
                <w:webHidden/>
                <w:rStyle w:val="IndexLink"/>
                <w:rtl w:val="true"/>
              </w:rPr>
              <w:t xml:space="preserve">هشتم </w:t>
            </w:r>
            <w:r>
              <w:rPr>
                <w:rStyle w:val="IndexLink"/>
                <w:rtl w:val="true"/>
              </w:rPr>
              <w:t xml:space="preserve">- </w:t>
            </w:r>
            <w:r>
              <w:rPr>
                <w:rStyle w:val="IndexLink"/>
                <w:rtl w:val="true"/>
              </w:rPr>
              <w:t>جلْباب</w:t>
            </w:r>
            <w:r>
              <w:rPr>
                <w:rStyle w:val="IndexLink"/>
                <w:rtl w:val="true"/>
              </w:rPr>
              <w:tab/>
            </w:r>
            <w:r>
              <w:rPr>
                <w:rStyle w:val="IndexLink"/>
              </w:rPr>
              <w:t>463</w:t>
            </w:r>
          </w:hyperlink>
        </w:p>
        <w:p>
          <w:pPr>
            <w:pStyle w:val="Contents6"/>
            <w:tabs>
              <w:tab w:val="clear" w:pos="7609"/>
              <w:tab w:val="right" w:pos="9026" w:leader="dot"/>
            </w:tabs>
            <w:rPr/>
          </w:pPr>
          <w:hyperlink w:anchor="__RefHeading___Toc3586261_3650668749">
            <w:r>
              <w:rPr>
                <w:webHidden/>
                <w:rStyle w:val="IndexLink"/>
                <w:rtl w:val="true"/>
              </w:rPr>
              <w:t xml:space="preserve">نهم </w:t>
            </w:r>
            <w:r>
              <w:rPr>
                <w:rStyle w:val="IndexLink"/>
                <w:rtl w:val="true"/>
              </w:rPr>
              <w:t xml:space="preserve">- </w:t>
            </w:r>
            <w:r>
              <w:rPr>
                <w:rStyle w:val="IndexLink"/>
                <w:rtl w:val="true"/>
              </w:rPr>
              <w:t xml:space="preserve">حِبْرَه </w:t>
            </w:r>
            <w:r>
              <w:rPr>
                <w:rStyle w:val="IndexLink"/>
                <w:rtl w:val="true"/>
              </w:rPr>
              <w:t>(</w:t>
            </w:r>
            <w:r>
              <w:rPr>
                <w:rStyle w:val="IndexLink"/>
                <w:rtl w:val="true"/>
              </w:rPr>
              <w:t>حَبَرَه</w:t>
            </w:r>
            <w:r>
              <w:rPr>
                <w:rStyle w:val="IndexLink"/>
                <w:rtl w:val="true"/>
              </w:rPr>
              <w:t>)</w:t>
              <w:tab/>
            </w:r>
            <w:r>
              <w:rPr>
                <w:rStyle w:val="IndexLink"/>
              </w:rPr>
              <w:t>464</w:t>
            </w:r>
          </w:hyperlink>
        </w:p>
        <w:p>
          <w:pPr>
            <w:pStyle w:val="Contents6"/>
            <w:tabs>
              <w:tab w:val="clear" w:pos="7609"/>
              <w:tab w:val="right" w:pos="9026" w:leader="dot"/>
            </w:tabs>
            <w:rPr/>
          </w:pPr>
          <w:hyperlink w:anchor="__RefHeading___Toc3586263_3650668749">
            <w:r>
              <w:rPr>
                <w:webHidden/>
                <w:rStyle w:val="IndexLink"/>
                <w:rtl w:val="true"/>
              </w:rPr>
              <w:t xml:space="preserve">دهم </w:t>
            </w:r>
            <w:r>
              <w:rPr>
                <w:rStyle w:val="IndexLink"/>
                <w:rtl w:val="true"/>
              </w:rPr>
              <w:t xml:space="preserve">- </w:t>
            </w:r>
            <w:r>
              <w:rPr>
                <w:rStyle w:val="IndexLink"/>
                <w:rtl w:val="true"/>
              </w:rPr>
              <w:t>حُلّه</w:t>
            </w:r>
            <w:r>
              <w:rPr>
                <w:rStyle w:val="IndexLink"/>
                <w:rtl w:val="true"/>
              </w:rPr>
              <w:tab/>
            </w:r>
            <w:r>
              <w:rPr>
                <w:rStyle w:val="IndexLink"/>
              </w:rPr>
              <w:t>464</w:t>
            </w:r>
          </w:hyperlink>
        </w:p>
        <w:p>
          <w:pPr>
            <w:pStyle w:val="Contents6"/>
            <w:tabs>
              <w:tab w:val="clear" w:pos="7609"/>
              <w:tab w:val="right" w:pos="9026" w:leader="dot"/>
            </w:tabs>
            <w:rPr/>
          </w:pPr>
          <w:hyperlink w:anchor="__RefHeading___Toc3586265_3650668749">
            <w:r>
              <w:rPr>
                <w:webHidden/>
                <w:rStyle w:val="IndexLink"/>
                <w:rtl w:val="true"/>
              </w:rPr>
              <w:t xml:space="preserve">يازدهم </w:t>
            </w:r>
            <w:r>
              <w:rPr>
                <w:rStyle w:val="IndexLink"/>
                <w:rtl w:val="true"/>
              </w:rPr>
              <w:t xml:space="preserve">- </w:t>
            </w:r>
            <w:r>
              <w:rPr>
                <w:rStyle w:val="IndexLink"/>
                <w:rtl w:val="true"/>
              </w:rPr>
              <w:t>خميصه</w:t>
            </w:r>
            <w:r>
              <w:rPr>
                <w:rStyle w:val="IndexLink"/>
                <w:rtl w:val="true"/>
              </w:rPr>
              <w:tab/>
            </w:r>
            <w:r>
              <w:rPr>
                <w:rStyle w:val="IndexLink"/>
              </w:rPr>
              <w:t>465</w:t>
            </w:r>
          </w:hyperlink>
        </w:p>
        <w:p>
          <w:pPr>
            <w:pStyle w:val="Contents6"/>
            <w:tabs>
              <w:tab w:val="clear" w:pos="7609"/>
              <w:tab w:val="right" w:pos="9026" w:leader="dot"/>
            </w:tabs>
            <w:rPr/>
          </w:pPr>
          <w:hyperlink w:anchor="__RefHeading___Toc3586267_3650668749">
            <w:r>
              <w:rPr>
                <w:webHidden/>
                <w:rStyle w:val="IndexLink"/>
                <w:rtl w:val="true"/>
              </w:rPr>
              <w:t xml:space="preserve">دوازدهم </w:t>
            </w:r>
            <w:r>
              <w:rPr>
                <w:rStyle w:val="IndexLink"/>
                <w:rtl w:val="true"/>
              </w:rPr>
              <w:t xml:space="preserve">- </w:t>
            </w:r>
            <w:r>
              <w:rPr>
                <w:rStyle w:val="IndexLink"/>
                <w:rtl w:val="true"/>
              </w:rPr>
              <w:t>دِثار</w:t>
            </w:r>
            <w:r>
              <w:rPr>
                <w:rStyle w:val="IndexLink"/>
                <w:rtl w:val="true"/>
              </w:rPr>
              <w:tab/>
            </w:r>
            <w:r>
              <w:rPr>
                <w:rStyle w:val="IndexLink"/>
              </w:rPr>
              <w:t>465</w:t>
            </w:r>
          </w:hyperlink>
        </w:p>
        <w:p>
          <w:pPr>
            <w:pStyle w:val="Contents6"/>
            <w:tabs>
              <w:tab w:val="clear" w:pos="7609"/>
              <w:tab w:val="right" w:pos="9026" w:leader="dot"/>
            </w:tabs>
            <w:rPr/>
          </w:pPr>
          <w:hyperlink w:anchor="__RefHeading___Toc3586269_3650668749">
            <w:r>
              <w:rPr>
                <w:webHidden/>
                <w:rStyle w:val="IndexLink"/>
                <w:rtl w:val="true"/>
              </w:rPr>
              <w:t xml:space="preserve">سيزدهم </w:t>
            </w:r>
            <w:r>
              <w:rPr>
                <w:rStyle w:val="IndexLink"/>
                <w:rtl w:val="true"/>
              </w:rPr>
              <w:t xml:space="preserve">- </w:t>
            </w:r>
            <w:r>
              <w:rPr>
                <w:rStyle w:val="IndexLink"/>
                <w:rtl w:val="true"/>
              </w:rPr>
              <w:t>دُرّاعَه و مِدْرَع</w:t>
            </w:r>
            <w:r>
              <w:rPr>
                <w:rStyle w:val="IndexLink"/>
                <w:rtl w:val="true"/>
              </w:rPr>
              <w:tab/>
            </w:r>
            <w:r>
              <w:rPr>
                <w:rStyle w:val="IndexLink"/>
              </w:rPr>
              <w:t>466</w:t>
            </w:r>
          </w:hyperlink>
        </w:p>
        <w:p>
          <w:pPr>
            <w:pStyle w:val="Contents6"/>
            <w:tabs>
              <w:tab w:val="clear" w:pos="7609"/>
              <w:tab w:val="right" w:pos="9026" w:leader="dot"/>
            </w:tabs>
            <w:rPr/>
          </w:pPr>
          <w:hyperlink w:anchor="__RefHeading___Toc3586271_3650668749">
            <w:r>
              <w:rPr>
                <w:webHidden/>
                <w:rStyle w:val="IndexLink"/>
                <w:rtl w:val="true"/>
              </w:rPr>
              <w:t xml:space="preserve">چهاردهم </w:t>
            </w:r>
            <w:r>
              <w:rPr>
                <w:rStyle w:val="IndexLink"/>
                <w:rtl w:val="true"/>
              </w:rPr>
              <w:t xml:space="preserve">- </w:t>
            </w:r>
            <w:r>
              <w:rPr>
                <w:rStyle w:val="IndexLink"/>
                <w:rtl w:val="true"/>
              </w:rPr>
              <w:t>رِداء</w:t>
            </w:r>
            <w:r>
              <w:rPr>
                <w:rStyle w:val="IndexLink"/>
                <w:rtl w:val="true"/>
              </w:rPr>
              <w:tab/>
            </w:r>
            <w:r>
              <w:rPr>
                <w:rStyle w:val="IndexLink"/>
              </w:rPr>
              <w:t>466</w:t>
            </w:r>
          </w:hyperlink>
        </w:p>
        <w:p>
          <w:pPr>
            <w:pStyle w:val="Contents6"/>
            <w:tabs>
              <w:tab w:val="clear" w:pos="7609"/>
              <w:tab w:val="right" w:pos="9026" w:leader="dot"/>
            </w:tabs>
            <w:rPr/>
          </w:pPr>
          <w:hyperlink w:anchor="__RefHeading___Toc3586273_3650668749">
            <w:r>
              <w:rPr>
                <w:webHidden/>
                <w:rStyle w:val="IndexLink"/>
                <w:rtl w:val="true"/>
              </w:rPr>
              <w:t xml:space="preserve">پانزدهم </w:t>
            </w:r>
            <w:r>
              <w:rPr>
                <w:rStyle w:val="IndexLink"/>
                <w:rtl w:val="true"/>
              </w:rPr>
              <w:t xml:space="preserve">- </w:t>
            </w:r>
            <w:r>
              <w:rPr>
                <w:rStyle w:val="IndexLink"/>
                <w:rtl w:val="true"/>
              </w:rPr>
              <w:t>رَيْطَه</w:t>
            </w:r>
            <w:r>
              <w:rPr>
                <w:rStyle w:val="IndexLink"/>
                <w:rtl w:val="true"/>
              </w:rPr>
              <w:tab/>
            </w:r>
            <w:r>
              <w:rPr>
                <w:rStyle w:val="IndexLink"/>
              </w:rPr>
              <w:t>466</w:t>
            </w:r>
          </w:hyperlink>
        </w:p>
        <w:p>
          <w:pPr>
            <w:pStyle w:val="Contents6"/>
            <w:tabs>
              <w:tab w:val="clear" w:pos="7609"/>
              <w:tab w:val="right" w:pos="9026" w:leader="dot"/>
            </w:tabs>
            <w:rPr/>
          </w:pPr>
          <w:hyperlink w:anchor="__RefHeading___Toc3586275_3650668749">
            <w:r>
              <w:rPr>
                <w:webHidden/>
                <w:rStyle w:val="IndexLink"/>
                <w:rtl w:val="true"/>
              </w:rPr>
              <w:t xml:space="preserve">شانزدهم </w:t>
            </w:r>
            <w:r>
              <w:rPr>
                <w:rStyle w:val="IndexLink"/>
                <w:rtl w:val="true"/>
              </w:rPr>
              <w:t xml:space="preserve">- </w:t>
            </w:r>
            <w:r>
              <w:rPr>
                <w:rStyle w:val="IndexLink"/>
                <w:rtl w:val="true"/>
              </w:rPr>
              <w:t>سابِريّ</w:t>
            </w:r>
            <w:r>
              <w:rPr>
                <w:rStyle w:val="IndexLink"/>
                <w:rtl w:val="true"/>
              </w:rPr>
              <w:tab/>
            </w:r>
            <w:r>
              <w:rPr>
                <w:rStyle w:val="IndexLink"/>
              </w:rPr>
              <w:t>467</w:t>
            </w:r>
          </w:hyperlink>
        </w:p>
        <w:p>
          <w:pPr>
            <w:pStyle w:val="Contents6"/>
            <w:tabs>
              <w:tab w:val="clear" w:pos="7609"/>
              <w:tab w:val="right" w:pos="9026" w:leader="dot"/>
            </w:tabs>
            <w:rPr/>
          </w:pPr>
          <w:hyperlink w:anchor="__RefHeading___Toc3586277_3650668749">
            <w:r>
              <w:rPr>
                <w:webHidden/>
                <w:rStyle w:val="IndexLink"/>
                <w:rtl w:val="true"/>
              </w:rPr>
              <w:t xml:space="preserve">هفدهم </w:t>
            </w:r>
            <w:r>
              <w:rPr>
                <w:rStyle w:val="IndexLink"/>
                <w:rtl w:val="true"/>
              </w:rPr>
              <w:t xml:space="preserve">- </w:t>
            </w:r>
            <w:r>
              <w:rPr>
                <w:rStyle w:val="IndexLink"/>
                <w:rtl w:val="true"/>
              </w:rPr>
              <w:t>ساج</w:t>
            </w:r>
            <w:r>
              <w:rPr>
                <w:rStyle w:val="IndexLink"/>
                <w:rtl w:val="true"/>
              </w:rPr>
              <w:tab/>
            </w:r>
            <w:r>
              <w:rPr>
                <w:rStyle w:val="IndexLink"/>
              </w:rPr>
              <w:t>467</w:t>
            </w:r>
          </w:hyperlink>
        </w:p>
        <w:p>
          <w:pPr>
            <w:pStyle w:val="Contents6"/>
            <w:tabs>
              <w:tab w:val="clear" w:pos="7609"/>
              <w:tab w:val="right" w:pos="9026" w:leader="dot"/>
            </w:tabs>
            <w:rPr/>
          </w:pPr>
          <w:hyperlink w:anchor="__RefHeading___Toc3586279_3650668749">
            <w:r>
              <w:rPr>
                <w:webHidden/>
                <w:rStyle w:val="IndexLink"/>
                <w:rtl w:val="true"/>
              </w:rPr>
              <w:t xml:space="preserve">هجدهم </w:t>
            </w:r>
            <w:r>
              <w:rPr>
                <w:rStyle w:val="IndexLink"/>
                <w:rtl w:val="true"/>
              </w:rPr>
              <w:t xml:space="preserve">- </w:t>
            </w:r>
            <w:r>
              <w:rPr>
                <w:rStyle w:val="IndexLink"/>
                <w:rtl w:val="true"/>
              </w:rPr>
              <w:t>سُدوس</w:t>
            </w:r>
            <w:r>
              <w:rPr>
                <w:rStyle w:val="IndexLink"/>
                <w:rtl w:val="true"/>
              </w:rPr>
              <w:tab/>
            </w:r>
            <w:r>
              <w:rPr>
                <w:rStyle w:val="IndexLink"/>
              </w:rPr>
              <w:t>467</w:t>
            </w:r>
          </w:hyperlink>
        </w:p>
        <w:p>
          <w:pPr>
            <w:pStyle w:val="Contents6"/>
            <w:tabs>
              <w:tab w:val="clear" w:pos="7609"/>
              <w:tab w:val="right" w:pos="9026" w:leader="dot"/>
            </w:tabs>
            <w:rPr/>
          </w:pPr>
          <w:hyperlink w:anchor="__RefHeading___Toc3586281_3650668749">
            <w:r>
              <w:rPr>
                <w:webHidden/>
                <w:rStyle w:val="IndexLink"/>
                <w:rtl w:val="true"/>
              </w:rPr>
              <w:t xml:space="preserve">نوزدهم </w:t>
            </w:r>
            <w:r>
              <w:rPr>
                <w:rStyle w:val="IndexLink"/>
                <w:rtl w:val="true"/>
              </w:rPr>
              <w:t xml:space="preserve">- </w:t>
            </w:r>
            <w:r>
              <w:rPr>
                <w:rStyle w:val="IndexLink"/>
                <w:rtl w:val="true"/>
              </w:rPr>
              <w:t>سِرْبال</w:t>
            </w:r>
            <w:r>
              <w:rPr>
                <w:rStyle w:val="IndexLink"/>
                <w:rtl w:val="true"/>
              </w:rPr>
              <w:tab/>
            </w:r>
            <w:r>
              <w:rPr>
                <w:rStyle w:val="IndexLink"/>
              </w:rPr>
              <w:t>467</w:t>
            </w:r>
          </w:hyperlink>
        </w:p>
        <w:p>
          <w:pPr>
            <w:pStyle w:val="Contents6"/>
            <w:tabs>
              <w:tab w:val="clear" w:pos="7609"/>
              <w:tab w:val="right" w:pos="9026" w:leader="dot"/>
            </w:tabs>
            <w:rPr/>
          </w:pPr>
          <w:hyperlink w:anchor="__RefHeading___Toc3586283_3650668749">
            <w:r>
              <w:rPr>
                <w:webHidden/>
                <w:rStyle w:val="IndexLink"/>
                <w:rtl w:val="true"/>
              </w:rPr>
              <w:t xml:space="preserve">بيستم </w:t>
            </w:r>
            <w:r>
              <w:rPr>
                <w:rStyle w:val="IndexLink"/>
                <w:rtl w:val="true"/>
              </w:rPr>
              <w:t xml:space="preserve">- </w:t>
            </w:r>
            <w:r>
              <w:rPr>
                <w:rStyle w:val="IndexLink"/>
                <w:rtl w:val="true"/>
              </w:rPr>
              <w:t>شِعار</w:t>
            </w:r>
            <w:r>
              <w:rPr>
                <w:rStyle w:val="IndexLink"/>
                <w:rtl w:val="true"/>
              </w:rPr>
              <w:tab/>
            </w:r>
            <w:r>
              <w:rPr>
                <w:rStyle w:val="IndexLink"/>
              </w:rPr>
              <w:t>468</w:t>
            </w:r>
          </w:hyperlink>
        </w:p>
        <w:p>
          <w:pPr>
            <w:pStyle w:val="Contents6"/>
            <w:tabs>
              <w:tab w:val="clear" w:pos="7609"/>
              <w:tab w:val="right" w:pos="9026" w:leader="dot"/>
            </w:tabs>
            <w:rPr/>
          </w:pPr>
          <w:hyperlink w:anchor="__RefHeading___Toc3586285_3650668749">
            <w:r>
              <w:rPr>
                <w:webHidden/>
                <w:rStyle w:val="IndexLink"/>
                <w:rtl w:val="true"/>
              </w:rPr>
              <w:t xml:space="preserve">بيست و يكم </w:t>
            </w:r>
            <w:r>
              <w:rPr>
                <w:rStyle w:val="IndexLink"/>
                <w:rtl w:val="true"/>
              </w:rPr>
              <w:t xml:space="preserve">- </w:t>
            </w:r>
            <w:r>
              <w:rPr>
                <w:rStyle w:val="IndexLink"/>
                <w:rtl w:val="true"/>
              </w:rPr>
              <w:t>شَمْلَة</w:t>
            </w:r>
            <w:r>
              <w:rPr>
                <w:rStyle w:val="IndexLink"/>
                <w:rtl w:val="true"/>
              </w:rPr>
              <w:tab/>
            </w:r>
            <w:r>
              <w:rPr>
                <w:rStyle w:val="IndexLink"/>
              </w:rPr>
              <w:t>468</w:t>
            </w:r>
          </w:hyperlink>
        </w:p>
        <w:p>
          <w:pPr>
            <w:pStyle w:val="Contents6"/>
            <w:tabs>
              <w:tab w:val="clear" w:pos="7609"/>
              <w:tab w:val="right" w:pos="9026" w:leader="dot"/>
            </w:tabs>
            <w:rPr/>
          </w:pPr>
          <w:hyperlink w:anchor="__RefHeading___Toc3586287_3650668749">
            <w:r>
              <w:rPr>
                <w:webHidden/>
                <w:rStyle w:val="IndexLink"/>
                <w:rtl w:val="true"/>
              </w:rPr>
              <w:t xml:space="preserve">بيست و دوم </w:t>
            </w:r>
            <w:r>
              <w:rPr>
                <w:rStyle w:val="IndexLink"/>
                <w:rtl w:val="true"/>
              </w:rPr>
              <w:t xml:space="preserve">- </w:t>
            </w:r>
            <w:r>
              <w:rPr>
                <w:rStyle w:val="IndexLink"/>
                <w:rtl w:val="true"/>
              </w:rPr>
              <w:t>طاق</w:t>
            </w:r>
            <w:r>
              <w:rPr>
                <w:rStyle w:val="IndexLink"/>
                <w:rtl w:val="true"/>
              </w:rPr>
              <w:tab/>
            </w:r>
            <w:r>
              <w:rPr>
                <w:rStyle w:val="IndexLink"/>
              </w:rPr>
              <w:t>468</w:t>
            </w:r>
          </w:hyperlink>
        </w:p>
        <w:p>
          <w:pPr>
            <w:pStyle w:val="Contents6"/>
            <w:tabs>
              <w:tab w:val="clear" w:pos="7609"/>
              <w:tab w:val="right" w:pos="9026" w:leader="dot"/>
            </w:tabs>
            <w:rPr/>
          </w:pPr>
          <w:hyperlink w:anchor="__RefHeading___Toc3586289_3650668749">
            <w:r>
              <w:rPr>
                <w:webHidden/>
                <w:rStyle w:val="IndexLink"/>
                <w:rtl w:val="true"/>
              </w:rPr>
              <w:t xml:space="preserve">بيست و سوم </w:t>
            </w:r>
            <w:r>
              <w:rPr>
                <w:rStyle w:val="IndexLink"/>
                <w:rtl w:val="true"/>
              </w:rPr>
              <w:t xml:space="preserve">- </w:t>
            </w:r>
            <w:r>
              <w:rPr>
                <w:rStyle w:val="IndexLink"/>
                <w:rtl w:val="true"/>
              </w:rPr>
              <w:t>طَيْلَسان</w:t>
            </w:r>
            <w:r>
              <w:rPr>
                <w:rStyle w:val="IndexLink"/>
                <w:rtl w:val="true"/>
              </w:rPr>
              <w:tab/>
            </w:r>
            <w:r>
              <w:rPr>
                <w:rStyle w:val="IndexLink"/>
              </w:rPr>
              <w:t>468</w:t>
            </w:r>
          </w:hyperlink>
        </w:p>
        <w:p>
          <w:pPr>
            <w:pStyle w:val="Contents6"/>
            <w:tabs>
              <w:tab w:val="clear" w:pos="7609"/>
              <w:tab w:val="right" w:pos="9026" w:leader="dot"/>
            </w:tabs>
            <w:rPr/>
          </w:pPr>
          <w:hyperlink w:anchor="__RefHeading___Toc3586291_3650668749">
            <w:r>
              <w:rPr>
                <w:webHidden/>
                <w:rStyle w:val="IndexLink"/>
                <w:rtl w:val="true"/>
              </w:rPr>
              <w:t xml:space="preserve">بيست و چهارم </w:t>
            </w:r>
            <w:r>
              <w:rPr>
                <w:rStyle w:val="IndexLink"/>
                <w:rtl w:val="true"/>
              </w:rPr>
              <w:t xml:space="preserve">- </w:t>
            </w:r>
            <w:r>
              <w:rPr>
                <w:rStyle w:val="IndexLink"/>
                <w:rtl w:val="true"/>
              </w:rPr>
              <w:t xml:space="preserve">عَباء </w:t>
            </w:r>
            <w:r>
              <w:rPr>
                <w:rStyle w:val="IndexLink"/>
                <w:rtl w:val="true"/>
              </w:rPr>
              <w:t>(</w:t>
            </w:r>
            <w:r>
              <w:rPr>
                <w:rStyle w:val="IndexLink"/>
                <w:rtl w:val="true"/>
              </w:rPr>
              <w:t>عَباءَه</w:t>
            </w:r>
            <w:r>
              <w:rPr>
                <w:rStyle w:val="IndexLink"/>
                <w:rtl w:val="true"/>
              </w:rPr>
              <w:t>)</w:t>
              <w:tab/>
            </w:r>
            <w:r>
              <w:rPr>
                <w:rStyle w:val="IndexLink"/>
              </w:rPr>
              <w:t>469</w:t>
            </w:r>
          </w:hyperlink>
        </w:p>
        <w:p>
          <w:pPr>
            <w:pStyle w:val="Contents6"/>
            <w:tabs>
              <w:tab w:val="clear" w:pos="7609"/>
              <w:tab w:val="right" w:pos="9026" w:leader="dot"/>
            </w:tabs>
            <w:rPr/>
          </w:pPr>
          <w:hyperlink w:anchor="__RefHeading___Toc3586293_3650668749">
            <w:r>
              <w:rPr>
                <w:webHidden/>
                <w:rStyle w:val="IndexLink"/>
                <w:rtl w:val="true"/>
              </w:rPr>
              <w:t xml:space="preserve">بيست و پنجم </w:t>
            </w:r>
            <w:r>
              <w:rPr>
                <w:rStyle w:val="IndexLink"/>
                <w:rtl w:val="true"/>
              </w:rPr>
              <w:t xml:space="preserve">- </w:t>
            </w:r>
            <w:r>
              <w:rPr>
                <w:rStyle w:val="IndexLink"/>
                <w:rtl w:val="true"/>
              </w:rPr>
              <w:t>غِلالَه</w:t>
            </w:r>
            <w:r>
              <w:rPr>
                <w:rStyle w:val="IndexLink"/>
                <w:rtl w:val="true"/>
              </w:rPr>
              <w:tab/>
            </w:r>
            <w:r>
              <w:rPr>
                <w:rStyle w:val="IndexLink"/>
              </w:rPr>
              <w:t>469</w:t>
            </w:r>
          </w:hyperlink>
        </w:p>
        <w:p>
          <w:pPr>
            <w:pStyle w:val="Contents6"/>
            <w:tabs>
              <w:tab w:val="clear" w:pos="7609"/>
              <w:tab w:val="right" w:pos="9026" w:leader="dot"/>
            </w:tabs>
            <w:rPr/>
          </w:pPr>
          <w:hyperlink w:anchor="__RefHeading___Toc3586295_3650668749">
            <w:r>
              <w:rPr>
                <w:webHidden/>
                <w:rStyle w:val="IndexLink"/>
                <w:rtl w:val="true"/>
              </w:rPr>
              <w:t xml:space="preserve">بيست و ششم </w:t>
            </w:r>
            <w:r>
              <w:rPr>
                <w:rStyle w:val="IndexLink"/>
                <w:rtl w:val="true"/>
              </w:rPr>
              <w:t xml:space="preserve">- </w:t>
            </w:r>
            <w:r>
              <w:rPr>
                <w:rStyle w:val="IndexLink"/>
                <w:rtl w:val="true"/>
              </w:rPr>
              <w:t>قَباء</w:t>
            </w:r>
            <w:r>
              <w:rPr>
                <w:rStyle w:val="IndexLink"/>
                <w:rtl w:val="true"/>
              </w:rPr>
              <w:tab/>
            </w:r>
            <w:r>
              <w:rPr>
                <w:rStyle w:val="IndexLink"/>
              </w:rPr>
              <w:t>470</w:t>
            </w:r>
          </w:hyperlink>
        </w:p>
        <w:p>
          <w:pPr>
            <w:pStyle w:val="Contents6"/>
            <w:tabs>
              <w:tab w:val="clear" w:pos="7609"/>
              <w:tab w:val="right" w:pos="9026" w:leader="dot"/>
            </w:tabs>
            <w:rPr/>
          </w:pPr>
          <w:hyperlink w:anchor="__RefHeading___Toc3586297_3650668749">
            <w:r>
              <w:rPr>
                <w:webHidden/>
                <w:rStyle w:val="IndexLink"/>
                <w:rtl w:val="true"/>
              </w:rPr>
              <w:t xml:space="preserve">بيست و هفتم </w:t>
            </w:r>
            <w:r>
              <w:rPr>
                <w:rStyle w:val="IndexLink"/>
                <w:rtl w:val="true"/>
              </w:rPr>
              <w:t xml:space="preserve">- </w:t>
            </w:r>
            <w:r>
              <w:rPr>
                <w:rStyle w:val="IndexLink"/>
                <w:rtl w:val="true"/>
              </w:rPr>
              <w:t>قَسّي</w:t>
            </w:r>
            <w:r>
              <w:rPr>
                <w:rStyle w:val="IndexLink"/>
                <w:rtl w:val="true"/>
              </w:rPr>
              <w:tab/>
            </w:r>
            <w:r>
              <w:rPr>
                <w:rStyle w:val="IndexLink"/>
              </w:rPr>
              <w:t>470</w:t>
            </w:r>
          </w:hyperlink>
        </w:p>
        <w:p>
          <w:pPr>
            <w:pStyle w:val="Contents6"/>
            <w:tabs>
              <w:tab w:val="clear" w:pos="7609"/>
              <w:tab w:val="right" w:pos="9026" w:leader="dot"/>
            </w:tabs>
            <w:rPr/>
          </w:pPr>
          <w:hyperlink w:anchor="__RefHeading___Toc3586299_3650668749">
            <w:r>
              <w:rPr>
                <w:webHidden/>
                <w:rStyle w:val="IndexLink"/>
                <w:rtl w:val="true"/>
              </w:rPr>
              <w:t xml:space="preserve">بيست و هشتم </w:t>
            </w:r>
            <w:r>
              <w:rPr>
                <w:rStyle w:val="IndexLink"/>
                <w:rtl w:val="true"/>
              </w:rPr>
              <w:t xml:space="preserve">- </w:t>
            </w:r>
            <w:r>
              <w:rPr>
                <w:rStyle w:val="IndexLink"/>
                <w:rtl w:val="true"/>
              </w:rPr>
              <w:t>قَطيفَه</w:t>
            </w:r>
            <w:r>
              <w:rPr>
                <w:rStyle w:val="IndexLink"/>
                <w:rtl w:val="true"/>
              </w:rPr>
              <w:tab/>
            </w:r>
            <w:r>
              <w:rPr>
                <w:rStyle w:val="IndexLink"/>
              </w:rPr>
              <w:t>470</w:t>
            </w:r>
          </w:hyperlink>
        </w:p>
        <w:p>
          <w:pPr>
            <w:pStyle w:val="Contents6"/>
            <w:tabs>
              <w:tab w:val="clear" w:pos="7609"/>
              <w:tab w:val="right" w:pos="9026" w:leader="dot"/>
            </w:tabs>
            <w:rPr/>
          </w:pPr>
          <w:hyperlink w:anchor="__RefHeading___Toc3586301_3650668749">
            <w:r>
              <w:rPr>
                <w:webHidden/>
                <w:rStyle w:val="IndexLink"/>
                <w:rtl w:val="true"/>
              </w:rPr>
              <w:t xml:space="preserve">بيست و نهم </w:t>
            </w:r>
            <w:r>
              <w:rPr>
                <w:rStyle w:val="IndexLink"/>
                <w:rtl w:val="true"/>
              </w:rPr>
              <w:t xml:space="preserve">- </w:t>
            </w:r>
            <w:r>
              <w:rPr>
                <w:rStyle w:val="IndexLink"/>
                <w:rtl w:val="true"/>
              </w:rPr>
              <w:t>قَميص</w:t>
            </w:r>
            <w:r>
              <w:rPr>
                <w:rStyle w:val="IndexLink"/>
                <w:rtl w:val="true"/>
              </w:rPr>
              <w:tab/>
            </w:r>
            <w:r>
              <w:rPr>
                <w:rStyle w:val="IndexLink"/>
              </w:rPr>
              <w:t>471</w:t>
            </w:r>
          </w:hyperlink>
        </w:p>
        <w:p>
          <w:pPr>
            <w:pStyle w:val="Contents6"/>
            <w:tabs>
              <w:tab w:val="clear" w:pos="7609"/>
              <w:tab w:val="right" w:pos="9026" w:leader="dot"/>
            </w:tabs>
            <w:rPr/>
          </w:pPr>
          <w:hyperlink w:anchor="__RefHeading___Toc3586303_3650668749">
            <w:r>
              <w:rPr>
                <w:webHidden/>
                <w:rStyle w:val="IndexLink"/>
                <w:rtl w:val="true"/>
              </w:rPr>
              <w:t>اشاره</w:t>
            </w:r>
            <w:r>
              <w:rPr>
                <w:rStyle w:val="IndexLink"/>
                <w:rtl w:val="true"/>
              </w:rPr>
              <w:tab/>
            </w:r>
            <w:r>
              <w:rPr>
                <w:rStyle w:val="IndexLink"/>
              </w:rPr>
              <w:t>471</w:t>
            </w:r>
          </w:hyperlink>
        </w:p>
        <w:p>
          <w:pPr>
            <w:pStyle w:val="Contents6"/>
            <w:tabs>
              <w:tab w:val="clear" w:pos="7609"/>
              <w:tab w:val="right" w:pos="9026" w:leader="dot"/>
            </w:tabs>
            <w:rPr/>
          </w:pPr>
          <w:hyperlink w:anchor="__RefHeading___Toc3586305_3650668749">
            <w:r>
              <w:rPr>
                <w:webHidden/>
                <w:rStyle w:val="IndexLink"/>
                <w:rtl w:val="true"/>
              </w:rPr>
              <w:t>قميص اَنْبِجاني</w:t>
            </w:r>
            <w:r>
              <w:rPr>
                <w:rStyle w:val="IndexLink"/>
                <w:rtl w:val="true"/>
              </w:rPr>
              <w:tab/>
            </w:r>
            <w:r>
              <w:rPr>
                <w:rStyle w:val="IndexLink"/>
              </w:rPr>
              <w:t>472</w:t>
            </w:r>
          </w:hyperlink>
        </w:p>
        <w:p>
          <w:pPr>
            <w:pStyle w:val="Contents6"/>
            <w:tabs>
              <w:tab w:val="clear" w:pos="7609"/>
              <w:tab w:val="right" w:pos="9026" w:leader="dot"/>
            </w:tabs>
            <w:rPr/>
          </w:pPr>
          <w:hyperlink w:anchor="__RefHeading___Toc3586307_3650668749">
            <w:r>
              <w:rPr>
                <w:webHidden/>
                <w:rStyle w:val="IndexLink"/>
                <w:rtl w:val="true"/>
              </w:rPr>
              <w:t>قَميص سُنْبُلاني</w:t>
            </w:r>
            <w:r>
              <w:rPr>
                <w:rStyle w:val="IndexLink"/>
                <w:rtl w:val="true"/>
              </w:rPr>
              <w:tab/>
            </w:r>
            <w:r>
              <w:rPr>
                <w:rStyle w:val="IndexLink"/>
              </w:rPr>
              <w:t>473</w:t>
            </w:r>
          </w:hyperlink>
        </w:p>
        <w:p>
          <w:pPr>
            <w:pStyle w:val="Contents6"/>
            <w:tabs>
              <w:tab w:val="clear" w:pos="7609"/>
              <w:tab w:val="right" w:pos="9026" w:leader="dot"/>
            </w:tabs>
            <w:rPr/>
          </w:pPr>
          <w:hyperlink w:anchor="__RefHeading___Toc3586309_3650668749">
            <w:r>
              <w:rPr>
                <w:webHidden/>
                <w:rStyle w:val="IndexLink"/>
                <w:rtl w:val="true"/>
              </w:rPr>
              <w:t>قَميص سُحُولي</w:t>
            </w:r>
            <w:r>
              <w:rPr>
                <w:rStyle w:val="IndexLink"/>
                <w:rtl w:val="true"/>
              </w:rPr>
              <w:tab/>
            </w:r>
            <w:r>
              <w:rPr>
                <w:rStyle w:val="IndexLink"/>
              </w:rPr>
              <w:t>473</w:t>
            </w:r>
          </w:hyperlink>
        </w:p>
        <w:p>
          <w:pPr>
            <w:pStyle w:val="Contents6"/>
            <w:tabs>
              <w:tab w:val="clear" w:pos="7609"/>
              <w:tab w:val="right" w:pos="9026" w:leader="dot"/>
            </w:tabs>
            <w:rPr/>
          </w:pPr>
          <w:hyperlink w:anchor="__RefHeading___Toc3586311_3650668749">
            <w:r>
              <w:rPr>
                <w:webHidden/>
                <w:rStyle w:val="IndexLink"/>
                <w:rtl w:val="true"/>
              </w:rPr>
              <w:t>قَميص صُحاري</w:t>
            </w:r>
            <w:r>
              <w:rPr>
                <w:rStyle w:val="IndexLink"/>
                <w:rtl w:val="true"/>
              </w:rPr>
              <w:tab/>
            </w:r>
            <w:r>
              <w:rPr>
                <w:rStyle w:val="IndexLink"/>
              </w:rPr>
              <w:t>474</w:t>
            </w:r>
          </w:hyperlink>
        </w:p>
        <w:p>
          <w:pPr>
            <w:pStyle w:val="Contents6"/>
            <w:tabs>
              <w:tab w:val="clear" w:pos="7609"/>
              <w:tab w:val="right" w:pos="9026" w:leader="dot"/>
            </w:tabs>
            <w:rPr/>
          </w:pPr>
          <w:hyperlink w:anchor="__RefHeading___Toc3586313_3650668749">
            <w:r>
              <w:rPr>
                <w:webHidden/>
                <w:rStyle w:val="IndexLink"/>
                <w:rtl w:val="true"/>
              </w:rPr>
              <w:t>قَميص زابي</w:t>
            </w:r>
            <w:r>
              <w:rPr>
                <w:rStyle w:val="IndexLink"/>
                <w:rtl w:val="true"/>
              </w:rPr>
              <w:tab/>
            </w:r>
            <w:r>
              <w:rPr>
                <w:rStyle w:val="IndexLink"/>
              </w:rPr>
              <w:t>474</w:t>
            </w:r>
          </w:hyperlink>
        </w:p>
        <w:p>
          <w:pPr>
            <w:pStyle w:val="Contents6"/>
            <w:tabs>
              <w:tab w:val="clear" w:pos="7609"/>
              <w:tab w:val="right" w:pos="9026" w:leader="dot"/>
            </w:tabs>
            <w:rPr/>
          </w:pPr>
          <w:hyperlink w:anchor="__RefHeading___Toc3586315_3650668749">
            <w:r>
              <w:rPr>
                <w:webHidden/>
                <w:rStyle w:val="IndexLink"/>
                <w:rtl w:val="true"/>
              </w:rPr>
              <w:t>قَميص هَرَوي</w:t>
            </w:r>
            <w:r>
              <w:rPr>
                <w:rStyle w:val="IndexLink"/>
                <w:rtl w:val="true"/>
              </w:rPr>
              <w:tab/>
            </w:r>
            <w:r>
              <w:rPr>
                <w:rStyle w:val="IndexLink"/>
              </w:rPr>
              <w:t>474</w:t>
            </w:r>
          </w:hyperlink>
        </w:p>
        <w:p>
          <w:pPr>
            <w:pStyle w:val="Contents6"/>
            <w:tabs>
              <w:tab w:val="clear" w:pos="7609"/>
              <w:tab w:val="right" w:pos="9026" w:leader="dot"/>
            </w:tabs>
            <w:rPr/>
          </w:pPr>
          <w:hyperlink w:anchor="__RefHeading___Toc3586317_3650668749">
            <w:r>
              <w:rPr>
                <w:webHidden/>
                <w:rStyle w:val="IndexLink"/>
                <w:rtl w:val="true"/>
              </w:rPr>
              <w:t xml:space="preserve">سى‌ام </w:t>
            </w:r>
            <w:r>
              <w:rPr>
                <w:rStyle w:val="IndexLink"/>
                <w:rtl w:val="true"/>
              </w:rPr>
              <w:t xml:space="preserve">- </w:t>
            </w:r>
            <w:r>
              <w:rPr>
                <w:rStyle w:val="IndexLink"/>
                <w:rtl w:val="true"/>
              </w:rPr>
              <w:t xml:space="preserve">كِساء </w:t>
            </w:r>
            <w:r>
              <w:rPr>
                <w:rStyle w:val="IndexLink"/>
                <w:rtl w:val="true"/>
              </w:rPr>
              <w:t>(</w:t>
            </w:r>
            <w:r>
              <w:rPr>
                <w:rStyle w:val="IndexLink"/>
                <w:rtl w:val="true"/>
              </w:rPr>
              <w:t>كِسْوَه</w:t>
            </w:r>
            <w:r>
              <w:rPr>
                <w:rStyle w:val="IndexLink"/>
                <w:rtl w:val="true"/>
              </w:rPr>
              <w:t>)</w:t>
              <w:tab/>
            </w:r>
            <w:r>
              <w:rPr>
                <w:rStyle w:val="IndexLink"/>
              </w:rPr>
              <w:t>474</w:t>
            </w:r>
          </w:hyperlink>
        </w:p>
        <w:p>
          <w:pPr>
            <w:pStyle w:val="Contents6"/>
            <w:tabs>
              <w:tab w:val="clear" w:pos="7609"/>
              <w:tab w:val="right" w:pos="9026" w:leader="dot"/>
            </w:tabs>
            <w:rPr/>
          </w:pPr>
          <w:hyperlink w:anchor="__RefHeading___Toc3586319_3650668749">
            <w:r>
              <w:rPr>
                <w:webHidden/>
                <w:rStyle w:val="IndexLink"/>
                <w:rtl w:val="true"/>
              </w:rPr>
              <w:t xml:space="preserve">سى و يكم </w:t>
            </w:r>
            <w:r>
              <w:rPr>
                <w:rStyle w:val="IndexLink"/>
                <w:rtl w:val="true"/>
              </w:rPr>
              <w:t xml:space="preserve">- </w:t>
            </w:r>
            <w:r>
              <w:rPr>
                <w:rStyle w:val="IndexLink"/>
                <w:rtl w:val="true"/>
              </w:rPr>
              <w:t>مُسْتَقَه</w:t>
            </w:r>
            <w:r>
              <w:rPr>
                <w:rStyle w:val="IndexLink"/>
                <w:rtl w:val="true"/>
              </w:rPr>
              <w:tab/>
            </w:r>
            <w:r>
              <w:rPr>
                <w:rStyle w:val="IndexLink"/>
              </w:rPr>
              <w:t>475</w:t>
            </w:r>
          </w:hyperlink>
        </w:p>
        <w:p>
          <w:pPr>
            <w:pStyle w:val="Contents6"/>
            <w:tabs>
              <w:tab w:val="clear" w:pos="7609"/>
              <w:tab w:val="right" w:pos="9026" w:leader="dot"/>
            </w:tabs>
            <w:rPr/>
          </w:pPr>
          <w:hyperlink w:anchor="__RefHeading___Toc3586321_3650668749">
            <w:r>
              <w:rPr>
                <w:webHidden/>
                <w:rStyle w:val="IndexLink"/>
                <w:rtl w:val="true"/>
              </w:rPr>
              <w:t xml:space="preserve">سى و دوم </w:t>
            </w:r>
            <w:r>
              <w:rPr>
                <w:rStyle w:val="IndexLink"/>
                <w:rtl w:val="true"/>
              </w:rPr>
              <w:t xml:space="preserve">- </w:t>
            </w:r>
            <w:r>
              <w:rPr>
                <w:rStyle w:val="IndexLink"/>
                <w:rtl w:val="true"/>
              </w:rPr>
              <w:t>مِسْح</w:t>
            </w:r>
            <w:r>
              <w:rPr>
                <w:rStyle w:val="IndexLink"/>
                <w:rtl w:val="true"/>
              </w:rPr>
              <w:tab/>
            </w:r>
            <w:r>
              <w:rPr>
                <w:rStyle w:val="IndexLink"/>
              </w:rPr>
              <w:t>475</w:t>
            </w:r>
          </w:hyperlink>
        </w:p>
        <w:p>
          <w:pPr>
            <w:pStyle w:val="Contents6"/>
            <w:tabs>
              <w:tab w:val="clear" w:pos="7609"/>
              <w:tab w:val="right" w:pos="9026" w:leader="dot"/>
            </w:tabs>
            <w:rPr/>
          </w:pPr>
          <w:hyperlink w:anchor="__RefHeading___Toc3586323_3650668749">
            <w:r>
              <w:rPr>
                <w:webHidden/>
                <w:rStyle w:val="IndexLink"/>
                <w:rtl w:val="true"/>
              </w:rPr>
              <w:t xml:space="preserve">سى و سوم </w:t>
            </w:r>
            <w:r>
              <w:rPr>
                <w:rStyle w:val="IndexLink"/>
                <w:rtl w:val="true"/>
              </w:rPr>
              <w:t xml:space="preserve">- </w:t>
            </w:r>
            <w:r>
              <w:rPr>
                <w:rStyle w:val="IndexLink"/>
                <w:rtl w:val="true"/>
              </w:rPr>
              <w:t xml:space="preserve">مِطْرَف </w:t>
            </w:r>
            <w:r>
              <w:rPr>
                <w:rStyle w:val="IndexLink"/>
                <w:rtl w:val="true"/>
              </w:rPr>
              <w:t>(</w:t>
            </w:r>
            <w:r>
              <w:rPr>
                <w:rStyle w:val="IndexLink"/>
                <w:rtl w:val="true"/>
              </w:rPr>
              <w:t>مُطْرَف</w:t>
            </w:r>
            <w:r>
              <w:rPr>
                <w:rStyle w:val="IndexLink"/>
                <w:rtl w:val="true"/>
              </w:rPr>
              <w:t>)</w:t>
              <w:tab/>
            </w:r>
            <w:r>
              <w:rPr>
                <w:rStyle w:val="IndexLink"/>
              </w:rPr>
              <w:t>475</w:t>
            </w:r>
          </w:hyperlink>
        </w:p>
        <w:p>
          <w:pPr>
            <w:pStyle w:val="Contents6"/>
            <w:tabs>
              <w:tab w:val="clear" w:pos="7609"/>
              <w:tab w:val="right" w:pos="9026" w:leader="dot"/>
            </w:tabs>
            <w:rPr/>
          </w:pPr>
          <w:hyperlink w:anchor="__RefHeading___Toc3586325_3650668749">
            <w:r>
              <w:rPr>
                <w:webHidden/>
                <w:rStyle w:val="IndexLink"/>
                <w:rtl w:val="true"/>
              </w:rPr>
              <w:t xml:space="preserve">سى و چهارم </w:t>
            </w:r>
            <w:r>
              <w:rPr>
                <w:rStyle w:val="IndexLink"/>
                <w:rtl w:val="true"/>
              </w:rPr>
              <w:t xml:space="preserve">- </w:t>
            </w:r>
            <w:r>
              <w:rPr>
                <w:rStyle w:val="IndexLink"/>
                <w:rtl w:val="true"/>
              </w:rPr>
              <w:t>مُقَطَّعَه</w:t>
            </w:r>
            <w:r>
              <w:rPr>
                <w:rStyle w:val="IndexLink"/>
                <w:rtl w:val="true"/>
              </w:rPr>
              <w:tab/>
            </w:r>
            <w:r>
              <w:rPr>
                <w:rStyle w:val="IndexLink"/>
              </w:rPr>
              <w:t>476</w:t>
            </w:r>
          </w:hyperlink>
        </w:p>
        <w:p>
          <w:pPr>
            <w:pStyle w:val="Contents6"/>
            <w:tabs>
              <w:tab w:val="clear" w:pos="7609"/>
              <w:tab w:val="right" w:pos="9026" w:leader="dot"/>
            </w:tabs>
            <w:rPr/>
          </w:pPr>
          <w:hyperlink w:anchor="__RefHeading___Toc3586327_3650668749">
            <w:r>
              <w:rPr>
                <w:webHidden/>
                <w:rStyle w:val="IndexLink"/>
                <w:rtl w:val="true"/>
              </w:rPr>
              <w:t xml:space="preserve">سى و پنجم </w:t>
            </w:r>
            <w:r>
              <w:rPr>
                <w:rStyle w:val="IndexLink"/>
                <w:rtl w:val="true"/>
              </w:rPr>
              <w:t xml:space="preserve">- </w:t>
            </w:r>
            <w:r>
              <w:rPr>
                <w:rStyle w:val="IndexLink"/>
                <w:rtl w:val="true"/>
              </w:rPr>
              <w:t>مُلاءَه</w:t>
            </w:r>
            <w:r>
              <w:rPr>
                <w:rStyle w:val="IndexLink"/>
                <w:rtl w:val="true"/>
              </w:rPr>
              <w:tab/>
            </w:r>
            <w:r>
              <w:rPr>
                <w:rStyle w:val="IndexLink"/>
              </w:rPr>
              <w:t>476</w:t>
            </w:r>
          </w:hyperlink>
        </w:p>
        <w:p>
          <w:pPr>
            <w:pStyle w:val="Contents6"/>
            <w:tabs>
              <w:tab w:val="clear" w:pos="7609"/>
              <w:tab w:val="right" w:pos="9026" w:leader="dot"/>
            </w:tabs>
            <w:rPr/>
          </w:pPr>
          <w:hyperlink w:anchor="__RefHeading___Toc3586329_3650668749">
            <w:r>
              <w:rPr>
                <w:webHidden/>
                <w:rStyle w:val="IndexLink"/>
                <w:rtl w:val="true"/>
              </w:rPr>
              <w:t xml:space="preserve">سى و ششم </w:t>
            </w:r>
            <w:r>
              <w:rPr>
                <w:rStyle w:val="IndexLink"/>
                <w:rtl w:val="true"/>
              </w:rPr>
              <w:t xml:space="preserve">- </w:t>
            </w:r>
            <w:r>
              <w:rPr>
                <w:rStyle w:val="IndexLink"/>
                <w:rtl w:val="true"/>
              </w:rPr>
              <w:t>مِلحَفَه</w:t>
            </w:r>
            <w:r>
              <w:rPr>
                <w:rStyle w:val="IndexLink"/>
                <w:rtl w:val="true"/>
              </w:rPr>
              <w:tab/>
            </w:r>
            <w:r>
              <w:rPr>
                <w:rStyle w:val="IndexLink"/>
              </w:rPr>
              <w:t>476</w:t>
            </w:r>
          </w:hyperlink>
        </w:p>
        <w:p>
          <w:pPr>
            <w:pStyle w:val="Contents6"/>
            <w:tabs>
              <w:tab w:val="clear" w:pos="7609"/>
              <w:tab w:val="right" w:pos="9026" w:leader="dot"/>
            </w:tabs>
            <w:rPr/>
          </w:pPr>
          <w:hyperlink w:anchor="__RefHeading___Toc3586331_3650668749">
            <w:r>
              <w:rPr>
                <w:webHidden/>
                <w:rStyle w:val="IndexLink"/>
                <w:rtl w:val="true"/>
              </w:rPr>
              <w:t xml:space="preserve">سى و هفتم </w:t>
            </w:r>
            <w:r>
              <w:rPr>
                <w:rStyle w:val="IndexLink"/>
                <w:rtl w:val="true"/>
              </w:rPr>
              <w:t xml:space="preserve">- </w:t>
            </w:r>
            <w:r>
              <w:rPr>
                <w:rStyle w:val="IndexLink"/>
                <w:rtl w:val="true"/>
              </w:rPr>
              <w:t>نَمِرَه</w:t>
            </w:r>
            <w:r>
              <w:rPr>
                <w:rStyle w:val="IndexLink"/>
                <w:rtl w:val="true"/>
              </w:rPr>
              <w:tab/>
            </w:r>
            <w:r>
              <w:rPr>
                <w:rStyle w:val="IndexLink"/>
              </w:rPr>
              <w:t>476</w:t>
            </w:r>
          </w:hyperlink>
        </w:p>
        <w:p>
          <w:pPr>
            <w:pStyle w:val="Contents6"/>
            <w:tabs>
              <w:tab w:val="clear" w:pos="7609"/>
              <w:tab w:val="right" w:pos="9026" w:leader="dot"/>
            </w:tabs>
            <w:rPr/>
          </w:pPr>
          <w:hyperlink w:anchor="__RefHeading___Toc3586333_3650668749">
            <w:r>
              <w:rPr>
                <w:webHidden/>
                <w:rStyle w:val="IndexLink"/>
                <w:rtl w:val="true"/>
              </w:rPr>
              <w:t xml:space="preserve">سى و هشتم </w:t>
            </w:r>
            <w:r>
              <w:rPr>
                <w:rStyle w:val="IndexLink"/>
                <w:rtl w:val="true"/>
              </w:rPr>
              <w:t xml:space="preserve">- </w:t>
            </w:r>
            <w:r>
              <w:rPr>
                <w:rStyle w:val="IndexLink"/>
                <w:rtl w:val="true"/>
              </w:rPr>
              <w:t>يَلْمَق</w:t>
            </w:r>
            <w:r>
              <w:rPr>
                <w:rStyle w:val="IndexLink"/>
                <w:rtl w:val="true"/>
              </w:rPr>
              <w:tab/>
            </w:r>
            <w:r>
              <w:rPr>
                <w:rStyle w:val="IndexLink"/>
              </w:rPr>
              <w:t>477</w:t>
            </w:r>
          </w:hyperlink>
        </w:p>
        <w:p>
          <w:pPr>
            <w:pStyle w:val="Contents5"/>
            <w:tabs>
              <w:tab w:val="clear" w:pos="7892"/>
              <w:tab w:val="right" w:pos="9026" w:leader="dot"/>
            </w:tabs>
            <w:rPr/>
          </w:pPr>
          <w:hyperlink w:anchor="__RefHeading___Toc3586335_3650668749">
            <w:r>
              <w:rPr>
                <w:webHidden/>
                <w:rStyle w:val="IndexLink"/>
                <w:rtl w:val="true"/>
              </w:rPr>
              <w:t xml:space="preserve">سه </w:t>
            </w:r>
            <w:r>
              <w:rPr>
                <w:rStyle w:val="IndexLink"/>
                <w:rtl w:val="true"/>
              </w:rPr>
              <w:t xml:space="preserve">- </w:t>
            </w:r>
            <w:r>
              <w:rPr>
                <w:rStyle w:val="IndexLink"/>
                <w:rtl w:val="true"/>
              </w:rPr>
              <w:t>پوشش پايين بدن</w:t>
            </w:r>
            <w:r>
              <w:rPr>
                <w:rStyle w:val="IndexLink"/>
                <w:rtl w:val="true"/>
              </w:rPr>
              <w:tab/>
            </w:r>
            <w:r>
              <w:rPr>
                <w:rStyle w:val="IndexLink"/>
              </w:rPr>
              <w:t>477</w:t>
            </w:r>
          </w:hyperlink>
        </w:p>
        <w:p>
          <w:pPr>
            <w:pStyle w:val="Contents6"/>
            <w:tabs>
              <w:tab w:val="clear" w:pos="7609"/>
              <w:tab w:val="right" w:pos="9026" w:leader="dot"/>
            </w:tabs>
            <w:rPr/>
          </w:pPr>
          <w:hyperlink w:anchor="__RefHeading___Toc3586337_3650668749">
            <w:r>
              <w:rPr>
                <w:webHidden/>
                <w:rStyle w:val="IndexLink"/>
                <w:rtl w:val="true"/>
              </w:rPr>
              <w:t>اشاره</w:t>
            </w:r>
            <w:r>
              <w:rPr>
                <w:rStyle w:val="IndexLink"/>
                <w:rtl w:val="true"/>
              </w:rPr>
              <w:tab/>
            </w:r>
            <w:r>
              <w:rPr>
                <w:rStyle w:val="IndexLink"/>
              </w:rPr>
              <w:t>477</w:t>
            </w:r>
          </w:hyperlink>
        </w:p>
        <w:p>
          <w:pPr>
            <w:pStyle w:val="Contents6"/>
            <w:tabs>
              <w:tab w:val="clear" w:pos="7609"/>
              <w:tab w:val="right" w:pos="9026" w:leader="dot"/>
            </w:tabs>
            <w:rPr/>
          </w:pPr>
          <w:hyperlink w:anchor="__RefHeading___Toc3586339_3650668749">
            <w:r>
              <w:rPr>
                <w:webHidden/>
                <w:rStyle w:val="IndexLink"/>
                <w:rtl w:val="true"/>
              </w:rPr>
              <w:t xml:space="preserve">يكم </w:t>
            </w:r>
            <w:r>
              <w:rPr>
                <w:rStyle w:val="IndexLink"/>
                <w:rtl w:val="true"/>
              </w:rPr>
              <w:t xml:space="preserve">- </w:t>
            </w:r>
            <w:r>
              <w:rPr>
                <w:rStyle w:val="IndexLink"/>
                <w:rtl w:val="true"/>
              </w:rPr>
              <w:t xml:space="preserve">اِزار </w:t>
            </w:r>
            <w:r>
              <w:rPr>
                <w:rStyle w:val="IndexLink"/>
                <w:rtl w:val="true"/>
              </w:rPr>
              <w:t>(</w:t>
            </w:r>
            <w:r>
              <w:rPr>
                <w:rStyle w:val="IndexLink"/>
                <w:rtl w:val="true"/>
              </w:rPr>
              <w:t>مِئزَر</w:t>
            </w:r>
            <w:r>
              <w:rPr>
                <w:rStyle w:val="IndexLink"/>
                <w:rtl w:val="true"/>
              </w:rPr>
              <w:t>)</w:t>
              <w:tab/>
            </w:r>
            <w:r>
              <w:rPr>
                <w:rStyle w:val="IndexLink"/>
              </w:rPr>
              <w:t>477</w:t>
            </w:r>
          </w:hyperlink>
        </w:p>
        <w:p>
          <w:pPr>
            <w:pStyle w:val="Contents6"/>
            <w:tabs>
              <w:tab w:val="clear" w:pos="7609"/>
              <w:tab w:val="right" w:pos="9026" w:leader="dot"/>
            </w:tabs>
            <w:rPr/>
          </w:pPr>
          <w:hyperlink w:anchor="__RefHeading___Toc3586341_3650668749">
            <w:r>
              <w:rPr>
                <w:webHidden/>
                <w:rStyle w:val="IndexLink"/>
                <w:rtl w:val="true"/>
              </w:rPr>
              <w:t xml:space="preserve">دوم </w:t>
            </w:r>
            <w:r>
              <w:rPr>
                <w:rStyle w:val="IndexLink"/>
                <w:rtl w:val="true"/>
              </w:rPr>
              <w:t xml:space="preserve">- </w:t>
            </w:r>
            <w:r>
              <w:rPr>
                <w:rStyle w:val="IndexLink"/>
                <w:rtl w:val="true"/>
              </w:rPr>
              <w:t>تُبّان</w:t>
            </w:r>
            <w:r>
              <w:rPr>
                <w:rStyle w:val="IndexLink"/>
                <w:rtl w:val="true"/>
              </w:rPr>
              <w:tab/>
            </w:r>
            <w:r>
              <w:rPr>
                <w:rStyle w:val="IndexLink"/>
              </w:rPr>
              <w:t>478</w:t>
            </w:r>
          </w:hyperlink>
        </w:p>
        <w:p>
          <w:pPr>
            <w:pStyle w:val="Contents6"/>
            <w:tabs>
              <w:tab w:val="clear" w:pos="7609"/>
              <w:tab w:val="right" w:pos="9026" w:leader="dot"/>
            </w:tabs>
            <w:rPr/>
          </w:pPr>
          <w:hyperlink w:anchor="__RefHeading___Toc3586343_3650668749">
            <w:r>
              <w:rPr>
                <w:webHidden/>
                <w:rStyle w:val="IndexLink"/>
                <w:rtl w:val="true"/>
              </w:rPr>
              <w:t xml:space="preserve">سوم </w:t>
            </w:r>
            <w:r>
              <w:rPr>
                <w:rStyle w:val="IndexLink"/>
                <w:rtl w:val="true"/>
              </w:rPr>
              <w:t xml:space="preserve">- </w:t>
            </w:r>
            <w:r>
              <w:rPr>
                <w:rStyle w:val="IndexLink"/>
                <w:rtl w:val="true"/>
              </w:rPr>
              <w:t>دِقْرارَه</w:t>
            </w:r>
            <w:r>
              <w:rPr>
                <w:rStyle w:val="IndexLink"/>
                <w:rtl w:val="true"/>
              </w:rPr>
              <w:tab/>
            </w:r>
            <w:r>
              <w:rPr>
                <w:rStyle w:val="IndexLink"/>
              </w:rPr>
              <w:t>479</w:t>
            </w:r>
          </w:hyperlink>
        </w:p>
        <w:p>
          <w:pPr>
            <w:pStyle w:val="Contents6"/>
            <w:tabs>
              <w:tab w:val="clear" w:pos="7609"/>
              <w:tab w:val="right" w:pos="9026" w:leader="dot"/>
            </w:tabs>
            <w:rPr/>
          </w:pPr>
          <w:hyperlink w:anchor="__RefHeading___Toc3586345_3650668749">
            <w:r>
              <w:rPr>
                <w:webHidden/>
                <w:rStyle w:val="IndexLink"/>
                <w:rtl w:val="true"/>
              </w:rPr>
              <w:t xml:space="preserve">چهارم </w:t>
            </w:r>
            <w:r>
              <w:rPr>
                <w:rStyle w:val="IndexLink"/>
                <w:rtl w:val="true"/>
              </w:rPr>
              <w:t xml:space="preserve">- </w:t>
            </w:r>
            <w:r>
              <w:rPr>
                <w:rStyle w:val="IndexLink"/>
                <w:rtl w:val="true"/>
              </w:rPr>
              <w:t>سَراويل</w:t>
            </w:r>
            <w:r>
              <w:rPr>
                <w:rStyle w:val="IndexLink"/>
                <w:rtl w:val="true"/>
              </w:rPr>
              <w:tab/>
            </w:r>
            <w:r>
              <w:rPr>
                <w:rStyle w:val="IndexLink"/>
              </w:rPr>
              <w:t>479</w:t>
            </w:r>
          </w:hyperlink>
        </w:p>
        <w:p>
          <w:pPr>
            <w:pStyle w:val="Contents6"/>
            <w:tabs>
              <w:tab w:val="clear" w:pos="7609"/>
              <w:tab w:val="right" w:pos="9026" w:leader="dot"/>
            </w:tabs>
            <w:rPr/>
          </w:pPr>
          <w:hyperlink w:anchor="__RefHeading___Toc3586347_3650668749">
            <w:r>
              <w:rPr>
                <w:webHidden/>
                <w:rStyle w:val="IndexLink"/>
                <w:rtl w:val="true"/>
              </w:rPr>
              <w:t xml:space="preserve">پنجم </w:t>
            </w:r>
            <w:r>
              <w:rPr>
                <w:rStyle w:val="IndexLink"/>
                <w:rtl w:val="true"/>
              </w:rPr>
              <w:t xml:space="preserve">- </w:t>
            </w:r>
            <w:r>
              <w:rPr>
                <w:rStyle w:val="IndexLink"/>
                <w:rtl w:val="true"/>
              </w:rPr>
              <w:t>فُوطَه</w:t>
            </w:r>
            <w:r>
              <w:rPr>
                <w:rStyle w:val="IndexLink"/>
                <w:rtl w:val="true"/>
              </w:rPr>
              <w:tab/>
            </w:r>
            <w:r>
              <w:rPr>
                <w:rStyle w:val="IndexLink"/>
              </w:rPr>
              <w:t>480</w:t>
            </w:r>
          </w:hyperlink>
        </w:p>
        <w:p>
          <w:pPr>
            <w:pStyle w:val="Contents6"/>
            <w:tabs>
              <w:tab w:val="clear" w:pos="7609"/>
              <w:tab w:val="right" w:pos="9026" w:leader="dot"/>
            </w:tabs>
            <w:rPr/>
          </w:pPr>
          <w:hyperlink w:anchor="__RefHeading___Toc3586349_3650668749">
            <w:r>
              <w:rPr>
                <w:webHidden/>
                <w:rStyle w:val="IndexLink"/>
                <w:rtl w:val="true"/>
              </w:rPr>
              <w:t xml:space="preserve">ششم </w:t>
            </w:r>
            <w:r>
              <w:rPr>
                <w:rStyle w:val="IndexLink"/>
                <w:rtl w:val="true"/>
              </w:rPr>
              <w:t xml:space="preserve">- </w:t>
            </w:r>
            <w:r>
              <w:rPr>
                <w:rStyle w:val="IndexLink"/>
                <w:rtl w:val="true"/>
              </w:rPr>
              <w:t>مِرْط</w:t>
            </w:r>
            <w:r>
              <w:rPr>
                <w:rStyle w:val="IndexLink"/>
                <w:rtl w:val="true"/>
              </w:rPr>
              <w:tab/>
            </w:r>
            <w:r>
              <w:rPr>
                <w:rStyle w:val="IndexLink"/>
              </w:rPr>
              <w:t>480</w:t>
            </w:r>
          </w:hyperlink>
        </w:p>
        <w:p>
          <w:pPr>
            <w:pStyle w:val="Contents6"/>
            <w:tabs>
              <w:tab w:val="clear" w:pos="7609"/>
              <w:tab w:val="right" w:pos="9026" w:leader="dot"/>
            </w:tabs>
            <w:rPr/>
          </w:pPr>
          <w:hyperlink w:anchor="__RefHeading___Toc3586351_3650668749">
            <w:r>
              <w:rPr>
                <w:webHidden/>
                <w:rStyle w:val="IndexLink"/>
                <w:rtl w:val="true"/>
              </w:rPr>
              <w:t xml:space="preserve">هفتم </w:t>
            </w:r>
            <w:r>
              <w:rPr>
                <w:rStyle w:val="IndexLink"/>
                <w:rtl w:val="true"/>
              </w:rPr>
              <w:t xml:space="preserve">- </w:t>
            </w:r>
            <w:r>
              <w:rPr>
                <w:rStyle w:val="IndexLink"/>
                <w:rtl w:val="true"/>
              </w:rPr>
              <w:t>مِنْطَق، مِنْطَقَه، نِطاق</w:t>
            </w:r>
            <w:r>
              <w:rPr>
                <w:rStyle w:val="IndexLink"/>
                <w:rtl w:val="true"/>
              </w:rPr>
              <w:tab/>
            </w:r>
            <w:r>
              <w:rPr>
                <w:rStyle w:val="IndexLink"/>
              </w:rPr>
              <w:t>481</w:t>
            </w:r>
          </w:hyperlink>
        </w:p>
        <w:p>
          <w:pPr>
            <w:pStyle w:val="Contents5"/>
            <w:tabs>
              <w:tab w:val="clear" w:pos="7892"/>
              <w:tab w:val="right" w:pos="9026" w:leader="dot"/>
            </w:tabs>
            <w:rPr/>
          </w:pPr>
          <w:hyperlink w:anchor="__RefHeading___Toc3586353_3650668749">
            <w:r>
              <w:rPr>
                <w:webHidden/>
                <w:rStyle w:val="IndexLink"/>
                <w:rtl w:val="true"/>
              </w:rPr>
              <w:t xml:space="preserve">چهار </w:t>
            </w:r>
            <w:r>
              <w:rPr>
                <w:rStyle w:val="IndexLink"/>
                <w:rtl w:val="true"/>
              </w:rPr>
              <w:t xml:space="preserve">- </w:t>
            </w:r>
            <w:r>
              <w:rPr>
                <w:rStyle w:val="IndexLink"/>
                <w:rtl w:val="true"/>
              </w:rPr>
              <w:t>پوشش كف پا</w:t>
            </w:r>
            <w:r>
              <w:rPr>
                <w:rStyle w:val="IndexLink"/>
                <w:rtl w:val="true"/>
              </w:rPr>
              <w:tab/>
            </w:r>
            <w:r>
              <w:rPr>
                <w:rStyle w:val="IndexLink"/>
              </w:rPr>
              <w:t>481</w:t>
            </w:r>
          </w:hyperlink>
        </w:p>
        <w:p>
          <w:pPr>
            <w:pStyle w:val="Contents6"/>
            <w:tabs>
              <w:tab w:val="clear" w:pos="7609"/>
              <w:tab w:val="right" w:pos="9026" w:leader="dot"/>
            </w:tabs>
            <w:rPr/>
          </w:pPr>
          <w:hyperlink w:anchor="__RefHeading___Toc3586355_3650668749">
            <w:r>
              <w:rPr>
                <w:webHidden/>
                <w:rStyle w:val="IndexLink"/>
                <w:rtl w:val="true"/>
              </w:rPr>
              <w:t xml:space="preserve">يكم </w:t>
            </w:r>
            <w:r>
              <w:rPr>
                <w:rStyle w:val="IndexLink"/>
                <w:rtl w:val="true"/>
              </w:rPr>
              <w:t xml:space="preserve">- </w:t>
            </w:r>
            <w:r>
              <w:rPr>
                <w:rStyle w:val="IndexLink"/>
                <w:rtl w:val="true"/>
              </w:rPr>
              <w:t>جَوْرَب</w:t>
            </w:r>
            <w:r>
              <w:rPr>
                <w:rStyle w:val="IndexLink"/>
                <w:rtl w:val="true"/>
              </w:rPr>
              <w:tab/>
            </w:r>
            <w:r>
              <w:rPr>
                <w:rStyle w:val="IndexLink"/>
              </w:rPr>
              <w:t>481</w:t>
            </w:r>
          </w:hyperlink>
        </w:p>
        <w:p>
          <w:pPr>
            <w:pStyle w:val="Contents6"/>
            <w:tabs>
              <w:tab w:val="clear" w:pos="7609"/>
              <w:tab w:val="right" w:pos="9026" w:leader="dot"/>
            </w:tabs>
            <w:rPr/>
          </w:pPr>
          <w:hyperlink w:anchor="__RefHeading___Toc3586357_3650668749">
            <w:r>
              <w:rPr>
                <w:webHidden/>
                <w:rStyle w:val="IndexLink"/>
                <w:rtl w:val="true"/>
              </w:rPr>
              <w:t xml:space="preserve">دوم </w:t>
            </w:r>
            <w:r>
              <w:rPr>
                <w:rStyle w:val="IndexLink"/>
                <w:rtl w:val="true"/>
              </w:rPr>
              <w:t xml:space="preserve">- </w:t>
            </w:r>
            <w:r>
              <w:rPr>
                <w:rStyle w:val="IndexLink"/>
                <w:rtl w:val="true"/>
              </w:rPr>
              <w:t>حِذاء</w:t>
            </w:r>
            <w:r>
              <w:rPr>
                <w:rStyle w:val="IndexLink"/>
                <w:rtl w:val="true"/>
              </w:rPr>
              <w:tab/>
            </w:r>
            <w:r>
              <w:rPr>
                <w:rStyle w:val="IndexLink"/>
              </w:rPr>
              <w:t>481</w:t>
            </w:r>
          </w:hyperlink>
        </w:p>
        <w:p>
          <w:pPr>
            <w:pStyle w:val="Contents6"/>
            <w:tabs>
              <w:tab w:val="clear" w:pos="7609"/>
              <w:tab w:val="right" w:pos="9026" w:leader="dot"/>
            </w:tabs>
            <w:rPr/>
          </w:pPr>
          <w:hyperlink w:anchor="__RefHeading___Toc3586359_3650668749">
            <w:r>
              <w:rPr>
                <w:webHidden/>
                <w:rStyle w:val="IndexLink"/>
                <w:rtl w:val="true"/>
              </w:rPr>
              <w:t xml:space="preserve">سوم </w:t>
            </w:r>
            <w:r>
              <w:rPr>
                <w:rStyle w:val="IndexLink"/>
                <w:rtl w:val="true"/>
              </w:rPr>
              <w:t xml:space="preserve">- </w:t>
            </w:r>
            <w:r>
              <w:rPr>
                <w:rStyle w:val="IndexLink"/>
                <w:rtl w:val="true"/>
              </w:rPr>
              <w:t>خُفّ</w:t>
            </w:r>
            <w:r>
              <w:rPr>
                <w:rStyle w:val="IndexLink"/>
                <w:rtl w:val="true"/>
              </w:rPr>
              <w:tab/>
            </w:r>
            <w:r>
              <w:rPr>
                <w:rStyle w:val="IndexLink"/>
              </w:rPr>
              <w:t>481</w:t>
            </w:r>
          </w:hyperlink>
        </w:p>
        <w:p>
          <w:pPr>
            <w:pStyle w:val="Contents6"/>
            <w:tabs>
              <w:tab w:val="clear" w:pos="7609"/>
              <w:tab w:val="right" w:pos="9026" w:leader="dot"/>
            </w:tabs>
            <w:rPr/>
          </w:pPr>
          <w:hyperlink w:anchor="__RefHeading___Toc3586361_3650668749">
            <w:r>
              <w:rPr>
                <w:webHidden/>
                <w:rStyle w:val="IndexLink"/>
                <w:rtl w:val="true"/>
              </w:rPr>
              <w:t xml:space="preserve">چهارم </w:t>
            </w:r>
            <w:r>
              <w:rPr>
                <w:rStyle w:val="IndexLink"/>
                <w:rtl w:val="true"/>
              </w:rPr>
              <w:t xml:space="preserve">- </w:t>
            </w:r>
            <w:r>
              <w:rPr>
                <w:rStyle w:val="IndexLink"/>
                <w:rtl w:val="true"/>
              </w:rPr>
              <w:t>نَعل</w:t>
            </w:r>
            <w:r>
              <w:rPr>
                <w:rStyle w:val="IndexLink"/>
                <w:rtl w:val="true"/>
              </w:rPr>
              <w:tab/>
            </w:r>
            <w:r>
              <w:rPr>
                <w:rStyle w:val="IndexLink"/>
              </w:rPr>
              <w:t>482</w:t>
            </w:r>
          </w:hyperlink>
        </w:p>
        <w:p>
          <w:pPr>
            <w:pStyle w:val="Contents2"/>
            <w:tabs>
              <w:tab w:val="clear" w:pos="8743"/>
              <w:tab w:val="right" w:pos="9026" w:leader="dot"/>
            </w:tabs>
            <w:rPr/>
          </w:pPr>
          <w:hyperlink w:anchor="__RefHeading___Toc3586363_3650668749">
            <w:r>
              <w:rPr>
                <w:webHidden/>
                <w:rStyle w:val="IndexLink"/>
                <w:rtl w:val="true"/>
              </w:rPr>
              <w:t>فصل هفتم</w:t>
            </w:r>
            <w:r>
              <w:rPr>
                <w:rStyle w:val="IndexLink"/>
                <w:rtl w:val="true"/>
              </w:rPr>
              <w:t xml:space="preserve">: </w:t>
            </w:r>
            <w:r>
              <w:rPr>
                <w:rStyle w:val="IndexLink"/>
                <w:rtl w:val="true"/>
              </w:rPr>
              <w:t>نوع تغذيه</w:t>
            </w:r>
            <w:r>
              <w:rPr>
                <w:rStyle w:val="IndexLink"/>
                <w:rtl w:val="true"/>
              </w:rPr>
              <w:tab/>
            </w:r>
            <w:r>
              <w:rPr>
                <w:rStyle w:val="IndexLink"/>
              </w:rPr>
              <w:t>484</w:t>
            </w:r>
          </w:hyperlink>
        </w:p>
        <w:p>
          <w:pPr>
            <w:pStyle w:val="Contents3"/>
            <w:tabs>
              <w:tab w:val="clear" w:pos="8459"/>
              <w:tab w:val="right" w:pos="9026" w:leader="dot"/>
            </w:tabs>
            <w:rPr/>
          </w:pPr>
          <w:hyperlink w:anchor="__RefHeading___Toc3586365_3650668749">
            <w:r>
              <w:rPr>
                <w:webHidden/>
                <w:rStyle w:val="IndexLink"/>
                <w:rtl w:val="true"/>
              </w:rPr>
              <w:t>اشاره</w:t>
            </w:r>
            <w:r>
              <w:rPr>
                <w:rStyle w:val="IndexLink"/>
                <w:rtl w:val="true"/>
              </w:rPr>
              <w:tab/>
            </w:r>
            <w:r>
              <w:rPr>
                <w:rStyle w:val="IndexLink"/>
              </w:rPr>
              <w:t>484</w:t>
            </w:r>
          </w:hyperlink>
        </w:p>
        <w:p>
          <w:pPr>
            <w:pStyle w:val="Contents3"/>
            <w:tabs>
              <w:tab w:val="clear" w:pos="8459"/>
              <w:tab w:val="right" w:pos="9026" w:leader="dot"/>
            </w:tabs>
            <w:rPr/>
          </w:pPr>
          <w:hyperlink w:anchor="__RefHeading___Toc3586367_3650668749">
            <w:r>
              <w:rPr>
                <w:webHidden/>
                <w:rStyle w:val="IndexLink"/>
              </w:rPr>
              <w:t>١</w:t>
            </w:r>
            <w:r>
              <w:rPr>
                <w:rStyle w:val="IndexLink"/>
                <w:rtl w:val="true"/>
              </w:rPr>
              <w:t xml:space="preserve">. </w:t>
            </w:r>
            <w:r>
              <w:rPr>
                <w:rStyle w:val="IndexLink"/>
                <w:rtl w:val="true"/>
              </w:rPr>
              <w:t>غذاها</w:t>
            </w:r>
            <w:r>
              <w:rPr>
                <w:rStyle w:val="IndexLink"/>
                <w:rtl w:val="true"/>
              </w:rPr>
              <w:tab/>
            </w:r>
            <w:r>
              <w:rPr>
                <w:rStyle w:val="IndexLink"/>
              </w:rPr>
              <w:t>485</w:t>
            </w:r>
          </w:hyperlink>
        </w:p>
        <w:p>
          <w:pPr>
            <w:pStyle w:val="Contents4"/>
            <w:tabs>
              <w:tab w:val="clear" w:pos="8176"/>
              <w:tab w:val="right" w:pos="9026" w:leader="dot"/>
            </w:tabs>
            <w:rPr/>
          </w:pPr>
          <w:hyperlink w:anchor="__RefHeading___Toc3586369_3650668749">
            <w:r>
              <w:rPr>
                <w:webHidden/>
                <w:rStyle w:val="IndexLink"/>
                <w:rtl w:val="true"/>
              </w:rPr>
              <w:t>الف</w:t>
            </w:r>
            <w:r>
              <w:rPr>
                <w:rStyle w:val="IndexLink"/>
                <w:rtl w:val="true"/>
              </w:rPr>
              <w:t xml:space="preserve">) </w:t>
            </w:r>
            <w:r>
              <w:rPr>
                <w:rStyle w:val="IndexLink"/>
                <w:rtl w:val="true"/>
              </w:rPr>
              <w:t>تاريخچه‌اى از غذاى عرب</w:t>
            </w:r>
            <w:r>
              <w:rPr>
                <w:rStyle w:val="IndexLink"/>
                <w:rtl w:val="true"/>
              </w:rPr>
              <w:tab/>
            </w:r>
            <w:r>
              <w:rPr>
                <w:rStyle w:val="IndexLink"/>
              </w:rPr>
              <w:t>485</w:t>
            </w:r>
          </w:hyperlink>
        </w:p>
        <w:p>
          <w:pPr>
            <w:pStyle w:val="Contents4"/>
            <w:tabs>
              <w:tab w:val="clear" w:pos="8176"/>
              <w:tab w:val="right" w:pos="9026" w:leader="dot"/>
            </w:tabs>
            <w:rPr/>
          </w:pPr>
          <w:hyperlink w:anchor="__RefHeading___Toc3586371_3650668749">
            <w:r>
              <w:rPr>
                <w:webHidden/>
                <w:rStyle w:val="IndexLink"/>
                <w:rtl w:val="true"/>
              </w:rPr>
              <w:t>ب</w:t>
            </w:r>
            <w:r>
              <w:rPr>
                <w:rStyle w:val="IndexLink"/>
                <w:rtl w:val="true"/>
              </w:rPr>
              <w:t xml:space="preserve">) </w:t>
            </w:r>
            <w:r>
              <w:rPr>
                <w:rStyle w:val="IndexLink"/>
                <w:rtl w:val="true"/>
              </w:rPr>
              <w:t>وعده‌هاى غذايى عرب</w:t>
            </w:r>
            <w:r>
              <w:rPr>
                <w:rStyle w:val="IndexLink"/>
                <w:rtl w:val="true"/>
              </w:rPr>
              <w:tab/>
            </w:r>
            <w:r>
              <w:rPr>
                <w:rStyle w:val="IndexLink"/>
              </w:rPr>
              <w:t>487</w:t>
            </w:r>
          </w:hyperlink>
        </w:p>
        <w:p>
          <w:pPr>
            <w:pStyle w:val="Contents4"/>
            <w:tabs>
              <w:tab w:val="clear" w:pos="8176"/>
              <w:tab w:val="right" w:pos="9026" w:leader="dot"/>
            </w:tabs>
            <w:rPr/>
          </w:pPr>
          <w:hyperlink w:anchor="__RefHeading___Toc3586373_3650668749">
            <w:r>
              <w:rPr>
                <w:webHidden/>
                <w:rStyle w:val="IndexLink"/>
                <w:rtl w:val="true"/>
              </w:rPr>
              <w:t>ج</w:t>
            </w:r>
            <w:r>
              <w:rPr>
                <w:rStyle w:val="IndexLink"/>
                <w:rtl w:val="true"/>
              </w:rPr>
              <w:t xml:space="preserve">) </w:t>
            </w:r>
            <w:r>
              <w:rPr>
                <w:rStyle w:val="IndexLink"/>
                <w:rtl w:val="true"/>
              </w:rPr>
              <w:t>انواع غذاها</w:t>
            </w:r>
            <w:r>
              <w:rPr>
                <w:rStyle w:val="IndexLink"/>
                <w:rtl w:val="true"/>
              </w:rPr>
              <w:tab/>
            </w:r>
            <w:r>
              <w:rPr>
                <w:rStyle w:val="IndexLink"/>
              </w:rPr>
              <w:t>488</w:t>
            </w:r>
          </w:hyperlink>
        </w:p>
        <w:p>
          <w:pPr>
            <w:pStyle w:val="Contents5"/>
            <w:tabs>
              <w:tab w:val="clear" w:pos="7892"/>
              <w:tab w:val="right" w:pos="9026" w:leader="dot"/>
            </w:tabs>
            <w:rPr/>
          </w:pPr>
          <w:hyperlink w:anchor="__RefHeading___Toc3586375_3650668749">
            <w:r>
              <w:rPr>
                <w:webHidden/>
                <w:rStyle w:val="IndexLink"/>
                <w:rtl w:val="true"/>
              </w:rPr>
              <w:t>اشاره</w:t>
            </w:r>
            <w:r>
              <w:rPr>
                <w:rStyle w:val="IndexLink"/>
                <w:rtl w:val="true"/>
              </w:rPr>
              <w:tab/>
            </w:r>
            <w:r>
              <w:rPr>
                <w:rStyle w:val="IndexLink"/>
              </w:rPr>
              <w:t>488</w:t>
            </w:r>
          </w:hyperlink>
        </w:p>
        <w:p>
          <w:pPr>
            <w:pStyle w:val="Contents5"/>
            <w:tabs>
              <w:tab w:val="clear" w:pos="7892"/>
              <w:tab w:val="right" w:pos="9026" w:leader="dot"/>
            </w:tabs>
            <w:rPr/>
          </w:pPr>
          <w:hyperlink w:anchor="__RefHeading___Toc3586377_3650668749">
            <w:r>
              <w:rPr>
                <w:webHidden/>
                <w:rStyle w:val="IndexLink"/>
                <w:rtl w:val="true"/>
              </w:rPr>
              <w:t xml:space="preserve">يك </w:t>
            </w:r>
            <w:r>
              <w:rPr>
                <w:rStyle w:val="IndexLink"/>
                <w:rtl w:val="true"/>
              </w:rPr>
              <w:t xml:space="preserve">- </w:t>
            </w:r>
            <w:r>
              <w:rPr>
                <w:rStyle w:val="IndexLink"/>
                <w:rtl w:val="true"/>
              </w:rPr>
              <w:t>غذاهاى بدون اسم خاص</w:t>
            </w:r>
            <w:r>
              <w:rPr>
                <w:rStyle w:val="IndexLink"/>
                <w:rtl w:val="true"/>
              </w:rPr>
              <w:tab/>
            </w:r>
            <w:r>
              <w:rPr>
                <w:rStyle w:val="IndexLink"/>
              </w:rPr>
              <w:t>488</w:t>
            </w:r>
          </w:hyperlink>
        </w:p>
        <w:p>
          <w:pPr>
            <w:pStyle w:val="Contents6"/>
            <w:tabs>
              <w:tab w:val="clear" w:pos="7609"/>
              <w:tab w:val="right" w:pos="9026" w:leader="dot"/>
            </w:tabs>
            <w:rPr/>
          </w:pPr>
          <w:hyperlink w:anchor="__RefHeading___Toc3586379_3650668749">
            <w:r>
              <w:rPr>
                <w:webHidden/>
                <w:rStyle w:val="IndexLink"/>
                <w:rtl w:val="true"/>
              </w:rPr>
              <w:t>اشاره</w:t>
            </w:r>
            <w:r>
              <w:rPr>
                <w:rStyle w:val="IndexLink"/>
                <w:rtl w:val="true"/>
              </w:rPr>
              <w:tab/>
            </w:r>
            <w:r>
              <w:rPr>
                <w:rStyle w:val="IndexLink"/>
              </w:rPr>
              <w:t>488</w:t>
            </w:r>
          </w:hyperlink>
        </w:p>
        <w:p>
          <w:pPr>
            <w:pStyle w:val="Contents6"/>
            <w:tabs>
              <w:tab w:val="clear" w:pos="7609"/>
              <w:tab w:val="right" w:pos="9026" w:leader="dot"/>
            </w:tabs>
            <w:rPr/>
          </w:pPr>
          <w:hyperlink w:anchor="__RefHeading___Toc3586381_3650668749">
            <w:r>
              <w:rPr>
                <w:webHidden/>
                <w:rStyle w:val="IndexLink"/>
                <w:rtl w:val="true"/>
              </w:rPr>
              <w:t xml:space="preserve">اول </w:t>
            </w:r>
            <w:r>
              <w:rPr>
                <w:rStyle w:val="IndexLink"/>
                <w:rtl w:val="true"/>
              </w:rPr>
              <w:t xml:space="preserve">- </w:t>
            </w:r>
            <w:r>
              <w:rPr>
                <w:rStyle w:val="IndexLink"/>
                <w:rtl w:val="true"/>
              </w:rPr>
              <w:t xml:space="preserve">غذاهاى پيامبر اكرم </w:t>
            </w:r>
            <w:r>
              <w:rPr>
                <w:rStyle w:val="IndexLink"/>
                <w:rtl w:val="true"/>
              </w:rPr>
              <w:t>(</w:t>
            </w:r>
            <w:r>
              <w:rPr>
                <w:rStyle w:val="IndexLink"/>
                <w:rtl w:val="true"/>
              </w:rPr>
              <w:t>صلى الله عليه و آله</w:t>
            </w:r>
            <w:r>
              <w:rPr>
                <w:rStyle w:val="IndexLink"/>
                <w:rtl w:val="true"/>
              </w:rPr>
              <w:t>)</w:t>
              <w:tab/>
            </w:r>
            <w:r>
              <w:rPr>
                <w:rStyle w:val="IndexLink"/>
              </w:rPr>
              <w:t>488</w:t>
            </w:r>
          </w:hyperlink>
        </w:p>
        <w:p>
          <w:pPr>
            <w:pStyle w:val="Contents6"/>
            <w:tabs>
              <w:tab w:val="clear" w:pos="7609"/>
              <w:tab w:val="right" w:pos="9026" w:leader="dot"/>
            </w:tabs>
            <w:rPr/>
          </w:pPr>
          <w:hyperlink w:anchor="__RefHeading___Toc3586383_3650668749">
            <w:r>
              <w:rPr>
                <w:webHidden/>
                <w:rStyle w:val="IndexLink"/>
                <w:rtl w:val="true"/>
              </w:rPr>
              <w:t>اشاره</w:t>
            </w:r>
            <w:r>
              <w:rPr>
                <w:rStyle w:val="IndexLink"/>
                <w:rtl w:val="true"/>
              </w:rPr>
              <w:tab/>
            </w:r>
            <w:r>
              <w:rPr>
                <w:rStyle w:val="IndexLink"/>
              </w:rPr>
              <w:t>488</w:t>
            </w:r>
          </w:hyperlink>
        </w:p>
        <w:p>
          <w:pPr>
            <w:pStyle w:val="Contents6"/>
            <w:tabs>
              <w:tab w:val="clear" w:pos="7609"/>
              <w:tab w:val="right" w:pos="9026" w:leader="dot"/>
            </w:tabs>
            <w:rPr/>
          </w:pPr>
          <w:hyperlink w:anchor="__RefHeading___Toc3586385_3650668749">
            <w:r>
              <w:rPr>
                <w:webHidden/>
                <w:rStyle w:val="IndexLink"/>
                <w:rtl w:val="true"/>
              </w:rPr>
              <w:t>نان و گوشت</w:t>
            </w:r>
            <w:r>
              <w:rPr>
                <w:rStyle w:val="IndexLink"/>
                <w:rtl w:val="true"/>
              </w:rPr>
              <w:tab/>
            </w:r>
            <w:r>
              <w:rPr>
                <w:rStyle w:val="IndexLink"/>
              </w:rPr>
              <w:t>489</w:t>
            </w:r>
          </w:hyperlink>
        </w:p>
        <w:p>
          <w:pPr>
            <w:pStyle w:val="Contents6"/>
            <w:tabs>
              <w:tab w:val="clear" w:pos="7609"/>
              <w:tab w:val="right" w:pos="9026" w:leader="dot"/>
            </w:tabs>
            <w:rPr/>
          </w:pPr>
          <w:hyperlink w:anchor="__RefHeading___Toc3586387_3650668749">
            <w:r>
              <w:rPr>
                <w:webHidden/>
                <w:rStyle w:val="IndexLink"/>
                <w:rtl w:val="true"/>
              </w:rPr>
              <w:t>گوشت مرغ و پرندگان</w:t>
            </w:r>
            <w:r>
              <w:rPr>
                <w:rStyle w:val="IndexLink"/>
                <w:rtl w:val="true"/>
              </w:rPr>
              <w:tab/>
            </w:r>
            <w:r>
              <w:rPr>
                <w:rStyle w:val="IndexLink"/>
              </w:rPr>
              <w:t>489</w:t>
            </w:r>
          </w:hyperlink>
        </w:p>
        <w:p>
          <w:pPr>
            <w:pStyle w:val="Contents6"/>
            <w:tabs>
              <w:tab w:val="clear" w:pos="7609"/>
              <w:tab w:val="right" w:pos="9026" w:leader="dot"/>
            </w:tabs>
            <w:rPr/>
          </w:pPr>
          <w:hyperlink w:anchor="__RefHeading___Toc3586389_3650668749">
            <w:r>
              <w:rPr>
                <w:webHidden/>
                <w:rStyle w:val="IndexLink"/>
                <w:rtl w:val="true"/>
              </w:rPr>
              <w:t>نان و سركه</w:t>
            </w:r>
            <w:r>
              <w:rPr>
                <w:rStyle w:val="IndexLink"/>
                <w:rtl w:val="true"/>
              </w:rPr>
              <w:tab/>
            </w:r>
            <w:r>
              <w:rPr>
                <w:rStyle w:val="IndexLink"/>
              </w:rPr>
              <w:t>489</w:t>
            </w:r>
          </w:hyperlink>
        </w:p>
        <w:p>
          <w:pPr>
            <w:pStyle w:val="Contents6"/>
            <w:tabs>
              <w:tab w:val="clear" w:pos="7609"/>
              <w:tab w:val="right" w:pos="9026" w:leader="dot"/>
            </w:tabs>
            <w:rPr/>
          </w:pPr>
          <w:hyperlink w:anchor="__RefHeading___Toc3586391_3650668749">
            <w:r>
              <w:rPr>
                <w:webHidden/>
                <w:rStyle w:val="IndexLink"/>
                <w:rtl w:val="true"/>
              </w:rPr>
              <w:t>نان و روغن زيتون</w:t>
            </w:r>
            <w:r>
              <w:rPr>
                <w:rStyle w:val="IndexLink"/>
                <w:rtl w:val="true"/>
              </w:rPr>
              <w:tab/>
            </w:r>
            <w:r>
              <w:rPr>
                <w:rStyle w:val="IndexLink"/>
              </w:rPr>
              <w:t>489</w:t>
            </w:r>
          </w:hyperlink>
        </w:p>
        <w:p>
          <w:pPr>
            <w:pStyle w:val="Contents6"/>
            <w:tabs>
              <w:tab w:val="clear" w:pos="7609"/>
              <w:tab w:val="right" w:pos="9026" w:leader="dot"/>
            </w:tabs>
            <w:rPr/>
          </w:pPr>
          <w:hyperlink w:anchor="__RefHeading___Toc3586393_3650668749">
            <w:r>
              <w:rPr>
                <w:webHidden/>
                <w:rStyle w:val="IndexLink"/>
                <w:rtl w:val="true"/>
              </w:rPr>
              <w:t xml:space="preserve">كره </w:t>
            </w:r>
            <w:r>
              <w:rPr>
                <w:rStyle w:val="IndexLink"/>
                <w:rtl w:val="true"/>
              </w:rPr>
              <w:t>(</w:t>
            </w:r>
            <w:r>
              <w:rPr>
                <w:rStyle w:val="IndexLink"/>
                <w:rtl w:val="true"/>
              </w:rPr>
              <w:t>زَبَد</w:t>
            </w:r>
            <w:r>
              <w:rPr>
                <w:rStyle w:val="IndexLink"/>
                <w:rtl w:val="true"/>
              </w:rPr>
              <w:t>)</w:t>
              <w:tab/>
            </w:r>
            <w:r>
              <w:rPr>
                <w:rStyle w:val="IndexLink"/>
              </w:rPr>
              <w:t>490</w:t>
            </w:r>
          </w:hyperlink>
        </w:p>
        <w:p>
          <w:pPr>
            <w:pStyle w:val="Contents6"/>
            <w:tabs>
              <w:tab w:val="clear" w:pos="7609"/>
              <w:tab w:val="right" w:pos="9026" w:leader="dot"/>
            </w:tabs>
            <w:rPr/>
          </w:pPr>
          <w:hyperlink w:anchor="__RefHeading___Toc3586395_3650668749">
            <w:r>
              <w:rPr>
                <w:webHidden/>
                <w:rStyle w:val="IndexLink"/>
                <w:rtl w:val="true"/>
              </w:rPr>
              <w:t>برنج</w:t>
            </w:r>
            <w:r>
              <w:rPr>
                <w:rStyle w:val="IndexLink"/>
                <w:rtl w:val="true"/>
              </w:rPr>
              <w:tab/>
            </w:r>
            <w:r>
              <w:rPr>
                <w:rStyle w:val="IndexLink"/>
              </w:rPr>
              <w:t>490</w:t>
            </w:r>
          </w:hyperlink>
        </w:p>
        <w:p>
          <w:pPr>
            <w:pStyle w:val="Contents6"/>
            <w:tabs>
              <w:tab w:val="clear" w:pos="7609"/>
              <w:tab w:val="right" w:pos="9026" w:leader="dot"/>
            </w:tabs>
            <w:rPr/>
          </w:pPr>
          <w:hyperlink w:anchor="__RefHeading___Toc3586397_3650668749">
            <w:r>
              <w:rPr>
                <w:webHidden/>
                <w:rStyle w:val="IndexLink"/>
                <w:rtl w:val="true"/>
              </w:rPr>
              <w:t xml:space="preserve">دوم </w:t>
            </w:r>
            <w:r>
              <w:rPr>
                <w:rStyle w:val="IndexLink"/>
                <w:rtl w:val="true"/>
              </w:rPr>
              <w:t xml:space="preserve">- </w:t>
            </w:r>
            <w:r>
              <w:rPr>
                <w:rStyle w:val="IndexLink"/>
                <w:rtl w:val="true"/>
              </w:rPr>
              <w:t xml:space="preserve">غذاهاى حضرت على </w:t>
            </w:r>
            <w:r>
              <w:rPr>
                <w:rStyle w:val="IndexLink"/>
                <w:rtl w:val="true"/>
              </w:rPr>
              <w:t>(</w:t>
            </w:r>
            <w:r>
              <w:rPr>
                <w:rStyle w:val="IndexLink"/>
                <w:rtl w:val="true"/>
              </w:rPr>
              <w:t>عليه السلام</w:t>
            </w:r>
            <w:r>
              <w:rPr>
                <w:rStyle w:val="IndexLink"/>
                <w:rtl w:val="true"/>
              </w:rPr>
              <w:t>)</w:t>
              <w:tab/>
            </w:r>
            <w:r>
              <w:rPr>
                <w:rStyle w:val="IndexLink"/>
              </w:rPr>
              <w:t>490</w:t>
            </w:r>
          </w:hyperlink>
        </w:p>
        <w:p>
          <w:pPr>
            <w:pStyle w:val="Contents6"/>
            <w:tabs>
              <w:tab w:val="clear" w:pos="7609"/>
              <w:tab w:val="right" w:pos="9026" w:leader="dot"/>
            </w:tabs>
            <w:rPr/>
          </w:pPr>
          <w:hyperlink w:anchor="__RefHeading___Toc3586399_3650668749">
            <w:r>
              <w:rPr>
                <w:webHidden/>
                <w:rStyle w:val="IndexLink"/>
                <w:rtl w:val="true"/>
              </w:rPr>
              <w:t>اشاره</w:t>
            </w:r>
            <w:r>
              <w:rPr>
                <w:rStyle w:val="IndexLink"/>
                <w:rtl w:val="true"/>
              </w:rPr>
              <w:tab/>
            </w:r>
            <w:r>
              <w:rPr>
                <w:rStyle w:val="IndexLink"/>
              </w:rPr>
              <w:t>490</w:t>
            </w:r>
          </w:hyperlink>
        </w:p>
        <w:p>
          <w:pPr>
            <w:pStyle w:val="Contents6"/>
            <w:tabs>
              <w:tab w:val="clear" w:pos="7609"/>
              <w:tab w:val="right" w:pos="9026" w:leader="dot"/>
            </w:tabs>
            <w:rPr/>
          </w:pPr>
          <w:hyperlink w:anchor="__RefHeading___Toc3586401_3650668749">
            <w:r>
              <w:rPr>
                <w:webHidden/>
                <w:rStyle w:val="IndexLink"/>
                <w:rtl w:val="true"/>
              </w:rPr>
              <w:t>نان و شير</w:t>
            </w:r>
            <w:r>
              <w:rPr>
                <w:rStyle w:val="IndexLink"/>
                <w:rtl w:val="true"/>
              </w:rPr>
              <w:tab/>
            </w:r>
            <w:r>
              <w:rPr>
                <w:rStyle w:val="IndexLink"/>
              </w:rPr>
              <w:t>490</w:t>
            </w:r>
          </w:hyperlink>
        </w:p>
        <w:p>
          <w:pPr>
            <w:pStyle w:val="Contents6"/>
            <w:tabs>
              <w:tab w:val="clear" w:pos="7609"/>
              <w:tab w:val="right" w:pos="9026" w:leader="dot"/>
            </w:tabs>
            <w:rPr/>
          </w:pPr>
          <w:hyperlink w:anchor="__RefHeading___Toc3586403_3650668749">
            <w:r>
              <w:rPr>
                <w:webHidden/>
                <w:rStyle w:val="IndexLink"/>
                <w:rtl w:val="true"/>
              </w:rPr>
              <w:t>نان و خرما</w:t>
            </w:r>
            <w:r>
              <w:rPr>
                <w:rStyle w:val="IndexLink"/>
                <w:rtl w:val="true"/>
              </w:rPr>
              <w:tab/>
            </w:r>
            <w:r>
              <w:rPr>
                <w:rStyle w:val="IndexLink"/>
              </w:rPr>
              <w:t>490</w:t>
            </w:r>
          </w:hyperlink>
        </w:p>
        <w:p>
          <w:pPr>
            <w:pStyle w:val="Contents6"/>
            <w:tabs>
              <w:tab w:val="clear" w:pos="7609"/>
              <w:tab w:val="right" w:pos="9026" w:leader="dot"/>
            </w:tabs>
            <w:rPr/>
          </w:pPr>
          <w:hyperlink w:anchor="__RefHeading___Toc3586405_3650668749">
            <w:r>
              <w:rPr>
                <w:webHidden/>
                <w:rStyle w:val="IndexLink"/>
                <w:rtl w:val="true"/>
              </w:rPr>
              <w:t>نان و انگور</w:t>
            </w:r>
            <w:r>
              <w:rPr>
                <w:rStyle w:val="IndexLink"/>
                <w:rtl w:val="true"/>
              </w:rPr>
              <w:tab/>
            </w:r>
            <w:r>
              <w:rPr>
                <w:rStyle w:val="IndexLink"/>
              </w:rPr>
              <w:t>490</w:t>
            </w:r>
          </w:hyperlink>
        </w:p>
        <w:p>
          <w:pPr>
            <w:pStyle w:val="Contents6"/>
            <w:tabs>
              <w:tab w:val="clear" w:pos="7609"/>
              <w:tab w:val="right" w:pos="9026" w:leader="dot"/>
            </w:tabs>
            <w:rPr/>
          </w:pPr>
          <w:hyperlink w:anchor="__RefHeading___Toc3586407_3650668749">
            <w:r>
              <w:rPr>
                <w:webHidden/>
                <w:rStyle w:val="IndexLink"/>
                <w:rtl w:val="true"/>
              </w:rPr>
              <w:t>نان و خربزه يا كدو</w:t>
            </w:r>
            <w:r>
              <w:rPr>
                <w:rStyle w:val="IndexLink"/>
                <w:rtl w:val="true"/>
              </w:rPr>
              <w:tab/>
            </w:r>
            <w:r>
              <w:rPr>
                <w:rStyle w:val="IndexLink"/>
              </w:rPr>
              <w:t>490</w:t>
            </w:r>
          </w:hyperlink>
        </w:p>
        <w:p>
          <w:pPr>
            <w:pStyle w:val="Contents6"/>
            <w:tabs>
              <w:tab w:val="clear" w:pos="7609"/>
              <w:tab w:val="right" w:pos="9026" w:leader="dot"/>
            </w:tabs>
            <w:rPr/>
          </w:pPr>
          <w:hyperlink w:anchor="__RefHeading___Toc3586409_3650668749">
            <w:r>
              <w:rPr>
                <w:webHidden/>
                <w:rStyle w:val="IndexLink"/>
                <w:rtl w:val="true"/>
              </w:rPr>
              <w:t>گوشت و ذرت</w:t>
            </w:r>
            <w:r>
              <w:rPr>
                <w:rStyle w:val="IndexLink"/>
                <w:rtl w:val="true"/>
              </w:rPr>
              <w:tab/>
            </w:r>
            <w:r>
              <w:rPr>
                <w:rStyle w:val="IndexLink"/>
              </w:rPr>
              <w:t>491</w:t>
            </w:r>
          </w:hyperlink>
        </w:p>
        <w:p>
          <w:pPr>
            <w:pStyle w:val="Contents5"/>
            <w:tabs>
              <w:tab w:val="clear" w:pos="7892"/>
              <w:tab w:val="right" w:pos="9026" w:leader="dot"/>
            </w:tabs>
            <w:rPr/>
          </w:pPr>
          <w:hyperlink w:anchor="__RefHeading___Toc3586411_3650668749">
            <w:r>
              <w:rPr>
                <w:webHidden/>
                <w:rStyle w:val="IndexLink"/>
                <w:rtl w:val="true"/>
              </w:rPr>
              <w:t xml:space="preserve">دو </w:t>
            </w:r>
            <w:r>
              <w:rPr>
                <w:rStyle w:val="IndexLink"/>
                <w:rtl w:val="true"/>
              </w:rPr>
              <w:t xml:space="preserve">- </w:t>
            </w:r>
            <w:r>
              <w:rPr>
                <w:rStyle w:val="IndexLink"/>
                <w:rtl w:val="true"/>
              </w:rPr>
              <w:t>غذاهايى با اسم خاص</w:t>
            </w:r>
            <w:r>
              <w:rPr>
                <w:rStyle w:val="IndexLink"/>
                <w:rtl w:val="true"/>
              </w:rPr>
              <w:tab/>
            </w:r>
            <w:r>
              <w:rPr>
                <w:rStyle w:val="IndexLink"/>
              </w:rPr>
              <w:t>491</w:t>
            </w:r>
          </w:hyperlink>
        </w:p>
        <w:p>
          <w:pPr>
            <w:pStyle w:val="Contents6"/>
            <w:tabs>
              <w:tab w:val="clear" w:pos="7609"/>
              <w:tab w:val="right" w:pos="9026" w:leader="dot"/>
            </w:tabs>
            <w:rPr/>
          </w:pPr>
          <w:hyperlink w:anchor="__RefHeading___Toc3586413_3650668749">
            <w:r>
              <w:rPr>
                <w:webHidden/>
                <w:rStyle w:val="IndexLink"/>
                <w:rtl w:val="true"/>
              </w:rPr>
              <w:t>اشاره</w:t>
            </w:r>
            <w:r>
              <w:rPr>
                <w:rStyle w:val="IndexLink"/>
                <w:rtl w:val="true"/>
              </w:rPr>
              <w:tab/>
            </w:r>
            <w:r>
              <w:rPr>
                <w:rStyle w:val="IndexLink"/>
              </w:rPr>
              <w:t>491</w:t>
            </w:r>
          </w:hyperlink>
        </w:p>
        <w:p>
          <w:pPr>
            <w:pStyle w:val="Contents6"/>
            <w:tabs>
              <w:tab w:val="clear" w:pos="7609"/>
              <w:tab w:val="right" w:pos="9026" w:leader="dot"/>
            </w:tabs>
            <w:rPr/>
          </w:pPr>
          <w:hyperlink w:anchor="__RefHeading___Toc3586415_3650668749">
            <w:r>
              <w:rPr>
                <w:webHidden/>
                <w:rStyle w:val="IndexLink"/>
                <w:rtl w:val="true"/>
              </w:rPr>
              <w:t xml:space="preserve">اول </w:t>
            </w:r>
            <w:r>
              <w:rPr>
                <w:rStyle w:val="IndexLink"/>
                <w:rtl w:val="true"/>
              </w:rPr>
              <w:t xml:space="preserve">- </w:t>
            </w:r>
            <w:r>
              <w:rPr>
                <w:rStyle w:val="IndexLink"/>
                <w:rtl w:val="true"/>
              </w:rPr>
              <w:t xml:space="preserve">بَكالَه </w:t>
            </w:r>
            <w:r>
              <w:rPr>
                <w:rStyle w:val="IndexLink"/>
                <w:rtl w:val="true"/>
              </w:rPr>
              <w:t>(</w:t>
            </w:r>
            <w:r>
              <w:rPr>
                <w:rStyle w:val="IndexLink"/>
                <w:rtl w:val="true"/>
              </w:rPr>
              <w:t>بَكيله</w:t>
            </w:r>
            <w:r>
              <w:rPr>
                <w:rStyle w:val="IndexLink"/>
                <w:rtl w:val="true"/>
              </w:rPr>
              <w:t>)</w:t>
              <w:tab/>
            </w:r>
            <w:r>
              <w:rPr>
                <w:rStyle w:val="IndexLink"/>
              </w:rPr>
              <w:t>491</w:t>
            </w:r>
          </w:hyperlink>
        </w:p>
        <w:p>
          <w:pPr>
            <w:pStyle w:val="Contents6"/>
            <w:tabs>
              <w:tab w:val="clear" w:pos="7609"/>
              <w:tab w:val="right" w:pos="9026" w:leader="dot"/>
            </w:tabs>
            <w:rPr/>
          </w:pPr>
          <w:hyperlink w:anchor="__RefHeading___Toc3586417_3650668749">
            <w:r>
              <w:rPr>
                <w:webHidden/>
                <w:rStyle w:val="IndexLink"/>
                <w:rtl w:val="true"/>
              </w:rPr>
              <w:t xml:space="preserve">دوم </w:t>
            </w:r>
            <w:r>
              <w:rPr>
                <w:rStyle w:val="IndexLink"/>
                <w:rtl w:val="true"/>
              </w:rPr>
              <w:t xml:space="preserve">- </w:t>
            </w:r>
            <w:r>
              <w:rPr>
                <w:rStyle w:val="IndexLink"/>
                <w:rtl w:val="true"/>
              </w:rPr>
              <w:t xml:space="preserve">تلبينَه </w:t>
            </w:r>
            <w:r>
              <w:rPr>
                <w:rStyle w:val="IndexLink"/>
                <w:rtl w:val="true"/>
              </w:rPr>
              <w:t>(</w:t>
            </w:r>
            <w:r>
              <w:rPr>
                <w:rStyle w:val="IndexLink"/>
                <w:rtl w:val="true"/>
              </w:rPr>
              <w:t>تَلبين</w:t>
            </w:r>
            <w:r>
              <w:rPr>
                <w:rStyle w:val="IndexLink"/>
                <w:rtl w:val="true"/>
              </w:rPr>
              <w:t>)</w:t>
              <w:tab/>
            </w:r>
            <w:r>
              <w:rPr>
                <w:rStyle w:val="IndexLink"/>
              </w:rPr>
              <w:t>491</w:t>
            </w:r>
          </w:hyperlink>
        </w:p>
        <w:p>
          <w:pPr>
            <w:pStyle w:val="Contents6"/>
            <w:tabs>
              <w:tab w:val="clear" w:pos="7609"/>
              <w:tab w:val="right" w:pos="9026" w:leader="dot"/>
            </w:tabs>
            <w:rPr/>
          </w:pPr>
          <w:hyperlink w:anchor="__RefHeading___Toc3586419_3650668749">
            <w:r>
              <w:rPr>
                <w:webHidden/>
                <w:rStyle w:val="IndexLink"/>
                <w:rtl w:val="true"/>
              </w:rPr>
              <w:t xml:space="preserve">سوم </w:t>
            </w:r>
            <w:r>
              <w:rPr>
                <w:rStyle w:val="IndexLink"/>
                <w:rtl w:val="true"/>
              </w:rPr>
              <w:t xml:space="preserve">- </w:t>
            </w:r>
            <w:r>
              <w:rPr>
                <w:rStyle w:val="IndexLink"/>
                <w:rtl w:val="true"/>
              </w:rPr>
              <w:t>ثَريد</w:t>
            </w:r>
            <w:r>
              <w:rPr>
                <w:rStyle w:val="IndexLink"/>
                <w:rtl w:val="true"/>
              </w:rPr>
              <w:tab/>
            </w:r>
            <w:r>
              <w:rPr>
                <w:rStyle w:val="IndexLink"/>
              </w:rPr>
              <w:t>491</w:t>
            </w:r>
          </w:hyperlink>
        </w:p>
        <w:p>
          <w:pPr>
            <w:pStyle w:val="Contents6"/>
            <w:tabs>
              <w:tab w:val="clear" w:pos="7609"/>
              <w:tab w:val="right" w:pos="9026" w:leader="dot"/>
            </w:tabs>
            <w:rPr/>
          </w:pPr>
          <w:hyperlink w:anchor="__RefHeading___Toc3586421_3650668749">
            <w:r>
              <w:rPr>
                <w:webHidden/>
                <w:rStyle w:val="IndexLink"/>
                <w:rtl w:val="true"/>
              </w:rPr>
              <w:t xml:space="preserve">چهارم </w:t>
            </w:r>
            <w:r>
              <w:rPr>
                <w:rStyle w:val="IndexLink"/>
                <w:rtl w:val="true"/>
              </w:rPr>
              <w:t xml:space="preserve">- </w:t>
            </w:r>
            <w:r>
              <w:rPr>
                <w:rStyle w:val="IndexLink"/>
                <w:rtl w:val="true"/>
              </w:rPr>
              <w:t>حريره</w:t>
            </w:r>
            <w:r>
              <w:rPr>
                <w:rStyle w:val="IndexLink"/>
                <w:rtl w:val="true"/>
              </w:rPr>
              <w:tab/>
            </w:r>
            <w:r>
              <w:rPr>
                <w:rStyle w:val="IndexLink"/>
              </w:rPr>
              <w:t>492</w:t>
            </w:r>
          </w:hyperlink>
        </w:p>
        <w:p>
          <w:pPr>
            <w:pStyle w:val="Contents6"/>
            <w:tabs>
              <w:tab w:val="clear" w:pos="7609"/>
              <w:tab w:val="right" w:pos="9026" w:leader="dot"/>
            </w:tabs>
            <w:rPr/>
          </w:pPr>
          <w:hyperlink w:anchor="__RefHeading___Toc3586423_3650668749">
            <w:r>
              <w:rPr>
                <w:webHidden/>
                <w:rStyle w:val="IndexLink"/>
                <w:rtl w:val="true"/>
              </w:rPr>
              <w:t xml:space="preserve">پنجم </w:t>
            </w:r>
            <w:r>
              <w:rPr>
                <w:rStyle w:val="IndexLink"/>
                <w:rtl w:val="true"/>
              </w:rPr>
              <w:t xml:space="preserve">- </w:t>
            </w:r>
            <w:r>
              <w:rPr>
                <w:rStyle w:val="IndexLink"/>
                <w:rtl w:val="true"/>
              </w:rPr>
              <w:t>حَساء</w:t>
            </w:r>
            <w:r>
              <w:rPr>
                <w:rStyle w:val="IndexLink"/>
                <w:rtl w:val="true"/>
              </w:rPr>
              <w:tab/>
            </w:r>
            <w:r>
              <w:rPr>
                <w:rStyle w:val="IndexLink"/>
              </w:rPr>
              <w:t>492</w:t>
            </w:r>
          </w:hyperlink>
        </w:p>
        <w:p>
          <w:pPr>
            <w:pStyle w:val="Contents6"/>
            <w:tabs>
              <w:tab w:val="clear" w:pos="7609"/>
              <w:tab w:val="right" w:pos="9026" w:leader="dot"/>
            </w:tabs>
            <w:rPr/>
          </w:pPr>
          <w:hyperlink w:anchor="__RefHeading___Toc3586425_3650668749">
            <w:r>
              <w:rPr>
                <w:webHidden/>
                <w:rStyle w:val="IndexLink"/>
                <w:rtl w:val="true"/>
              </w:rPr>
              <w:t xml:space="preserve">ششم </w:t>
            </w:r>
            <w:r>
              <w:rPr>
                <w:rStyle w:val="IndexLink"/>
                <w:rtl w:val="true"/>
              </w:rPr>
              <w:t xml:space="preserve">- </w:t>
            </w:r>
            <w:r>
              <w:rPr>
                <w:rStyle w:val="IndexLink"/>
                <w:rtl w:val="true"/>
              </w:rPr>
              <w:t>حَيْس</w:t>
            </w:r>
            <w:r>
              <w:rPr>
                <w:rStyle w:val="IndexLink"/>
                <w:rtl w:val="true"/>
              </w:rPr>
              <w:tab/>
            </w:r>
            <w:r>
              <w:rPr>
                <w:rStyle w:val="IndexLink"/>
              </w:rPr>
              <w:t>492</w:t>
            </w:r>
          </w:hyperlink>
        </w:p>
        <w:p>
          <w:pPr>
            <w:pStyle w:val="Contents6"/>
            <w:tabs>
              <w:tab w:val="clear" w:pos="7609"/>
              <w:tab w:val="right" w:pos="9026" w:leader="dot"/>
            </w:tabs>
            <w:rPr/>
          </w:pPr>
          <w:hyperlink w:anchor="__RefHeading___Toc3586427_3650668749">
            <w:r>
              <w:rPr>
                <w:webHidden/>
                <w:rStyle w:val="IndexLink"/>
                <w:rtl w:val="true"/>
              </w:rPr>
              <w:t xml:space="preserve">هفتم </w:t>
            </w:r>
            <w:r>
              <w:rPr>
                <w:rStyle w:val="IndexLink"/>
                <w:rtl w:val="true"/>
              </w:rPr>
              <w:t xml:space="preserve">- </w:t>
            </w:r>
            <w:r>
              <w:rPr>
                <w:rStyle w:val="IndexLink"/>
                <w:rtl w:val="true"/>
              </w:rPr>
              <w:t>رَبيكَه</w:t>
            </w:r>
            <w:r>
              <w:rPr>
                <w:rStyle w:val="IndexLink"/>
                <w:rtl w:val="true"/>
              </w:rPr>
              <w:tab/>
            </w:r>
            <w:r>
              <w:rPr>
                <w:rStyle w:val="IndexLink"/>
              </w:rPr>
              <w:t>493</w:t>
            </w:r>
          </w:hyperlink>
        </w:p>
        <w:p>
          <w:pPr>
            <w:pStyle w:val="Contents6"/>
            <w:tabs>
              <w:tab w:val="clear" w:pos="7609"/>
              <w:tab w:val="right" w:pos="9026" w:leader="dot"/>
            </w:tabs>
            <w:rPr/>
          </w:pPr>
          <w:hyperlink w:anchor="__RefHeading___Toc3586429_3650668749">
            <w:r>
              <w:rPr>
                <w:webHidden/>
                <w:rStyle w:val="IndexLink"/>
                <w:rtl w:val="true"/>
              </w:rPr>
              <w:t xml:space="preserve">هشتم </w:t>
            </w:r>
            <w:r>
              <w:rPr>
                <w:rStyle w:val="IndexLink"/>
                <w:rtl w:val="true"/>
              </w:rPr>
              <w:t xml:space="preserve">- </w:t>
            </w:r>
            <w:r>
              <w:rPr>
                <w:rStyle w:val="IndexLink"/>
                <w:rtl w:val="true"/>
              </w:rPr>
              <w:t>رَغيده</w:t>
            </w:r>
            <w:r>
              <w:rPr>
                <w:rStyle w:val="IndexLink"/>
                <w:rtl w:val="true"/>
              </w:rPr>
              <w:tab/>
            </w:r>
            <w:r>
              <w:rPr>
                <w:rStyle w:val="IndexLink"/>
              </w:rPr>
              <w:t>493</w:t>
            </w:r>
          </w:hyperlink>
        </w:p>
        <w:p>
          <w:pPr>
            <w:pStyle w:val="Contents6"/>
            <w:tabs>
              <w:tab w:val="clear" w:pos="7609"/>
              <w:tab w:val="right" w:pos="9026" w:leader="dot"/>
            </w:tabs>
            <w:rPr/>
          </w:pPr>
          <w:hyperlink w:anchor="__RefHeading___Toc3586431_3650668749">
            <w:r>
              <w:rPr>
                <w:webHidden/>
                <w:rStyle w:val="IndexLink"/>
                <w:rtl w:val="true"/>
              </w:rPr>
              <w:t xml:space="preserve">نهم </w:t>
            </w:r>
            <w:r>
              <w:rPr>
                <w:rStyle w:val="IndexLink"/>
                <w:rtl w:val="true"/>
              </w:rPr>
              <w:t xml:space="preserve">- </w:t>
            </w:r>
            <w:r>
              <w:rPr>
                <w:rStyle w:val="IndexLink"/>
                <w:rtl w:val="true"/>
              </w:rPr>
              <w:t>رَهيده</w:t>
            </w:r>
            <w:r>
              <w:rPr>
                <w:rStyle w:val="IndexLink"/>
                <w:rtl w:val="true"/>
              </w:rPr>
              <w:tab/>
            </w:r>
            <w:r>
              <w:rPr>
                <w:rStyle w:val="IndexLink"/>
              </w:rPr>
              <w:t>494</w:t>
            </w:r>
          </w:hyperlink>
        </w:p>
        <w:p>
          <w:pPr>
            <w:pStyle w:val="Contents6"/>
            <w:tabs>
              <w:tab w:val="clear" w:pos="7609"/>
              <w:tab w:val="right" w:pos="9026" w:leader="dot"/>
            </w:tabs>
            <w:rPr/>
          </w:pPr>
          <w:hyperlink w:anchor="__RefHeading___Toc3586433_3650668749">
            <w:r>
              <w:rPr>
                <w:webHidden/>
                <w:rStyle w:val="IndexLink"/>
                <w:rtl w:val="true"/>
              </w:rPr>
              <w:t xml:space="preserve">دهم </w:t>
            </w:r>
            <w:r>
              <w:rPr>
                <w:rStyle w:val="IndexLink"/>
                <w:rtl w:val="true"/>
              </w:rPr>
              <w:t xml:space="preserve">- </w:t>
            </w:r>
            <w:r>
              <w:rPr>
                <w:rStyle w:val="IndexLink"/>
                <w:rtl w:val="true"/>
              </w:rPr>
              <w:t>سَخينَه</w:t>
            </w:r>
            <w:r>
              <w:rPr>
                <w:rStyle w:val="IndexLink"/>
                <w:rtl w:val="true"/>
              </w:rPr>
              <w:tab/>
            </w:r>
            <w:r>
              <w:rPr>
                <w:rStyle w:val="IndexLink"/>
              </w:rPr>
              <w:t>494</w:t>
            </w:r>
          </w:hyperlink>
        </w:p>
        <w:p>
          <w:pPr>
            <w:pStyle w:val="Contents6"/>
            <w:tabs>
              <w:tab w:val="clear" w:pos="7609"/>
              <w:tab w:val="right" w:pos="9026" w:leader="dot"/>
            </w:tabs>
            <w:rPr/>
          </w:pPr>
          <w:hyperlink w:anchor="__RefHeading___Toc3586435_3650668749">
            <w:r>
              <w:rPr>
                <w:webHidden/>
                <w:rStyle w:val="IndexLink"/>
                <w:rtl w:val="true"/>
              </w:rPr>
              <w:t xml:space="preserve">يازدهم </w:t>
            </w:r>
            <w:r>
              <w:rPr>
                <w:rStyle w:val="IndexLink"/>
                <w:rtl w:val="true"/>
              </w:rPr>
              <w:t xml:space="preserve">- </w:t>
            </w:r>
            <w:r>
              <w:rPr>
                <w:rStyle w:val="IndexLink"/>
                <w:rtl w:val="true"/>
              </w:rPr>
              <w:t>سِكْبْاج</w:t>
            </w:r>
            <w:r>
              <w:rPr>
                <w:rStyle w:val="IndexLink"/>
                <w:rtl w:val="true"/>
              </w:rPr>
              <w:tab/>
            </w:r>
            <w:r>
              <w:rPr>
                <w:rStyle w:val="IndexLink"/>
              </w:rPr>
              <w:t>494</w:t>
            </w:r>
          </w:hyperlink>
        </w:p>
        <w:p>
          <w:pPr>
            <w:pStyle w:val="Contents6"/>
            <w:tabs>
              <w:tab w:val="clear" w:pos="7609"/>
              <w:tab w:val="right" w:pos="9026" w:leader="dot"/>
            </w:tabs>
            <w:rPr/>
          </w:pPr>
          <w:hyperlink w:anchor="__RefHeading___Toc3586437_3650668749">
            <w:r>
              <w:rPr>
                <w:webHidden/>
                <w:rStyle w:val="IndexLink"/>
                <w:rtl w:val="true"/>
              </w:rPr>
              <w:t xml:space="preserve">دوازدهم </w:t>
            </w:r>
            <w:r>
              <w:rPr>
                <w:rStyle w:val="IndexLink"/>
                <w:rtl w:val="true"/>
              </w:rPr>
              <w:t xml:space="preserve">- </w:t>
            </w:r>
            <w:r>
              <w:rPr>
                <w:rStyle w:val="IndexLink"/>
                <w:rtl w:val="true"/>
              </w:rPr>
              <w:t>شِواء</w:t>
            </w:r>
            <w:r>
              <w:rPr>
                <w:rStyle w:val="IndexLink"/>
                <w:rtl w:val="true"/>
              </w:rPr>
              <w:tab/>
            </w:r>
            <w:r>
              <w:rPr>
                <w:rStyle w:val="IndexLink"/>
              </w:rPr>
              <w:t>495</w:t>
            </w:r>
          </w:hyperlink>
        </w:p>
        <w:p>
          <w:pPr>
            <w:pStyle w:val="Contents6"/>
            <w:tabs>
              <w:tab w:val="clear" w:pos="7609"/>
              <w:tab w:val="right" w:pos="9026" w:leader="dot"/>
            </w:tabs>
            <w:rPr/>
          </w:pPr>
          <w:hyperlink w:anchor="__RefHeading___Toc3586439_3650668749">
            <w:r>
              <w:rPr>
                <w:webHidden/>
                <w:rStyle w:val="IndexLink"/>
                <w:rtl w:val="true"/>
              </w:rPr>
              <w:t xml:space="preserve">سيزدهم </w:t>
            </w:r>
            <w:r>
              <w:rPr>
                <w:rStyle w:val="IndexLink"/>
                <w:rtl w:val="true"/>
              </w:rPr>
              <w:t xml:space="preserve">- </w:t>
            </w:r>
            <w:r>
              <w:rPr>
                <w:rStyle w:val="IndexLink"/>
                <w:rtl w:val="true"/>
              </w:rPr>
              <w:t>شُورباجَه</w:t>
            </w:r>
            <w:r>
              <w:rPr>
                <w:rStyle w:val="IndexLink"/>
                <w:rtl w:val="true"/>
              </w:rPr>
              <w:tab/>
            </w:r>
            <w:r>
              <w:rPr>
                <w:rStyle w:val="IndexLink"/>
              </w:rPr>
              <w:t>495</w:t>
            </w:r>
          </w:hyperlink>
        </w:p>
        <w:p>
          <w:pPr>
            <w:pStyle w:val="Contents6"/>
            <w:tabs>
              <w:tab w:val="clear" w:pos="7609"/>
              <w:tab w:val="right" w:pos="9026" w:leader="dot"/>
            </w:tabs>
            <w:rPr/>
          </w:pPr>
          <w:hyperlink w:anchor="__RefHeading___Toc3586441_3650668749">
            <w:r>
              <w:rPr>
                <w:webHidden/>
                <w:rStyle w:val="IndexLink"/>
                <w:rtl w:val="true"/>
              </w:rPr>
              <w:t xml:space="preserve">چهاردهم </w:t>
            </w:r>
            <w:r>
              <w:rPr>
                <w:rStyle w:val="IndexLink"/>
                <w:rtl w:val="true"/>
              </w:rPr>
              <w:t xml:space="preserve">- </w:t>
            </w:r>
            <w:r>
              <w:rPr>
                <w:rStyle w:val="IndexLink"/>
                <w:rtl w:val="true"/>
              </w:rPr>
              <w:t xml:space="preserve">صَحْناء </w:t>
            </w:r>
            <w:r>
              <w:rPr>
                <w:rStyle w:val="IndexLink"/>
                <w:rtl w:val="true"/>
              </w:rPr>
              <w:t>(</w:t>
            </w:r>
            <w:r>
              <w:rPr>
                <w:rStyle w:val="IndexLink"/>
                <w:rtl w:val="true"/>
              </w:rPr>
              <w:t>صحناه</w:t>
            </w:r>
            <w:r>
              <w:rPr>
                <w:rStyle w:val="IndexLink"/>
                <w:rtl w:val="true"/>
              </w:rPr>
              <w:t>)</w:t>
              <w:tab/>
            </w:r>
            <w:r>
              <w:rPr>
                <w:rStyle w:val="IndexLink"/>
              </w:rPr>
              <w:t>495</w:t>
            </w:r>
          </w:hyperlink>
        </w:p>
        <w:p>
          <w:pPr>
            <w:pStyle w:val="Contents6"/>
            <w:tabs>
              <w:tab w:val="clear" w:pos="7609"/>
              <w:tab w:val="right" w:pos="9026" w:leader="dot"/>
            </w:tabs>
            <w:rPr/>
          </w:pPr>
          <w:hyperlink w:anchor="__RefHeading___Toc3586443_3650668749">
            <w:r>
              <w:rPr>
                <w:webHidden/>
                <w:rStyle w:val="IndexLink"/>
                <w:rtl w:val="true"/>
              </w:rPr>
              <w:t xml:space="preserve">پانزدهم </w:t>
            </w:r>
            <w:r>
              <w:rPr>
                <w:rStyle w:val="IndexLink"/>
                <w:rtl w:val="true"/>
              </w:rPr>
              <w:t xml:space="preserve">- </w:t>
            </w:r>
            <w:r>
              <w:rPr>
                <w:rStyle w:val="IndexLink"/>
                <w:rtl w:val="true"/>
              </w:rPr>
              <w:t>طَفَيْشزل</w:t>
            </w:r>
            <w:r>
              <w:rPr>
                <w:rStyle w:val="IndexLink"/>
                <w:rtl w:val="true"/>
              </w:rPr>
              <w:tab/>
            </w:r>
            <w:r>
              <w:rPr>
                <w:rStyle w:val="IndexLink"/>
              </w:rPr>
              <w:t>495</w:t>
            </w:r>
          </w:hyperlink>
        </w:p>
        <w:p>
          <w:pPr>
            <w:pStyle w:val="Contents6"/>
            <w:tabs>
              <w:tab w:val="clear" w:pos="7609"/>
              <w:tab w:val="right" w:pos="9026" w:leader="dot"/>
            </w:tabs>
            <w:rPr/>
          </w:pPr>
          <w:hyperlink w:anchor="__RefHeading___Toc3586445_3650668749">
            <w:r>
              <w:rPr>
                <w:webHidden/>
                <w:rStyle w:val="IndexLink"/>
                <w:rtl w:val="true"/>
              </w:rPr>
              <w:t xml:space="preserve">شانزدهم </w:t>
            </w:r>
            <w:r>
              <w:rPr>
                <w:rStyle w:val="IndexLink"/>
                <w:rtl w:val="true"/>
              </w:rPr>
              <w:t xml:space="preserve">- </w:t>
            </w:r>
            <w:r>
              <w:rPr>
                <w:rStyle w:val="IndexLink"/>
                <w:rtl w:val="true"/>
              </w:rPr>
              <w:t>عَصيده</w:t>
            </w:r>
            <w:r>
              <w:rPr>
                <w:rStyle w:val="IndexLink"/>
                <w:rtl w:val="true"/>
              </w:rPr>
              <w:tab/>
            </w:r>
            <w:r>
              <w:rPr>
                <w:rStyle w:val="IndexLink"/>
              </w:rPr>
              <w:t>496</w:t>
            </w:r>
          </w:hyperlink>
        </w:p>
        <w:p>
          <w:pPr>
            <w:pStyle w:val="Contents6"/>
            <w:tabs>
              <w:tab w:val="clear" w:pos="7609"/>
              <w:tab w:val="right" w:pos="9026" w:leader="dot"/>
            </w:tabs>
            <w:rPr/>
          </w:pPr>
          <w:hyperlink w:anchor="__RefHeading___Toc3586447_3650668749">
            <w:r>
              <w:rPr>
                <w:webHidden/>
                <w:rStyle w:val="IndexLink"/>
                <w:rtl w:val="true"/>
              </w:rPr>
              <w:t xml:space="preserve">هفدهم </w:t>
            </w:r>
            <w:r>
              <w:rPr>
                <w:rStyle w:val="IndexLink"/>
                <w:rtl w:val="true"/>
              </w:rPr>
              <w:t xml:space="preserve">- </w:t>
            </w:r>
            <w:r>
              <w:rPr>
                <w:rStyle w:val="IndexLink"/>
                <w:rtl w:val="true"/>
              </w:rPr>
              <w:t>فَريقَه</w:t>
            </w:r>
            <w:r>
              <w:rPr>
                <w:rStyle w:val="IndexLink"/>
                <w:rtl w:val="true"/>
              </w:rPr>
              <w:tab/>
            </w:r>
            <w:r>
              <w:rPr>
                <w:rStyle w:val="IndexLink"/>
              </w:rPr>
              <w:t>496</w:t>
            </w:r>
          </w:hyperlink>
        </w:p>
        <w:p>
          <w:pPr>
            <w:pStyle w:val="Contents6"/>
            <w:tabs>
              <w:tab w:val="clear" w:pos="7609"/>
              <w:tab w:val="right" w:pos="9026" w:leader="dot"/>
            </w:tabs>
            <w:rPr/>
          </w:pPr>
          <w:hyperlink w:anchor="__RefHeading___Toc3586449_3650668749">
            <w:r>
              <w:rPr>
                <w:webHidden/>
                <w:rStyle w:val="IndexLink"/>
                <w:rtl w:val="true"/>
              </w:rPr>
              <w:t xml:space="preserve">هجدهم </w:t>
            </w:r>
            <w:r>
              <w:rPr>
                <w:rStyle w:val="IndexLink"/>
                <w:rtl w:val="true"/>
              </w:rPr>
              <w:t xml:space="preserve">- </w:t>
            </w:r>
            <w:r>
              <w:rPr>
                <w:rStyle w:val="IndexLink"/>
                <w:rtl w:val="true"/>
              </w:rPr>
              <w:t>قَديد</w:t>
            </w:r>
            <w:r>
              <w:rPr>
                <w:rStyle w:val="IndexLink"/>
                <w:rtl w:val="true"/>
              </w:rPr>
              <w:tab/>
            </w:r>
            <w:r>
              <w:rPr>
                <w:rStyle w:val="IndexLink"/>
              </w:rPr>
              <w:t>496</w:t>
            </w:r>
          </w:hyperlink>
        </w:p>
        <w:p>
          <w:pPr>
            <w:pStyle w:val="Contents6"/>
            <w:tabs>
              <w:tab w:val="clear" w:pos="7609"/>
              <w:tab w:val="right" w:pos="9026" w:leader="dot"/>
            </w:tabs>
            <w:rPr/>
          </w:pPr>
          <w:hyperlink w:anchor="__RefHeading___Toc3586451_3650668749">
            <w:r>
              <w:rPr>
                <w:webHidden/>
                <w:rStyle w:val="IndexLink"/>
                <w:rtl w:val="true"/>
              </w:rPr>
              <w:t xml:space="preserve">نوزدهم </w:t>
            </w:r>
            <w:r>
              <w:rPr>
                <w:rStyle w:val="IndexLink"/>
                <w:rtl w:val="true"/>
              </w:rPr>
              <w:t xml:space="preserve">- </w:t>
            </w:r>
            <w:r>
              <w:rPr>
                <w:rStyle w:val="IndexLink"/>
                <w:rtl w:val="true"/>
              </w:rPr>
              <w:t>مَرَق</w:t>
            </w:r>
            <w:r>
              <w:rPr>
                <w:rStyle w:val="IndexLink"/>
                <w:rtl w:val="true"/>
              </w:rPr>
              <w:tab/>
            </w:r>
            <w:r>
              <w:rPr>
                <w:rStyle w:val="IndexLink"/>
              </w:rPr>
              <w:t>497</w:t>
            </w:r>
          </w:hyperlink>
        </w:p>
        <w:p>
          <w:pPr>
            <w:pStyle w:val="Contents6"/>
            <w:tabs>
              <w:tab w:val="clear" w:pos="7609"/>
              <w:tab w:val="right" w:pos="9026" w:leader="dot"/>
            </w:tabs>
            <w:rPr/>
          </w:pPr>
          <w:hyperlink w:anchor="__RefHeading___Toc3586453_3650668749">
            <w:r>
              <w:rPr>
                <w:webHidden/>
                <w:rStyle w:val="IndexLink"/>
                <w:rtl w:val="true"/>
              </w:rPr>
              <w:t xml:space="preserve">بيستم </w:t>
            </w:r>
            <w:r>
              <w:rPr>
                <w:rStyle w:val="IndexLink"/>
                <w:rtl w:val="true"/>
              </w:rPr>
              <w:t xml:space="preserve">- </w:t>
            </w:r>
            <w:r>
              <w:rPr>
                <w:rStyle w:val="IndexLink"/>
                <w:rtl w:val="true"/>
              </w:rPr>
              <w:t>نارباجه</w:t>
            </w:r>
            <w:r>
              <w:rPr>
                <w:rStyle w:val="IndexLink"/>
                <w:rtl w:val="true"/>
              </w:rPr>
              <w:tab/>
            </w:r>
            <w:r>
              <w:rPr>
                <w:rStyle w:val="IndexLink"/>
              </w:rPr>
              <w:t>497</w:t>
            </w:r>
          </w:hyperlink>
        </w:p>
        <w:p>
          <w:pPr>
            <w:pStyle w:val="Contents6"/>
            <w:tabs>
              <w:tab w:val="clear" w:pos="7609"/>
              <w:tab w:val="right" w:pos="9026" w:leader="dot"/>
            </w:tabs>
            <w:rPr/>
          </w:pPr>
          <w:hyperlink w:anchor="__RefHeading___Toc3586455_3650668749">
            <w:r>
              <w:rPr>
                <w:webHidden/>
                <w:rStyle w:val="IndexLink"/>
                <w:rtl w:val="true"/>
              </w:rPr>
              <w:t xml:space="preserve">بيست و يكم </w:t>
            </w:r>
            <w:r>
              <w:rPr>
                <w:rStyle w:val="IndexLink"/>
                <w:rtl w:val="true"/>
              </w:rPr>
              <w:t xml:space="preserve">- </w:t>
            </w:r>
            <w:r>
              <w:rPr>
                <w:rStyle w:val="IndexLink"/>
                <w:rtl w:val="true"/>
              </w:rPr>
              <w:t>وَشيقَه</w:t>
            </w:r>
            <w:r>
              <w:rPr>
                <w:rStyle w:val="IndexLink"/>
                <w:rtl w:val="true"/>
              </w:rPr>
              <w:tab/>
            </w:r>
            <w:r>
              <w:rPr>
                <w:rStyle w:val="IndexLink"/>
              </w:rPr>
              <w:t>497</w:t>
            </w:r>
          </w:hyperlink>
        </w:p>
        <w:p>
          <w:pPr>
            <w:pStyle w:val="Contents6"/>
            <w:tabs>
              <w:tab w:val="clear" w:pos="7609"/>
              <w:tab w:val="right" w:pos="9026" w:leader="dot"/>
            </w:tabs>
            <w:rPr/>
          </w:pPr>
          <w:hyperlink w:anchor="__RefHeading___Toc3586457_3650668749">
            <w:r>
              <w:rPr>
                <w:webHidden/>
                <w:rStyle w:val="IndexLink"/>
                <w:rtl w:val="true"/>
              </w:rPr>
              <w:t xml:space="preserve">بيست و دوم </w:t>
            </w:r>
            <w:r>
              <w:rPr>
                <w:rStyle w:val="IndexLink"/>
                <w:rtl w:val="true"/>
              </w:rPr>
              <w:t xml:space="preserve">- </w:t>
            </w:r>
            <w:r>
              <w:rPr>
                <w:rStyle w:val="IndexLink"/>
                <w:rtl w:val="true"/>
              </w:rPr>
              <w:t>هَريسَه</w:t>
            </w:r>
            <w:r>
              <w:rPr>
                <w:rStyle w:val="IndexLink"/>
                <w:rtl w:val="true"/>
              </w:rPr>
              <w:tab/>
            </w:r>
            <w:r>
              <w:rPr>
                <w:rStyle w:val="IndexLink"/>
              </w:rPr>
              <w:t>497</w:t>
            </w:r>
          </w:hyperlink>
        </w:p>
        <w:p>
          <w:pPr>
            <w:pStyle w:val="Contents4"/>
            <w:tabs>
              <w:tab w:val="clear" w:pos="8176"/>
              <w:tab w:val="right" w:pos="9026" w:leader="dot"/>
            </w:tabs>
            <w:rPr/>
          </w:pPr>
          <w:hyperlink w:anchor="__RefHeading___Toc3586459_3650668749">
            <w:r>
              <w:rPr>
                <w:webHidden/>
                <w:rStyle w:val="IndexLink"/>
                <w:rtl w:val="true"/>
              </w:rPr>
              <w:t>د</w:t>
            </w:r>
            <w:r>
              <w:rPr>
                <w:rStyle w:val="IndexLink"/>
                <w:rtl w:val="true"/>
              </w:rPr>
              <w:t xml:space="preserve">) </w:t>
            </w:r>
            <w:r>
              <w:rPr>
                <w:rStyle w:val="IndexLink"/>
                <w:rtl w:val="true"/>
              </w:rPr>
              <w:t xml:space="preserve">پيش غذا </w:t>
            </w:r>
            <w:r>
              <w:rPr>
                <w:rStyle w:val="IndexLink"/>
                <w:rtl w:val="true"/>
              </w:rPr>
              <w:t>(</w:t>
            </w:r>
            <w:r>
              <w:rPr>
                <w:rStyle w:val="IndexLink"/>
                <w:rtl w:val="true"/>
              </w:rPr>
              <w:t>دسر</w:t>
            </w:r>
            <w:r>
              <w:rPr>
                <w:rStyle w:val="IndexLink"/>
                <w:rtl w:val="true"/>
              </w:rPr>
              <w:t>)</w:t>
              <w:tab/>
            </w:r>
            <w:r>
              <w:rPr>
                <w:rStyle w:val="IndexLink"/>
              </w:rPr>
              <w:t>498</w:t>
            </w:r>
          </w:hyperlink>
        </w:p>
        <w:p>
          <w:pPr>
            <w:pStyle w:val="Contents4"/>
            <w:tabs>
              <w:tab w:val="clear" w:pos="8176"/>
              <w:tab w:val="right" w:pos="9026" w:leader="dot"/>
            </w:tabs>
            <w:rPr/>
          </w:pPr>
          <w:hyperlink w:anchor="__RefHeading___Toc3586461_3650668749">
            <w:r>
              <w:rPr>
                <w:webHidden/>
                <w:rStyle w:val="IndexLink"/>
                <w:rtl w:val="true"/>
              </w:rPr>
              <w:t>ه</w:t>
            </w:r>
            <w:r>
              <w:rPr>
                <w:rStyle w:val="IndexLink"/>
                <w:rtl w:val="true"/>
              </w:rPr>
              <w:t xml:space="preserve">) </w:t>
            </w:r>
            <w:r>
              <w:rPr>
                <w:rStyle w:val="IndexLink"/>
                <w:rtl w:val="true"/>
              </w:rPr>
              <w:t>سبزيجات همراه غذا</w:t>
            </w:r>
            <w:r>
              <w:rPr>
                <w:rStyle w:val="IndexLink"/>
                <w:rtl w:val="true"/>
              </w:rPr>
              <w:tab/>
            </w:r>
            <w:r>
              <w:rPr>
                <w:rStyle w:val="IndexLink"/>
              </w:rPr>
              <w:t>498</w:t>
            </w:r>
          </w:hyperlink>
        </w:p>
        <w:p>
          <w:pPr>
            <w:pStyle w:val="Contents4"/>
            <w:tabs>
              <w:tab w:val="clear" w:pos="8176"/>
              <w:tab w:val="right" w:pos="9026" w:leader="dot"/>
            </w:tabs>
            <w:rPr/>
          </w:pPr>
          <w:hyperlink w:anchor="__RefHeading___Toc3586463_3650668749">
            <w:r>
              <w:rPr>
                <w:webHidden/>
                <w:rStyle w:val="IndexLink"/>
                <w:rtl w:val="true"/>
              </w:rPr>
              <w:t>و</w:t>
            </w:r>
            <w:r>
              <w:rPr>
                <w:rStyle w:val="IndexLink"/>
                <w:rtl w:val="true"/>
              </w:rPr>
              <w:t xml:space="preserve">) </w:t>
            </w:r>
            <w:r>
              <w:rPr>
                <w:rStyle w:val="IndexLink"/>
                <w:rtl w:val="true"/>
              </w:rPr>
              <w:t>سفره غذا</w:t>
            </w:r>
            <w:r>
              <w:rPr>
                <w:rStyle w:val="IndexLink"/>
                <w:rtl w:val="true"/>
              </w:rPr>
              <w:tab/>
            </w:r>
            <w:r>
              <w:rPr>
                <w:rStyle w:val="IndexLink"/>
              </w:rPr>
              <w:t>498</w:t>
            </w:r>
          </w:hyperlink>
        </w:p>
        <w:p>
          <w:pPr>
            <w:pStyle w:val="Contents5"/>
            <w:tabs>
              <w:tab w:val="clear" w:pos="7892"/>
              <w:tab w:val="right" w:pos="9026" w:leader="dot"/>
            </w:tabs>
            <w:rPr/>
          </w:pPr>
          <w:hyperlink w:anchor="__RefHeading___Toc3586465_3650668749">
            <w:r>
              <w:rPr>
                <w:webHidden/>
                <w:rStyle w:val="IndexLink"/>
                <w:rtl w:val="true"/>
              </w:rPr>
              <w:t>اشاره</w:t>
            </w:r>
            <w:r>
              <w:rPr>
                <w:rStyle w:val="IndexLink"/>
                <w:rtl w:val="true"/>
              </w:rPr>
              <w:tab/>
            </w:r>
            <w:r>
              <w:rPr>
                <w:rStyle w:val="IndexLink"/>
              </w:rPr>
              <w:t>498</w:t>
            </w:r>
          </w:hyperlink>
        </w:p>
        <w:p>
          <w:pPr>
            <w:pStyle w:val="Contents5"/>
            <w:tabs>
              <w:tab w:val="clear" w:pos="7892"/>
              <w:tab w:val="right" w:pos="9026" w:leader="dot"/>
            </w:tabs>
            <w:rPr/>
          </w:pPr>
          <w:hyperlink w:anchor="__RefHeading___Toc3586467_3650668749">
            <w:r>
              <w:rPr>
                <w:webHidden/>
                <w:rStyle w:val="IndexLink"/>
                <w:rtl w:val="true"/>
              </w:rPr>
              <w:t xml:space="preserve">يك </w:t>
            </w:r>
            <w:r>
              <w:rPr>
                <w:rStyle w:val="IndexLink"/>
                <w:rtl w:val="true"/>
              </w:rPr>
              <w:t xml:space="preserve">- </w:t>
            </w:r>
            <w:r>
              <w:rPr>
                <w:rStyle w:val="IndexLink"/>
                <w:rtl w:val="true"/>
              </w:rPr>
              <w:t>سُفْره</w:t>
            </w:r>
            <w:r>
              <w:rPr>
                <w:rStyle w:val="IndexLink"/>
                <w:rtl w:val="true"/>
              </w:rPr>
              <w:tab/>
            </w:r>
            <w:r>
              <w:rPr>
                <w:rStyle w:val="IndexLink"/>
              </w:rPr>
              <w:t>498</w:t>
            </w:r>
          </w:hyperlink>
        </w:p>
        <w:p>
          <w:pPr>
            <w:pStyle w:val="Contents5"/>
            <w:tabs>
              <w:tab w:val="clear" w:pos="7892"/>
              <w:tab w:val="right" w:pos="9026" w:leader="dot"/>
            </w:tabs>
            <w:rPr/>
          </w:pPr>
          <w:hyperlink w:anchor="__RefHeading___Toc3586469_3650668749">
            <w:r>
              <w:rPr>
                <w:webHidden/>
                <w:rStyle w:val="IndexLink"/>
                <w:rtl w:val="true"/>
              </w:rPr>
              <w:t>دو</w:t>
            </w:r>
            <w:r>
              <w:rPr>
                <w:rStyle w:val="IndexLink"/>
                <w:rtl w:val="true"/>
              </w:rPr>
              <w:t xml:space="preserve">- </w:t>
            </w:r>
            <w:r>
              <w:rPr>
                <w:rStyle w:val="IndexLink"/>
                <w:rtl w:val="true"/>
              </w:rPr>
              <w:t xml:space="preserve">خُوان </w:t>
            </w:r>
            <w:r>
              <w:rPr>
                <w:rStyle w:val="IndexLink"/>
                <w:rtl w:val="true"/>
              </w:rPr>
              <w:t>(</w:t>
            </w:r>
            <w:r>
              <w:rPr>
                <w:rStyle w:val="IndexLink"/>
                <w:rtl w:val="true"/>
              </w:rPr>
              <w:t>خِوان</w:t>
            </w:r>
            <w:r>
              <w:rPr>
                <w:rStyle w:val="IndexLink"/>
                <w:rtl w:val="true"/>
              </w:rPr>
              <w:t>)</w:t>
              <w:tab/>
            </w:r>
            <w:r>
              <w:rPr>
                <w:rStyle w:val="IndexLink"/>
              </w:rPr>
              <w:t>499</w:t>
            </w:r>
          </w:hyperlink>
        </w:p>
        <w:p>
          <w:pPr>
            <w:pStyle w:val="Contents5"/>
            <w:tabs>
              <w:tab w:val="clear" w:pos="7892"/>
              <w:tab w:val="right" w:pos="9026" w:leader="dot"/>
            </w:tabs>
            <w:rPr/>
          </w:pPr>
          <w:hyperlink w:anchor="__RefHeading___Toc3586471_3650668749">
            <w:r>
              <w:rPr>
                <w:webHidden/>
                <w:rStyle w:val="IndexLink"/>
                <w:rtl w:val="true"/>
              </w:rPr>
              <w:t xml:space="preserve">سه </w:t>
            </w:r>
            <w:r>
              <w:rPr>
                <w:rStyle w:val="IndexLink"/>
                <w:rtl w:val="true"/>
              </w:rPr>
              <w:t xml:space="preserve">- </w:t>
            </w:r>
            <w:r>
              <w:rPr>
                <w:rStyle w:val="IndexLink"/>
                <w:rtl w:val="true"/>
              </w:rPr>
              <w:t>طَبَق</w:t>
            </w:r>
            <w:r>
              <w:rPr>
                <w:rStyle w:val="IndexLink"/>
                <w:rtl w:val="true"/>
              </w:rPr>
              <w:tab/>
            </w:r>
            <w:r>
              <w:rPr>
                <w:rStyle w:val="IndexLink"/>
              </w:rPr>
              <w:t>499</w:t>
            </w:r>
          </w:hyperlink>
        </w:p>
        <w:p>
          <w:pPr>
            <w:pStyle w:val="Contents5"/>
            <w:tabs>
              <w:tab w:val="clear" w:pos="7892"/>
              <w:tab w:val="right" w:pos="9026" w:leader="dot"/>
            </w:tabs>
            <w:rPr/>
          </w:pPr>
          <w:hyperlink w:anchor="__RefHeading___Toc3586473_3650668749">
            <w:r>
              <w:rPr>
                <w:webHidden/>
                <w:rStyle w:val="IndexLink"/>
                <w:rtl w:val="true"/>
              </w:rPr>
              <w:t xml:space="preserve">چهار </w:t>
            </w:r>
            <w:r>
              <w:rPr>
                <w:rStyle w:val="IndexLink"/>
                <w:rtl w:val="true"/>
              </w:rPr>
              <w:t xml:space="preserve">- </w:t>
            </w:r>
            <w:r>
              <w:rPr>
                <w:rStyle w:val="IndexLink"/>
                <w:rtl w:val="true"/>
              </w:rPr>
              <w:t>مائده</w:t>
            </w:r>
            <w:r>
              <w:rPr>
                <w:rStyle w:val="IndexLink"/>
                <w:rtl w:val="true"/>
              </w:rPr>
              <w:tab/>
            </w:r>
            <w:r>
              <w:rPr>
                <w:rStyle w:val="IndexLink"/>
              </w:rPr>
              <w:t>499</w:t>
            </w:r>
          </w:hyperlink>
        </w:p>
        <w:p>
          <w:pPr>
            <w:pStyle w:val="Contents5"/>
            <w:tabs>
              <w:tab w:val="clear" w:pos="7892"/>
              <w:tab w:val="right" w:pos="9026" w:leader="dot"/>
            </w:tabs>
            <w:rPr/>
          </w:pPr>
          <w:hyperlink w:anchor="__RefHeading___Toc3586475_3650668749">
            <w:r>
              <w:rPr>
                <w:webHidden/>
                <w:rStyle w:val="IndexLink"/>
                <w:rtl w:val="true"/>
              </w:rPr>
              <w:t xml:space="preserve">پنج </w:t>
            </w:r>
            <w:r>
              <w:rPr>
                <w:rStyle w:val="IndexLink"/>
                <w:rtl w:val="true"/>
              </w:rPr>
              <w:t xml:space="preserve">- </w:t>
            </w:r>
            <w:r>
              <w:rPr>
                <w:rStyle w:val="IndexLink"/>
                <w:rtl w:val="true"/>
              </w:rPr>
              <w:t xml:space="preserve">نَطْع </w:t>
            </w:r>
            <w:r>
              <w:rPr>
                <w:rStyle w:val="IndexLink"/>
                <w:rtl w:val="true"/>
              </w:rPr>
              <w:t>(</w:t>
            </w:r>
            <w:r>
              <w:rPr>
                <w:rStyle w:val="IndexLink"/>
                <w:rtl w:val="true"/>
              </w:rPr>
              <w:t>نَطَعْ، نِطْع، نِطَع</w:t>
            </w:r>
            <w:r>
              <w:rPr>
                <w:rStyle w:val="IndexLink"/>
                <w:rtl w:val="true"/>
              </w:rPr>
              <w:t>)</w:t>
              <w:tab/>
            </w:r>
            <w:r>
              <w:rPr>
                <w:rStyle w:val="IndexLink"/>
              </w:rPr>
              <w:t>499</w:t>
            </w:r>
          </w:hyperlink>
        </w:p>
        <w:p>
          <w:pPr>
            <w:pStyle w:val="Contents3"/>
            <w:tabs>
              <w:tab w:val="clear" w:pos="8459"/>
              <w:tab w:val="right" w:pos="9026" w:leader="dot"/>
            </w:tabs>
            <w:rPr/>
          </w:pPr>
          <w:hyperlink w:anchor="__RefHeading___Toc3586477_3650668749">
            <w:r>
              <w:rPr>
                <w:webHidden/>
                <w:rStyle w:val="IndexLink"/>
              </w:rPr>
              <w:t>٢</w:t>
            </w:r>
            <w:r>
              <w:rPr>
                <w:rStyle w:val="IndexLink"/>
                <w:rtl w:val="true"/>
              </w:rPr>
              <w:t xml:space="preserve">. </w:t>
            </w:r>
            <w:r>
              <w:rPr>
                <w:rStyle w:val="IndexLink"/>
                <w:rtl w:val="true"/>
              </w:rPr>
              <w:t>نوشيدنى‌ها</w:t>
            </w:r>
            <w:r>
              <w:rPr>
                <w:rStyle w:val="IndexLink"/>
                <w:rtl w:val="true"/>
              </w:rPr>
              <w:tab/>
            </w:r>
            <w:r>
              <w:rPr>
                <w:rStyle w:val="IndexLink"/>
              </w:rPr>
              <w:t>500</w:t>
            </w:r>
          </w:hyperlink>
        </w:p>
        <w:p>
          <w:pPr>
            <w:pStyle w:val="Contents4"/>
            <w:tabs>
              <w:tab w:val="clear" w:pos="8176"/>
              <w:tab w:val="right" w:pos="9026" w:leader="dot"/>
            </w:tabs>
            <w:rPr/>
          </w:pPr>
          <w:hyperlink w:anchor="__RefHeading___Toc3586479_3650668749">
            <w:r>
              <w:rPr>
                <w:webHidden/>
                <w:rStyle w:val="IndexLink"/>
                <w:rtl w:val="true"/>
              </w:rPr>
              <w:t>اشاره</w:t>
            </w:r>
            <w:r>
              <w:rPr>
                <w:rStyle w:val="IndexLink"/>
                <w:rtl w:val="true"/>
              </w:rPr>
              <w:tab/>
            </w:r>
            <w:r>
              <w:rPr>
                <w:rStyle w:val="IndexLink"/>
              </w:rPr>
              <w:t>500</w:t>
            </w:r>
          </w:hyperlink>
        </w:p>
        <w:p>
          <w:pPr>
            <w:pStyle w:val="Contents4"/>
            <w:tabs>
              <w:tab w:val="clear" w:pos="8176"/>
              <w:tab w:val="right" w:pos="9026" w:leader="dot"/>
            </w:tabs>
            <w:rPr/>
          </w:pPr>
          <w:hyperlink w:anchor="__RefHeading___Toc3586481_3650668749">
            <w:r>
              <w:rPr>
                <w:webHidden/>
                <w:rStyle w:val="IndexLink"/>
                <w:rtl w:val="true"/>
              </w:rPr>
              <w:t>الف</w:t>
            </w:r>
            <w:r>
              <w:rPr>
                <w:rStyle w:val="IndexLink"/>
                <w:rtl w:val="true"/>
              </w:rPr>
              <w:t xml:space="preserve">) </w:t>
            </w:r>
            <w:r>
              <w:rPr>
                <w:rStyle w:val="IndexLink"/>
                <w:rtl w:val="true"/>
              </w:rPr>
              <w:t>نوشيدنى‌هاى حلال</w:t>
            </w:r>
            <w:r>
              <w:rPr>
                <w:rStyle w:val="IndexLink"/>
                <w:rtl w:val="true"/>
              </w:rPr>
              <w:tab/>
            </w:r>
            <w:r>
              <w:rPr>
                <w:rStyle w:val="IndexLink"/>
              </w:rPr>
              <w:t>500</w:t>
            </w:r>
          </w:hyperlink>
        </w:p>
        <w:p>
          <w:pPr>
            <w:pStyle w:val="Contents5"/>
            <w:tabs>
              <w:tab w:val="clear" w:pos="7892"/>
              <w:tab w:val="right" w:pos="9026" w:leader="dot"/>
            </w:tabs>
            <w:rPr/>
          </w:pPr>
          <w:hyperlink w:anchor="__RefHeading___Toc3586483_3650668749">
            <w:r>
              <w:rPr>
                <w:webHidden/>
                <w:rStyle w:val="IndexLink"/>
                <w:rtl w:val="true"/>
              </w:rPr>
              <w:t>اشاره</w:t>
            </w:r>
            <w:r>
              <w:rPr>
                <w:rStyle w:val="IndexLink"/>
                <w:rtl w:val="true"/>
              </w:rPr>
              <w:tab/>
            </w:r>
            <w:r>
              <w:rPr>
                <w:rStyle w:val="IndexLink"/>
              </w:rPr>
              <w:t>500</w:t>
            </w:r>
          </w:hyperlink>
        </w:p>
        <w:p>
          <w:pPr>
            <w:pStyle w:val="Contents5"/>
            <w:tabs>
              <w:tab w:val="clear" w:pos="7892"/>
              <w:tab w:val="right" w:pos="9026" w:leader="dot"/>
            </w:tabs>
            <w:rPr/>
          </w:pPr>
          <w:hyperlink w:anchor="__RefHeading___Toc3586485_3650668749">
            <w:r>
              <w:rPr>
                <w:webHidden/>
                <w:rStyle w:val="IndexLink"/>
                <w:rtl w:val="true"/>
              </w:rPr>
              <w:t xml:space="preserve">يك </w:t>
            </w:r>
            <w:r>
              <w:rPr>
                <w:rStyle w:val="IndexLink"/>
                <w:rtl w:val="true"/>
              </w:rPr>
              <w:t xml:space="preserve">- </w:t>
            </w:r>
            <w:r>
              <w:rPr>
                <w:rStyle w:val="IndexLink"/>
                <w:rtl w:val="true"/>
              </w:rPr>
              <w:t>شير</w:t>
            </w:r>
            <w:r>
              <w:rPr>
                <w:rStyle w:val="IndexLink"/>
                <w:rtl w:val="true"/>
              </w:rPr>
              <w:tab/>
            </w:r>
            <w:r>
              <w:rPr>
                <w:rStyle w:val="IndexLink"/>
              </w:rPr>
              <w:t>500</w:t>
            </w:r>
          </w:hyperlink>
        </w:p>
        <w:p>
          <w:pPr>
            <w:pStyle w:val="Contents5"/>
            <w:tabs>
              <w:tab w:val="clear" w:pos="7892"/>
              <w:tab w:val="right" w:pos="9026" w:leader="dot"/>
            </w:tabs>
            <w:rPr/>
          </w:pPr>
          <w:hyperlink w:anchor="__RefHeading___Toc3586487_3650668749">
            <w:r>
              <w:rPr>
                <w:webHidden/>
                <w:rStyle w:val="IndexLink"/>
                <w:rtl w:val="true"/>
              </w:rPr>
              <w:t xml:space="preserve">دو </w:t>
            </w:r>
            <w:r>
              <w:rPr>
                <w:rStyle w:val="IndexLink"/>
                <w:rtl w:val="true"/>
              </w:rPr>
              <w:t xml:space="preserve">- </w:t>
            </w:r>
            <w:r>
              <w:rPr>
                <w:rStyle w:val="IndexLink"/>
                <w:rtl w:val="true"/>
              </w:rPr>
              <w:t>عسل</w:t>
            </w:r>
            <w:r>
              <w:rPr>
                <w:rStyle w:val="IndexLink"/>
                <w:rtl w:val="true"/>
              </w:rPr>
              <w:tab/>
            </w:r>
            <w:r>
              <w:rPr>
                <w:rStyle w:val="IndexLink"/>
              </w:rPr>
              <w:t>500</w:t>
            </w:r>
          </w:hyperlink>
        </w:p>
        <w:p>
          <w:pPr>
            <w:pStyle w:val="Contents5"/>
            <w:tabs>
              <w:tab w:val="clear" w:pos="7892"/>
              <w:tab w:val="right" w:pos="9026" w:leader="dot"/>
            </w:tabs>
            <w:rPr/>
          </w:pPr>
          <w:hyperlink w:anchor="__RefHeading___Toc3586489_3650668749">
            <w:r>
              <w:rPr>
                <w:webHidden/>
                <w:rStyle w:val="IndexLink"/>
                <w:rtl w:val="true"/>
              </w:rPr>
              <w:t xml:space="preserve">سه </w:t>
            </w:r>
            <w:r>
              <w:rPr>
                <w:rStyle w:val="IndexLink"/>
                <w:rtl w:val="true"/>
              </w:rPr>
              <w:t xml:space="preserve">- </w:t>
            </w:r>
            <w:r>
              <w:rPr>
                <w:rStyle w:val="IndexLink"/>
                <w:rtl w:val="true"/>
              </w:rPr>
              <w:t>شيره</w:t>
            </w:r>
            <w:r>
              <w:rPr>
                <w:rStyle w:val="IndexLink"/>
                <w:rtl w:val="true"/>
              </w:rPr>
              <w:tab/>
            </w:r>
            <w:r>
              <w:rPr>
                <w:rStyle w:val="IndexLink"/>
              </w:rPr>
              <w:t>501</w:t>
            </w:r>
          </w:hyperlink>
        </w:p>
        <w:p>
          <w:pPr>
            <w:pStyle w:val="Contents5"/>
            <w:tabs>
              <w:tab w:val="clear" w:pos="7892"/>
              <w:tab w:val="right" w:pos="9026" w:leader="dot"/>
            </w:tabs>
            <w:rPr/>
          </w:pPr>
          <w:hyperlink w:anchor="__RefHeading___Toc3586491_3650668749">
            <w:r>
              <w:rPr>
                <w:webHidden/>
                <w:rStyle w:val="IndexLink"/>
                <w:rtl w:val="true"/>
              </w:rPr>
              <w:t xml:space="preserve">چهار </w:t>
            </w:r>
            <w:r>
              <w:rPr>
                <w:rStyle w:val="IndexLink"/>
                <w:rtl w:val="true"/>
              </w:rPr>
              <w:t xml:space="preserve">- </w:t>
            </w:r>
            <w:r>
              <w:rPr>
                <w:rStyle w:val="IndexLink"/>
                <w:rtl w:val="true"/>
              </w:rPr>
              <w:t>انواع عصير و فشرده</w:t>
            </w:r>
            <w:r>
              <w:rPr>
                <w:rStyle w:val="IndexLink"/>
                <w:rtl w:val="true"/>
              </w:rPr>
              <w:tab/>
            </w:r>
            <w:r>
              <w:rPr>
                <w:rStyle w:val="IndexLink"/>
              </w:rPr>
              <w:t>501</w:t>
            </w:r>
          </w:hyperlink>
        </w:p>
        <w:p>
          <w:pPr>
            <w:pStyle w:val="Contents4"/>
            <w:tabs>
              <w:tab w:val="clear" w:pos="8176"/>
              <w:tab w:val="right" w:pos="9026" w:leader="dot"/>
            </w:tabs>
            <w:rPr/>
          </w:pPr>
          <w:hyperlink w:anchor="__RefHeading___Toc3586493_3650668749">
            <w:r>
              <w:rPr>
                <w:webHidden/>
                <w:rStyle w:val="IndexLink"/>
                <w:rtl w:val="true"/>
              </w:rPr>
              <w:t>ب</w:t>
            </w:r>
            <w:r>
              <w:rPr>
                <w:rStyle w:val="IndexLink"/>
                <w:rtl w:val="true"/>
              </w:rPr>
              <w:t xml:space="preserve">) </w:t>
            </w:r>
            <w:r>
              <w:rPr>
                <w:rStyle w:val="IndexLink"/>
                <w:rtl w:val="true"/>
              </w:rPr>
              <w:t>نوشيدنى‌هاى حرام</w:t>
            </w:r>
            <w:r>
              <w:rPr>
                <w:rStyle w:val="IndexLink"/>
                <w:rtl w:val="true"/>
              </w:rPr>
              <w:tab/>
            </w:r>
            <w:r>
              <w:rPr>
                <w:rStyle w:val="IndexLink"/>
              </w:rPr>
              <w:t>501</w:t>
            </w:r>
          </w:hyperlink>
        </w:p>
        <w:p>
          <w:pPr>
            <w:pStyle w:val="Contents5"/>
            <w:tabs>
              <w:tab w:val="clear" w:pos="7892"/>
              <w:tab w:val="right" w:pos="9026" w:leader="dot"/>
            </w:tabs>
            <w:rPr/>
          </w:pPr>
          <w:hyperlink w:anchor="__RefHeading___Toc3586495_3650668749">
            <w:r>
              <w:rPr>
                <w:webHidden/>
                <w:rStyle w:val="IndexLink"/>
                <w:rtl w:val="true"/>
              </w:rPr>
              <w:t>اشاره</w:t>
            </w:r>
            <w:r>
              <w:rPr>
                <w:rStyle w:val="IndexLink"/>
                <w:rtl w:val="true"/>
              </w:rPr>
              <w:tab/>
            </w:r>
            <w:r>
              <w:rPr>
                <w:rStyle w:val="IndexLink"/>
              </w:rPr>
              <w:t>501</w:t>
            </w:r>
          </w:hyperlink>
        </w:p>
        <w:p>
          <w:pPr>
            <w:pStyle w:val="Contents5"/>
            <w:tabs>
              <w:tab w:val="clear" w:pos="7892"/>
              <w:tab w:val="right" w:pos="9026" w:leader="dot"/>
            </w:tabs>
            <w:rPr/>
          </w:pPr>
          <w:hyperlink w:anchor="__RefHeading___Toc3586497_3650668749">
            <w:r>
              <w:rPr>
                <w:webHidden/>
                <w:rStyle w:val="IndexLink"/>
                <w:rtl w:val="true"/>
              </w:rPr>
              <w:t xml:space="preserve">يك </w:t>
            </w:r>
            <w:r>
              <w:rPr>
                <w:rStyle w:val="IndexLink"/>
                <w:rtl w:val="true"/>
              </w:rPr>
              <w:t xml:space="preserve">- </w:t>
            </w:r>
            <w:r>
              <w:rPr>
                <w:rStyle w:val="IndexLink"/>
                <w:rtl w:val="true"/>
              </w:rPr>
              <w:t>نَبيذ</w:t>
            </w:r>
            <w:r>
              <w:rPr>
                <w:rStyle w:val="IndexLink"/>
                <w:rtl w:val="true"/>
              </w:rPr>
              <w:tab/>
            </w:r>
            <w:r>
              <w:rPr>
                <w:rStyle w:val="IndexLink"/>
              </w:rPr>
              <w:t>501</w:t>
            </w:r>
          </w:hyperlink>
        </w:p>
        <w:p>
          <w:pPr>
            <w:pStyle w:val="Contents5"/>
            <w:tabs>
              <w:tab w:val="clear" w:pos="7892"/>
              <w:tab w:val="right" w:pos="9026" w:leader="dot"/>
            </w:tabs>
            <w:rPr/>
          </w:pPr>
          <w:hyperlink w:anchor="__RefHeading___Toc3586499_3650668749">
            <w:r>
              <w:rPr>
                <w:webHidden/>
                <w:rStyle w:val="IndexLink"/>
                <w:rtl w:val="true"/>
              </w:rPr>
              <w:t xml:space="preserve">دو </w:t>
            </w:r>
            <w:r>
              <w:rPr>
                <w:rStyle w:val="IndexLink"/>
                <w:rtl w:val="true"/>
              </w:rPr>
              <w:t xml:space="preserve">- </w:t>
            </w:r>
            <w:r>
              <w:rPr>
                <w:rStyle w:val="IndexLink"/>
                <w:rtl w:val="true"/>
              </w:rPr>
              <w:t xml:space="preserve">بِتْع </w:t>
            </w:r>
            <w:r>
              <w:rPr>
                <w:rStyle w:val="IndexLink"/>
                <w:rtl w:val="true"/>
              </w:rPr>
              <w:t>(</w:t>
            </w:r>
            <w:r>
              <w:rPr>
                <w:rStyle w:val="IndexLink"/>
                <w:rtl w:val="true"/>
              </w:rPr>
              <w:t>بِتَع</w:t>
            </w:r>
            <w:r>
              <w:rPr>
                <w:rStyle w:val="IndexLink"/>
                <w:rtl w:val="true"/>
              </w:rPr>
              <w:t>)</w:t>
              <w:tab/>
            </w:r>
            <w:r>
              <w:rPr>
                <w:rStyle w:val="IndexLink"/>
              </w:rPr>
              <w:t>502</w:t>
            </w:r>
          </w:hyperlink>
        </w:p>
        <w:p>
          <w:pPr>
            <w:pStyle w:val="Contents5"/>
            <w:tabs>
              <w:tab w:val="clear" w:pos="7892"/>
              <w:tab w:val="right" w:pos="9026" w:leader="dot"/>
            </w:tabs>
            <w:rPr/>
          </w:pPr>
          <w:hyperlink w:anchor="__RefHeading___Toc3586501_3650668749">
            <w:r>
              <w:rPr>
                <w:webHidden/>
                <w:rStyle w:val="IndexLink"/>
                <w:rtl w:val="true"/>
              </w:rPr>
              <w:t xml:space="preserve">سه </w:t>
            </w:r>
            <w:r>
              <w:rPr>
                <w:rStyle w:val="IndexLink"/>
                <w:rtl w:val="true"/>
              </w:rPr>
              <w:t xml:space="preserve">- </w:t>
            </w:r>
            <w:r>
              <w:rPr>
                <w:rStyle w:val="IndexLink"/>
                <w:rtl w:val="true"/>
              </w:rPr>
              <w:t>فُقّاع</w:t>
            </w:r>
            <w:r>
              <w:rPr>
                <w:rStyle w:val="IndexLink"/>
                <w:rtl w:val="true"/>
              </w:rPr>
              <w:tab/>
            </w:r>
            <w:r>
              <w:rPr>
                <w:rStyle w:val="IndexLink"/>
              </w:rPr>
              <w:t>502</w:t>
            </w:r>
          </w:hyperlink>
        </w:p>
        <w:p>
          <w:pPr>
            <w:pStyle w:val="Contents5"/>
            <w:tabs>
              <w:tab w:val="clear" w:pos="7892"/>
              <w:tab w:val="right" w:pos="9026" w:leader="dot"/>
            </w:tabs>
            <w:rPr/>
          </w:pPr>
          <w:hyperlink w:anchor="__RefHeading___Toc3586503_3650668749">
            <w:r>
              <w:rPr>
                <w:webHidden/>
                <w:rStyle w:val="IndexLink"/>
                <w:rtl w:val="true"/>
              </w:rPr>
              <w:t xml:space="preserve">چهار </w:t>
            </w:r>
            <w:r>
              <w:rPr>
                <w:rStyle w:val="IndexLink"/>
                <w:rtl w:val="true"/>
              </w:rPr>
              <w:t xml:space="preserve">- </w:t>
            </w:r>
            <w:r>
              <w:rPr>
                <w:rStyle w:val="IndexLink"/>
                <w:rtl w:val="true"/>
              </w:rPr>
              <w:t>مِرْز</w:t>
            </w:r>
            <w:r>
              <w:rPr>
                <w:rStyle w:val="IndexLink"/>
                <w:rtl w:val="true"/>
              </w:rPr>
              <w:tab/>
            </w:r>
            <w:r>
              <w:rPr>
                <w:rStyle w:val="IndexLink"/>
              </w:rPr>
              <w:t>502</w:t>
            </w:r>
          </w:hyperlink>
        </w:p>
        <w:p>
          <w:pPr>
            <w:pStyle w:val="Contents5"/>
            <w:tabs>
              <w:tab w:val="clear" w:pos="7892"/>
              <w:tab w:val="right" w:pos="9026" w:leader="dot"/>
            </w:tabs>
            <w:rPr/>
          </w:pPr>
          <w:hyperlink w:anchor="__RefHeading___Toc3586505_3650668749">
            <w:r>
              <w:rPr>
                <w:webHidden/>
                <w:rStyle w:val="IndexLink"/>
                <w:rtl w:val="true"/>
              </w:rPr>
              <w:t xml:space="preserve">پنج </w:t>
            </w:r>
            <w:r>
              <w:rPr>
                <w:rStyle w:val="IndexLink"/>
                <w:rtl w:val="true"/>
              </w:rPr>
              <w:t xml:space="preserve">- </w:t>
            </w:r>
            <w:r>
              <w:rPr>
                <w:rStyle w:val="IndexLink"/>
                <w:rtl w:val="true"/>
              </w:rPr>
              <w:t>نقيع</w:t>
            </w:r>
            <w:r>
              <w:rPr>
                <w:rStyle w:val="IndexLink"/>
                <w:rtl w:val="true"/>
              </w:rPr>
              <w:tab/>
            </w:r>
            <w:r>
              <w:rPr>
                <w:rStyle w:val="IndexLink"/>
              </w:rPr>
              <w:t>502</w:t>
            </w:r>
          </w:hyperlink>
        </w:p>
        <w:p>
          <w:pPr>
            <w:pStyle w:val="Contents3"/>
            <w:tabs>
              <w:tab w:val="clear" w:pos="8459"/>
              <w:tab w:val="right" w:pos="9026" w:leader="dot"/>
            </w:tabs>
            <w:rPr/>
          </w:pPr>
          <w:hyperlink w:anchor="__RefHeading___Toc3586507_3650668749">
            <w:r>
              <w:rPr>
                <w:webHidden/>
                <w:rStyle w:val="IndexLink"/>
              </w:rPr>
              <w:t>٣</w:t>
            </w:r>
            <w:r>
              <w:rPr>
                <w:rStyle w:val="IndexLink"/>
                <w:rtl w:val="true"/>
              </w:rPr>
              <w:t xml:space="preserve">. </w:t>
            </w:r>
            <w:r>
              <w:rPr>
                <w:rStyle w:val="IndexLink"/>
                <w:rtl w:val="true"/>
              </w:rPr>
              <w:t>ميوه‌ها</w:t>
            </w:r>
            <w:r>
              <w:rPr>
                <w:rStyle w:val="IndexLink"/>
                <w:rtl w:val="true"/>
              </w:rPr>
              <w:tab/>
            </w:r>
            <w:r>
              <w:rPr>
                <w:rStyle w:val="IndexLink"/>
              </w:rPr>
              <w:t>503</w:t>
            </w:r>
          </w:hyperlink>
        </w:p>
        <w:p>
          <w:pPr>
            <w:pStyle w:val="Contents3"/>
            <w:tabs>
              <w:tab w:val="clear" w:pos="8459"/>
              <w:tab w:val="right" w:pos="9026" w:leader="dot"/>
            </w:tabs>
            <w:rPr/>
          </w:pPr>
          <w:hyperlink w:anchor="__RefHeading___Toc3586509_3650668749">
            <w:r>
              <w:rPr>
                <w:webHidden/>
                <w:rStyle w:val="IndexLink"/>
              </w:rPr>
              <w:t>۴</w:t>
            </w:r>
            <w:r>
              <w:rPr>
                <w:rStyle w:val="IndexLink"/>
                <w:rtl w:val="true"/>
              </w:rPr>
              <w:t xml:space="preserve">. </w:t>
            </w:r>
            <w:r>
              <w:rPr>
                <w:rStyle w:val="IndexLink"/>
                <w:rtl w:val="true"/>
              </w:rPr>
              <w:t>تنقلات</w:t>
            </w:r>
            <w:r>
              <w:rPr>
                <w:rStyle w:val="IndexLink"/>
                <w:rtl w:val="true"/>
              </w:rPr>
              <w:tab/>
            </w:r>
            <w:r>
              <w:rPr>
                <w:rStyle w:val="IndexLink"/>
              </w:rPr>
              <w:t>503</w:t>
            </w:r>
          </w:hyperlink>
        </w:p>
        <w:p>
          <w:pPr>
            <w:pStyle w:val="Contents4"/>
            <w:tabs>
              <w:tab w:val="clear" w:pos="8176"/>
              <w:tab w:val="right" w:pos="9026" w:leader="dot"/>
            </w:tabs>
            <w:rPr/>
          </w:pPr>
          <w:hyperlink w:anchor="__RefHeading___Toc3586511_3650668749">
            <w:r>
              <w:rPr>
                <w:webHidden/>
                <w:rStyle w:val="IndexLink"/>
                <w:rtl w:val="true"/>
              </w:rPr>
              <w:t>اشاره</w:t>
            </w:r>
            <w:r>
              <w:rPr>
                <w:rStyle w:val="IndexLink"/>
                <w:rtl w:val="true"/>
              </w:rPr>
              <w:tab/>
            </w:r>
            <w:r>
              <w:rPr>
                <w:rStyle w:val="IndexLink"/>
              </w:rPr>
              <w:t>503</w:t>
            </w:r>
          </w:hyperlink>
        </w:p>
        <w:p>
          <w:pPr>
            <w:pStyle w:val="Contents4"/>
            <w:tabs>
              <w:tab w:val="clear" w:pos="8176"/>
              <w:tab w:val="right" w:pos="9026" w:leader="dot"/>
            </w:tabs>
            <w:rPr/>
          </w:pPr>
          <w:hyperlink w:anchor="__RefHeading___Toc3586513_3650668749">
            <w:r>
              <w:rPr>
                <w:webHidden/>
                <w:rStyle w:val="IndexLink"/>
                <w:rtl w:val="true"/>
              </w:rPr>
              <w:t>الف</w:t>
            </w:r>
            <w:r>
              <w:rPr>
                <w:rStyle w:val="IndexLink"/>
                <w:rtl w:val="true"/>
              </w:rPr>
              <w:t xml:space="preserve">) </w:t>
            </w:r>
            <w:r>
              <w:rPr>
                <w:rStyle w:val="IndexLink"/>
                <w:rtl w:val="true"/>
              </w:rPr>
              <w:t>جَوْزينَق</w:t>
            </w:r>
            <w:r>
              <w:rPr>
                <w:rStyle w:val="IndexLink"/>
                <w:rtl w:val="true"/>
              </w:rPr>
              <w:tab/>
            </w:r>
            <w:r>
              <w:rPr>
                <w:rStyle w:val="IndexLink"/>
              </w:rPr>
              <w:t>503</w:t>
            </w:r>
          </w:hyperlink>
        </w:p>
        <w:p>
          <w:pPr>
            <w:pStyle w:val="Contents4"/>
            <w:tabs>
              <w:tab w:val="clear" w:pos="8176"/>
              <w:tab w:val="right" w:pos="9026" w:leader="dot"/>
            </w:tabs>
            <w:rPr/>
          </w:pPr>
          <w:hyperlink w:anchor="__RefHeading___Toc3586515_3650668749">
            <w:r>
              <w:rPr>
                <w:webHidden/>
                <w:rStyle w:val="IndexLink"/>
                <w:rtl w:val="true"/>
              </w:rPr>
              <w:t>ب</w:t>
            </w:r>
            <w:r>
              <w:rPr>
                <w:rStyle w:val="IndexLink"/>
                <w:rtl w:val="true"/>
              </w:rPr>
              <w:t xml:space="preserve">) </w:t>
            </w:r>
            <w:r>
              <w:rPr>
                <w:rStyle w:val="IndexLink"/>
                <w:rtl w:val="true"/>
              </w:rPr>
              <w:t>حَلواء</w:t>
            </w:r>
            <w:r>
              <w:rPr>
                <w:rStyle w:val="IndexLink"/>
                <w:rtl w:val="true"/>
              </w:rPr>
              <w:tab/>
            </w:r>
            <w:r>
              <w:rPr>
                <w:rStyle w:val="IndexLink"/>
              </w:rPr>
              <w:t>503</w:t>
            </w:r>
          </w:hyperlink>
        </w:p>
        <w:p>
          <w:pPr>
            <w:pStyle w:val="Contents4"/>
            <w:tabs>
              <w:tab w:val="clear" w:pos="8176"/>
              <w:tab w:val="right" w:pos="9026" w:leader="dot"/>
            </w:tabs>
            <w:rPr/>
          </w:pPr>
          <w:hyperlink w:anchor="__RefHeading___Toc3586517_3650668749">
            <w:r>
              <w:rPr>
                <w:webHidden/>
                <w:rStyle w:val="IndexLink"/>
                <w:rtl w:val="true"/>
              </w:rPr>
              <w:t>ج</w:t>
            </w:r>
            <w:r>
              <w:rPr>
                <w:rStyle w:val="IndexLink"/>
                <w:rtl w:val="true"/>
              </w:rPr>
              <w:t xml:space="preserve">) </w:t>
            </w:r>
            <w:r>
              <w:rPr>
                <w:rStyle w:val="IndexLink"/>
                <w:rtl w:val="true"/>
              </w:rPr>
              <w:t>خَبيص</w:t>
            </w:r>
            <w:r>
              <w:rPr>
                <w:rStyle w:val="IndexLink"/>
                <w:rtl w:val="true"/>
              </w:rPr>
              <w:tab/>
            </w:r>
            <w:r>
              <w:rPr>
                <w:rStyle w:val="IndexLink"/>
              </w:rPr>
              <w:t>504</w:t>
            </w:r>
          </w:hyperlink>
        </w:p>
        <w:p>
          <w:pPr>
            <w:pStyle w:val="Contents4"/>
            <w:tabs>
              <w:tab w:val="clear" w:pos="8176"/>
              <w:tab w:val="right" w:pos="9026" w:leader="dot"/>
            </w:tabs>
            <w:rPr/>
          </w:pPr>
          <w:hyperlink w:anchor="__RefHeading___Toc3586519_3650668749">
            <w:r>
              <w:rPr>
                <w:webHidden/>
                <w:rStyle w:val="IndexLink"/>
                <w:rtl w:val="true"/>
              </w:rPr>
              <w:t>د</w:t>
            </w:r>
            <w:r>
              <w:rPr>
                <w:rStyle w:val="IndexLink"/>
                <w:rtl w:val="true"/>
              </w:rPr>
              <w:t xml:space="preserve">) </w:t>
            </w:r>
            <w:r>
              <w:rPr>
                <w:rStyle w:val="IndexLink"/>
                <w:rtl w:val="true"/>
              </w:rPr>
              <w:t>سَويق</w:t>
            </w:r>
            <w:r>
              <w:rPr>
                <w:rStyle w:val="IndexLink"/>
                <w:rtl w:val="true"/>
              </w:rPr>
              <w:tab/>
            </w:r>
            <w:r>
              <w:rPr>
                <w:rStyle w:val="IndexLink"/>
              </w:rPr>
              <w:t>504</w:t>
            </w:r>
          </w:hyperlink>
        </w:p>
        <w:p>
          <w:pPr>
            <w:pStyle w:val="Contents4"/>
            <w:tabs>
              <w:tab w:val="clear" w:pos="8176"/>
              <w:tab w:val="right" w:pos="9026" w:leader="dot"/>
            </w:tabs>
            <w:rPr/>
          </w:pPr>
          <w:hyperlink w:anchor="__RefHeading___Toc3586521_3650668749">
            <w:r>
              <w:rPr>
                <w:webHidden/>
                <w:rStyle w:val="IndexLink"/>
                <w:rtl w:val="true"/>
              </w:rPr>
              <w:t>ه</w:t>
            </w:r>
            <w:r>
              <w:rPr>
                <w:rStyle w:val="IndexLink"/>
                <w:rtl w:val="true"/>
              </w:rPr>
              <w:t xml:space="preserve">) </w:t>
            </w:r>
            <w:r>
              <w:rPr>
                <w:rStyle w:val="IndexLink"/>
                <w:rtl w:val="true"/>
              </w:rPr>
              <w:t xml:space="preserve">فالُوذَج </w:t>
            </w:r>
            <w:r>
              <w:rPr>
                <w:rStyle w:val="IndexLink"/>
                <w:rtl w:val="true"/>
              </w:rPr>
              <w:t>(</w:t>
            </w:r>
            <w:r>
              <w:rPr>
                <w:rStyle w:val="IndexLink"/>
                <w:rtl w:val="true"/>
              </w:rPr>
              <w:t>فالُوذ</w:t>
            </w:r>
            <w:r>
              <w:rPr>
                <w:rStyle w:val="IndexLink"/>
                <w:rtl w:val="true"/>
              </w:rPr>
              <w:t>)</w:t>
              <w:tab/>
            </w:r>
            <w:r>
              <w:rPr>
                <w:rStyle w:val="IndexLink"/>
              </w:rPr>
              <w:t>505</w:t>
            </w:r>
          </w:hyperlink>
        </w:p>
        <w:p>
          <w:pPr>
            <w:pStyle w:val="Contents4"/>
            <w:tabs>
              <w:tab w:val="clear" w:pos="8176"/>
              <w:tab w:val="right" w:pos="9026" w:leader="dot"/>
            </w:tabs>
            <w:rPr/>
          </w:pPr>
          <w:hyperlink w:anchor="__RefHeading___Toc3586523_3650668749">
            <w:r>
              <w:rPr>
                <w:webHidden/>
                <w:rStyle w:val="IndexLink"/>
                <w:rtl w:val="true"/>
              </w:rPr>
              <w:t>و</w:t>
            </w:r>
            <w:r>
              <w:rPr>
                <w:rStyle w:val="IndexLink"/>
                <w:rtl w:val="true"/>
              </w:rPr>
              <w:t xml:space="preserve">) </w:t>
            </w:r>
            <w:r>
              <w:rPr>
                <w:rStyle w:val="IndexLink"/>
                <w:rtl w:val="true"/>
              </w:rPr>
              <w:t>لَوْزينَج</w:t>
            </w:r>
            <w:r>
              <w:rPr>
                <w:rStyle w:val="IndexLink"/>
                <w:rtl w:val="true"/>
              </w:rPr>
              <w:tab/>
            </w:r>
            <w:r>
              <w:rPr>
                <w:rStyle w:val="IndexLink"/>
              </w:rPr>
              <w:t>506</w:t>
            </w:r>
          </w:hyperlink>
        </w:p>
        <w:p>
          <w:pPr>
            <w:pStyle w:val="Contents2"/>
            <w:tabs>
              <w:tab w:val="clear" w:pos="8743"/>
              <w:tab w:val="right" w:pos="9026" w:leader="dot"/>
            </w:tabs>
            <w:rPr/>
          </w:pPr>
          <w:hyperlink w:anchor="__RefHeading___Toc3586525_3650668749">
            <w:r>
              <w:rPr>
                <w:webHidden/>
                <w:rStyle w:val="IndexLink"/>
                <w:rtl w:val="true"/>
              </w:rPr>
              <w:t>فصل هشتم</w:t>
            </w:r>
            <w:r>
              <w:rPr>
                <w:rStyle w:val="IndexLink"/>
                <w:rtl w:val="true"/>
              </w:rPr>
              <w:t xml:space="preserve">: </w:t>
            </w:r>
            <w:r>
              <w:rPr>
                <w:rStyle w:val="IndexLink"/>
                <w:rtl w:val="true"/>
              </w:rPr>
              <w:t>نظام قضايى و انتظامى</w:t>
            </w:r>
            <w:r>
              <w:rPr>
                <w:rStyle w:val="IndexLink"/>
                <w:rtl w:val="true"/>
              </w:rPr>
              <w:tab/>
            </w:r>
            <w:r>
              <w:rPr>
                <w:rStyle w:val="IndexLink"/>
              </w:rPr>
              <w:t>507</w:t>
            </w:r>
          </w:hyperlink>
        </w:p>
        <w:p>
          <w:pPr>
            <w:pStyle w:val="Contents3"/>
            <w:tabs>
              <w:tab w:val="clear" w:pos="8459"/>
              <w:tab w:val="right" w:pos="9026" w:leader="dot"/>
            </w:tabs>
            <w:rPr/>
          </w:pPr>
          <w:hyperlink w:anchor="__RefHeading___Toc3586527_3650668749">
            <w:r>
              <w:rPr>
                <w:webHidden/>
                <w:rStyle w:val="IndexLink"/>
                <w:rtl w:val="true"/>
              </w:rPr>
              <w:t>اشاره</w:t>
            </w:r>
            <w:r>
              <w:rPr>
                <w:rStyle w:val="IndexLink"/>
                <w:rtl w:val="true"/>
              </w:rPr>
              <w:tab/>
            </w:r>
            <w:r>
              <w:rPr>
                <w:rStyle w:val="IndexLink"/>
              </w:rPr>
              <w:t>507</w:t>
            </w:r>
          </w:hyperlink>
        </w:p>
        <w:p>
          <w:pPr>
            <w:pStyle w:val="Contents3"/>
            <w:tabs>
              <w:tab w:val="clear" w:pos="8459"/>
              <w:tab w:val="right" w:pos="9026" w:leader="dot"/>
            </w:tabs>
            <w:rPr/>
          </w:pPr>
          <w:hyperlink w:anchor="__RefHeading___Toc3586529_3650668749">
            <w:r>
              <w:rPr>
                <w:webHidden/>
                <w:rStyle w:val="IndexLink"/>
              </w:rPr>
              <w:t>١</w:t>
            </w:r>
            <w:r>
              <w:rPr>
                <w:rStyle w:val="IndexLink"/>
                <w:rtl w:val="true"/>
              </w:rPr>
              <w:t xml:space="preserve">. </w:t>
            </w:r>
            <w:r>
              <w:rPr>
                <w:rStyle w:val="IndexLink"/>
                <w:rtl w:val="true"/>
              </w:rPr>
              <w:t>قضا</w:t>
            </w:r>
            <w:r>
              <w:rPr>
                <w:rStyle w:val="IndexLink"/>
                <w:rtl w:val="true"/>
              </w:rPr>
              <w:tab/>
            </w:r>
            <w:r>
              <w:rPr>
                <w:rStyle w:val="IndexLink"/>
              </w:rPr>
              <w:t>508</w:t>
            </w:r>
          </w:hyperlink>
        </w:p>
        <w:p>
          <w:pPr>
            <w:pStyle w:val="Contents4"/>
            <w:tabs>
              <w:tab w:val="clear" w:pos="8176"/>
              <w:tab w:val="right" w:pos="9026" w:leader="dot"/>
            </w:tabs>
            <w:rPr/>
          </w:pPr>
          <w:hyperlink w:anchor="__RefHeading___Toc3586531_3650668749">
            <w:r>
              <w:rPr>
                <w:webHidden/>
                <w:rStyle w:val="IndexLink"/>
                <w:rtl w:val="true"/>
              </w:rPr>
              <w:t>الف</w:t>
            </w:r>
            <w:r>
              <w:rPr>
                <w:rStyle w:val="IndexLink"/>
                <w:rtl w:val="true"/>
              </w:rPr>
              <w:t xml:space="preserve">) </w:t>
            </w:r>
            <w:r>
              <w:rPr>
                <w:rStyle w:val="IndexLink"/>
                <w:rtl w:val="true"/>
              </w:rPr>
              <w:t xml:space="preserve">قاضيان كوفه تا سال </w:t>
            </w:r>
            <w:r>
              <w:rPr>
                <w:rStyle w:val="IndexLink"/>
              </w:rPr>
              <w:t>۶١</w:t>
            </w:r>
            <w:r>
              <w:rPr>
                <w:rStyle w:val="IndexLink"/>
                <w:rtl w:val="true"/>
              </w:rPr>
              <w:t xml:space="preserve"> ه</w:t>
            </w:r>
            <w:r>
              <w:rPr>
                <w:rStyle w:val="IndexLink"/>
                <w:rtl w:val="true"/>
              </w:rPr>
              <w:t xml:space="preserve">. </w:t>
            </w:r>
            <w:r>
              <w:rPr>
                <w:rStyle w:val="IndexLink"/>
                <w:rtl w:val="true"/>
              </w:rPr>
              <w:t>ق</w:t>
            </w:r>
            <w:r>
              <w:rPr>
                <w:rStyle w:val="IndexLink"/>
                <w:rtl w:val="true"/>
              </w:rPr>
              <w:tab/>
            </w:r>
            <w:r>
              <w:rPr>
                <w:rStyle w:val="IndexLink"/>
              </w:rPr>
              <w:t>508</w:t>
            </w:r>
          </w:hyperlink>
        </w:p>
        <w:p>
          <w:pPr>
            <w:pStyle w:val="Contents5"/>
            <w:tabs>
              <w:tab w:val="clear" w:pos="7892"/>
              <w:tab w:val="right" w:pos="9026" w:leader="dot"/>
            </w:tabs>
            <w:rPr/>
          </w:pPr>
          <w:hyperlink w:anchor="__RefHeading___Toc3586533_3650668749">
            <w:r>
              <w:rPr>
                <w:webHidden/>
                <w:rStyle w:val="IndexLink"/>
                <w:rtl w:val="true"/>
              </w:rPr>
              <w:t>اشاره</w:t>
            </w:r>
            <w:r>
              <w:rPr>
                <w:rStyle w:val="IndexLink"/>
                <w:rtl w:val="true"/>
              </w:rPr>
              <w:tab/>
            </w:r>
            <w:r>
              <w:rPr>
                <w:rStyle w:val="IndexLink"/>
              </w:rPr>
              <w:t>508</w:t>
            </w:r>
          </w:hyperlink>
        </w:p>
        <w:p>
          <w:pPr>
            <w:pStyle w:val="Contents5"/>
            <w:tabs>
              <w:tab w:val="clear" w:pos="7892"/>
              <w:tab w:val="right" w:pos="9026" w:leader="dot"/>
            </w:tabs>
            <w:rPr/>
          </w:pPr>
          <w:hyperlink w:anchor="__RefHeading___Toc3586535_3650668749">
            <w:r>
              <w:rPr>
                <w:webHidden/>
                <w:rStyle w:val="IndexLink"/>
                <w:rtl w:val="true"/>
              </w:rPr>
              <w:t xml:space="preserve">يك </w:t>
            </w:r>
            <w:r>
              <w:rPr>
                <w:rStyle w:val="IndexLink"/>
                <w:rtl w:val="true"/>
              </w:rPr>
              <w:t xml:space="preserve">- </w:t>
            </w:r>
            <w:r>
              <w:rPr>
                <w:rStyle w:val="IndexLink"/>
                <w:rtl w:val="true"/>
              </w:rPr>
              <w:t>اولين قاضى</w:t>
            </w:r>
            <w:r>
              <w:rPr>
                <w:rStyle w:val="IndexLink"/>
                <w:rtl w:val="true"/>
              </w:rPr>
              <w:tab/>
            </w:r>
            <w:r>
              <w:rPr>
                <w:rStyle w:val="IndexLink"/>
              </w:rPr>
              <w:t>508</w:t>
            </w:r>
          </w:hyperlink>
        </w:p>
        <w:p>
          <w:pPr>
            <w:pStyle w:val="Contents6"/>
            <w:tabs>
              <w:tab w:val="clear" w:pos="7609"/>
              <w:tab w:val="right" w:pos="9026" w:leader="dot"/>
            </w:tabs>
            <w:rPr/>
          </w:pPr>
          <w:hyperlink w:anchor="__RefHeading___Toc3586537_3650668749">
            <w:r>
              <w:rPr>
                <w:webHidden/>
                <w:rStyle w:val="IndexLink"/>
                <w:rtl w:val="true"/>
              </w:rPr>
              <w:t>اشاره</w:t>
            </w:r>
            <w:r>
              <w:rPr>
                <w:rStyle w:val="IndexLink"/>
                <w:rtl w:val="true"/>
              </w:rPr>
              <w:tab/>
            </w:r>
            <w:r>
              <w:rPr>
                <w:rStyle w:val="IndexLink"/>
              </w:rPr>
              <w:t>508</w:t>
            </w:r>
          </w:hyperlink>
        </w:p>
        <w:p>
          <w:pPr>
            <w:pStyle w:val="Contents6"/>
            <w:tabs>
              <w:tab w:val="clear" w:pos="7609"/>
              <w:tab w:val="right" w:pos="9026" w:leader="dot"/>
            </w:tabs>
            <w:rPr/>
          </w:pPr>
          <w:hyperlink w:anchor="__RefHeading___Toc3586539_3650668749">
            <w:r>
              <w:rPr>
                <w:webHidden/>
                <w:rStyle w:val="IndexLink"/>
                <w:rtl w:val="true"/>
              </w:rPr>
              <w:t>الف</w:t>
            </w:r>
            <w:r>
              <w:rPr>
                <w:rStyle w:val="IndexLink"/>
                <w:rtl w:val="true"/>
              </w:rPr>
              <w:t xml:space="preserve">) </w:t>
            </w:r>
            <w:r>
              <w:rPr>
                <w:rStyle w:val="IndexLink"/>
                <w:rtl w:val="true"/>
              </w:rPr>
              <w:t>ابو مَرّة كِنْدي</w:t>
            </w:r>
            <w:r>
              <w:rPr>
                <w:rStyle w:val="IndexLink"/>
                <w:rtl w:val="true"/>
              </w:rPr>
              <w:tab/>
            </w:r>
            <w:r>
              <w:rPr>
                <w:rStyle w:val="IndexLink"/>
              </w:rPr>
              <w:t>508</w:t>
            </w:r>
          </w:hyperlink>
        </w:p>
        <w:p>
          <w:pPr>
            <w:pStyle w:val="Contents6"/>
            <w:tabs>
              <w:tab w:val="clear" w:pos="7609"/>
              <w:tab w:val="right" w:pos="9026" w:leader="dot"/>
            </w:tabs>
            <w:rPr/>
          </w:pPr>
          <w:hyperlink w:anchor="__RefHeading___Toc3586541_3650668749">
            <w:r>
              <w:rPr>
                <w:webHidden/>
                <w:rStyle w:val="IndexLink"/>
                <w:rtl w:val="true"/>
              </w:rPr>
              <w:t>ب</w:t>
            </w:r>
            <w:r>
              <w:rPr>
                <w:rStyle w:val="IndexLink"/>
                <w:rtl w:val="true"/>
              </w:rPr>
              <w:t xml:space="preserve">) </w:t>
            </w:r>
            <w:r>
              <w:rPr>
                <w:rStyle w:val="IndexLink"/>
                <w:rtl w:val="true"/>
              </w:rPr>
              <w:t xml:space="preserve">عُرْوَة بن جُعد </w:t>
            </w:r>
            <w:r>
              <w:rPr>
                <w:rStyle w:val="IndexLink"/>
                <w:rtl w:val="true"/>
              </w:rPr>
              <w:t>(</w:t>
            </w:r>
            <w:r>
              <w:rPr>
                <w:rStyle w:val="IndexLink"/>
                <w:rtl w:val="true"/>
              </w:rPr>
              <w:t>ابي‌الجُعد</w:t>
            </w:r>
            <w:r>
              <w:rPr>
                <w:rStyle w:val="IndexLink"/>
                <w:rtl w:val="true"/>
              </w:rPr>
              <w:t xml:space="preserve">) </w:t>
            </w:r>
            <w:r>
              <w:rPr>
                <w:rStyle w:val="IndexLink"/>
                <w:rtl w:val="true"/>
              </w:rPr>
              <w:t>بارقي</w:t>
            </w:r>
            <w:r>
              <w:rPr>
                <w:rStyle w:val="IndexLink"/>
                <w:rtl w:val="true"/>
              </w:rPr>
              <w:tab/>
            </w:r>
            <w:r>
              <w:rPr>
                <w:rStyle w:val="IndexLink"/>
              </w:rPr>
              <w:t>508</w:t>
            </w:r>
          </w:hyperlink>
        </w:p>
        <w:p>
          <w:pPr>
            <w:pStyle w:val="Contents6"/>
            <w:tabs>
              <w:tab w:val="clear" w:pos="7609"/>
              <w:tab w:val="right" w:pos="9026" w:leader="dot"/>
            </w:tabs>
            <w:rPr/>
          </w:pPr>
          <w:hyperlink w:anchor="__RefHeading___Toc3586543_3650668749">
            <w:r>
              <w:rPr>
                <w:webHidden/>
                <w:rStyle w:val="IndexLink"/>
                <w:rtl w:val="true"/>
              </w:rPr>
              <w:t>ج</w:t>
            </w:r>
            <w:r>
              <w:rPr>
                <w:rStyle w:val="IndexLink"/>
                <w:rtl w:val="true"/>
              </w:rPr>
              <w:t xml:space="preserve">) </w:t>
            </w:r>
            <w:r>
              <w:rPr>
                <w:rStyle w:val="IndexLink"/>
                <w:rtl w:val="true"/>
              </w:rPr>
              <w:t>سَلْمان بن رَبيعه باهلي</w:t>
            </w:r>
            <w:r>
              <w:rPr>
                <w:rStyle w:val="IndexLink"/>
                <w:rtl w:val="true"/>
              </w:rPr>
              <w:tab/>
            </w:r>
            <w:r>
              <w:rPr>
                <w:rStyle w:val="IndexLink"/>
              </w:rPr>
              <w:t>509</w:t>
            </w:r>
          </w:hyperlink>
        </w:p>
        <w:p>
          <w:pPr>
            <w:pStyle w:val="Contents6"/>
            <w:tabs>
              <w:tab w:val="clear" w:pos="7609"/>
              <w:tab w:val="right" w:pos="9026" w:leader="dot"/>
            </w:tabs>
            <w:rPr/>
          </w:pPr>
          <w:hyperlink w:anchor="__RefHeading___Toc3586545_3650668749">
            <w:r>
              <w:rPr>
                <w:webHidden/>
                <w:rStyle w:val="IndexLink"/>
                <w:rtl w:val="true"/>
              </w:rPr>
              <w:t>د</w:t>
            </w:r>
            <w:r>
              <w:rPr>
                <w:rStyle w:val="IndexLink"/>
                <w:rtl w:val="true"/>
              </w:rPr>
              <w:t xml:space="preserve">) </w:t>
            </w:r>
            <w:r>
              <w:rPr>
                <w:rStyle w:val="IndexLink"/>
                <w:rtl w:val="true"/>
              </w:rPr>
              <w:t>جَبْر بن قَشْعَمْ كِنْدي</w:t>
            </w:r>
            <w:r>
              <w:rPr>
                <w:rStyle w:val="IndexLink"/>
                <w:rtl w:val="true"/>
              </w:rPr>
              <w:tab/>
            </w:r>
            <w:r>
              <w:rPr>
                <w:rStyle w:val="IndexLink"/>
              </w:rPr>
              <w:t>509</w:t>
            </w:r>
          </w:hyperlink>
        </w:p>
        <w:p>
          <w:pPr>
            <w:pStyle w:val="Contents6"/>
            <w:tabs>
              <w:tab w:val="clear" w:pos="7609"/>
              <w:tab w:val="right" w:pos="9026" w:leader="dot"/>
            </w:tabs>
            <w:rPr/>
          </w:pPr>
          <w:hyperlink w:anchor="__RefHeading___Toc3586547_3650668749">
            <w:r>
              <w:rPr>
                <w:webHidden/>
                <w:rStyle w:val="IndexLink"/>
                <w:rtl w:val="true"/>
              </w:rPr>
              <w:t>ه</w:t>
            </w:r>
            <w:r>
              <w:rPr>
                <w:rStyle w:val="IndexLink"/>
                <w:rtl w:val="true"/>
              </w:rPr>
              <w:t xml:space="preserve">) </w:t>
            </w:r>
            <w:r>
              <w:rPr>
                <w:rStyle w:val="IndexLink"/>
                <w:rtl w:val="true"/>
              </w:rPr>
              <w:t>عبدالله بن مسعود</w:t>
            </w:r>
            <w:r>
              <w:rPr>
                <w:rStyle w:val="IndexLink"/>
                <w:rtl w:val="true"/>
              </w:rPr>
              <w:tab/>
            </w:r>
            <w:r>
              <w:rPr>
                <w:rStyle w:val="IndexLink"/>
              </w:rPr>
              <w:t>509</w:t>
            </w:r>
          </w:hyperlink>
        </w:p>
        <w:p>
          <w:pPr>
            <w:pStyle w:val="Contents6"/>
            <w:tabs>
              <w:tab w:val="clear" w:pos="7609"/>
              <w:tab w:val="right" w:pos="9026" w:leader="dot"/>
            </w:tabs>
            <w:rPr/>
          </w:pPr>
          <w:hyperlink w:anchor="__RefHeading___Toc3586549_3650668749">
            <w:r>
              <w:rPr>
                <w:webHidden/>
                <w:rStyle w:val="IndexLink"/>
                <w:rtl w:val="true"/>
              </w:rPr>
              <w:t>و</w:t>
            </w:r>
            <w:r>
              <w:rPr>
                <w:rStyle w:val="IndexLink"/>
                <w:rtl w:val="true"/>
              </w:rPr>
              <w:t xml:space="preserve">) </w:t>
            </w:r>
            <w:r>
              <w:rPr>
                <w:rStyle w:val="IndexLink"/>
                <w:rtl w:val="true"/>
              </w:rPr>
              <w:t>ابوموسى اشعري</w:t>
            </w:r>
            <w:r>
              <w:rPr>
                <w:rStyle w:val="IndexLink"/>
                <w:rtl w:val="true"/>
              </w:rPr>
              <w:tab/>
            </w:r>
            <w:r>
              <w:rPr>
                <w:rStyle w:val="IndexLink"/>
              </w:rPr>
              <w:t>509</w:t>
            </w:r>
          </w:hyperlink>
        </w:p>
        <w:p>
          <w:pPr>
            <w:pStyle w:val="Contents5"/>
            <w:tabs>
              <w:tab w:val="clear" w:pos="7892"/>
              <w:tab w:val="right" w:pos="9026" w:leader="dot"/>
            </w:tabs>
            <w:rPr/>
          </w:pPr>
          <w:hyperlink w:anchor="__RefHeading___Toc3586551_3650668749">
            <w:r>
              <w:rPr>
                <w:webHidden/>
                <w:rStyle w:val="IndexLink"/>
                <w:rtl w:val="true"/>
              </w:rPr>
              <w:t xml:space="preserve">دو </w:t>
            </w:r>
            <w:r>
              <w:rPr>
                <w:rStyle w:val="IndexLink"/>
                <w:rtl w:val="true"/>
              </w:rPr>
              <w:t xml:space="preserve">- </w:t>
            </w:r>
            <w:r>
              <w:rPr>
                <w:rStyle w:val="IndexLink"/>
                <w:rtl w:val="true"/>
              </w:rPr>
              <w:t xml:space="preserve">شُرَيْح بن حارث </w:t>
            </w:r>
            <w:r>
              <w:rPr>
                <w:rStyle w:val="IndexLink"/>
                <w:rtl w:val="true"/>
              </w:rPr>
              <w:t>(</w:t>
            </w:r>
            <w:r>
              <w:rPr>
                <w:rStyle w:val="IndexLink"/>
                <w:rtl w:val="true"/>
              </w:rPr>
              <w:t>حَرَث يا عبدالله يا شراحيل يا هاني</w:t>
            </w:r>
            <w:r>
              <w:rPr>
                <w:rStyle w:val="IndexLink"/>
                <w:rtl w:val="true"/>
              </w:rPr>
              <w:t xml:space="preserve">) </w:t>
            </w:r>
            <w:r>
              <w:rPr>
                <w:rStyle w:val="IndexLink"/>
                <w:rtl w:val="true"/>
              </w:rPr>
              <w:t>كِندي</w:t>
            </w:r>
            <w:r>
              <w:rPr>
                <w:rStyle w:val="IndexLink"/>
                <w:rtl w:val="true"/>
              </w:rPr>
              <w:tab/>
            </w:r>
            <w:r>
              <w:rPr>
                <w:rStyle w:val="IndexLink"/>
              </w:rPr>
              <w:t>509</w:t>
            </w:r>
          </w:hyperlink>
        </w:p>
        <w:p>
          <w:pPr>
            <w:pStyle w:val="Contents5"/>
            <w:tabs>
              <w:tab w:val="clear" w:pos="7892"/>
              <w:tab w:val="right" w:pos="9026" w:leader="dot"/>
            </w:tabs>
            <w:rPr/>
          </w:pPr>
          <w:hyperlink w:anchor="__RefHeading___Toc3586553_3650668749">
            <w:r>
              <w:rPr>
                <w:webHidden/>
                <w:rStyle w:val="IndexLink"/>
                <w:rtl w:val="true"/>
              </w:rPr>
              <w:t xml:space="preserve">سه </w:t>
            </w:r>
            <w:r>
              <w:rPr>
                <w:rStyle w:val="IndexLink"/>
                <w:rtl w:val="true"/>
              </w:rPr>
              <w:t xml:space="preserve">- </w:t>
            </w:r>
            <w:r>
              <w:rPr>
                <w:rStyle w:val="IndexLink"/>
                <w:rtl w:val="true"/>
              </w:rPr>
              <w:t>مسروع بن اَجْدَع تميمي</w:t>
            </w:r>
            <w:r>
              <w:rPr>
                <w:rStyle w:val="IndexLink"/>
                <w:rtl w:val="true"/>
              </w:rPr>
              <w:tab/>
            </w:r>
            <w:r>
              <w:rPr>
                <w:rStyle w:val="IndexLink"/>
              </w:rPr>
              <w:t>511</w:t>
            </w:r>
          </w:hyperlink>
        </w:p>
        <w:p>
          <w:pPr>
            <w:pStyle w:val="Contents5"/>
            <w:tabs>
              <w:tab w:val="clear" w:pos="7892"/>
              <w:tab w:val="right" w:pos="9026" w:leader="dot"/>
            </w:tabs>
            <w:rPr/>
          </w:pPr>
          <w:hyperlink w:anchor="__RefHeading___Toc3586555_3650668749">
            <w:r>
              <w:rPr>
                <w:webHidden/>
                <w:rStyle w:val="IndexLink"/>
                <w:rtl w:val="true"/>
              </w:rPr>
              <w:t xml:space="preserve">چهار </w:t>
            </w:r>
            <w:r>
              <w:rPr>
                <w:rStyle w:val="IndexLink"/>
                <w:rtl w:val="true"/>
              </w:rPr>
              <w:t xml:space="preserve">- </w:t>
            </w:r>
            <w:r>
              <w:rPr>
                <w:rStyle w:val="IndexLink"/>
                <w:rtl w:val="true"/>
              </w:rPr>
              <w:t>عبدالملك بن عُمَيْر لَخْمي</w:t>
            </w:r>
            <w:r>
              <w:rPr>
                <w:rStyle w:val="IndexLink"/>
                <w:rtl w:val="true"/>
              </w:rPr>
              <w:tab/>
            </w:r>
            <w:r>
              <w:rPr>
                <w:rStyle w:val="IndexLink"/>
              </w:rPr>
              <w:t>511</w:t>
            </w:r>
          </w:hyperlink>
        </w:p>
        <w:p>
          <w:pPr>
            <w:pStyle w:val="Contents4"/>
            <w:tabs>
              <w:tab w:val="clear" w:pos="8176"/>
              <w:tab w:val="right" w:pos="9026" w:leader="dot"/>
            </w:tabs>
            <w:rPr/>
          </w:pPr>
          <w:hyperlink w:anchor="__RefHeading___Toc3586557_3650668749">
            <w:r>
              <w:rPr>
                <w:webHidden/>
                <w:rStyle w:val="IndexLink"/>
                <w:rtl w:val="true"/>
              </w:rPr>
              <w:t>ب</w:t>
            </w:r>
            <w:r>
              <w:rPr>
                <w:rStyle w:val="IndexLink"/>
                <w:rtl w:val="true"/>
              </w:rPr>
              <w:t xml:space="preserve">) </w:t>
            </w:r>
            <w:r>
              <w:rPr>
                <w:rStyle w:val="IndexLink"/>
                <w:rtl w:val="true"/>
              </w:rPr>
              <w:t>آيين دادرسى</w:t>
            </w:r>
            <w:r>
              <w:rPr>
                <w:rStyle w:val="IndexLink"/>
                <w:rtl w:val="true"/>
              </w:rPr>
              <w:tab/>
            </w:r>
            <w:r>
              <w:rPr>
                <w:rStyle w:val="IndexLink"/>
              </w:rPr>
              <w:t>511</w:t>
            </w:r>
          </w:hyperlink>
        </w:p>
        <w:p>
          <w:pPr>
            <w:pStyle w:val="Contents5"/>
            <w:tabs>
              <w:tab w:val="clear" w:pos="7892"/>
              <w:tab w:val="right" w:pos="9026" w:leader="dot"/>
            </w:tabs>
            <w:rPr/>
          </w:pPr>
          <w:hyperlink w:anchor="__RefHeading___Toc3586559_3650668749">
            <w:r>
              <w:rPr>
                <w:webHidden/>
                <w:rStyle w:val="IndexLink"/>
                <w:rtl w:val="true"/>
              </w:rPr>
              <w:t>اشاره</w:t>
            </w:r>
            <w:r>
              <w:rPr>
                <w:rStyle w:val="IndexLink"/>
                <w:rtl w:val="true"/>
              </w:rPr>
              <w:tab/>
            </w:r>
            <w:r>
              <w:rPr>
                <w:rStyle w:val="IndexLink"/>
              </w:rPr>
              <w:t>511</w:t>
            </w:r>
          </w:hyperlink>
        </w:p>
        <w:p>
          <w:pPr>
            <w:pStyle w:val="Contents5"/>
            <w:tabs>
              <w:tab w:val="clear" w:pos="7892"/>
              <w:tab w:val="right" w:pos="9026" w:leader="dot"/>
            </w:tabs>
            <w:rPr/>
          </w:pPr>
          <w:hyperlink w:anchor="__RefHeading___Toc3586561_3650668749">
            <w:r>
              <w:rPr>
                <w:webHidden/>
                <w:rStyle w:val="IndexLink"/>
                <w:rtl w:val="true"/>
              </w:rPr>
              <w:t>آيين دادرسى مدنى</w:t>
            </w:r>
            <w:r>
              <w:rPr>
                <w:rStyle w:val="IndexLink"/>
                <w:rtl w:val="true"/>
              </w:rPr>
              <w:tab/>
            </w:r>
            <w:r>
              <w:rPr>
                <w:rStyle w:val="IndexLink"/>
              </w:rPr>
              <w:t>512</w:t>
            </w:r>
          </w:hyperlink>
        </w:p>
        <w:p>
          <w:pPr>
            <w:pStyle w:val="Contents4"/>
            <w:tabs>
              <w:tab w:val="clear" w:pos="8176"/>
              <w:tab w:val="right" w:pos="9026" w:leader="dot"/>
            </w:tabs>
            <w:rPr/>
          </w:pPr>
          <w:hyperlink w:anchor="__RefHeading___Toc3586563_3650668749">
            <w:r>
              <w:rPr>
                <w:webHidden/>
                <w:rStyle w:val="IndexLink"/>
                <w:rtl w:val="true"/>
              </w:rPr>
              <w:t>ج</w:t>
            </w:r>
            <w:r>
              <w:rPr>
                <w:rStyle w:val="IndexLink"/>
                <w:rtl w:val="true"/>
              </w:rPr>
              <w:t xml:space="preserve">) </w:t>
            </w:r>
            <w:r>
              <w:rPr>
                <w:rStyle w:val="IndexLink"/>
                <w:rtl w:val="true"/>
              </w:rPr>
              <w:t>شرايط و صفات قاضى</w:t>
            </w:r>
            <w:r>
              <w:rPr>
                <w:rStyle w:val="IndexLink"/>
                <w:rtl w:val="true"/>
              </w:rPr>
              <w:tab/>
            </w:r>
            <w:r>
              <w:rPr>
                <w:rStyle w:val="IndexLink"/>
              </w:rPr>
              <w:t>513</w:t>
            </w:r>
          </w:hyperlink>
        </w:p>
        <w:p>
          <w:pPr>
            <w:pStyle w:val="Contents4"/>
            <w:tabs>
              <w:tab w:val="clear" w:pos="8176"/>
              <w:tab w:val="right" w:pos="9026" w:leader="dot"/>
            </w:tabs>
            <w:rPr/>
          </w:pPr>
          <w:hyperlink w:anchor="__RefHeading___Toc3586565_3650668749">
            <w:r>
              <w:rPr>
                <w:webHidden/>
                <w:rStyle w:val="IndexLink"/>
                <w:rtl w:val="true"/>
              </w:rPr>
              <w:t>د</w:t>
            </w:r>
            <w:r>
              <w:rPr>
                <w:rStyle w:val="IndexLink"/>
                <w:rtl w:val="true"/>
              </w:rPr>
              <w:t xml:space="preserve">) </w:t>
            </w:r>
            <w:r>
              <w:rPr>
                <w:rStyle w:val="IndexLink"/>
                <w:rtl w:val="true"/>
              </w:rPr>
              <w:t>مجلس قضاوت</w:t>
            </w:r>
            <w:r>
              <w:rPr>
                <w:rStyle w:val="IndexLink"/>
                <w:rtl w:val="true"/>
              </w:rPr>
              <w:tab/>
            </w:r>
            <w:r>
              <w:rPr>
                <w:rStyle w:val="IndexLink"/>
              </w:rPr>
              <w:t>514</w:t>
            </w:r>
          </w:hyperlink>
        </w:p>
        <w:p>
          <w:pPr>
            <w:pStyle w:val="Contents4"/>
            <w:tabs>
              <w:tab w:val="clear" w:pos="8176"/>
              <w:tab w:val="right" w:pos="9026" w:leader="dot"/>
            </w:tabs>
            <w:rPr/>
          </w:pPr>
          <w:hyperlink w:anchor="__RefHeading___Toc3586567_3650668749">
            <w:r>
              <w:rPr>
                <w:webHidden/>
                <w:rStyle w:val="IndexLink"/>
                <w:rtl w:val="true"/>
              </w:rPr>
              <w:t>ه</w:t>
            </w:r>
            <w:r>
              <w:rPr>
                <w:rStyle w:val="IndexLink"/>
                <w:rtl w:val="true"/>
              </w:rPr>
              <w:t xml:space="preserve">) </w:t>
            </w:r>
            <w:r>
              <w:rPr>
                <w:rStyle w:val="IndexLink"/>
                <w:rtl w:val="true"/>
              </w:rPr>
              <w:t>مجازات‌ها</w:t>
            </w:r>
            <w:r>
              <w:rPr>
                <w:rStyle w:val="IndexLink"/>
                <w:rtl w:val="true"/>
              </w:rPr>
              <w:tab/>
            </w:r>
            <w:r>
              <w:rPr>
                <w:rStyle w:val="IndexLink"/>
              </w:rPr>
              <w:t>516</w:t>
            </w:r>
          </w:hyperlink>
        </w:p>
        <w:p>
          <w:pPr>
            <w:pStyle w:val="Contents5"/>
            <w:tabs>
              <w:tab w:val="clear" w:pos="7892"/>
              <w:tab w:val="right" w:pos="9026" w:leader="dot"/>
            </w:tabs>
            <w:rPr/>
          </w:pPr>
          <w:hyperlink w:anchor="__RefHeading___Toc3586569_3650668749">
            <w:r>
              <w:rPr>
                <w:webHidden/>
                <w:rStyle w:val="IndexLink"/>
                <w:rtl w:val="true"/>
              </w:rPr>
              <w:t>اشاره</w:t>
            </w:r>
            <w:r>
              <w:rPr>
                <w:rStyle w:val="IndexLink"/>
                <w:rtl w:val="true"/>
              </w:rPr>
              <w:tab/>
            </w:r>
            <w:r>
              <w:rPr>
                <w:rStyle w:val="IndexLink"/>
              </w:rPr>
              <w:t>516</w:t>
            </w:r>
          </w:hyperlink>
        </w:p>
        <w:p>
          <w:pPr>
            <w:pStyle w:val="Contents5"/>
            <w:tabs>
              <w:tab w:val="clear" w:pos="7892"/>
              <w:tab w:val="right" w:pos="9026" w:leader="dot"/>
            </w:tabs>
            <w:rPr/>
          </w:pPr>
          <w:hyperlink w:anchor="__RefHeading___Toc3586571_3650668749">
            <w:r>
              <w:rPr>
                <w:webHidden/>
                <w:rStyle w:val="IndexLink"/>
                <w:rtl w:val="true"/>
              </w:rPr>
              <w:t xml:space="preserve">يك </w:t>
            </w:r>
            <w:r>
              <w:rPr>
                <w:rStyle w:val="IndexLink"/>
                <w:rtl w:val="true"/>
              </w:rPr>
              <w:t xml:space="preserve">- </w:t>
            </w:r>
            <w:r>
              <w:rPr>
                <w:rStyle w:val="IndexLink"/>
                <w:rtl w:val="true"/>
              </w:rPr>
              <w:t xml:space="preserve">قتل </w:t>
            </w:r>
            <w:r>
              <w:rPr>
                <w:rStyle w:val="IndexLink"/>
                <w:rtl w:val="true"/>
              </w:rPr>
              <w:t>(</w:t>
            </w:r>
            <w:r>
              <w:rPr>
                <w:rStyle w:val="IndexLink"/>
                <w:rtl w:val="true"/>
              </w:rPr>
              <w:t>كشتن</w:t>
            </w:r>
            <w:r>
              <w:rPr>
                <w:rStyle w:val="IndexLink"/>
                <w:rtl w:val="true"/>
              </w:rPr>
              <w:t>)</w:t>
              <w:tab/>
            </w:r>
            <w:r>
              <w:rPr>
                <w:rStyle w:val="IndexLink"/>
              </w:rPr>
              <w:t>516</w:t>
            </w:r>
          </w:hyperlink>
        </w:p>
        <w:p>
          <w:pPr>
            <w:pStyle w:val="Contents5"/>
            <w:tabs>
              <w:tab w:val="clear" w:pos="7892"/>
              <w:tab w:val="right" w:pos="9026" w:leader="dot"/>
            </w:tabs>
            <w:rPr/>
          </w:pPr>
          <w:hyperlink w:anchor="__RefHeading___Toc3586573_3650668749">
            <w:r>
              <w:rPr>
                <w:webHidden/>
                <w:rStyle w:val="IndexLink"/>
                <w:rtl w:val="true"/>
              </w:rPr>
              <w:t xml:space="preserve">دو </w:t>
            </w:r>
            <w:r>
              <w:rPr>
                <w:rStyle w:val="IndexLink"/>
                <w:rtl w:val="true"/>
              </w:rPr>
              <w:t xml:space="preserve">- </w:t>
            </w:r>
            <w:r>
              <w:rPr>
                <w:rStyle w:val="IndexLink"/>
                <w:rtl w:val="true"/>
              </w:rPr>
              <w:t xml:space="preserve">شلاق </w:t>
            </w:r>
            <w:r>
              <w:rPr>
                <w:rStyle w:val="IndexLink"/>
                <w:rtl w:val="true"/>
              </w:rPr>
              <w:t>(</w:t>
            </w:r>
            <w:r>
              <w:rPr>
                <w:rStyle w:val="IndexLink"/>
                <w:rtl w:val="true"/>
              </w:rPr>
              <w:t>جَلد</w:t>
            </w:r>
            <w:r>
              <w:rPr>
                <w:rStyle w:val="IndexLink"/>
                <w:rtl w:val="true"/>
              </w:rPr>
              <w:t>)</w:t>
              <w:tab/>
            </w:r>
            <w:r>
              <w:rPr>
                <w:rStyle w:val="IndexLink"/>
              </w:rPr>
              <w:t>517</w:t>
            </w:r>
          </w:hyperlink>
        </w:p>
        <w:p>
          <w:pPr>
            <w:pStyle w:val="Contents5"/>
            <w:tabs>
              <w:tab w:val="clear" w:pos="7892"/>
              <w:tab w:val="right" w:pos="9026" w:leader="dot"/>
            </w:tabs>
            <w:rPr/>
          </w:pPr>
          <w:hyperlink w:anchor="__RefHeading___Toc3586575_3650668749">
            <w:r>
              <w:rPr>
                <w:webHidden/>
                <w:rStyle w:val="IndexLink"/>
                <w:rtl w:val="true"/>
              </w:rPr>
              <w:t xml:space="preserve">سه </w:t>
            </w:r>
            <w:r>
              <w:rPr>
                <w:rStyle w:val="IndexLink"/>
                <w:rtl w:val="true"/>
              </w:rPr>
              <w:t xml:space="preserve">- </w:t>
            </w:r>
            <w:r>
              <w:rPr>
                <w:rStyle w:val="IndexLink"/>
                <w:rtl w:val="true"/>
              </w:rPr>
              <w:t xml:space="preserve">بريدن دست يا پا </w:t>
            </w:r>
            <w:r>
              <w:rPr>
                <w:rStyle w:val="IndexLink"/>
                <w:rtl w:val="true"/>
              </w:rPr>
              <w:t>(</w:t>
            </w:r>
            <w:r>
              <w:rPr>
                <w:rStyle w:val="IndexLink"/>
                <w:rtl w:val="true"/>
              </w:rPr>
              <w:t>قطع</w:t>
            </w:r>
            <w:r>
              <w:rPr>
                <w:rStyle w:val="IndexLink"/>
                <w:rtl w:val="true"/>
              </w:rPr>
              <w:t>)</w:t>
              <w:tab/>
            </w:r>
            <w:r>
              <w:rPr>
                <w:rStyle w:val="IndexLink"/>
              </w:rPr>
              <w:t>518</w:t>
            </w:r>
          </w:hyperlink>
        </w:p>
        <w:p>
          <w:pPr>
            <w:pStyle w:val="Contents6"/>
            <w:tabs>
              <w:tab w:val="clear" w:pos="7609"/>
              <w:tab w:val="right" w:pos="9026" w:leader="dot"/>
            </w:tabs>
            <w:rPr/>
          </w:pPr>
          <w:hyperlink w:anchor="__RefHeading___Toc3586577_3650668749">
            <w:r>
              <w:rPr>
                <w:webHidden/>
                <w:rStyle w:val="IndexLink"/>
                <w:rtl w:val="true"/>
              </w:rPr>
              <w:t xml:space="preserve">اول </w:t>
            </w:r>
            <w:r>
              <w:rPr>
                <w:rStyle w:val="IndexLink"/>
                <w:rtl w:val="true"/>
              </w:rPr>
              <w:t xml:space="preserve">- </w:t>
            </w:r>
            <w:r>
              <w:rPr>
                <w:rStyle w:val="IndexLink"/>
                <w:rtl w:val="true"/>
              </w:rPr>
              <w:t>سرقت</w:t>
            </w:r>
            <w:r>
              <w:rPr>
                <w:rStyle w:val="IndexLink"/>
                <w:rtl w:val="true"/>
              </w:rPr>
              <w:tab/>
            </w:r>
            <w:r>
              <w:rPr>
                <w:rStyle w:val="IndexLink"/>
              </w:rPr>
              <w:t>518</w:t>
            </w:r>
          </w:hyperlink>
        </w:p>
        <w:p>
          <w:pPr>
            <w:pStyle w:val="Contents6"/>
            <w:tabs>
              <w:tab w:val="clear" w:pos="7609"/>
              <w:tab w:val="right" w:pos="9026" w:leader="dot"/>
            </w:tabs>
            <w:rPr/>
          </w:pPr>
          <w:hyperlink w:anchor="__RefHeading___Toc3586579_3650668749">
            <w:r>
              <w:rPr>
                <w:webHidden/>
                <w:rStyle w:val="IndexLink"/>
                <w:rtl w:val="true"/>
              </w:rPr>
              <w:t xml:space="preserve">دوم </w:t>
            </w:r>
            <w:r>
              <w:rPr>
                <w:rStyle w:val="IndexLink"/>
                <w:rtl w:val="true"/>
              </w:rPr>
              <w:t xml:space="preserve">- </w:t>
            </w:r>
            <w:r>
              <w:rPr>
                <w:rStyle w:val="IndexLink"/>
                <w:rtl w:val="true"/>
              </w:rPr>
              <w:t>محارب</w:t>
            </w:r>
            <w:r>
              <w:rPr>
                <w:rStyle w:val="IndexLink"/>
                <w:rtl w:val="true"/>
              </w:rPr>
              <w:tab/>
            </w:r>
            <w:r>
              <w:rPr>
                <w:rStyle w:val="IndexLink"/>
              </w:rPr>
              <w:t>518</w:t>
            </w:r>
          </w:hyperlink>
        </w:p>
        <w:p>
          <w:pPr>
            <w:pStyle w:val="Contents5"/>
            <w:tabs>
              <w:tab w:val="clear" w:pos="7892"/>
              <w:tab w:val="right" w:pos="9026" w:leader="dot"/>
            </w:tabs>
            <w:rPr/>
          </w:pPr>
          <w:hyperlink w:anchor="__RefHeading___Toc3586581_3650668749">
            <w:r>
              <w:rPr>
                <w:webHidden/>
                <w:rStyle w:val="IndexLink"/>
                <w:rtl w:val="true"/>
              </w:rPr>
              <w:t xml:space="preserve">چهار </w:t>
            </w:r>
            <w:r>
              <w:rPr>
                <w:rStyle w:val="IndexLink"/>
                <w:rtl w:val="true"/>
              </w:rPr>
              <w:t xml:space="preserve">- </w:t>
            </w:r>
            <w:r>
              <w:rPr>
                <w:rStyle w:val="IndexLink"/>
                <w:rtl w:val="true"/>
              </w:rPr>
              <w:t xml:space="preserve">زندان </w:t>
            </w:r>
            <w:r>
              <w:rPr>
                <w:rStyle w:val="IndexLink"/>
                <w:rtl w:val="true"/>
              </w:rPr>
              <w:t>(</w:t>
            </w:r>
            <w:r>
              <w:rPr>
                <w:rStyle w:val="IndexLink"/>
                <w:rtl w:val="true"/>
              </w:rPr>
              <w:t>حبس</w:t>
            </w:r>
            <w:r>
              <w:rPr>
                <w:rStyle w:val="IndexLink"/>
                <w:rtl w:val="true"/>
              </w:rPr>
              <w:t>)</w:t>
              <w:tab/>
            </w:r>
            <w:r>
              <w:rPr>
                <w:rStyle w:val="IndexLink"/>
              </w:rPr>
              <w:t>518</w:t>
            </w:r>
          </w:hyperlink>
        </w:p>
        <w:p>
          <w:pPr>
            <w:pStyle w:val="Contents6"/>
            <w:tabs>
              <w:tab w:val="clear" w:pos="7609"/>
              <w:tab w:val="right" w:pos="9026" w:leader="dot"/>
            </w:tabs>
            <w:rPr/>
          </w:pPr>
          <w:hyperlink w:anchor="__RefHeading___Toc3586583_3650668749">
            <w:r>
              <w:rPr>
                <w:webHidden/>
                <w:rStyle w:val="IndexLink"/>
                <w:rtl w:val="true"/>
              </w:rPr>
              <w:t>اشاره</w:t>
            </w:r>
            <w:r>
              <w:rPr>
                <w:rStyle w:val="IndexLink"/>
                <w:rtl w:val="true"/>
              </w:rPr>
              <w:tab/>
            </w:r>
            <w:r>
              <w:rPr>
                <w:rStyle w:val="IndexLink"/>
              </w:rPr>
              <w:t>518</w:t>
            </w:r>
          </w:hyperlink>
        </w:p>
        <w:p>
          <w:pPr>
            <w:pStyle w:val="Contents6"/>
            <w:tabs>
              <w:tab w:val="clear" w:pos="7609"/>
              <w:tab w:val="right" w:pos="9026" w:leader="dot"/>
            </w:tabs>
            <w:rPr/>
          </w:pPr>
          <w:hyperlink w:anchor="__RefHeading___Toc3586585_3650668749">
            <w:r>
              <w:rPr>
                <w:webHidden/>
                <w:rStyle w:val="IndexLink"/>
                <w:rtl w:val="true"/>
              </w:rPr>
              <w:t xml:space="preserve">اول </w:t>
            </w:r>
            <w:r>
              <w:rPr>
                <w:rStyle w:val="IndexLink"/>
                <w:rtl w:val="true"/>
              </w:rPr>
              <w:t xml:space="preserve">- </w:t>
            </w:r>
            <w:r>
              <w:rPr>
                <w:rStyle w:val="IndexLink"/>
                <w:rtl w:val="true"/>
              </w:rPr>
              <w:t>زندان ابد</w:t>
            </w:r>
            <w:r>
              <w:rPr>
                <w:rStyle w:val="IndexLink"/>
                <w:rtl w:val="true"/>
              </w:rPr>
              <w:tab/>
            </w:r>
            <w:r>
              <w:rPr>
                <w:rStyle w:val="IndexLink"/>
              </w:rPr>
              <w:t>519</w:t>
            </w:r>
          </w:hyperlink>
        </w:p>
        <w:p>
          <w:pPr>
            <w:pStyle w:val="Contents6"/>
            <w:tabs>
              <w:tab w:val="clear" w:pos="7609"/>
              <w:tab w:val="right" w:pos="9026" w:leader="dot"/>
            </w:tabs>
            <w:rPr/>
          </w:pPr>
          <w:hyperlink w:anchor="__RefHeading___Toc3586587_3650668749">
            <w:r>
              <w:rPr>
                <w:webHidden/>
                <w:rStyle w:val="IndexLink"/>
                <w:rtl w:val="true"/>
              </w:rPr>
              <w:t xml:space="preserve">دوم </w:t>
            </w:r>
            <w:r>
              <w:rPr>
                <w:rStyle w:val="IndexLink"/>
                <w:rtl w:val="true"/>
              </w:rPr>
              <w:t xml:space="preserve">- </w:t>
            </w:r>
            <w:r>
              <w:rPr>
                <w:rStyle w:val="IndexLink"/>
                <w:rtl w:val="true"/>
              </w:rPr>
              <w:t>زندان غير ابد</w:t>
            </w:r>
            <w:r>
              <w:rPr>
                <w:rStyle w:val="IndexLink"/>
                <w:rtl w:val="true"/>
              </w:rPr>
              <w:tab/>
            </w:r>
            <w:r>
              <w:rPr>
                <w:rStyle w:val="IndexLink"/>
              </w:rPr>
              <w:t>519</w:t>
            </w:r>
          </w:hyperlink>
        </w:p>
        <w:p>
          <w:pPr>
            <w:pStyle w:val="Contents5"/>
            <w:tabs>
              <w:tab w:val="clear" w:pos="7892"/>
              <w:tab w:val="right" w:pos="9026" w:leader="dot"/>
            </w:tabs>
            <w:rPr/>
          </w:pPr>
          <w:hyperlink w:anchor="__RefHeading___Toc3586589_3650668749">
            <w:r>
              <w:rPr>
                <w:webHidden/>
                <w:rStyle w:val="IndexLink"/>
                <w:rtl w:val="true"/>
              </w:rPr>
              <w:t xml:space="preserve">پنج </w:t>
            </w:r>
            <w:r>
              <w:rPr>
                <w:rStyle w:val="IndexLink"/>
                <w:rtl w:val="true"/>
              </w:rPr>
              <w:t xml:space="preserve">- </w:t>
            </w:r>
            <w:r>
              <w:rPr>
                <w:rStyle w:val="IndexLink"/>
                <w:rtl w:val="true"/>
              </w:rPr>
              <w:t xml:space="preserve">تبعيد </w:t>
            </w:r>
            <w:r>
              <w:rPr>
                <w:rStyle w:val="IndexLink"/>
                <w:rtl w:val="true"/>
              </w:rPr>
              <w:t>(</w:t>
            </w:r>
            <w:r>
              <w:rPr>
                <w:rStyle w:val="IndexLink"/>
                <w:rtl w:val="true"/>
              </w:rPr>
              <w:t>نفي بلد</w:t>
            </w:r>
            <w:r>
              <w:rPr>
                <w:rStyle w:val="IndexLink"/>
                <w:rtl w:val="true"/>
              </w:rPr>
              <w:t>)</w:t>
              <w:tab/>
            </w:r>
            <w:r>
              <w:rPr>
                <w:rStyle w:val="IndexLink"/>
              </w:rPr>
              <w:t>521</w:t>
            </w:r>
          </w:hyperlink>
        </w:p>
        <w:p>
          <w:pPr>
            <w:pStyle w:val="Contents3"/>
            <w:tabs>
              <w:tab w:val="clear" w:pos="8459"/>
              <w:tab w:val="right" w:pos="9026" w:leader="dot"/>
            </w:tabs>
            <w:rPr/>
          </w:pPr>
          <w:hyperlink w:anchor="__RefHeading___Toc3586591_3650668749">
            <w:r>
              <w:rPr>
                <w:webHidden/>
                <w:rStyle w:val="IndexLink"/>
              </w:rPr>
              <w:t>٢</w:t>
            </w:r>
            <w:r>
              <w:rPr>
                <w:rStyle w:val="IndexLink"/>
                <w:rtl w:val="true"/>
              </w:rPr>
              <w:t xml:space="preserve">. </w:t>
            </w:r>
            <w:r>
              <w:rPr>
                <w:rStyle w:val="IndexLink"/>
                <w:rtl w:val="true"/>
              </w:rPr>
              <w:t>شرطه</w:t>
            </w:r>
            <w:r>
              <w:rPr>
                <w:rStyle w:val="IndexLink"/>
                <w:rtl w:val="true"/>
              </w:rPr>
              <w:tab/>
            </w:r>
            <w:r>
              <w:rPr>
                <w:rStyle w:val="IndexLink"/>
              </w:rPr>
              <w:t>521</w:t>
            </w:r>
          </w:hyperlink>
        </w:p>
        <w:p>
          <w:pPr>
            <w:pStyle w:val="Contents3"/>
            <w:tabs>
              <w:tab w:val="clear" w:pos="8459"/>
              <w:tab w:val="right" w:pos="9026" w:leader="dot"/>
            </w:tabs>
            <w:rPr/>
          </w:pPr>
          <w:hyperlink w:anchor="__RefHeading___Toc3586593_3650668749">
            <w:r>
              <w:rPr>
                <w:webHidden/>
                <w:rStyle w:val="IndexLink"/>
              </w:rPr>
              <w:t>٣</w:t>
            </w:r>
            <w:r>
              <w:rPr>
                <w:rStyle w:val="IndexLink"/>
                <w:rtl w:val="true"/>
              </w:rPr>
              <w:t xml:space="preserve">. </w:t>
            </w:r>
            <w:r>
              <w:rPr>
                <w:rStyle w:val="IndexLink"/>
                <w:rtl w:val="true"/>
              </w:rPr>
              <w:t>مقامات ادار‌ى شهر كوفه</w:t>
            </w:r>
            <w:r>
              <w:rPr>
                <w:rStyle w:val="IndexLink"/>
                <w:rtl w:val="true"/>
              </w:rPr>
              <w:tab/>
            </w:r>
            <w:r>
              <w:rPr>
                <w:rStyle w:val="IndexLink"/>
              </w:rPr>
              <w:t>523</w:t>
            </w:r>
          </w:hyperlink>
        </w:p>
        <w:p>
          <w:pPr>
            <w:pStyle w:val="Contents4"/>
            <w:tabs>
              <w:tab w:val="clear" w:pos="8176"/>
              <w:tab w:val="right" w:pos="9026" w:leader="dot"/>
            </w:tabs>
            <w:rPr/>
          </w:pPr>
          <w:hyperlink w:anchor="__RefHeading___Toc3586595_3650668749">
            <w:r>
              <w:rPr>
                <w:webHidden/>
                <w:rStyle w:val="IndexLink"/>
                <w:rtl w:val="true"/>
              </w:rPr>
              <w:t>اشاره</w:t>
            </w:r>
            <w:r>
              <w:rPr>
                <w:rStyle w:val="IndexLink"/>
                <w:rtl w:val="true"/>
              </w:rPr>
              <w:tab/>
            </w:r>
            <w:r>
              <w:rPr>
                <w:rStyle w:val="IndexLink"/>
              </w:rPr>
              <w:t>523</w:t>
            </w:r>
          </w:hyperlink>
        </w:p>
        <w:p>
          <w:pPr>
            <w:pStyle w:val="Contents4"/>
            <w:tabs>
              <w:tab w:val="clear" w:pos="8176"/>
              <w:tab w:val="right" w:pos="9026" w:leader="dot"/>
            </w:tabs>
            <w:rPr/>
          </w:pPr>
          <w:hyperlink w:anchor="__RefHeading___Toc3586597_3650668749">
            <w:r>
              <w:rPr>
                <w:webHidden/>
                <w:rStyle w:val="IndexLink"/>
                <w:rtl w:val="true"/>
              </w:rPr>
              <w:t>الف</w:t>
            </w:r>
            <w:r>
              <w:rPr>
                <w:rStyle w:val="IndexLink"/>
                <w:rtl w:val="true"/>
              </w:rPr>
              <w:t xml:space="preserve">) </w:t>
            </w:r>
            <w:r>
              <w:rPr>
                <w:rStyle w:val="IndexLink"/>
                <w:rtl w:val="true"/>
              </w:rPr>
              <w:t>والى</w:t>
            </w:r>
            <w:r>
              <w:rPr>
                <w:rStyle w:val="IndexLink"/>
                <w:rtl w:val="true"/>
              </w:rPr>
              <w:tab/>
            </w:r>
            <w:r>
              <w:rPr>
                <w:rStyle w:val="IndexLink"/>
              </w:rPr>
              <w:t>523</w:t>
            </w:r>
          </w:hyperlink>
        </w:p>
        <w:p>
          <w:pPr>
            <w:pStyle w:val="Contents4"/>
            <w:tabs>
              <w:tab w:val="clear" w:pos="8176"/>
              <w:tab w:val="right" w:pos="9026" w:leader="dot"/>
            </w:tabs>
            <w:rPr/>
          </w:pPr>
          <w:hyperlink w:anchor="__RefHeading___Toc3586599_3650668749">
            <w:r>
              <w:rPr>
                <w:webHidden/>
                <w:rStyle w:val="IndexLink"/>
                <w:rtl w:val="true"/>
              </w:rPr>
              <w:t>ب</w:t>
            </w:r>
            <w:r>
              <w:rPr>
                <w:rStyle w:val="IndexLink"/>
                <w:rtl w:val="true"/>
              </w:rPr>
              <w:t xml:space="preserve">) </w:t>
            </w:r>
            <w:r>
              <w:rPr>
                <w:rStyle w:val="IndexLink"/>
                <w:rtl w:val="true"/>
              </w:rPr>
              <w:t>رئيسان اسباع و ارباع</w:t>
            </w:r>
            <w:r>
              <w:rPr>
                <w:rStyle w:val="IndexLink"/>
                <w:rtl w:val="true"/>
              </w:rPr>
              <w:tab/>
            </w:r>
            <w:r>
              <w:rPr>
                <w:rStyle w:val="IndexLink"/>
              </w:rPr>
              <w:t>528</w:t>
            </w:r>
          </w:hyperlink>
        </w:p>
        <w:p>
          <w:pPr>
            <w:pStyle w:val="Contents4"/>
            <w:tabs>
              <w:tab w:val="clear" w:pos="8176"/>
              <w:tab w:val="right" w:pos="9026" w:leader="dot"/>
            </w:tabs>
            <w:rPr/>
          </w:pPr>
          <w:hyperlink w:anchor="__RefHeading___Toc3586601_3650668749">
            <w:r>
              <w:rPr>
                <w:webHidden/>
                <w:rStyle w:val="IndexLink"/>
                <w:rtl w:val="true"/>
              </w:rPr>
              <w:t>ج</w:t>
            </w:r>
            <w:r>
              <w:rPr>
                <w:rStyle w:val="IndexLink"/>
                <w:rtl w:val="true"/>
              </w:rPr>
              <w:t xml:space="preserve">) </w:t>
            </w:r>
            <w:r>
              <w:rPr>
                <w:rStyle w:val="IndexLink"/>
                <w:rtl w:val="true"/>
              </w:rPr>
              <w:t>عرفا</w:t>
            </w:r>
            <w:r>
              <w:rPr>
                <w:rStyle w:val="IndexLink"/>
                <w:rtl w:val="true"/>
              </w:rPr>
              <w:tab/>
            </w:r>
            <w:r>
              <w:rPr>
                <w:rStyle w:val="IndexLink"/>
              </w:rPr>
              <w:t>532</w:t>
            </w:r>
          </w:hyperlink>
        </w:p>
        <w:p>
          <w:pPr>
            <w:pStyle w:val="Contents4"/>
            <w:tabs>
              <w:tab w:val="clear" w:pos="8176"/>
              <w:tab w:val="right" w:pos="9026" w:leader="dot"/>
            </w:tabs>
            <w:rPr/>
          </w:pPr>
          <w:hyperlink w:anchor="__RefHeading___Toc3586603_3650668749">
            <w:r>
              <w:rPr>
                <w:webHidden/>
                <w:rStyle w:val="IndexLink"/>
                <w:rtl w:val="true"/>
              </w:rPr>
              <w:t>د</w:t>
            </w:r>
            <w:r>
              <w:rPr>
                <w:rStyle w:val="IndexLink"/>
                <w:rtl w:val="true"/>
              </w:rPr>
              <w:t xml:space="preserve">) </w:t>
            </w:r>
            <w:r>
              <w:rPr>
                <w:rStyle w:val="IndexLink"/>
                <w:rtl w:val="true"/>
              </w:rPr>
              <w:t>مناكب</w:t>
            </w:r>
            <w:r>
              <w:rPr>
                <w:rStyle w:val="IndexLink"/>
                <w:rtl w:val="true"/>
              </w:rPr>
              <w:tab/>
            </w:r>
            <w:r>
              <w:rPr>
                <w:rStyle w:val="IndexLink"/>
              </w:rPr>
              <w:t>535</w:t>
            </w:r>
          </w:hyperlink>
        </w:p>
        <w:p>
          <w:pPr>
            <w:pStyle w:val="Contents4"/>
            <w:tabs>
              <w:tab w:val="clear" w:pos="8176"/>
              <w:tab w:val="right" w:pos="9026" w:leader="dot"/>
            </w:tabs>
            <w:rPr/>
          </w:pPr>
          <w:hyperlink w:anchor="__RefHeading___Toc3586605_3650668749">
            <w:r>
              <w:rPr>
                <w:webHidden/>
                <w:rStyle w:val="IndexLink"/>
                <w:rtl w:val="true"/>
              </w:rPr>
              <w:t>ه</w:t>
            </w:r>
            <w:r>
              <w:rPr>
                <w:rStyle w:val="IndexLink"/>
                <w:rtl w:val="true"/>
              </w:rPr>
              <w:t xml:space="preserve">) </w:t>
            </w:r>
            <w:r>
              <w:rPr>
                <w:rStyle w:val="IndexLink"/>
                <w:rtl w:val="true"/>
              </w:rPr>
              <w:t>سرپرست بيت‌المال</w:t>
            </w:r>
            <w:r>
              <w:rPr>
                <w:rStyle w:val="IndexLink"/>
                <w:rtl w:val="true"/>
              </w:rPr>
              <w:tab/>
            </w:r>
            <w:r>
              <w:rPr>
                <w:rStyle w:val="IndexLink"/>
              </w:rPr>
              <w:t>535</w:t>
            </w:r>
          </w:hyperlink>
        </w:p>
        <w:p>
          <w:pPr>
            <w:pStyle w:val="Contents4"/>
            <w:tabs>
              <w:tab w:val="clear" w:pos="8176"/>
              <w:tab w:val="right" w:pos="9026" w:leader="dot"/>
            </w:tabs>
            <w:rPr/>
          </w:pPr>
          <w:hyperlink w:anchor="__RefHeading___Toc3586607_3650668749">
            <w:r>
              <w:rPr>
                <w:webHidden/>
                <w:rStyle w:val="IndexLink"/>
                <w:rtl w:val="true"/>
              </w:rPr>
              <w:t>و</w:t>
            </w:r>
            <w:r>
              <w:rPr>
                <w:rStyle w:val="IndexLink"/>
                <w:rtl w:val="true"/>
              </w:rPr>
              <w:t xml:space="preserve">) </w:t>
            </w:r>
            <w:r>
              <w:rPr>
                <w:rStyle w:val="IndexLink"/>
                <w:rtl w:val="true"/>
              </w:rPr>
              <w:t>سرپرست ديوان خراج</w:t>
            </w:r>
            <w:r>
              <w:rPr>
                <w:rStyle w:val="IndexLink"/>
                <w:rtl w:val="true"/>
              </w:rPr>
              <w:tab/>
            </w:r>
            <w:r>
              <w:rPr>
                <w:rStyle w:val="IndexLink"/>
              </w:rPr>
              <w:t>536</w:t>
            </w:r>
          </w:hyperlink>
        </w:p>
        <w:p>
          <w:pPr>
            <w:pStyle w:val="Contents4"/>
            <w:tabs>
              <w:tab w:val="clear" w:pos="8176"/>
              <w:tab w:val="right" w:pos="9026" w:leader="dot"/>
            </w:tabs>
            <w:rPr/>
          </w:pPr>
          <w:hyperlink w:anchor="__RefHeading___Toc3586609_3650668749">
            <w:r>
              <w:rPr>
                <w:webHidden/>
                <w:rStyle w:val="IndexLink"/>
                <w:rtl w:val="true"/>
              </w:rPr>
              <w:t>ز</w:t>
            </w:r>
            <w:r>
              <w:rPr>
                <w:rStyle w:val="IndexLink"/>
                <w:rtl w:val="true"/>
              </w:rPr>
              <w:t xml:space="preserve">) </w:t>
            </w:r>
            <w:r>
              <w:rPr>
                <w:rStyle w:val="IndexLink"/>
                <w:rtl w:val="true"/>
              </w:rPr>
              <w:t>كاتبان و منشيان</w:t>
            </w:r>
            <w:r>
              <w:rPr>
                <w:rStyle w:val="IndexLink"/>
                <w:rtl w:val="true"/>
              </w:rPr>
              <w:tab/>
            </w:r>
            <w:r>
              <w:rPr>
                <w:rStyle w:val="IndexLink"/>
              </w:rPr>
              <w:t>537</w:t>
            </w:r>
          </w:hyperlink>
        </w:p>
        <w:p>
          <w:pPr>
            <w:pStyle w:val="Contents2"/>
            <w:tabs>
              <w:tab w:val="clear" w:pos="8743"/>
              <w:tab w:val="right" w:pos="9026" w:leader="dot"/>
            </w:tabs>
            <w:rPr/>
          </w:pPr>
          <w:hyperlink w:anchor="__RefHeading___Toc3586611_3650668749">
            <w:r>
              <w:rPr>
                <w:webHidden/>
                <w:rStyle w:val="IndexLink"/>
                <w:rtl w:val="true"/>
              </w:rPr>
              <w:t>كتابنامه</w:t>
            </w:r>
            <w:r>
              <w:rPr>
                <w:rStyle w:val="IndexLink"/>
                <w:rtl w:val="true"/>
              </w:rPr>
              <w:tab/>
            </w:r>
            <w:r>
              <w:rPr>
                <w:rStyle w:val="IndexLink"/>
              </w:rPr>
              <w:t>540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4_19435"/>
      <w:bookmarkStart w:id="1" w:name="pg1964_19435"/>
      <w:bookmarkEnd w:id="1"/>
    </w:p>
    <w:p>
      <w:pPr>
        <w:pStyle w:val="Heading2"/>
        <w:numPr>
          <w:ilvl w:val="1"/>
          <w:numId w:val="1"/>
        </w:numPr>
        <w:rPr/>
      </w:pPr>
      <w:bookmarkStart w:id="2" w:name="pg1964_19435"/>
      <w:bookmarkStart w:id="3" w:name="__RefHeading___Toc3584409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ص‍ف‍ري‌ ف‍روش‍ان‍ي‌، ن‍ع‍م‍ت‌ال‍ل‍ه‌، ‏</w:t>
      </w:r>
      <w:r>
        <w:rPr>
          <w:rFonts w:ascii="Amiri" w:hAnsi="Amiri" w:eastAsia="Amiri" w:cs="Amiri"/>
          <w:color w:val="111111"/>
          <w:sz w:val="28"/>
          <w:sz w:val="28"/>
          <w:szCs w:val="28"/>
          <w:lang w:bidi="ar-SA"/>
        </w:rPr>
        <w:t>‫۱۳۴۶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از پيدايش تا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نعمت‌الله صفري‌فروشاني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۶۱۸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۸۰۰۰۰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978-964-540-362-9: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۵۴۷</w:t>
      </w:r>
      <w:r>
        <w:rPr>
          <w:rFonts w:ascii="IRNazanin" w:hAnsi="IRNazanin" w:eastAsia="IRNazanin"/>
          <w:color w:val="111111"/>
          <w:sz w:val="28"/>
          <w:sz w:val="28"/>
          <w:szCs w:val="28"/>
          <w:rtl w:val="true"/>
          <w:lang w:bidi="fa-IR"/>
        </w:rPr>
        <w:t>؛ همچنين به‌صورت زيرنويس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DS</w:t>
      </w:r>
      <w:r>
        <w:rPr>
          <w:rFonts w:ascii="Amiri" w:hAnsi="Amiri" w:eastAsia="Amiri" w:cs="Amiri"/>
          <w:color w:val="111111"/>
          <w:sz w:val="28"/>
          <w:sz w:val="28"/>
          <w:szCs w:val="28"/>
          <w:lang w:bidi="ar-SA"/>
        </w:rPr>
        <w:t>۷۹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 xml:space="preserve">۹‭‬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ك۹‏</w:t>
      </w:r>
      <w:r>
        <w:rPr>
          <w:rFonts w:ascii="Amiri" w:hAnsi="Amiri" w:eastAsia="Amiri" w:cs="Amiri"/>
          <w:color w:val="111111"/>
          <w:sz w:val="28"/>
          <w:sz w:val="28"/>
          <w:szCs w:val="28"/>
          <w:lang w:bidi="ar-SA"/>
        </w:rPr>
        <w:t>‫‭‏</w:t>
      </w:r>
      <w:r>
        <w:rPr>
          <w:rFonts w:ascii="Amiri" w:hAnsi="Amiri" w:eastAsia="Amiri" w:cs="Amiri"/>
          <w:color w:val="111111"/>
          <w:sz w:val="28"/>
          <w:sz w:val="28"/>
          <w:szCs w:val="28"/>
          <w:lang w:bidi="ar-SA"/>
        </w:rPr>
        <w:t>‫‭ص۷ ۱۳۹۱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۲۷۳۵۲۹۶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84411_3650668749"/>
      <w:bookmarkStart w:id="6" w:name="_Toc2"/>
      <w:bookmarkEnd w:id="5"/>
      <w:r>
        <w:rPr>
          <w:rtl w:val="true"/>
        </w:rPr>
        <w:t>اشاره</w:t>
      </w:r>
      <w:bookmarkStart w:id="7" w:name="pg1964_19445"/>
      <w:bookmarkEnd w:id="6"/>
    </w:p>
    <w:p>
      <w:pPr>
        <w:pStyle w:val="Heading2"/>
        <w:numPr>
          <w:ilvl w:val="1"/>
          <w:numId w:val="1"/>
        </w:numPr>
        <w:rPr/>
      </w:pPr>
      <w:bookmarkStart w:id="8" w:name="__RefHeading___Toc3584413_3650668749"/>
      <w:bookmarkStart w:id="9" w:name="_Toc3"/>
      <w:bookmarkEnd w:id="7"/>
      <w:bookmarkEnd w:id="8"/>
      <w:r>
        <w:rPr>
          <w:rtl w:val="true"/>
        </w:rPr>
        <w:t>ديباچه</w:t>
      </w:r>
      <w:bookmarkEnd w:id="9"/>
    </w:p>
    <w:p>
      <w:pPr>
        <w:pStyle w:val="BookText"/>
        <w:rPr/>
      </w:pPr>
      <w:r>
        <w:rPr>
          <w:rFonts w:ascii="Amiri" w:hAnsi="Amiri" w:eastAsia="Amiri" w:cs="Amiri"/>
          <w:color w:val="111111"/>
          <w:sz w:val="28"/>
          <w:sz w:val="28"/>
          <w:szCs w:val="28"/>
          <w:rtl w:val="true"/>
          <w:lang w:bidi="ar-SA"/>
        </w:rPr>
        <w:t xml:space="preserve">كوفه از زمان تأسيس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زمان شهادت سبط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موضوع اين نوشتار است، آبستن حوادث بسيار مهمى بوده كه بخش عمده اين حوادث مربوط به شيعيان اين شهر است و هر يك از آن حوادث نقطه عطفى در تاريخ سياسى اسلام به شمار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حوادث مهم اواخر نيمه نخست قرن اول، حكومت امير مؤمنان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چهار و اندى سال سكان‌دار امامت و خلافت جامعه اسلامى بود و بر احياى سنت‌هاى فراموش‌شده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گماشت و در اين راه ناملايمات فراوانى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نيز صلح امام حسن مجتبى و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حوادث تاريخى اين شهر است كه خود، حوادث مهمى را در پى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و دوست‌داران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اين حوادث توجه مى‌كردند و به جهت علاقه‌مندى به اين خاندان كتاب‌هاى فراوانى را پيرامون اين شهر و رويدادهاى آن نوشته‌اند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حاضر كه به قلم محقق ارجمند، جناب آقاى دكتر نعمت الله صفرى نگاشته شده است، رويكردى جديد به اين شهر پرحادثه است كه در آن علاوه بر بررسى و تحليل حوادث به كاوش در جوانب مختلف بسترهاى سياسى، اجتماعى، اقتصادى، قضايى، نظامى و فرهنگى اين شهر پرداخته و چهره منسجمى از حوادث تاريخى را ارائه كرده و افق‌هاى جديدى را پيش روى پژوهشگران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ويژگى‌هاى اين كتاب، پرداختن به مباحث تمدنى همچون علوم، ادبيات، تشكيلات معمارى و شهرسازى و استفاده از حفارى‌هاى باستان‌شناسان غربى و عربى است كه براى ترسيم وضعيت اجتماعى، فرهنگى، سياسى و اقتصادى كوفه انجام داده‌اند و نتايج اين مطالعات در قسمت‌هاى مختلف اين تحقيق، همراه با نقشه‌ها و تصاوير،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كه با همه تلاش علمى محقق محترم، هر متنى ممكن است، داراى معايبى باشد كه جهت رفع آنها پنجره ديدگانمان را به سوى رهنمودهاى سودمند محققان و پژوهشگران مى‌گشاييم و اميدواريم كه با ارسال پيشنهاد و انتقادات خود ما را در تكميل و ارتقاى سطح علمى اين متن يارى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لازم است از زحمات بى‌شائبه پژوهشگر ارجمند، جناب آقاى دكتر صفرى و تمام كسانى كه در به ثمر رساندن اين اثر تلاش كردند، سپاسگزارى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پژوهشكده حج و زيارت</w:t>
      </w:r>
      <w:bookmarkStart w:id="10" w:name="pg1964_19447"/>
    </w:p>
    <w:p>
      <w:pPr>
        <w:pStyle w:val="Heading2"/>
        <w:numPr>
          <w:ilvl w:val="1"/>
          <w:numId w:val="1"/>
        </w:numPr>
        <w:rPr/>
      </w:pPr>
      <w:bookmarkStart w:id="11" w:name="__RefHeading___Toc3584415_3650668749"/>
      <w:bookmarkStart w:id="12" w:name="_Toc4"/>
      <w:bookmarkEnd w:id="10"/>
      <w:bookmarkEnd w:id="11"/>
      <w:r>
        <w:rPr>
          <w:rtl w:val="true"/>
        </w:rPr>
        <w:t>تشكر</w:t>
      </w:r>
      <w:bookmarkEnd w:id="12"/>
    </w:p>
    <w:p>
      <w:pPr>
        <w:pStyle w:val="BookText"/>
        <w:rPr/>
      </w:pPr>
      <w:r>
        <w:rPr>
          <w:rFonts w:ascii="Amiri" w:hAnsi="Amiri" w:eastAsia="Amiri" w:cs="Amiri"/>
          <w:color w:val="111111"/>
          <w:sz w:val="28"/>
          <w:sz w:val="28"/>
          <w:szCs w:val="28"/>
          <w:rtl w:val="true"/>
          <w:lang w:bidi="ar-SA"/>
        </w:rPr>
        <w:t>مَنْ شَكَرَ فَإِنَّما يَشْكُرُ لِنَفْسِهِ</w:t>
      </w:r>
    </w:p>
    <w:p>
      <w:pPr>
        <w:pStyle w:val="BookText"/>
        <w:rPr/>
      </w:pPr>
      <w:r>
        <w:rPr>
          <w:rFonts w:ascii="IRNazanin" w:hAnsi="IRNazanin" w:eastAsia="IRNazanin"/>
          <w:color w:val="111111"/>
          <w:sz w:val="28"/>
          <w:sz w:val="28"/>
          <w:szCs w:val="28"/>
          <w:rtl w:val="true"/>
          <w:lang w:bidi="fa-IR"/>
        </w:rPr>
        <w:t>پس از حمد و ثناى الهى وساييدن جبين شكر بر درگاه آن يكتا، و فرستادن صلوات و درود بر محمد واهل بيت گرامى‌اش، يادآور مى‌شوم كه اثر حاضر را هر چند به اعتبار نويسنده‌اش ناچيز بدانيم، اما نمى‌توان همين ناچيز را تنها به يك فرد منتسب دانست، بلكه در فرآيند پديد آمدن آن، بزرگوارانى نقش داشته‌اند كه تقدير و تشكر از هم آنان را وظيف خود 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حجج اسلام سيدمجيد پورطباطبايى و عبدالله عرب‌زاده به جهت ارائه طرح اوليه اين اثر، جناب استاد محمد الله‌اكبرى به جهت ارزيابى علمى اثر و ارائه تذكرات سودمند، حجت الاسلام عليرضا شالباف به جهت زحمت طاقت فرساى وى در مسير بازبينى و ويراستارى دقيق اين نوشتارو نيز تذكرات علمى ايشان، جناب آقاى عسكرى به واسط تايپ دقيق آن و برادر بزرگوار حجت الاسلام رمضان محمدى، به جهت مطالعه و ارزيابى و پيگيرى مجدّانه براى چاپ اين اثر تقدير و تشكر فراوان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لازم مى‌دانم از جناب آقاى مهدى حيدرى در پژوهشكده حج به جهت پيگيرى‌هاى مداوم ايشان و فاضل ارجمند جناب آقاى سيد على علوى به جهت زحمات طاقت‌فرساى ايشان در تنظيم و تهيه تصاوير تشكر نمايم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تشكر ويژه خود را از مسئولان و دست اندركاران بعث مقام معظم</w:t>
      </w:r>
    </w:p>
    <w:p>
      <w:pPr>
        <w:pStyle w:val="BookText"/>
        <w:rPr/>
      </w:pPr>
      <w:r>
        <w:rPr>
          <w:rFonts w:ascii="IRNazanin" w:hAnsi="IRNazanin" w:eastAsia="IRNazanin"/>
          <w:color w:val="111111"/>
          <w:sz w:val="28"/>
          <w:sz w:val="28"/>
          <w:szCs w:val="28"/>
          <w:rtl w:val="true"/>
          <w:lang w:bidi="fa-IR"/>
        </w:rPr>
        <w:t>رهبرى در امور روحانيون و به ويژه مسئولان پژوهشكده حج و زيارت و نيز مسئولان و كاركنان انتشارات مشعر ابراز 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 است كه اين اثر بدون توجهات و تأكيدات شخصيت‌هاى همچون جناب حجت الاسلام والمسلمين سيدعلى قاضى عسكر نماينده محترم ولى فقيه در امور حج و زيارت، جناب آقاى دكتر اسحاقى مسئول سابق مركز تحقيقات حج و جناب حجت الاسلام والمسلمين بيات معاونت كنونى پژوهشكده امكان چاپ بدين‌صورت نمى‌يافت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لازم مى‌دانم از جشنوار بين‌المللى فارابى و نيز بنياد ملى نخبگان كه طرح اين اثر را مورد حمايت قرار داده‌اند، تشكر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متذكر مى‌شوم كه نگارش اوليه اين اثر اوايل دهه هفتاد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راستاى كليد خوردن پروژه ناتمام سريال امام حسين انجام گرفت كه با تغييراتى نه‌چندان كلى و با حفظ همان حال و هواى آن دور اينجانب، هم‌اكنون با تلاش سروران سابق‌الذكر و به‌ويژه دست‌اندركاران پژوهشكده حج و زيارت پا به عرص انتشار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لازم مى‌دانم از پدر و مادر گراميم كه مرا در اين مسير تشويق كردند، همسر گرامى‌ام كه با فداكارى‌اش امكان پديدارى اين اثر را فراهم كرد و فرزندانم كه با بردبارى مشكلات تحميل شده در طى نگارش اين اثر را تحمل نمودند، تشكر و قدردانى بنمايم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الله صفرى فروشانى</w:t>
      </w:r>
      <w:bookmarkStart w:id="13" w:name="pg1964_19449"/>
    </w:p>
    <w:p>
      <w:pPr>
        <w:pStyle w:val="Heading2"/>
        <w:numPr>
          <w:ilvl w:val="1"/>
          <w:numId w:val="1"/>
        </w:numPr>
        <w:rPr/>
      </w:pPr>
      <w:bookmarkStart w:id="14" w:name="__RefHeading___Toc3584417_3650668749"/>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شهر كوفه در طول حيات پرفراز و نشيب خود، بستر حوادث و جريانات فراوانى بوده است، برخى از اين حوادث، نقطه عطفى براى تاريخ سياسى و فرهنگى دنياى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بخش عمده‌اى از كشور پهناور ايران به دست كوفه‌نشينان، نقش كوفيان در حوادث سه ده نخستين اسلامى به‌ويژه در ماجراى قتل عثمان، پديد آمدن جريانات مختلف سياسى، فقهى، حديثى و كلامى در اين شهر، مركزيت اين شهر براى قيام‌هاى عمده ضدّ اموى و بالاخره نقش كوفيان در برپايى دولت عباسى، تنها بخش كوچكى از مشاهدات اين شهر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شايد بتوان گفت مهم‌ترين حوادث تأثيرگذار، در نيمه اول دوران حيات اين شهر بوده است كه اهميت اين نكته هنگامى هويدا مى‌شود كه دريابيم بخش عمده‌اى از اين حوادث مرتبط با شيعيان و به‌ويژه سه امام نخستين شيعه، مى‌باشد كه از آن جمله مى‌توان به جريانات و حوادث دوران حكومت چهار واندى ساله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شهر، وقوع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باره اين سه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به‌ويژه امام اول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عُمر آن بزرگواران، نوشته‌هاى زيادى عرضه شده است، اما نوشته‌اى جامع كه به بررسى جوانب مختلف بسترهاى سياسى، اجتماعى، فرهنگى و اقتصادى زمانه آنها بپردازد، كمتر مشاهده شده است؛ به‌ويژه آنكه اين بسترشناسى، خاص‌تر باشد و فقط يك شهر را، آن‌هم در دوره‌اى معين، مدنظر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را نبايد پنهان كرد كه به‌ويژه با رويكردهاى جديدى كه در مطالعات علمى تاريخى پديد آمده است، نمى‌توان تنها با نقل‌هاى تاريخى به بررسى و تحليل حوادث پرداخت و عمق آنها را دريافت؛ بلكه شرط لازم عرض تحليل‌هاى قوى و عميق، تسلّط نسبى بر جامعه‌شناسى تاريخى زمان وقوع حوادث از جوانب مختلف است؛ چرا كه با شناخت بسترهاى اجتماعى، سياسى، فرهنگى و اقتصادى جوامع مورد بحث، در مقطع تاريخى مورد نظر مى‌توان به لايه‌هاى زيرين حوادث تاريخى نفوذ كرده و تحليل عميق‌ترى را از اين آبشخور در معرض ديد قرار داد و حتى بدين وسيله برخى حلقه‌هاى مفقود شده نقل‌هاى تاريخى را كشف و چهره منسجمى از حوادث را عرضه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 حاضر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 از پيدايش تا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نه به سبك تاريخى و رعايت ترتيب زمانى حوادث، بلكه به شيو موضوعى، شهر كوفه را به عنوان موضوع مطالع خود برگزيده است و مقطع زمانى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يعنى از سال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تأسيس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قيام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قلمرو زمانى خود انتخاب كرده و جوانب مختلف جغرافيايى، عمرانى، اجتماعى، اقتصادى، فرهنگى، نظامى، قضايى را مد نظر خود قرار داده و حتى از آداب و رسوم مردمان اين شهر در اين مقطع زمانى غافل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نگارنده آن است كه تحليل عميق و شناخت دقيق زندگانى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در بعد تاريخى بدون شناخت بسترهاى مختلف امكان‌پذير نمى‌باشد و ازاين‌رو معتقد به تجديد نظر كلّى در هم نوشته‌هاى فاقد اين‌گونه مطالعات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گسترش اين نوع مطالعات افق‌هاى جديدى را پيش‌چشم پژوهشگر مى‌گشايد كه افزون بر تازگى، واقعگراتر است و بر نقاط مبهم و تاريك تاريخى كه نقل‌ها از گزارش آن ناتوانند، پرتو مى‌افكند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رويكرد مى‌توان به فهم دقيق‌تر خطبه‌هاى تاريخى نهج البلاغه، موضع‌گيرى‌هاى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برابر كوفيان، به‌ويژه مواضع به ظاهر متناقض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آنها،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قيام عاشورا دست يافت</w:t>
      </w:r>
      <w:r>
        <w:rPr>
          <w:rFonts w:eastAsia="IRNazanin" w:cs="IRNazanin"/>
          <w:color w:val="111111"/>
          <w:sz w:val="28"/>
          <w:szCs w:val="28"/>
          <w:rtl w:val="true"/>
          <w:lang w:bidi="fa-IR"/>
        </w:rPr>
        <w:t>.</w:t>
      </w:r>
      <w:bookmarkStart w:id="16" w:name="pg1964_19451"/>
    </w:p>
    <w:p>
      <w:pPr>
        <w:pStyle w:val="BookText"/>
        <w:rPr/>
      </w:pPr>
      <w:bookmarkEnd w:id="16"/>
      <w:r>
        <w:rPr>
          <w:rFonts w:ascii="IRNazanin" w:hAnsi="IRNazanin" w:eastAsia="IRNazanin"/>
          <w:color w:val="111111"/>
          <w:sz w:val="28"/>
          <w:sz w:val="28"/>
          <w:szCs w:val="28"/>
          <w:rtl w:val="true"/>
          <w:lang w:bidi="fa-IR"/>
        </w:rPr>
        <w:t>گرچه نويسنده معتقد است كه نهايت تلاش خود را در اين راه جديد به كار بسته است؛ اما نبايد اين نكته را از نظر دور داشت كه هر چه باشد، اين گام، از اولين گام‌هاست و طبيعتاً نقايص گام‌هاى نخستين پژوهش دامنگير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نقصان به‌ويژه در بخش‌هاى فرهنگى و اجتماعى بيشتر رخ مى‌نمايد و در همين‌جا از محققان و پژوهشگران حوز تاريخ اسلام انتظار دارد كه ضمن تذكر معايب كار، در گسترش اين نوع كارها، در كنار كارهاى نقلى، بكوشند</w:t>
      </w:r>
      <w:r>
        <w:rPr>
          <w:rFonts w:eastAsia="IRNazanin" w:cs="IRNazanin"/>
          <w:color w:val="111111"/>
          <w:sz w:val="28"/>
          <w:szCs w:val="28"/>
          <w:rtl w:val="true"/>
          <w:lang w:bidi="fa-IR"/>
        </w:rPr>
        <w:t>.</w:t>
      </w:r>
    </w:p>
    <w:p>
      <w:pPr>
        <w:pStyle w:val="Heading2"/>
        <w:numPr>
          <w:ilvl w:val="1"/>
          <w:numId w:val="1"/>
        </w:numPr>
        <w:rPr/>
      </w:pPr>
      <w:bookmarkStart w:id="17" w:name="__RefHeading___Toc3584419_3650668749"/>
      <w:bookmarkStart w:id="18" w:name="_Toc6"/>
      <w:bookmarkEnd w:id="17"/>
      <w:r>
        <w:rPr>
          <w:rtl w:val="true"/>
        </w:rPr>
        <w:t>گذر‌ى بر منابع</w:t>
      </w:r>
      <w:bookmarkEnd w:id="18"/>
    </w:p>
    <w:p>
      <w:pPr>
        <w:pStyle w:val="BookText"/>
        <w:rPr/>
      </w:pPr>
      <w:r>
        <w:rPr>
          <w:rFonts w:ascii="IRNazanin" w:hAnsi="IRNazanin" w:eastAsia="IRNazanin"/>
          <w:color w:val="111111"/>
          <w:sz w:val="28"/>
          <w:sz w:val="28"/>
          <w:szCs w:val="28"/>
          <w:rtl w:val="true"/>
          <w:lang w:bidi="fa-IR"/>
        </w:rPr>
        <w:t>شايد به علّت جديد بودن اين نوع مطالعات، تصور شود كه در منابع كهن نتوان به مواد لازم براى استفاده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عمده مواد خام اين نوشته از منابع كهن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لابلاى نقل‌هاى منابع تاريخى همچون تاريخ 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الطوال، ابو حنيفه دينورى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الامامة و السياسة منسوب به ابن قتيبه، الغارات ثقفى، مروج الذهب مسعودى </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به ظرافت، بسيارى از مواد لازم را، به‌ويژه در بخش‌هاى نظامى، اقتصادى، اجتماعى و فرهنگى به دست آورد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كتاب‌هايى همچون انساب الاشراف 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الكبرى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آگاهى‌بخشى در جوانب ديگر، از بهترين منابع براى شناخت وضعيت فرهنگى است، همچنان‌كه ديگر كتب طبقات‌نگارى همچون طبقات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خياط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راستا ياريگر پژوهشگر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گفت مهم‌ترين كتاب‌ها براى شناخت وضعيت فرهنگى كتاب‌هاى تاريخ محلى، همانند تاريخ بغداد خطيب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تاريخ دمشق ابن‌عساكر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به‌ويژه در بخش شرح حال ائمه سه‌گانه نخستين شيعه، مطالب ارزشمندى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مرورى بر كتب حديثى به‌ويژه منابع حديثى شيعه، نكاتى به دست آمد كه در نگاه اوليه چنين استفاده‌اى غير قابل باور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اين بخش نبايد از كتب مقاتل به‌ويژه مقتل نگارى‌هاى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همچون مقتل ابى مخنف </w:t>
      </w:r>
      <w:r>
        <w:rPr>
          <w:rStyle w:val="FootnoteAnchor"/>
          <w:rtl w:val="true"/>
        </w:rPr>
        <w:footnoteReference w:id="2"/>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مقتل خوارزمى غافل ماند، همچنان‌كه مقاتل عام‌تر همچون مقاتل الطالبيين ابوالفرج اصفهانى نيز مطالب فراوانى براى عرضه در اين عرصه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راستا از كتاب‌هاى بحارالانوارا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جامع كتب حديثى متقدم شيعه بودند، بسيار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استفاده ما نه به شيو رايانه‌اى و نرم افزارى، بلكه به شيو سنتى و دستى بوده همچنان‌كه در موارد ديگر نيز از همين شيوه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گرچه شيوه مشكلى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مى‌شد اما نظر بر آن بود كه از اتقان بيشترى برخوردار است و نويسنده را در راهيابى به افق‌هاى جديد موفق‌تر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 فتوح نگارى همچون فتوح البلدان 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كتب جغرافياى تاريخى همچون مختصر كتاب البلادان، ابن فقيه، معجم البلدان ياقوت حموى و مراصد الاطلاع بغدادى نيز از مهم‌ترين كتبى است كه به‌ويژه در بخش جغرافيا مورد بهره‌گيرى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تك‌نگارى‌هايى همچون وقعة صفين نصربن مزاحم، و كتاب الجمل شيخ مفيد مى‌تواند در بخش‌هاى مختلف به‌ويژه بخش‌هاى نظامى مورد استفاده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بررسى نظام قضايى و ادارى كتاب‌هايى همچون اخبار القضاة وكيع و الوزراء و الكتّاب جهشيارى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به كار آمد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شناخت وضعيت فرهنگى آن زمان به‌ويژه شعراى كوفه و مضامين شعر آنها كتاب الاغانى ابوالفرج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بهترين كتب در اين زمينه است؛ همچنان‌كه كتاب ديگر او با عنوان كتاب الديارات به همراه كتاب الديارات شابهشتى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كتب در شناخت وضعيت مسيحيان ديرنشين آن زمان است كه در اطراف كوفه مى‌زيستند</w:t>
      </w:r>
      <w:r>
        <w:rPr>
          <w:rFonts w:eastAsia="IRNazanin" w:cs="IRNazanin"/>
          <w:color w:val="111111"/>
          <w:sz w:val="28"/>
          <w:szCs w:val="28"/>
          <w:rtl w:val="true"/>
          <w:lang w:bidi="fa-IR"/>
        </w:rPr>
        <w:t>.</w:t>
      </w:r>
      <w:bookmarkStart w:id="19" w:name="pg1964_19453"/>
    </w:p>
    <w:p>
      <w:pPr>
        <w:pStyle w:val="BookText"/>
        <w:rPr/>
      </w:pPr>
      <w:bookmarkEnd w:id="19"/>
      <w:r>
        <w:rPr>
          <w:rFonts w:ascii="IRNazanin" w:hAnsi="IRNazanin" w:eastAsia="IRNazanin"/>
          <w:color w:val="111111"/>
          <w:sz w:val="28"/>
          <w:sz w:val="28"/>
          <w:szCs w:val="28"/>
          <w:rtl w:val="true"/>
          <w:lang w:bidi="fa-IR"/>
        </w:rPr>
        <w:t>در شناخت وضعيت تمدنى و فرهنگى اين دوره نبايد از كتب جاحظ به‌ويژه كتاب البيان و التبيين و نيز الفهرست ابن‌نديم غافل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بخش اقتصادى نبايد از كتاب‌هاى خراج مانند الخراج قاضى ابو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ماند، همچنان كه در سكه‌شناسى اين دوره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شذور العقود فى ذكر النقود القديمة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مقريزى </w:t>
      </w:r>
      <w:r>
        <w:rPr>
          <w:rFonts w:eastAsia="IRNazanin" w:cs="IRNazanin"/>
          <w:color w:val="111111"/>
          <w:sz w:val="28"/>
          <w:szCs w:val="28"/>
          <w:rtl w:val="true"/>
          <w:lang w:bidi="fa-IR"/>
        </w:rPr>
        <w:t>(</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كتب متقدم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سفرهاى سفرنامه نويسان مسلمان گرچه قرن‌ها پس از مقطع زمانى مورد بحث انجام شده، اما بسيارى از گزارش‌هاى اين‌گونه نوشته‌ها همچون سفرنامه ناصر خسرو، رحلة ابن جبير، و رحلة ابن بطوطه مى‌تواند نمايى هر چند مبهم از اين شهر را ارائه دهد كه با برخى از قرائن مى‌توان در برخى از جوانب، تصويرى از اين شهر در مقطع مورد نظر را به دست آورد</w:t>
      </w:r>
      <w:r>
        <w:rPr>
          <w:rFonts w:eastAsia="IRNazanin" w:cs="IRNazanin"/>
          <w:color w:val="111111"/>
          <w:sz w:val="28"/>
          <w:szCs w:val="28"/>
          <w:rtl w:val="true"/>
          <w:lang w:bidi="fa-IR"/>
        </w:rPr>
        <w:t>.</w:t>
      </w:r>
    </w:p>
    <w:p>
      <w:pPr>
        <w:pStyle w:val="Heading2"/>
        <w:numPr>
          <w:ilvl w:val="1"/>
          <w:numId w:val="1"/>
        </w:numPr>
        <w:rPr/>
      </w:pPr>
      <w:bookmarkStart w:id="20" w:name="__RefHeading___Toc3584421_3650668749"/>
      <w:bookmarkStart w:id="21" w:name="_Toc7"/>
      <w:bookmarkEnd w:id="20"/>
      <w:r>
        <w:rPr>
          <w:rtl w:val="true"/>
        </w:rPr>
        <w:t>مرور‌ى بر مطالعات جديد</w:t>
      </w:r>
      <w:bookmarkEnd w:id="21"/>
    </w:p>
    <w:p>
      <w:pPr>
        <w:pStyle w:val="BookText"/>
        <w:rPr/>
      </w:pPr>
      <w:r>
        <w:rPr>
          <w:rFonts w:ascii="IRNazanin" w:hAnsi="IRNazanin" w:eastAsia="IRNazanin"/>
          <w:color w:val="111111"/>
          <w:sz w:val="28"/>
          <w:sz w:val="28"/>
          <w:szCs w:val="28"/>
          <w:rtl w:val="true"/>
          <w:lang w:bidi="fa-IR"/>
        </w:rPr>
        <w:t>شايد بتوان گفت كه از مهم‌ترين مطالعات جديد كه در اين نوشته از آنها استفاده شد، گزارش حفارى‌هاى باستان شناسان غربى و عربى در شهر كوفه بود كه نتايج مطالعات آنها در قسمت‌هاى مختلف به‌ويژه در مورد مسجد كوفه و دارالاماره همراه با نقشه‌ها و تصاوير در اين نوشته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استفاده از مقاله‌ها، از مجله‌هايى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سومر و المورخ العربى و كتاب تخطيط مدين الكوفه عن المصادر التاريخيه و الاثريه كاظم جنابى بسيار مورد بهره بردارى قرار گرفت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 معاصر مستشرقان و نويسندگان عرب تلاش فراوانى براى ترسيم وضعيت فرهنگى، سياسى، اجتماعى و اقتصادى كوفه و نيز ديگر شهرهاى عراق انجام داده‌اند و نوشته‌هاى فراوانى را به صورت اختصاصى براى كوفه پديد آورده‌اند كه از جمله متقدمان اين عرصه، مى‌توان به حسين براقى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كه كتاب تاريخ الكوفه وى يكى از جامع‌ترين كتب در موضوع بحث است كه به صورت كلّى و بدون مقيد شدن به محدود زمانى جوانب مختلف</w:t>
      </w:r>
    </w:p>
    <w:p>
      <w:pPr>
        <w:pStyle w:val="BookText"/>
        <w:rPr/>
      </w:pPr>
      <w:r>
        <w:rPr>
          <w:rFonts w:ascii="IRNazanin" w:hAnsi="IRNazanin" w:eastAsia="IRNazanin"/>
          <w:color w:val="111111"/>
          <w:sz w:val="28"/>
          <w:sz w:val="28"/>
          <w:szCs w:val="28"/>
          <w:rtl w:val="true"/>
          <w:lang w:bidi="fa-IR"/>
        </w:rPr>
        <w:t>سياسى، اجتماعى، اقتصادى، فرهنگى اين شهر را هر چند در برخى از موارد به صورت اجمال بررسى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خطط الكوفه لويى ماسينيون على‌رغم حجم اندك خود به خوبى به نقشه‌نگارى كوفه پرداخته و محل سكونت قبايل مختلف را نشان داده است كه براى مقطع زمانى مورد بحث نيز مفيد است؛ همچنان‌كه در زمينه نقشه‌نگارى، كتاب تخطيط مدينة الكوفة كاظم جنابى و از آن بهتر كتاب كوفه پيدايش شهر اسلامى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بعيط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مفيد است كه به‌ويژه كتاب اخير همراه با نقشه‌نگارى، به حوادث مختلف سياسى و به‌ويژه قيام‌هايى همچون قيام مختار پرداخته و محل جغرافيايى مراحل مختلف قيام را برروى نقشه نشان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الحياة الاجتماعيه و الاقتصادية فى الكوفه فى القرن الاول الهجرى، نوشته محمد حسين زبيدى يكى از مناسب‌ترين نوشته‌ها براى شناخت وضعيت اجتماعى مردم و قبايل و نيز وضعيت اقتصادى آنها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كتاب طبقات مختلف اجتماعى كوفه در قرن اول شناسانده شده، و راه‌هاى درآمد مردم و حكومت و نيز هزينه‌هاى آنها معرفى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ميان فارسى‌نويسان معاصر در اين عرصه مى‌توان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 و نقش آن در قرون نخستين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محمد حسين رجبى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پژوهش پيرامون تأسيس و گسترش اين شهر و نيز نقش سياسى نظامى آن در دوره‌هاى مختلف، به بررسى تأثير نقش فرهنگى كوفه به‌ويژه در نشر فرهنگ اسلام و تشيع و نيز نقش آن در جريانات فرقه‌اى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را از جهات مختلف مى‌توان به عنوان نوشته‌اى روشمند و تحقيقى و پيشگام در اين‌گونه موضوعات به زبان فارسى به حساب آورد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پژوهش‌هايى كه در مورد شهرهاى نزديك به كوفه همچون حيره، كربلا و نجف به عمل آمده نيز مى‌توان براى شناخت بيشتر كوفه بهره گرفت؛ به‌ويژه آنكه برخى از اين نوشته‌ها بخشى را نيز به كوفه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يكى از</w:t>
      </w:r>
    </w:p>
    <w:p>
      <w:pPr>
        <w:pStyle w:val="BookText"/>
        <w:rPr/>
      </w:pPr>
      <w:r>
        <w:rPr>
          <w:rFonts w:ascii="IRNazanin" w:hAnsi="IRNazanin" w:eastAsia="IRNazanin"/>
          <w:color w:val="111111"/>
          <w:sz w:val="28"/>
          <w:sz w:val="28"/>
          <w:szCs w:val="28"/>
          <w:rtl w:val="true"/>
          <w:lang w:bidi="fa-IR"/>
        </w:rPr>
        <w:t>بهترين اين نوشته‌ها را كتاب موسوعة العتبات المقدسه جعفر خليلى معرفى كرد كه به تفصيل به بررسى تاريخ و فرهنگ عتبات مقدسه يعنى مزارهاى ائمه شيعه پرداخته است كه در بخش نجف، درباره كوفه مطالب بسيارى نوشته‌است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كتاب‌هاى تاريخ كربلاء مانند بغية النبلاء فى تاريخ كربلاء، نوشته سيد عبدالحسين كليددار آل طعمه، مدينة الحسين، محمد حسين مصطفى كليددار، سيماى كربلا نوشته محمد صحتى سردرودى، كتاب شهر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بزمگاه عشق، كربلاء نوشته سعيد عسيلى و كتاب كربلاء فى الذاكره نوشته سلمان‌هادى آل طعمه نيز به مناسبت، اشاراتى به شهر كوفه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كتاب موسوعة النجف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قديماً نوشته جعفر هادى دجيلى نيز بخش معتنابهى از كتاب خود را به كوفه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الحيرة و مكه وصلتهما بالقبائل العربية نوشته،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كستر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تعريب دكتر يحيى جبورى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ازكتب مهمى است كه به علّت نزديكى حيره به كوفه مى‌تواند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نبايد از پژوهش جالب اصغر منتظر القائم با عنوان نقش قبايل يمنى در حمايت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شد كه به مناسبت موضوع تحقيق خود، به واشكافى عميق بافت قبايل يمنى ساكن در كوفه و ارتباط آنها با حوادث مربوط به تشيع در قرن اول هجرى اقدام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جريان‌هاى مختلف سياسى، اجتماعى در كوفه و نقش آنها در شكل‌گيرى اين جامعه، تك‌نگارى پژوهش مفيدى با عنوان اتجاهات المعارضة فى الكوفة، دراسة فى التكوين الاجتماعى و السياسى، به وسيل ابراهيم بيضون ارائه شده است كه در اين زمينه سرنخ‌هاى خوبى را عرضه كرده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تمدنى و مظاهر تمدن همچون علوم، تشكيلات، معمارى و شهرسازى علاوه بر برخى تك‌نگارى‌هاى پيش‌گفته، از برخى از نوشته‌هاى عمومى نيز مى‌توان بهره گرفت؛ نوشته‌هايى كه اين‌گونه مباحث را در سطحى فراتر از شهر كوفه بيان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كليات تمدن، كتاب تاريخ التمدن الاسلامى جرجى زيدان، گرچه مباحث را معمولاً بدون استناد مطرح كرده اما از جهت محتوا و سبك بسيار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بخش از كتاب‌هايى همچون المدخل فى تاريخ الحضارة العربيه، نوشته ناجى معروف و دراسات فى تاريخ الحضارة الاسلامية العربية، نوشت سعيد عبدالفتاح عاشور و همكارانش نيز بهره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علوم و ادبيات از كتاب‌هايى همچون تاريخ الادب العربى، العصر الاسلامى نوشت شوقى ضيف، شعراء الدولتين الاموية و العباسيه، نوشت حسين عطوان، ادب الطف نوشت جواد شبر و جمهرة خطب العرب فى عصور العربية الزاهره نوشته احمد زكى صفوت و در بخش معمارى و شهرسازى علاوه بركتب خاص كوفه، از كتاب‌هايى همچون العماره فى صدر الاسلام نوشته سامح كمال‌الدين، تخطيط المدن العربية الاسلاميه، اثر طاهر مظفر عميد استفاده شده است؛ همچنان‌كه در اين بخش از كتاب‌هايى كه شهرسازى ديگر شهرها مانند بغداد را بررسى كرده‌اند، نيز استفاده شده است كه از آن جمله مى‌توان به خطط بغداد و انهار العراق القديمة نوشته مكسمليان اشاره كرد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تشكيلات مختلف ادارى، سياسى، اقتصادى و نظامى، كتاب‌هاى فراوانى عرضه شده است كه از جمله آنها مى‌توان به الادارة الاسلامية فى عهد عمربن خطاب نوشته فارق محمد سعيد لاوى، العراق فى العصر الاموى من الناحية السياسية و الادارية و الاجتماعيه نوشته ثابت اسماعيل المرادى، النظم الاسلاميه نوشته منير حميد البياتى و فاضل شاكر النعيمى، دراسات فى النظم العربية الاسلامى، نوشته توفيق سلطان يوزبكى در بخش كليات نظام ادارى و الخراج فى العراق فى العهود الاسلاميه الاولى نوشته احمد الحلى النقود العربية و علم النميات نوشته انستاس مارى كرملى بغدادى و بررسى وضع مالى و مالى مسلمانان از آغاز تا پايان دوران اموى اثر ابوالقاسم اجتهادى در بخش اقتصادى و در بخش نظامى به</w:t>
      </w:r>
    </w:p>
    <w:p>
      <w:pPr>
        <w:pStyle w:val="BookText"/>
        <w:rPr/>
      </w:pPr>
      <w:r>
        <w:rPr>
          <w:rFonts w:ascii="Amiri" w:hAnsi="Amiri" w:eastAsia="Amiri" w:cs="Amiri"/>
          <w:color w:val="111111"/>
          <w:sz w:val="28"/>
          <w:sz w:val="28"/>
          <w:szCs w:val="28"/>
          <w:rtl w:val="true"/>
          <w:lang w:bidi="ar-SA"/>
        </w:rPr>
        <w:t>كتاب‌هاى تنظيمات الجيش العربى الاسلامى فى العصر الاموى نوشت خالد جاسم الجنابى الطريق الى المدائن نوشت احمد عادل كمال، فن الحرب فى عهود الخلفاء الراشدين و الامويين نوشته بسام العسيلى مى‌توان اشاره كرد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درپايان مى‌توان به اين نكته اشاره كرد كه برخى از تحقيقات جديد پيرامون ائمه سه‌گانه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برخى از شخصيت‌هاى مرتبط با آنها به گونه‌اى به مباحث مرتبط با اين نوشته پرداخته‌اند كه از آن جمله مى‌توان به مقالات تحقيقى مندرج در دانشنام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مجلّدات تاريخى آن و نيز موسوعة الامام على بن ابى‌طالب و دانشنامه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مى‌توان به تك‌نگارى‌هايى همچون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شيخ مرتضى آل ياسين، شهيد جاويد نوشت نعمت الله صالحى نجف آبادى، ثورة الحسين ظروفها الاجتماعيه و آثارها الانسانيه نوشت محمد مهدى شمس‌الدين، حياة الامام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دارسة و تحليل و حياة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و تحليل هر دو نوشته باقر شريف قرشى، زندگانى سفير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نوشته محمد على عابدين و كتاب ماهيت قيام مختار بن ابى عبيد ثقفى نوشت ابوفاضل اردكانى، اشاره كرد</w:t>
      </w:r>
      <w:r>
        <w:rPr>
          <w:rFonts w:eastAsia="IRNazanin" w:cs="IRNazanin"/>
          <w:color w:val="111111"/>
          <w:sz w:val="28"/>
          <w:szCs w:val="28"/>
          <w:rtl w:val="true"/>
          <w:lang w:bidi="fa-IR"/>
        </w:rPr>
        <w:t>.</w:t>
      </w:r>
      <w:bookmarkStart w:id="22" w:name="pg1964_19459"/>
    </w:p>
    <w:p>
      <w:pPr>
        <w:pStyle w:val="Heading2"/>
        <w:numPr>
          <w:ilvl w:val="1"/>
          <w:numId w:val="1"/>
        </w:numPr>
        <w:rPr/>
      </w:pPr>
      <w:bookmarkStart w:id="23" w:name="__RefHeading___Toc3584423_3650668749"/>
      <w:bookmarkStart w:id="24" w:name="_Toc8"/>
      <w:bookmarkEnd w:id="22"/>
      <w:bookmarkEnd w:id="23"/>
      <w:r>
        <w:rPr>
          <w:rtl w:val="true"/>
        </w:rPr>
        <w:t>فصل اول</w:t>
      </w:r>
      <w:r>
        <w:rPr>
          <w:rtl w:val="true"/>
        </w:rPr>
        <w:t xml:space="preserve">: </w:t>
      </w:r>
      <w:r>
        <w:rPr>
          <w:rtl w:val="true"/>
        </w:rPr>
        <w:t>جغرافيا‌ى طبيعى كوفه</w:t>
      </w:r>
      <w:bookmarkEnd w:id="2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3584425_3650668749"/>
      <w:bookmarkStart w:id="26" w:name="_Toc9"/>
      <w:bookmarkEnd w:id="25"/>
      <w:r>
        <w:rPr>
          <w:rtl w:val="true"/>
        </w:rPr>
        <w:t>اشاره</w:t>
      </w:r>
      <w:bookmarkStart w:id="27" w:name="pg1964_19461"/>
      <w:bookmarkEnd w:id="26"/>
    </w:p>
    <w:p>
      <w:pPr>
        <w:pStyle w:val="BookText"/>
        <w:rPr/>
      </w:pPr>
      <w:bookmarkEnd w:id="27"/>
      <w:r>
        <w:rPr>
          <w:rFonts w:ascii="IRNazanin" w:hAnsi="IRNazanin" w:eastAsia="IRNazanin"/>
          <w:color w:val="111111"/>
          <w:sz w:val="28"/>
          <w:sz w:val="28"/>
          <w:szCs w:val="28"/>
          <w:rtl w:val="true"/>
          <w:lang w:bidi="fa-IR"/>
        </w:rPr>
        <w:t>به نظر مى‌رسد قبل از ورود در سايت جغرافيايى، مرورى به مباحث مقدماتى‌تر، همچون مفهوم‌شناسى واژه كوفه و نام‌هاى مختلف اين شهر و نيز تاريخچ بنيان آن داشته باشيم</w:t>
      </w:r>
      <w:r>
        <w:rPr>
          <w:rFonts w:eastAsia="IRNazanin" w:cs="IRNazanin"/>
          <w:color w:val="111111"/>
          <w:sz w:val="28"/>
          <w:szCs w:val="28"/>
          <w:rtl w:val="true"/>
          <w:lang w:bidi="fa-IR"/>
        </w:rPr>
        <w:t>.</w:t>
      </w:r>
    </w:p>
    <w:p>
      <w:pPr>
        <w:pStyle w:val="Heading3"/>
        <w:numPr>
          <w:ilvl w:val="2"/>
          <w:numId w:val="1"/>
        </w:numPr>
        <w:rPr/>
      </w:pPr>
      <w:bookmarkStart w:id="28" w:name="__RefHeading___Toc3584427_3650668749"/>
      <w:bookmarkStart w:id="29" w:name="_Toc10"/>
      <w:bookmarkEnd w:id="28"/>
      <w:r>
        <w:rPr/>
        <w:t>١</w:t>
      </w:r>
      <w:r>
        <w:rPr>
          <w:rtl w:val="true"/>
        </w:rPr>
        <w:t xml:space="preserve">. </w:t>
      </w:r>
      <w:r>
        <w:rPr>
          <w:rtl w:val="true"/>
        </w:rPr>
        <w:t>مفهوم‌شناسى</w:t>
      </w:r>
      <w:bookmarkEnd w:id="29"/>
    </w:p>
    <w:p>
      <w:pPr>
        <w:pStyle w:val="Heading4"/>
        <w:numPr>
          <w:ilvl w:val="3"/>
          <w:numId w:val="1"/>
        </w:numPr>
        <w:rPr/>
      </w:pPr>
      <w:bookmarkStart w:id="30" w:name="__RefHeading___Toc3584429_3650668749"/>
      <w:bookmarkStart w:id="31" w:name="_Toc11"/>
      <w:bookmarkEnd w:id="30"/>
      <w:r>
        <w:rPr>
          <w:rtl w:val="true"/>
        </w:rPr>
        <w:t>الف</w:t>
      </w:r>
      <w:r>
        <w:rPr>
          <w:rtl w:val="true"/>
        </w:rPr>
        <w:t xml:space="preserve">) </w:t>
      </w:r>
      <w:r>
        <w:rPr>
          <w:rtl w:val="true"/>
        </w:rPr>
        <w:t>دليل نامگذار‌ى كوفه</w:t>
      </w:r>
      <w:bookmarkEnd w:id="31"/>
    </w:p>
    <w:p>
      <w:pPr>
        <w:pStyle w:val="BookText"/>
        <w:rPr/>
      </w:pPr>
      <w:r>
        <w:rPr>
          <w:rFonts w:ascii="IRNazanin" w:hAnsi="IRNazanin" w:eastAsia="IRNazanin"/>
          <w:color w:val="111111"/>
          <w:sz w:val="28"/>
          <w:sz w:val="28"/>
          <w:szCs w:val="28"/>
          <w:rtl w:val="true"/>
          <w:lang w:bidi="fa-IR"/>
        </w:rPr>
        <w:t xml:space="preserve">در باره نام كوفه نظرهاى مختلفى ارائه شده است؛ بعضى اين لغت را كلمه‌اى سريانى دانسته‌اند كه 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حلقه و دايره است،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نظر پذيرفته 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مكان ديگرى در كوفه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آن را لغتى آرامى و اشتقاق يافته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بدون آنكه براى آن معنايى ارائه‌دهند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اما آنها كه اين لغت را كلمه‌اى عربى دانسته‌اند، وجوه و احتمالات زير را براى نامگذارى اين شهر ذكر كرده‌اند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تجمّع گرفته شده است و علت نامگذارى آن، اين است كه وقتى سعد بن ابى‌وقاص و لشكريانش براى اقامت به اين محل رسيدند، سعد به لشكريانش چنين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تكوّفوا فى هذا 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مكان</w:t>
      </w:r>
    </w:p>
    <w:p>
      <w:pPr>
        <w:pStyle w:val="BookText"/>
        <w:rPr/>
      </w:pPr>
      <w:r>
        <w:rPr>
          <w:rFonts w:ascii="IRNazanin" w:hAnsi="IRNazanin" w:eastAsia="IRNazanin"/>
          <w:color w:val="111111"/>
          <w:sz w:val="28"/>
          <w:sz w:val="28"/>
          <w:szCs w:val="28"/>
          <w:rtl w:val="true"/>
          <w:lang w:bidi="fa-IR"/>
        </w:rPr>
        <w:t>اجتماع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نيز با توجه به همين معناى تجمع، علت نامگذارى آن را انباشته بودن ريگ در اين مكان دانسته‌اند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به معناى ريگ قرمز رنگ است و اين سرزمين به سبب فراوانى اين نوع ريگ در آن، به اين نام ناميده شده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كلمه 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به معناى ريگ‌هاى دايره‌اى شكل است و اين سرزمين به علت فراوانى اين نوع ريگ‌ها در آن، به اين نام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پيش از اسلام نيز به اين نام ناميده شده بود، اما عرب‌ها آن را تغيير شكل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همچنين برخى اصل لغت كوفان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دايره‌اى 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w:t>
      </w:r>
      <w:r>
        <w:rPr>
          <w:rStyle w:val="FootnoteAnchor"/>
          <w:rtl w:val="true"/>
        </w:rPr>
        <w:footnoteReference w:id="7"/>
      </w:r>
      <w:r>
        <w:rPr>
          <w:rFonts w:ascii="IRNazanin" w:hAnsi="IRNazanin" w:eastAsia="IRNazanin"/>
          <w:color w:val="111111"/>
          <w:sz w:val="28"/>
          <w:sz w:val="28"/>
          <w:szCs w:val="28"/>
          <w:rtl w:val="true"/>
          <w:lang w:bidi="fa-IR"/>
        </w:rPr>
        <w:t>كه شايد به احتمال دايره‌اى شكل بودن شهر در آغاز تأسيس نظر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گفته‌اند كه كوفان نام كوه كوچكى يا تپه‌اى شنى بوده كه در وسط اين منطقه قرار داشته است و پس از بنا نهاده شدن كوفه، اين تپّه در مركز شهر قرار داشته و به همين سبب با نام اين تپه از آن ياد شده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همين‌طور برخى كوفان را به معناى بلا و شر دانسته‌اند </w:t>
      </w:r>
      <w:r>
        <w:rPr>
          <w:rStyle w:val="FootnoteAnchor"/>
          <w:rtl w:val="true"/>
        </w:rPr>
        <w:footnoteReference w:id="9"/>
      </w:r>
      <w:r>
        <w:rPr>
          <w:rFonts w:ascii="Amiri" w:hAnsi="Amiri" w:eastAsia="Amiri" w:cs="Amiri"/>
          <w:color w:val="111111"/>
          <w:sz w:val="28"/>
          <w:sz w:val="28"/>
          <w:szCs w:val="28"/>
          <w:rtl w:val="true"/>
          <w:lang w:bidi="ar-SA"/>
        </w:rPr>
        <w:t>كه احتمالاً ناظر به بلاهاى نازله بر اين شهر در دوران‌هاى بعدى بوده است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وجوه گذشته، حروف اصلى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اما بعضى اصل اين كلمه را 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كفاف به معناى حاشيه و پيرامون هر چيزى است و از آنجا كه در حاشيه و پيرامون اين شهر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ساتيدَما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كوفه ناميده شده‌است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البته طبق اين اظهارنظر، بايد نام كوه را كوفه گذاشت نه نام شهر را كه به وسيله كوه احاطه شده است</w:t>
      </w:r>
      <w:r>
        <w:rPr>
          <w:rFonts w:eastAsia="IRNazanin" w:cs="IRNazanin"/>
          <w:color w:val="111111"/>
          <w:sz w:val="28"/>
          <w:szCs w:val="28"/>
          <w:rtl w:val="true"/>
          <w:lang w:bidi="fa-IR"/>
        </w:rPr>
        <w:t>.</w:t>
      </w:r>
      <w:bookmarkStart w:id="32" w:name="pg1964_19463"/>
    </w:p>
    <w:p>
      <w:pPr>
        <w:pStyle w:val="BookText"/>
        <w:rPr/>
      </w:pPr>
      <w:bookmarkEnd w:id="32"/>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به معناى قطعه است و چون اين شهر قطعه‌اى از شهرهاى اسلام بود، به اين نام ناميده شده است</w:t>
      </w:r>
      <w:r>
        <w:rPr>
          <w:rFonts w:eastAsia="IRNazanin" w:cs="IRNazanin"/>
          <w:color w:val="111111"/>
          <w:sz w:val="28"/>
          <w:szCs w:val="28"/>
          <w:rtl w:val="true"/>
          <w:lang w:bidi="fa-IR"/>
        </w:rPr>
        <w:t xml:space="preserve">. </w:t>
      </w:r>
      <w:r>
        <w:rPr>
          <w:rStyle w:val="FootnoteAnchor"/>
          <w:rtl w:val="true"/>
        </w:rPr>
        <w:footnoteReference w:id="11"/>
      </w:r>
    </w:p>
    <w:p>
      <w:pPr>
        <w:pStyle w:val="Heading4"/>
        <w:numPr>
          <w:ilvl w:val="3"/>
          <w:numId w:val="1"/>
        </w:numPr>
        <w:rPr/>
      </w:pPr>
      <w:bookmarkStart w:id="33" w:name="__RefHeading___Toc3584431_3650668749"/>
      <w:bookmarkStart w:id="34" w:name="_Toc12"/>
      <w:bookmarkEnd w:id="33"/>
      <w:r>
        <w:rPr>
          <w:rtl w:val="true"/>
        </w:rPr>
        <w:t>ب</w:t>
      </w:r>
      <w:r>
        <w:rPr>
          <w:rtl w:val="true"/>
        </w:rPr>
        <w:t xml:space="preserve">) </w:t>
      </w:r>
      <w:r>
        <w:rPr>
          <w:rtl w:val="true"/>
        </w:rPr>
        <w:t>نام‌ها‌ى كوفه</w:t>
      </w:r>
      <w:bookmarkEnd w:id="34"/>
    </w:p>
    <w:p>
      <w:pPr>
        <w:pStyle w:val="Heading5"/>
        <w:numPr>
          <w:ilvl w:val="4"/>
          <w:numId w:val="1"/>
        </w:numPr>
        <w:rPr/>
      </w:pPr>
      <w:bookmarkStart w:id="35" w:name="__RefHeading___Toc3584433_3650668749"/>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اين نام‌ها را مى‌توانيم به دو بخش نام‌هاى كوفه قبل از بنيان‌گذارى آن به عنوان شهر و نام‌هاى بعد از شهرشدن آن تقسيم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نام‌هاى كوفه قبل از بنيان‌گذارى آن به عنوان شهر، عبارت است از</w:t>
      </w:r>
      <w:r>
        <w:rPr>
          <w:rFonts w:eastAsia="IRNazanin" w:cs="IRNazanin"/>
          <w:color w:val="111111"/>
          <w:sz w:val="28"/>
          <w:szCs w:val="28"/>
          <w:rtl w:val="true"/>
          <w:lang w:bidi="fa-IR"/>
        </w:rPr>
        <w:t>:</w:t>
      </w:r>
    </w:p>
    <w:p>
      <w:pPr>
        <w:pStyle w:val="Heading5"/>
        <w:numPr>
          <w:ilvl w:val="4"/>
          <w:numId w:val="1"/>
        </w:numPr>
        <w:rPr/>
      </w:pPr>
      <w:bookmarkStart w:id="37" w:name="__RefHeading___Toc3584435_3650668749"/>
      <w:bookmarkStart w:id="38" w:name="_Toc14"/>
      <w:bookmarkEnd w:id="37"/>
      <w:r>
        <w:rPr>
          <w:rtl w:val="true"/>
        </w:rPr>
        <w:t xml:space="preserve">يك </w:t>
      </w:r>
      <w:r>
        <w:rPr>
          <w:rtl w:val="true"/>
        </w:rPr>
        <w:t xml:space="preserve">- </w:t>
      </w:r>
      <w:r>
        <w:rPr>
          <w:rtl w:val="true"/>
        </w:rPr>
        <w:t>كوفان</w:t>
      </w:r>
      <w:r>
        <w:rPr>
          <w:rtl w:val="true"/>
        </w:rPr>
        <w:t>:</w:t>
      </w:r>
      <w:bookmarkEnd w:id="38"/>
    </w:p>
    <w:p>
      <w:pPr>
        <w:pStyle w:val="BookText"/>
        <w:rPr/>
      </w:pPr>
      <w:r>
        <w:rPr>
          <w:rFonts w:ascii="IRNazanin" w:hAnsi="IRNazanin" w:eastAsia="IRNazanin"/>
          <w:color w:val="111111"/>
          <w:sz w:val="28"/>
          <w:sz w:val="28"/>
          <w:szCs w:val="28"/>
          <w:rtl w:val="true"/>
          <w:lang w:bidi="fa-IR"/>
        </w:rPr>
        <w:t>چنان‌كه در بحث قبل يادآور شديم، بعضى يكى از علل نامگذارى كوفه را وجود منطقه‌اى به نام كوفان در اين محدوده دانسته‌اند</w:t>
      </w:r>
      <w:r>
        <w:rPr>
          <w:rFonts w:eastAsia="IRNazanin" w:cs="IRNazanin"/>
          <w:color w:val="111111"/>
          <w:sz w:val="28"/>
          <w:szCs w:val="28"/>
          <w:rtl w:val="true"/>
          <w:lang w:bidi="fa-IR"/>
        </w:rPr>
        <w:t xml:space="preserve">. </w:t>
      </w:r>
      <w:r>
        <w:rPr>
          <w:rStyle w:val="FootnoteAnchor"/>
          <w:rtl w:val="true"/>
        </w:rPr>
        <w:footnoteReference w:id="12"/>
      </w:r>
    </w:p>
    <w:p>
      <w:pPr>
        <w:pStyle w:val="Heading5"/>
        <w:numPr>
          <w:ilvl w:val="4"/>
          <w:numId w:val="1"/>
        </w:numPr>
        <w:rPr/>
      </w:pPr>
      <w:bookmarkStart w:id="39" w:name="__RefHeading___Toc3584437_3650668749"/>
      <w:bookmarkStart w:id="40" w:name="_Toc15"/>
      <w:bookmarkEnd w:id="39"/>
      <w:r>
        <w:rPr>
          <w:rtl w:val="true"/>
        </w:rPr>
        <w:t xml:space="preserve">دو </w:t>
      </w:r>
      <w:r>
        <w:rPr>
          <w:rtl w:val="true"/>
        </w:rPr>
        <w:t xml:space="preserve">- </w:t>
      </w:r>
      <w:r>
        <w:rPr>
          <w:rtl w:val="true"/>
        </w:rPr>
        <w:t>سورستان</w:t>
      </w:r>
      <w:r>
        <w:rPr>
          <w:rtl w:val="true"/>
        </w:rPr>
        <w:t>:</w:t>
      </w:r>
      <w:bookmarkEnd w:id="40"/>
    </w:p>
    <w:p>
      <w:pPr>
        <w:pStyle w:val="BookText"/>
        <w:rPr/>
      </w:pPr>
      <w:r>
        <w:rPr>
          <w:rFonts w:ascii="IRNazanin" w:hAnsi="IRNazanin" w:eastAsia="IRNazanin"/>
          <w:color w:val="111111"/>
          <w:sz w:val="28"/>
          <w:sz w:val="28"/>
          <w:szCs w:val="28"/>
          <w:rtl w:val="true"/>
          <w:lang w:bidi="fa-IR"/>
        </w:rPr>
        <w:t xml:space="preserve">اين لغت، عربى شده لغت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صحرا و شوره‌زار استعمال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نوشته‌ها چنين برمى‌آيد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منطقه‌اى وسيع بوده كه كوفه جزئى از آن به‌حساب مى‌آمده است</w:t>
      </w:r>
      <w:r>
        <w:rPr>
          <w:rFonts w:eastAsia="IRNazanin" w:cs="IRNazanin"/>
          <w:color w:val="111111"/>
          <w:sz w:val="28"/>
          <w:szCs w:val="28"/>
          <w:rtl w:val="true"/>
          <w:lang w:bidi="fa-IR"/>
        </w:rPr>
        <w:t xml:space="preserve">. </w:t>
      </w:r>
      <w:r>
        <w:rPr>
          <w:rStyle w:val="FootnoteAnchor"/>
          <w:rtl w:val="true"/>
        </w:rPr>
        <w:footnoteReference w:id="13"/>
      </w:r>
    </w:p>
    <w:p>
      <w:pPr>
        <w:pStyle w:val="Heading5"/>
        <w:numPr>
          <w:ilvl w:val="4"/>
          <w:numId w:val="1"/>
        </w:numPr>
        <w:rPr/>
      </w:pPr>
      <w:bookmarkStart w:id="41" w:name="__RefHeading___Toc3584439_3650668749"/>
      <w:bookmarkStart w:id="42" w:name="_Toc16"/>
      <w:bookmarkEnd w:id="41"/>
      <w:r>
        <w:rPr>
          <w:rtl w:val="true"/>
        </w:rPr>
        <w:t xml:space="preserve">سه </w:t>
      </w:r>
      <w:r>
        <w:rPr>
          <w:rtl w:val="true"/>
        </w:rPr>
        <w:t>-</w:t>
      </w:r>
      <w:r>
        <w:rPr>
          <w:rtl w:val="true"/>
        </w:rPr>
        <w:t>خَدّ العَذْراء</w:t>
      </w:r>
      <w:r>
        <w:rPr>
          <w:rtl w:val="true"/>
        </w:rPr>
        <w:t>:</w:t>
      </w:r>
      <w:bookmarkEnd w:id="42"/>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 العَذْراء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عبارت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رخسار و چهره دوشيزه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احتمالاً به‌سبب بكربودن اين سرزمين قبل از شهر شدن، به اين نام ناميده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نام‌هايى كه بعد از شهر شدن كوفه، به آن گفته مى‌شد، عبارت است از</w:t>
      </w:r>
      <w:r>
        <w:rPr>
          <w:rFonts w:eastAsia="IRNazanin" w:cs="IRNazanin"/>
          <w:color w:val="111111"/>
          <w:sz w:val="28"/>
          <w:szCs w:val="28"/>
          <w:rtl w:val="true"/>
          <w:lang w:bidi="fa-IR"/>
        </w:rPr>
        <w:t>:</w:t>
      </w:r>
    </w:p>
    <w:p>
      <w:pPr>
        <w:pStyle w:val="Heading5"/>
        <w:numPr>
          <w:ilvl w:val="4"/>
          <w:numId w:val="1"/>
        </w:numPr>
        <w:rPr/>
      </w:pPr>
      <w:bookmarkStart w:id="43" w:name="__RefHeading___Toc3584441_3650668749"/>
      <w:bookmarkStart w:id="44" w:name="_Toc17"/>
      <w:bookmarkEnd w:id="43"/>
      <w:r>
        <w:rPr>
          <w:rtl w:val="true"/>
        </w:rPr>
        <w:t xml:space="preserve">چهار </w:t>
      </w:r>
      <w:r>
        <w:rPr>
          <w:rtl w:val="true"/>
        </w:rPr>
        <w:t xml:space="preserve">- </w:t>
      </w:r>
      <w:r>
        <w:rPr>
          <w:rtl w:val="true"/>
        </w:rPr>
        <w:t>كوفة الجُند</w:t>
      </w:r>
      <w:r>
        <w:rPr>
          <w:rtl w:val="true"/>
        </w:rPr>
        <w:t>:</w:t>
      </w:r>
      <w:bookmarkEnd w:id="44"/>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كوفة الجُند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اين شهر ابتدا محل زندگى لشكريان و جنگ‌جويان بود، آن را كوفة الجند مى‌گفتند</w:t>
      </w:r>
      <w:r>
        <w:rPr>
          <w:rFonts w:eastAsia="IRNazanin" w:cs="IRNazanin"/>
          <w:color w:val="111111"/>
          <w:sz w:val="28"/>
          <w:szCs w:val="28"/>
          <w:rtl w:val="true"/>
          <w:lang w:bidi="fa-IR"/>
        </w:rPr>
        <w:t>.</w:t>
      </w:r>
    </w:p>
    <w:p>
      <w:pPr>
        <w:pStyle w:val="Heading5"/>
        <w:numPr>
          <w:ilvl w:val="4"/>
          <w:numId w:val="1"/>
        </w:numPr>
        <w:rPr/>
      </w:pPr>
      <w:bookmarkStart w:id="45" w:name="__RefHeading___Toc3584443_3650668749"/>
      <w:bookmarkStart w:id="46" w:name="_Toc18"/>
      <w:bookmarkEnd w:id="45"/>
      <w:r>
        <w:rPr>
          <w:rtl w:val="true"/>
        </w:rPr>
        <w:t xml:space="preserve">پنج </w:t>
      </w:r>
      <w:r>
        <w:rPr>
          <w:rtl w:val="true"/>
        </w:rPr>
        <w:t xml:space="preserve">- </w:t>
      </w:r>
      <w:r>
        <w:rPr>
          <w:rtl w:val="true"/>
        </w:rPr>
        <w:t>كوفة الخُلد</w:t>
      </w:r>
      <w:r>
        <w:rPr>
          <w:rtl w:val="true"/>
        </w:rPr>
        <w:t>:</w:t>
      </w:r>
      <w:bookmarkEnd w:id="4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كوفة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همان نام قبلى است كه به غلط چنين نگاشته شده است</w:t>
      </w:r>
      <w:r>
        <w:rPr>
          <w:rFonts w:eastAsia="IRNazanin" w:cs="IRNazanin"/>
          <w:color w:val="111111"/>
          <w:sz w:val="28"/>
          <w:szCs w:val="28"/>
          <w:rtl w:val="true"/>
          <w:lang w:bidi="fa-IR"/>
        </w:rPr>
        <w:t xml:space="preserve">. </w:t>
      </w:r>
      <w:r>
        <w:rPr>
          <w:rStyle w:val="FootnoteAnchor"/>
          <w:rtl w:val="true"/>
        </w:rPr>
        <w:footnoteReference w:id="16"/>
      </w:r>
      <w:bookmarkStart w:id="47" w:name="pg1964_19464"/>
    </w:p>
    <w:p>
      <w:pPr>
        <w:pStyle w:val="Heading5"/>
        <w:numPr>
          <w:ilvl w:val="4"/>
          <w:numId w:val="1"/>
        </w:numPr>
        <w:rPr/>
      </w:pPr>
      <w:bookmarkStart w:id="48" w:name="__RefHeading___Toc3584445_3650668749"/>
      <w:bookmarkStart w:id="49" w:name="_Toc19"/>
      <w:bookmarkEnd w:id="47"/>
      <w:bookmarkEnd w:id="48"/>
      <w:r>
        <w:rPr>
          <w:rtl w:val="true"/>
        </w:rPr>
        <w:t>شش</w:t>
      </w:r>
      <w:r>
        <w:rPr>
          <w:rtl w:val="true"/>
        </w:rPr>
        <w:t xml:space="preserve">- </w:t>
      </w:r>
      <w:r>
        <w:rPr>
          <w:rtl w:val="true"/>
        </w:rPr>
        <w:t>منزل جهاد</w:t>
      </w:r>
      <w:r>
        <w:rPr>
          <w:rtl w:val="true"/>
        </w:rPr>
        <w:t>.</w:t>
      </w:r>
      <w:bookmarkEnd w:id="49"/>
    </w:p>
    <w:p>
      <w:pPr>
        <w:pStyle w:val="Heading5"/>
        <w:numPr>
          <w:ilvl w:val="4"/>
          <w:numId w:val="1"/>
        </w:numPr>
        <w:rPr/>
      </w:pPr>
      <w:bookmarkStart w:id="50" w:name="__RefHeading___Toc3584447_3650668749"/>
      <w:bookmarkStart w:id="51" w:name="_Toc20"/>
      <w:bookmarkEnd w:id="50"/>
      <w:r>
        <w:rPr>
          <w:rtl w:val="true"/>
        </w:rPr>
        <w:t>هفت</w:t>
      </w:r>
      <w:r>
        <w:rPr>
          <w:rtl w:val="true"/>
        </w:rPr>
        <w:t xml:space="preserve">- </w:t>
      </w:r>
      <w:r>
        <w:rPr>
          <w:rtl w:val="true"/>
        </w:rPr>
        <w:t>دارالهجرة</w:t>
      </w:r>
      <w:r>
        <w:rPr>
          <w:rtl w:val="true"/>
        </w:rPr>
        <w:t>.</w:t>
      </w:r>
      <w:bookmarkEnd w:id="51"/>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دارالهجرة</w:t>
      </w:r>
      <w:r>
        <w:rPr>
          <w:rFonts w:eastAsia="Amiri" w:cs="Amiri" w:ascii="Amiri" w:hAnsi="Amiri"/>
          <w:color w:val="111111"/>
          <w:sz w:val="28"/>
          <w:szCs w:val="28"/>
          <w:rtl w:val="true"/>
          <w:lang w:bidi="ar-SA"/>
        </w:rPr>
        <w:t xml:space="preserve">. </w:t>
      </w:r>
      <w:r>
        <w:rPr>
          <w:rStyle w:val="FootnoteAnchor"/>
          <w:rtl w:val="true"/>
        </w:rPr>
        <w:footnoteReference w:id="17"/>
      </w:r>
    </w:p>
    <w:p>
      <w:pPr>
        <w:pStyle w:val="Heading4"/>
        <w:numPr>
          <w:ilvl w:val="3"/>
          <w:numId w:val="1"/>
        </w:numPr>
        <w:rPr/>
      </w:pPr>
      <w:bookmarkStart w:id="52" w:name="__RefHeading___Toc3584449_3650668749"/>
      <w:bookmarkStart w:id="53" w:name="_Toc21"/>
      <w:bookmarkEnd w:id="52"/>
      <w:r>
        <w:rPr>
          <w:rtl w:val="true"/>
        </w:rPr>
        <w:t>ج</w:t>
      </w:r>
      <w:r>
        <w:rPr>
          <w:rtl w:val="true"/>
        </w:rPr>
        <w:t xml:space="preserve">) </w:t>
      </w:r>
      <w:r>
        <w:rPr>
          <w:rtl w:val="true"/>
        </w:rPr>
        <w:t>تاريخچه اجمالى كوفه</w:t>
      </w:r>
      <w:bookmarkEnd w:id="53"/>
    </w:p>
    <w:p>
      <w:pPr>
        <w:pStyle w:val="BookText"/>
        <w:rPr/>
      </w:pPr>
      <w:r>
        <w:rPr>
          <w:rFonts w:ascii="IRNazanin" w:hAnsi="IRNazanin" w:eastAsia="IRNazanin"/>
          <w:color w:val="111111"/>
          <w:sz w:val="28"/>
          <w:sz w:val="28"/>
          <w:szCs w:val="28"/>
          <w:rtl w:val="true"/>
          <w:lang w:bidi="fa-IR"/>
        </w:rPr>
        <w:t xml:space="preserve">طبق رواياتى كه در كتاب‌هاى روايى شيعه و حتى غير شيعه آمده است، تاريخچه اين شهر به زمان سجده ملائكه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پس از آن، يكى از روستاهاى اين شهر واقع در غرب آن به عنوان محل زندگى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ساختن كشتى مطرح شده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همچنين محل تنورى كه فوران آب از آن نشانه بروز طوفان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مسجد كوفه تعيين شده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و براين اساس هنوز در مسجد كوفه محل‌هايى با عنوان‌هاى مكان كشتى نوح و نيز تنور، علامت‌گذارى شده و نيز محل نماز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كرده‌اند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همچنين محل به آب انداخته شدن كشتى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فرات عنوان شده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همين‌طور از اين شهر به عنوان محل زندگى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ياد شده است، چنان‌كه محل ساختن منجنيقى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وسيله آن در آتش انداختند، اين شهر ذكر كرده‌اند</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مدفن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ناحيه نُخَيلَه كه در فاصله دو فرسخى شمال كوفه واقع است،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شمال شرقى كوفه روستايى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 ذى الكِفْل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كه محل زندگى و مدفن ذوالكفل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w:t>
      </w:r>
    </w:p>
    <w:p>
      <w:pPr>
        <w:pStyle w:val="BookText"/>
        <w:rPr/>
      </w:pPr>
      <w:r>
        <w:rPr>
          <w:rFonts w:ascii="IRNazanin" w:hAnsi="IRNazanin" w:eastAsia="IRNazanin"/>
          <w:color w:val="111111"/>
          <w:sz w:val="28"/>
          <w:sz w:val="28"/>
          <w:szCs w:val="28"/>
          <w:rtl w:val="true"/>
          <w:lang w:bidi="fa-IR"/>
        </w:rPr>
        <w:t xml:space="preserve">مسجد كوفه را محل رويش بوته كدويى دانسته كه يونس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پوشانيد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و بالاخره مسجد كوفه به عنوان محل نماز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به هرحال، اين روايات در صورت صحت، بر آباد بودن اين شهر در گذشته‌هاى دور دلالت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كتاب‌هاى روايى، در بعضى از نقل‌هاى كتاب‌هاى تاريخ فارسى نيز از اين شهر ياد شده، چنان‌كه بعضى از آنها بنيان‌گذارى اين شهر را به هوشنگ پيشدادى، يكى از پادشاهان قديم ايرانى نسبت داده‌اند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اما بعضى از نويسندگان معاصر به رغم آنكه كشف آثارى در ناحيه غربى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فاصله چهل كيلومترى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تبرها و چاقوهاى سنگى را كه مربوط به اعصار ما قبل تاريخ بوده است، يادآور شده‌اند، با استناد به نتايج حفارى‌هاى باستان‌شناسان در دهه‌هاى اخير، منكر وجود اين شهر در پيش از اسلام شده‌اند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براى رفع تنافى بين روايات و حفارى‌هاى باستان‌شناسان بايد دو نكته را يادآور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قبل از اسلام در زبان روايات، شامل منطقه وسيعى مى‌شده كه از كوفه بعد از اسلام بسيار وسيع‌تر بوده است، چنان‌كه از ناحيه نجف كه در غرب كوفه واقع است نيز به عنوان كوفه ياد شده است </w:t>
      </w:r>
      <w:r>
        <w:rPr>
          <w:rStyle w:val="FootnoteAnchor"/>
          <w:rtl w:val="true"/>
        </w:rPr>
        <w:footnoteReference w:id="28"/>
      </w:r>
      <w:r>
        <w:rPr>
          <w:rFonts w:ascii="Amiri" w:hAnsi="Amiri" w:eastAsia="Amiri" w:cs="Amiri"/>
          <w:color w:val="111111"/>
          <w:sz w:val="28"/>
          <w:sz w:val="28"/>
          <w:szCs w:val="28"/>
          <w:rtl w:val="true"/>
          <w:lang w:bidi="ar-SA"/>
        </w:rPr>
        <w:t>و بعيد نيست كه ناحيه كربلا نيز جزء كوفه قديم بوده باشد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حفارى‌هاى باستان‌شناسان، هم از نظر محدوده جغرافيايى روى زمين و هم از جهت عمق، بسيار محدود بوده و ممكن است در صورت ادامه حفارى در مناطق هم‌جوار يا در عمق بيشتر، آثارى كه قدمت بيشتر كوفه را اثبات نمايد، به دست آيد</w:t>
      </w:r>
      <w:r>
        <w:rPr>
          <w:rFonts w:eastAsia="Amiri" w:cs="Amiri" w:ascii="Amiri" w:hAnsi="Amiri"/>
          <w:color w:val="111111"/>
          <w:sz w:val="28"/>
          <w:szCs w:val="28"/>
          <w:rtl w:val="true"/>
          <w:lang w:bidi="ar-SA"/>
        </w:rPr>
        <w:t>.</w:t>
      </w:r>
      <w:bookmarkStart w:id="54" w:name="pg1964_19466"/>
    </w:p>
    <w:p>
      <w:pPr>
        <w:pStyle w:val="Heading3"/>
        <w:numPr>
          <w:ilvl w:val="2"/>
          <w:numId w:val="1"/>
        </w:numPr>
        <w:rPr/>
      </w:pPr>
      <w:bookmarkStart w:id="55" w:name="__RefHeading___Toc3584451_3650668749"/>
      <w:bookmarkStart w:id="56" w:name="_Toc22"/>
      <w:bookmarkEnd w:id="54"/>
      <w:bookmarkEnd w:id="55"/>
      <w:r>
        <w:rPr/>
        <w:t>٢</w:t>
      </w:r>
      <w:r>
        <w:rPr>
          <w:rtl w:val="true"/>
        </w:rPr>
        <w:t xml:space="preserve">. </w:t>
      </w:r>
      <w:r>
        <w:rPr>
          <w:rtl w:val="true"/>
        </w:rPr>
        <w:t>تأسيس شهر كوفه</w:t>
      </w:r>
      <w:bookmarkEnd w:id="56"/>
    </w:p>
    <w:p>
      <w:pPr>
        <w:pStyle w:val="BookText"/>
        <w:rPr/>
      </w:pPr>
      <w:r>
        <w:rPr>
          <w:rFonts w:ascii="Amiri" w:hAnsi="Amiri" w:eastAsia="Amiri" w:cs="Amiri"/>
          <w:color w:val="111111"/>
          <w:sz w:val="28"/>
          <w:sz w:val="28"/>
          <w:szCs w:val="28"/>
          <w:rtl w:val="true"/>
          <w:lang w:bidi="ar-SA"/>
        </w:rPr>
        <w:t xml:space="preserve">سال‌هاى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نقل‌هاى مختلف، سال تأسيس كوفه ذكر شده كه مشهورترين و صحيح‌ترين آنها سال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اما در خصوص ماجراى تأسيس آن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پس از فتح مدائن، به سبب نزديكى اين شهر به شهرهاى ايران كه فتوحات در آنها ادامه داشت، در آنجا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هواى اين شهر به مزاج مردم عرب صحرانشين خوش نيامد و رنگ‌وروى آنها را عوض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از دست پشه‌هاى فراوان اين شهر عذاب فراوان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ابى‌وقاص امير لشكر، از عمر بن خطاب در اين مورد كسب تكليف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طى نامه‌اى دستور داد كه منطقه‌اى را براى سكونت انتخاب نمايند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آن براى شترهاى جنگ‌جويان سازگار باشد و چنين استدلال نمود كه مكانى شرايطش براى عرب سازگار است كه براى شترهايشان سازگار باشد؛</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و هواى آن، آب و هواى خشكى دريايى باشد؛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 منطقه و مدينه كه مركز حكومت اسلام بود، دريا يا پلى حايل نشود تا در صورت لزوم به‌راحتى امكان ارسال لشكر فراهم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براى پيدا نمودن منطقه‌اى با اين خصوصيات، سلمان و حُذَيفَه را كه هميشه در پيشاپيش لشكريان حركت مى‌نمودند، به دستور عُمر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مدائن به شهر انبار آمده و سپس در كناره غربى فرات ادامه مسير داده تا به منطقه كوفه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نيز از سمت ناحيه شرقى فرات به همين ناحيه رسيد و هر دو با هم در اين ناحيه تلاقى كرده و اين سرزمين را كه پُر از ريگ‌هاى قرمز رنگ بود، پسنديدند و به شكرانه دست‌يابى به اين منطقه، دو ركعت نماز گزارده و از خداوند طلب خير و بركت نمودند و آن‌گاه به سعد نامه نوشته و او را از تصميم</w:t>
      </w:r>
      <w:bookmarkStart w:id="57" w:name="pg1964_19467"/>
    </w:p>
    <w:p>
      <w:pPr>
        <w:pStyle w:val="BookText"/>
        <w:rPr/>
      </w:pPr>
      <w:bookmarkEnd w:id="57"/>
      <w:r>
        <w:rPr>
          <w:rFonts w:ascii="IRNazanin" w:hAnsi="IRNazanin" w:eastAsia="IRNazanin"/>
          <w:color w:val="111111"/>
          <w:sz w:val="28"/>
          <w:sz w:val="28"/>
          <w:szCs w:val="28"/>
          <w:rtl w:val="true"/>
          <w:lang w:bidi="fa-IR"/>
        </w:rPr>
        <w:t>خود آگاه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نيز با لشكريان خود به آن‌سو روان شد و پس از تهيه نقشه شهرى جامع، به همراه لشكريان اقدام به ساختن آن كرد</w:t>
      </w:r>
      <w:r>
        <w:rPr>
          <w:rFonts w:eastAsia="IRNazanin" w:cs="IRNazanin"/>
          <w:color w:val="111111"/>
          <w:sz w:val="28"/>
          <w:szCs w:val="28"/>
          <w:rtl w:val="true"/>
          <w:lang w:bidi="fa-IR"/>
        </w:rPr>
        <w:t xml:space="preserve">. </w:t>
      </w:r>
      <w:r>
        <w:rPr>
          <w:rStyle w:val="FootnoteAnchor"/>
          <w:rtl w:val="true"/>
        </w:rPr>
        <w:footnoteReference w:id="30"/>
      </w:r>
    </w:p>
    <w:p>
      <w:pPr>
        <w:pStyle w:val="Heading3"/>
        <w:numPr>
          <w:ilvl w:val="2"/>
          <w:numId w:val="1"/>
        </w:numPr>
        <w:rPr/>
      </w:pPr>
      <w:bookmarkStart w:id="58" w:name="__RefHeading___Toc3584453_3650668749"/>
      <w:bookmarkStart w:id="59" w:name="_Toc23"/>
      <w:bookmarkEnd w:id="58"/>
      <w:r>
        <w:rPr/>
        <w:t>٣</w:t>
      </w:r>
      <w:r>
        <w:rPr>
          <w:rtl w:val="true"/>
        </w:rPr>
        <w:t xml:space="preserve">. </w:t>
      </w:r>
      <w:r>
        <w:rPr>
          <w:rtl w:val="true"/>
        </w:rPr>
        <w:t>مباحث جغرافيايى</w:t>
      </w:r>
      <w:bookmarkEnd w:id="59"/>
    </w:p>
    <w:p>
      <w:pPr>
        <w:pStyle w:val="Heading4"/>
        <w:numPr>
          <w:ilvl w:val="3"/>
          <w:numId w:val="1"/>
        </w:numPr>
        <w:rPr/>
      </w:pPr>
      <w:bookmarkStart w:id="60" w:name="__RefHeading___Toc3584455_3650668749"/>
      <w:bookmarkStart w:id="61" w:name="_Toc24"/>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 xml:space="preserve">قبل از شروع اين مباحث، خاطرنشان مى‌شود كه در اكثر قريب به اتفاق مباحث اين نوشتار، محدوده زمانى مورد نظر از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آغاز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مى‌باشد، گرچه در بعضى موارد براى استفاده بهتر از قراين، ناگزير از اين محدوده نيز فراتر رفته‌ايم</w:t>
      </w:r>
      <w:r>
        <w:rPr>
          <w:rFonts w:eastAsia="IRNazanin" w:cs="IRNazanin"/>
          <w:color w:val="111111"/>
          <w:sz w:val="28"/>
          <w:szCs w:val="28"/>
          <w:rtl w:val="true"/>
          <w:lang w:bidi="fa-IR"/>
        </w:rPr>
        <w:t>.</w:t>
      </w:r>
    </w:p>
    <w:p>
      <w:pPr>
        <w:pStyle w:val="Heading4"/>
        <w:numPr>
          <w:ilvl w:val="3"/>
          <w:numId w:val="1"/>
        </w:numPr>
        <w:rPr/>
      </w:pPr>
      <w:bookmarkStart w:id="62" w:name="__RefHeading___Toc3584457_3650668749"/>
      <w:bookmarkStart w:id="63" w:name="_Toc25"/>
      <w:bookmarkEnd w:id="62"/>
      <w:r>
        <w:rPr>
          <w:rtl w:val="true"/>
        </w:rPr>
        <w:t>الف</w:t>
      </w:r>
      <w:r>
        <w:rPr>
          <w:rtl w:val="true"/>
        </w:rPr>
        <w:t xml:space="preserve">) </w:t>
      </w:r>
      <w:r>
        <w:rPr>
          <w:rtl w:val="true"/>
        </w:rPr>
        <w:t>طول و عرض جغرافيايى و ارتفاع</w:t>
      </w:r>
      <w:bookmarkEnd w:id="63"/>
    </w:p>
    <w:p>
      <w:pPr>
        <w:pStyle w:val="BookText"/>
        <w:rPr/>
      </w:pPr>
      <w:r>
        <w:rPr>
          <w:rFonts w:ascii="IRNazanin" w:hAnsi="IRNazanin" w:eastAsia="IRNazanin"/>
          <w:color w:val="111111"/>
          <w:sz w:val="28"/>
          <w:sz w:val="28"/>
          <w:szCs w:val="28"/>
          <w:rtl w:val="true"/>
          <w:lang w:bidi="fa-IR"/>
        </w:rPr>
        <w:t xml:space="preserve">در نجوم قديم كه جزاير خالدات در اقيانوس آرام مقياس سنجش طول جغرافيايى بود، طول اين شهر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عرض آن، يعنى فاصله آن تا خط استوا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نيز براى آن گفته شده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ارتفاع آن از سطح دريا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عمودى آن از سطح رودخانه فرات كه در شرق آن قرار دارد حدود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ارتفاع در شرق، غرب و مركز كوفه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كه ارتفاع در شرق كوفه كه به فرات نزديك‌تر مى‌باشد، پايين‌ترين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غرب آن كه از رودخانه دورتر است ارتفاع 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مى‌رسد</w:t>
      </w:r>
      <w:r>
        <w:rPr>
          <w:rFonts w:eastAsia="IRNazanin" w:cs="IRNazanin"/>
          <w:color w:val="111111"/>
          <w:sz w:val="28"/>
          <w:szCs w:val="28"/>
          <w:rtl w:val="true"/>
          <w:lang w:bidi="fa-IR"/>
        </w:rPr>
        <w:t xml:space="preserve">. </w:t>
      </w:r>
      <w:r>
        <w:rPr>
          <w:rStyle w:val="FootnoteAnchor"/>
          <w:rtl w:val="true"/>
        </w:rPr>
        <w:footnoteReference w:id="32"/>
      </w:r>
    </w:p>
    <w:p>
      <w:pPr>
        <w:pStyle w:val="Heading4"/>
        <w:numPr>
          <w:ilvl w:val="3"/>
          <w:numId w:val="1"/>
        </w:numPr>
        <w:rPr/>
      </w:pPr>
      <w:bookmarkStart w:id="64" w:name="__RefHeading___Toc3584459_3650668749"/>
      <w:bookmarkStart w:id="65" w:name="_Toc26"/>
      <w:bookmarkEnd w:id="64"/>
      <w:r>
        <w:rPr>
          <w:rtl w:val="true"/>
        </w:rPr>
        <w:t>ب</w:t>
      </w:r>
      <w:r>
        <w:rPr>
          <w:rtl w:val="true"/>
        </w:rPr>
        <w:t xml:space="preserve">) </w:t>
      </w:r>
      <w:r>
        <w:rPr>
          <w:rtl w:val="true"/>
        </w:rPr>
        <w:t>مساحت</w:t>
      </w:r>
      <w:bookmarkEnd w:id="6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مساحت كوفه به‌طور دقيق در تاريخ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بعضى نويسندگان معاصر، قطر اين شهر را در ابتداى تأسيس، حدود دو كيلومتر تخمين زده‌اند كه با توجه به ميزان فراوان مهاجرت، اين مقدار به سرعت رو به افزايش بوده است</w:t>
      </w:r>
      <w:r>
        <w:rPr>
          <w:rFonts w:eastAsia="IRNazanin" w:cs="IRNazanin"/>
          <w:color w:val="111111"/>
          <w:sz w:val="28"/>
          <w:szCs w:val="28"/>
          <w:rtl w:val="true"/>
          <w:lang w:bidi="fa-IR"/>
        </w:rPr>
        <w:t xml:space="preserve">. </w:t>
      </w:r>
      <w:r>
        <w:rPr>
          <w:rStyle w:val="FootnoteAnchor"/>
          <w:rtl w:val="true"/>
        </w:rPr>
        <w:footnoteReference w:id="33"/>
      </w:r>
      <w:bookmarkStart w:id="66" w:name="pg1964_19468"/>
    </w:p>
    <w:p>
      <w:pPr>
        <w:pStyle w:val="BookText"/>
        <w:rPr/>
      </w:pPr>
      <w:bookmarkEnd w:id="66"/>
      <w:r>
        <w:rPr>
          <w:rFonts w:ascii="Amiri" w:hAnsi="Amiri" w:eastAsia="Amiri" w:cs="Amiri"/>
          <w:color w:val="111111"/>
          <w:sz w:val="28"/>
          <w:sz w:val="28"/>
          <w:szCs w:val="28"/>
          <w:rtl w:val="true"/>
          <w:lang w:bidi="ar-SA"/>
        </w:rPr>
        <w:t xml:space="preserve">يكى از راويان دوران بنى‌اميه، محدوده كوفه را در دوران بنى‌اميه حدود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ميل ذكر مى‌كند كه حدود هشتاد هزار خانه را در خود جاى مى‌داده است</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اگر اين مقدار را مساحت فرض نماييم و هر ميل را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بدانيم </w:t>
      </w:r>
      <w:r>
        <w:rPr>
          <w:rStyle w:val="FootnoteAnchor"/>
          <w:rtl w:val="true"/>
        </w:rPr>
        <w:footnoteReference w:id="35"/>
      </w:r>
      <w:r>
        <w:rPr>
          <w:rFonts w:ascii="IRNazanin" w:hAnsi="IRNazanin" w:eastAsia="IRNazanin"/>
          <w:color w:val="111111"/>
          <w:sz w:val="28"/>
          <w:sz w:val="28"/>
          <w:szCs w:val="28"/>
          <w:rtl w:val="true"/>
          <w:lang w:bidi="fa-IR"/>
        </w:rPr>
        <w:t xml:space="preserve">مساحت آن برابر با </w:t>
      </w:r>
      <w:r>
        <w:rPr>
          <w:rFonts w:eastAsia="IRNazanin" w:cs="IRNazanin"/>
          <w:color w:val="111111"/>
          <w:sz w:val="28"/>
          <w:szCs w:val="28"/>
          <w:lang w:bidi="fa-IR"/>
        </w:rPr>
        <w:t>24700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يا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مربع خواهد بود كه با توجه به اينكه اين مساحت حدود هشتاد هزار خانه را در خود جاى مى‌داده، بايد بگوييم هر خانه به‌طور متوسط حدود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بوده كه رقم بسيار نامعقولى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ناچاريم يا اصل روايت تاريخى را رد كنيم يا مقدار را مساحت فرض ننماييم، بلكه به معناى طول بگيريم و يا اينكه رقم هشتاد هزارخانه را قبول نكنيم و رقم بيست هزار خانه را كه در روايت تاريخى ديگر به نقل از شَعْبى است </w:t>
      </w:r>
      <w:r>
        <w:rPr>
          <w:rStyle w:val="FootnoteAnchor"/>
          <w:rtl w:val="true"/>
        </w:rPr>
        <w:footnoteReference w:id="36"/>
      </w:r>
      <w:r>
        <w:rPr>
          <w:rFonts w:ascii="IRNazanin" w:hAnsi="IRNazanin" w:eastAsia="IRNazanin"/>
          <w:color w:val="111111"/>
          <w:sz w:val="28"/>
          <w:sz w:val="28"/>
          <w:szCs w:val="28"/>
          <w:rtl w:val="true"/>
          <w:lang w:bidi="fa-IR"/>
        </w:rPr>
        <w:t xml:space="preserve">، بپذيريم كه در اين صورت هر خانه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بوده كه البته باز هم نامعقول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نويسندگان معاصر، مساحت كوفه را هنگام تأسيس، حدود پنجاه كيلومتر مربع تخمين زده‌اند كه معقول به نظر مى‌رسد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مساحت اين شهر در قرن سوم هجرى قمرى حدود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تعيين شده كه از طول پانزده و عرض نُه كيلومتر به دست مى‌آمده است</w:t>
      </w:r>
      <w:r>
        <w:rPr>
          <w:rFonts w:eastAsia="IRNazanin" w:cs="IRNazanin"/>
          <w:color w:val="111111"/>
          <w:sz w:val="28"/>
          <w:szCs w:val="28"/>
          <w:rtl w:val="true"/>
          <w:lang w:bidi="fa-IR"/>
        </w:rPr>
        <w:t xml:space="preserve">. </w:t>
      </w:r>
      <w:r>
        <w:rPr>
          <w:rStyle w:val="FootnoteAnchor"/>
          <w:rtl w:val="true"/>
        </w:rPr>
        <w:footnoteReference w:id="38"/>
      </w:r>
    </w:p>
    <w:p>
      <w:pPr>
        <w:pStyle w:val="Heading4"/>
        <w:numPr>
          <w:ilvl w:val="3"/>
          <w:numId w:val="1"/>
        </w:numPr>
        <w:rPr/>
      </w:pPr>
      <w:bookmarkStart w:id="67" w:name="__RefHeading___Toc3584461_3650668749"/>
      <w:bookmarkStart w:id="68" w:name="_Toc27"/>
      <w:bookmarkEnd w:id="67"/>
      <w:r>
        <w:rPr>
          <w:rtl w:val="true"/>
        </w:rPr>
        <w:t>ج</w:t>
      </w:r>
      <w:r>
        <w:rPr>
          <w:rtl w:val="true"/>
        </w:rPr>
        <w:t xml:space="preserve">) </w:t>
      </w:r>
      <w:r>
        <w:rPr>
          <w:rtl w:val="true"/>
        </w:rPr>
        <w:t>حدود و ثغور</w:t>
      </w:r>
      <w:bookmarkEnd w:id="6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كوفه هنگام تأسيس در فاصله نيم فرسخى كناره غربى نهر فرات بنا شد </w:t>
      </w:r>
      <w:r>
        <w:rPr>
          <w:rStyle w:val="FootnoteAnchor"/>
          <w:rtl w:val="true"/>
        </w:rPr>
        <w:footnoteReference w:id="39"/>
      </w:r>
      <w:r>
        <w:rPr>
          <w:rFonts w:ascii="Amiri" w:hAnsi="Amiri" w:eastAsia="Amiri" w:cs="Amiri"/>
          <w:color w:val="111111"/>
          <w:sz w:val="28"/>
          <w:sz w:val="28"/>
          <w:szCs w:val="28"/>
          <w:rtl w:val="true"/>
          <w:lang w:bidi="ar-SA"/>
        </w:rPr>
        <w:t>، بنابراين از طرف شرق، محدود به اين رودخانه بود و از طرف غرب به بيابانى كه به سمت شام و عمان امتداد داشت، محدود مى‌شد كه شهر نجف كنونى جزئى از اين بيابان بود و در ناحيه غربى كوفه قرارداشت</w:t>
      </w:r>
      <w:r>
        <w:rPr>
          <w:rFonts w:eastAsia="Amiri" w:cs="Amiri" w:ascii="Amiri" w:hAnsi="Amiri"/>
          <w:color w:val="111111"/>
          <w:sz w:val="28"/>
          <w:szCs w:val="28"/>
          <w:rtl w:val="true"/>
          <w:lang w:bidi="ar-SA"/>
        </w:rPr>
        <w:t xml:space="preserve">. </w:t>
      </w:r>
      <w:r>
        <w:rPr>
          <w:rStyle w:val="FootnoteAnchor"/>
          <w:rtl w:val="true"/>
        </w:rPr>
        <w:footnoteReference w:id="40"/>
      </w:r>
      <w:bookmarkStart w:id="69" w:name="pg1964_19469"/>
    </w:p>
    <w:p>
      <w:pPr>
        <w:pStyle w:val="BookText"/>
        <w:rPr/>
      </w:pPr>
      <w:bookmarkEnd w:id="69"/>
      <w:r>
        <w:rPr>
          <w:rFonts w:ascii="Amiri" w:hAnsi="Amiri" w:eastAsia="Amiri" w:cs="Amiri"/>
          <w:color w:val="111111"/>
          <w:sz w:val="28"/>
          <w:sz w:val="28"/>
          <w:szCs w:val="28"/>
          <w:rtl w:val="true"/>
          <w:lang w:bidi="ar-SA"/>
        </w:rPr>
        <w:t xml:space="preserve">در جنوب غربى كوفه و در فاصله يك فرسخى آن، شهر حيره كه در آن زمان، شهرى بسيار آباد و مركز حكومت آل‌مَنْذَر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قرار داشت</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در طرف شمال آن، شهر يا منطقه آباد وسيعى وجود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سمت مى‌توان از نخيله در فاصله دو فرسخى شمال كوفه </w:t>
      </w:r>
      <w:r>
        <w:rPr>
          <w:rStyle w:val="FootnoteAnchor"/>
          <w:rtl w:val="true"/>
        </w:rPr>
        <w:footnoteReference w:id="42"/>
      </w:r>
      <w:r>
        <w:rPr>
          <w:rFonts w:ascii="Amiri" w:hAnsi="Amiri" w:eastAsia="Amiri" w:cs="Amiri"/>
          <w:color w:val="111111"/>
          <w:sz w:val="28"/>
          <w:sz w:val="28"/>
          <w:szCs w:val="28"/>
          <w:rtl w:val="true"/>
          <w:lang w:bidi="ar-SA"/>
        </w:rPr>
        <w:t>و از كربلا در هشت فرسخى شمال غربى آن نام برد</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نقشه‌هاى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بعضى از كتاب‌هاى تاريخ، حدود كوفه اين‌چنين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مُوصِل و قَرْقيسياء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غربى و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ماسْبَذان</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كوفه منطقه بسيار وسيعى را شامل مى‌شد كه شهرهايى،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مدائن، تكريت، بغداد امروزى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در برمى‌گرفت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اين حدود مربوط به حدود جغرافيايى شهر كوفه نبوده، بلكه حدود فتوحات يا توابع ادارى اين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هم‌اكنون شهر نجف در فاصله شانزده كيلومترى شرق كوفه، شهر بغداد در فاصله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كيلومترى غرب آن و بصره در فاصله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آن قرار دارد</w:t>
      </w:r>
      <w:r>
        <w:rPr>
          <w:rFonts w:eastAsia="IRNazanin" w:cs="IRNazanin"/>
          <w:color w:val="111111"/>
          <w:sz w:val="28"/>
          <w:szCs w:val="28"/>
          <w:rtl w:val="true"/>
          <w:lang w:bidi="fa-IR"/>
        </w:rPr>
        <w:t xml:space="preserve">. </w:t>
      </w:r>
      <w:r>
        <w:rPr>
          <w:rStyle w:val="FootnoteAnchor"/>
          <w:rtl w:val="true"/>
        </w:rPr>
        <w:footnoteReference w:id="45"/>
      </w:r>
    </w:p>
    <w:p>
      <w:pPr>
        <w:pStyle w:val="Heading4"/>
        <w:numPr>
          <w:ilvl w:val="3"/>
          <w:numId w:val="1"/>
        </w:numPr>
        <w:rPr/>
      </w:pPr>
      <w:bookmarkStart w:id="70" w:name="__RefHeading___Toc3584463_3650668749"/>
      <w:bookmarkStart w:id="71" w:name="_Toc28"/>
      <w:bookmarkEnd w:id="70"/>
      <w:r>
        <w:rPr>
          <w:rtl w:val="true"/>
        </w:rPr>
        <w:t>د</w:t>
      </w:r>
      <w:r>
        <w:rPr>
          <w:rtl w:val="true"/>
        </w:rPr>
        <w:t xml:space="preserve">) </w:t>
      </w:r>
      <w:r>
        <w:rPr>
          <w:rtl w:val="true"/>
        </w:rPr>
        <w:t>زمين</w:t>
      </w:r>
      <w:bookmarkEnd w:id="7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گفته شد، يكى از علل نامگذارى كوفه آن بود كه اين لغت به معناى ريگ‌هاى دايره‌اى شكل قرمز رنگ است و از اينجا به دست مى‌آيد كه زمين اين منطقه، پوشيده از شن و ريگ و ماسه قرمز رنگ بوده است و نيز از اينكه يكى از نام‌هاى قبلى اين منطقه، سورستان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چنين به‌دست مى‌آيد كه اين منطقه زمينى شوره‌زار و صحرايى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مصداق آن فقط قسمت غربى</w:t>
      </w:r>
    </w:p>
    <w:p>
      <w:pPr>
        <w:pStyle w:val="BookText"/>
        <w:rPr/>
      </w:pPr>
      <w:r>
        <w:rPr>
          <w:rFonts w:ascii="IRNazanin" w:hAnsi="IRNazanin" w:eastAsia="IRNazanin"/>
          <w:color w:val="111111"/>
          <w:sz w:val="28"/>
          <w:sz w:val="28"/>
          <w:szCs w:val="28"/>
          <w:rtl w:val="true"/>
          <w:lang w:bidi="fa-IR"/>
        </w:rPr>
        <w:t xml:space="preserve">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هم‌اكنون نيز پوشيده از شن و ماسه قرمز رنگ مى‌باشد و استعداد كمترى براى كشاورزى دارد و پيش از اين گفته شد كه ارتفاع آن از سطح فرات 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اما قسمت شرقى اين شهر كه نزديك فرات است، رسوبى و جلگه‌اى بوده و براى كشاورزى بسيار مناسب مى‌باشد و بيشتر مزارع و باغ‌هاى اين شهر را در خود جاى داده است </w:t>
      </w:r>
      <w:r>
        <w:rPr>
          <w:rStyle w:val="FootnoteAnchor"/>
          <w:rtl w:val="true"/>
        </w:rPr>
        <w:footnoteReference w:id="47"/>
      </w:r>
      <w:r>
        <w:rPr>
          <w:rFonts w:ascii="IRNazanin" w:hAnsi="IRNazanin" w:eastAsia="IRNazanin"/>
          <w:color w:val="111111"/>
          <w:sz w:val="28"/>
          <w:sz w:val="28"/>
          <w:szCs w:val="28"/>
          <w:rtl w:val="true"/>
          <w:lang w:bidi="fa-IR"/>
        </w:rPr>
        <w:t xml:space="preserve">و چنان‌كه گفته شد، ارتفاع آن بين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رودخانه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زمين كوفه در بعضى از توصيفات به‌طور كلى اين‌چنين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بيابان پايين‌تر و از آب بالاتر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اين نشانه ارتفاع اين زمين از سطح رودخانه فرات و پايين بودن آن در مقايسه با بيابان‌هاى اطراف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بعضى ديگر از توصيفات، زمين اين شهر پايين‌تر از زمين شهر شام دانسته شده و همين را علت عدم شيوع وبا در اين شهر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مرتفع‌تر از زمين بصره معرفى شده است و اين را علت عدم گرماى بيش از حد در كوفه دانسته‌اند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به كوفه در سال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زمين آن را اين چنين توصيف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حَبَّذا مَقامُنا بِالْكُوفة</w:t>
      </w:r>
    </w:p>
    <w:p>
      <w:pPr>
        <w:pStyle w:val="BookText"/>
        <w:rPr/>
      </w:pPr>
      <w:r>
        <w:rPr>
          <w:rFonts w:ascii="Amiri" w:hAnsi="Amiri" w:eastAsia="Amiri" w:cs="Amiri"/>
          <w:color w:val="111111"/>
          <w:sz w:val="28"/>
          <w:sz w:val="28"/>
          <w:szCs w:val="28"/>
          <w:rtl w:val="true"/>
          <w:lang w:bidi="ar-SA"/>
        </w:rPr>
        <w:t>أرضٌ سَوادٌ سَهْلَةٌ مَعْرُوفَة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تَعْرِفُها جِمالُنا المَعْلُوفَة </w:t>
      </w:r>
      <w:r>
        <w:rPr>
          <w:rStyle w:val="FootnoteAnchor"/>
          <w:rtl w:val="true"/>
        </w:rPr>
        <w:footnoteReference w:id="51"/>
      </w:r>
      <w:r>
        <w:rPr>
          <w:rFonts w:ascii="IRNazanin" w:hAnsi="IRNazanin" w:eastAsia="IRNazanin"/>
          <w:color w:val="111111"/>
          <w:sz w:val="28"/>
          <w:sz w:val="28"/>
          <w:szCs w:val="28"/>
          <w:rtl w:val="true"/>
          <w:lang w:bidi="fa-IR"/>
        </w:rPr>
        <w:t>چه نيكوست نزول ما در شهر كوفه؛ شهرى كه زمين دشت مانند آن شناخته شده است و شتران ما آن را مى‌شناسند</w:t>
      </w:r>
      <w:r>
        <w:rPr>
          <w:rFonts w:eastAsia="IRNazanin" w:cs="IRNazanin"/>
          <w:color w:val="111111"/>
          <w:sz w:val="28"/>
          <w:szCs w:val="28"/>
          <w:rtl w:val="true"/>
          <w:lang w:bidi="fa-IR"/>
        </w:rPr>
        <w:t>.</w:t>
      </w:r>
      <w:bookmarkStart w:id="72" w:name="pg1964_19471"/>
    </w:p>
    <w:p>
      <w:pPr>
        <w:pStyle w:val="BookText"/>
        <w:rPr/>
      </w:pPr>
      <w:bookmarkEnd w:id="72"/>
      <w:r>
        <w:rPr>
          <w:rFonts w:ascii="IRNazanin" w:hAnsi="IRNazanin" w:eastAsia="IRNazanin"/>
          <w:color w:val="111111"/>
          <w:sz w:val="28"/>
          <w:sz w:val="28"/>
          <w:szCs w:val="28"/>
          <w:rtl w:val="true"/>
          <w:lang w:bidi="fa-IR"/>
        </w:rPr>
        <w:t>احنف بن قيس بصرى با حسرت به كوفيان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مكان نيكويى داريد و چه نزديك است بيابان شما به محل زندگيتان</w:t>
      </w:r>
      <w:r>
        <w:rPr>
          <w:rFonts w:eastAsia="IRNazanin" w:cs="IRNazanin"/>
          <w:color w:val="111111"/>
          <w:sz w:val="28"/>
          <w:szCs w:val="28"/>
          <w:rtl w:val="true"/>
          <w:lang w:bidi="fa-IR"/>
        </w:rPr>
        <w:t xml:space="preserve">» . </w:t>
      </w:r>
      <w:r>
        <w:rPr>
          <w:rStyle w:val="FootnoteAnchor"/>
          <w:rtl w:val="true"/>
        </w:rPr>
        <w:footnoteReference w:id="52"/>
      </w:r>
    </w:p>
    <w:p>
      <w:pPr>
        <w:pStyle w:val="Heading4"/>
        <w:numPr>
          <w:ilvl w:val="3"/>
          <w:numId w:val="1"/>
        </w:numPr>
        <w:rPr/>
      </w:pPr>
      <w:bookmarkStart w:id="73" w:name="__RefHeading___Toc3584465_3650668749"/>
      <w:bookmarkStart w:id="74" w:name="_Toc29"/>
      <w:bookmarkEnd w:id="73"/>
      <w:r>
        <w:rPr>
          <w:rtl w:val="true"/>
        </w:rPr>
        <w:t>ه</w:t>
      </w:r>
      <w:r>
        <w:rPr>
          <w:rtl w:val="true"/>
        </w:rPr>
        <w:t xml:space="preserve">) </w:t>
      </w:r>
      <w:r>
        <w:rPr>
          <w:rtl w:val="true"/>
        </w:rPr>
        <w:t>آب و هوا</w:t>
      </w:r>
      <w:bookmarkEnd w:id="74"/>
    </w:p>
    <w:p>
      <w:pPr>
        <w:pStyle w:val="BookText"/>
        <w:rPr/>
      </w:pPr>
      <w:r>
        <w:rPr>
          <w:rFonts w:ascii="IRNazanin" w:hAnsi="IRNazanin" w:eastAsia="IRNazanin"/>
          <w:color w:val="111111"/>
          <w:sz w:val="28"/>
          <w:sz w:val="28"/>
          <w:szCs w:val="28"/>
          <w:rtl w:val="true"/>
          <w:lang w:bidi="fa-IR"/>
        </w:rPr>
        <w:t xml:space="preserve">چنان‌كه گفته شد، در شرق كوفه، رودخانه فرات و در طرف غرب و نواحى ديگر، بيابان قرار داشته است و اين نكته باعث شده بود كه هواى كوفه تلفيقى از هواى مرطوب و خشك باشد كه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بحرى؛ بيابانى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نوع هوا بود كه آن را در آن زمان به عنوان يكى از خوش آب و هواترين شهرها معرفى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باد شمال از طرف بيابان و باد جنوب از طرف كشت‌زارها در اين منطقه مى‌وزيد </w:t>
      </w:r>
      <w:r>
        <w:rPr>
          <w:rStyle w:val="FootnoteAnchor"/>
          <w:rtl w:val="true"/>
        </w:rPr>
        <w:footnoteReference w:id="53"/>
      </w:r>
      <w:r>
        <w:rPr>
          <w:rFonts w:ascii="IRNazanin" w:hAnsi="IRNazanin" w:eastAsia="IRNazanin"/>
          <w:color w:val="111111"/>
          <w:sz w:val="28"/>
          <w:sz w:val="28"/>
          <w:szCs w:val="28"/>
          <w:rtl w:val="true"/>
          <w:lang w:bidi="fa-IR"/>
        </w:rPr>
        <w:t>وهواى نسبتاً متنوعى به آن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اين شهر عمدتاً از نهر فرات تأمين مى‌شد كه آبى شيرين و سرد و گوارا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گوارايى اين آب در كوفه، نزديك‌تر بودن آن به سرچشمه بود، در حالى‌كه همين آب هنگامى كه پس از عبور از كنار كوفه به بصره مى‌رسد، گوارايى خود را از دست مى‌دهد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يكى از بهترين شواهد بر خوش آب و هوايى كوفه داستان تاريخى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مرد نزد عمر بن خطاب آمدند تا آنها را به لشكر فتوحات ملحق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يكى از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كجا دارى؟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هفت‌صد درهم حقوق ساليانه براى او تعيين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كجا دارى؟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براى او پانصد درهم حقوق ساليانه تعيين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علت دويست درهم مابه‌التفاوت را وجود فرات در كوفه دانست</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روشن است كه تعيين حق مأموريت كمتر براى متقاضى كوفه، خوش‌آب و هوا بودن آن در مقايسه با بصره است</w:t>
      </w:r>
      <w:r>
        <w:rPr>
          <w:rFonts w:eastAsia="Amiri" w:cs="Amiri" w:ascii="Amiri" w:hAnsi="Amiri"/>
          <w:color w:val="111111"/>
          <w:sz w:val="28"/>
          <w:szCs w:val="28"/>
          <w:rtl w:val="true"/>
          <w:lang w:bidi="ar-SA"/>
        </w:rPr>
        <w:t>.</w:t>
      </w:r>
      <w:bookmarkStart w:id="75" w:name="pg1964_19472"/>
    </w:p>
    <w:p>
      <w:pPr>
        <w:pStyle w:val="Heading4"/>
        <w:numPr>
          <w:ilvl w:val="3"/>
          <w:numId w:val="1"/>
        </w:numPr>
        <w:rPr/>
      </w:pPr>
      <w:bookmarkStart w:id="76" w:name="__RefHeading___Toc3584467_3650668749"/>
      <w:bookmarkStart w:id="77" w:name="_Toc30"/>
      <w:bookmarkEnd w:id="75"/>
      <w:bookmarkEnd w:id="76"/>
      <w:r>
        <w:rPr>
          <w:rtl w:val="true"/>
        </w:rPr>
        <w:t>و</w:t>
      </w:r>
      <w:r>
        <w:rPr>
          <w:rtl w:val="true"/>
        </w:rPr>
        <w:t xml:space="preserve">) </w:t>
      </w:r>
      <w:r>
        <w:rPr>
          <w:rtl w:val="true"/>
        </w:rPr>
        <w:t>جمعيت</w:t>
      </w:r>
      <w:bookmarkEnd w:id="77"/>
    </w:p>
    <w:p>
      <w:pPr>
        <w:pStyle w:val="BookText"/>
        <w:rPr/>
      </w:pPr>
      <w:r>
        <w:rPr>
          <w:rFonts w:ascii="Amiri" w:hAnsi="Amiri" w:eastAsia="Amiri" w:cs="Amiri"/>
          <w:color w:val="111111"/>
          <w:sz w:val="28"/>
          <w:sz w:val="28"/>
          <w:szCs w:val="28"/>
          <w:rtl w:val="true"/>
          <w:lang w:bidi="ar-SA"/>
        </w:rPr>
        <w:t xml:space="preserve">در مورد جمعيت كوفه طى مقاطع مختلف از سال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منابع تاريخى اختلاف‌نظرهايى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مرورى اجمالى بر جمعيت كوفه در مقطع مورد بحث خواهيم داشت، ضمن اينكه به اختلافات منابع نيز اشاره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يعقوبى جمعيت اوليه كوفه را ده هزار جنگ‌جو ذكر مى‌كند </w:t>
      </w:r>
      <w:r>
        <w:rPr>
          <w:rStyle w:val="FootnoteAnchor"/>
          <w:rtl w:val="true"/>
        </w:rPr>
        <w:footnoteReference w:id="56"/>
      </w:r>
      <w:r>
        <w:rPr>
          <w:rFonts w:ascii="IRNazanin" w:hAnsi="IRNazanin" w:eastAsia="IRNazanin"/>
          <w:color w:val="111111"/>
          <w:sz w:val="28"/>
          <w:sz w:val="28"/>
          <w:szCs w:val="28"/>
          <w:rtl w:val="true"/>
          <w:lang w:bidi="fa-IR"/>
        </w:rPr>
        <w:t>كه اگر به اين رقم تعداد نفرات خانواده‌هاى آنان را كه همراه آنان بوده‌اند، اضافه نماييم، رقمى حدود سى هزار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حدود چهار هزار ايرانى به همراه فرماندهشان كه دِيلَم نام داشت، قبل از فتح مدائن در سال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لشكر اسلام پيوستند و پس از بنيان كوفه، در آن ساكن شدند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پس تا اينجا رقم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كه در مقابل اين قول قرار دارد، روايت مربوط به ساختن مسجد جامع كوفه است كه در آن زمان سعد بن ابى‌وقاص مأمور ساختن مسجدى شد كه بتواند تمام جمعيت جنگ‌جويان كوفه را در خود جاى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سعد طبق اين دستور بنا نمود، گنجايش چهل هزار نفر داشت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حال اگر تعداد نفرات خانواده‌هاى اين چهل هزار نفر را شصت هزار نفر فرض نماييم به جمعيتى حدود صدهزار نفر دست پيدا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با نقل قول طبرى از عمر بن خطاب در سال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تأييد مى‌شود كه هنگام گلايه از اعتراض كوفيان به امراى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مصيبتى بالاتر از صدهزارى كه نه آنها از اُمرايشان راضى‌اند ونه اُمرايشان از آنها</w:t>
      </w:r>
      <w:r>
        <w:rPr>
          <w:rFonts w:eastAsia="IRNazanin" w:cs="IRNazanin"/>
          <w:color w:val="111111"/>
          <w:sz w:val="28"/>
          <w:szCs w:val="28"/>
          <w:rtl w:val="true"/>
          <w:lang w:bidi="fa-IR"/>
        </w:rPr>
        <w:t xml:space="preserve">» . </w:t>
      </w:r>
      <w:r>
        <w:rPr>
          <w:rStyle w:val="FootnoteAnchor"/>
          <w:rtl w:val="true"/>
        </w:rPr>
        <w:footnoteReference w:id="5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كلام عمر، مقصود از صد هزار ذكر نشده و به نظر مى‌رسد كه مقصود از آن، نفر باشد نه جنگ‌جو؛ يعنى صد هزار نفر، اعم از جنگ‌جو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طبرى پس از ذكر اين نقل چنين نتيجه‌گيرى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كوفه براى صد هزار جنگ‌جو پى‌ريزى شد</w:t>
      </w:r>
      <w:r>
        <w:rPr>
          <w:rFonts w:eastAsia="IRNazanin" w:cs="IRNazanin"/>
          <w:color w:val="111111"/>
          <w:sz w:val="28"/>
          <w:szCs w:val="28"/>
          <w:rtl w:val="true"/>
          <w:lang w:bidi="fa-IR"/>
        </w:rPr>
        <w:t xml:space="preserve">» .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به نظر مى‌رسد اين نتيجه‌گيرى طبرى درست نباشد، زيرا در اين صورت جمعيت كوفه با احتساب زنان و فرزندان بايد رقمى بيش از دويست هزار نفر باشد كه اين علاوه بر دور بودن آن از ذهن، با گنجايش مسجد در آن زمان نيز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پس از تأسيس كوفه به علت آب و هواى خوش اين منطقه و نيز نزديكى آن به مرزهاى ايران كه از اين راه لشكريان مى‌توانستند با فتوحات خود غنايم فراوانى به دست آورند و همچنين رونق كسب و كار در آن، سيل مهاجرت عرب‌ها و عجم‌ها به اين منطقه سرازير شد و نرخ رشد جمعيت رو به فزونى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در اين دوره، هميشه مقدارى از جمعيت كوفه در شهرهاى ايران مشغول فتوحات بودند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مهاجرت به كوفه، به‌خصوص پس از سال </w:t>
      </w:r>
      <w:r>
        <w:rPr>
          <w:rStyle w:val="FootnoteAnchor"/>
        </w:rPr>
        <w:footnoteReference w:id="62"/>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را پايتخت مملكت اسلام قرار داد، شدت گرفت، به گونه‌اى كه تاريخ‌نويسان تعداد سپاهيان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جنگ صفين كه بيشتر آنان كوفى بودند، با رقم‌هايى مانند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w:t>
      </w:r>
      <w:r>
        <w:rPr>
          <w:rStyle w:val="FootnoteAnchor"/>
          <w:rtl w:val="true"/>
        </w:rPr>
        <w:footnoteReference w:id="63"/>
      </w:r>
      <w:r>
        <w:rPr>
          <w:rFonts w:ascii="IRNazanin" w:hAnsi="IRNazanin" w:eastAsia="IRNazanin"/>
          <w:color w:val="111111"/>
          <w:sz w:val="28"/>
          <w:sz w:val="28"/>
          <w:szCs w:val="28"/>
          <w:rtl w:val="true"/>
          <w:lang w:bidi="fa-IR"/>
        </w:rPr>
        <w:t>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احتساب جمعيت واقعى كوفه در آن زمان بايد تعداد احتمالى افراد حاضر در شهر و نيز زنان و فرزندان را به ارقام فوق اضافه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صلح با معاويه را پذيرفت، بعضى از ياران آن حضرت با اعتراض به اين عمل، جمعيت صد هزار نفرى جنگ‌جوى كوفه را كه اسامى آنان در ديوان عطاء ثبت شده بود، به رخ آن حضرت كشيدند</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در اين صورت با</w:t>
      </w:r>
    </w:p>
    <w:p>
      <w:pPr>
        <w:pStyle w:val="BookText"/>
        <w:rPr/>
      </w:pPr>
      <w:r>
        <w:rPr>
          <w:rFonts w:ascii="IRNazanin" w:hAnsi="IRNazanin" w:eastAsia="IRNazanin"/>
          <w:color w:val="111111"/>
          <w:sz w:val="28"/>
          <w:sz w:val="28"/>
          <w:szCs w:val="28"/>
          <w:rtl w:val="true"/>
          <w:lang w:bidi="fa-IR"/>
        </w:rPr>
        <w:t xml:space="preserve">احتساب زنان و فرزندان به رقمى بيش از دويست هزار نفر در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دست پيدا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تاريخ‌نويسان تعداد جمعيت كوفه در زمان حكومت زياد بن ابيه را كه از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طرف معاويه والى كوفه بود، شصت هزار جنگ‌جو و هشتاد هزار زن و فرزند ذكركرده‌اند </w:t>
      </w:r>
      <w:r>
        <w:rPr>
          <w:rStyle w:val="FootnoteAnchor"/>
          <w:rtl w:val="true"/>
        </w:rPr>
        <w:footnoteReference w:id="65"/>
      </w:r>
      <w:r>
        <w:rPr>
          <w:rFonts w:ascii="IRNazanin" w:hAnsi="IRNazanin" w:eastAsia="IRNazanin"/>
          <w:color w:val="111111"/>
          <w:sz w:val="28"/>
          <w:sz w:val="28"/>
          <w:szCs w:val="28"/>
          <w:rtl w:val="true"/>
          <w:lang w:bidi="fa-IR"/>
        </w:rPr>
        <w:t xml:space="preserve">كه در مجموع، رقمى معادل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رقم با وسعتى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كوفه داد و آن را براى گنجايش جمعيتى معادل شصت هزار مهيا نمود، سازگار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با توجه به اين نقل، شاهد كاهش نرخ جمعيت به نسبت معتنابهى در اين زمان مى‌باشيم كه علل آن را مى‌توان امور زير دانست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به دستور معاويه بسيارى از مردم كوفه را به خراسان و شام منتقل كرد كه رقم انتقالى به خراسان را بعضى ده هزار و بعضى پنجاه هزار نفر دانسته‌اند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اين اختلاف ناشى از اين است كه طبق روايات تاريخى، به‌طور كلى زياد پنجاه هزار نفر از مردم عراق، يعنى كوفه و بصره را به خراسان منتقل نمود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اين نقل باعث شده است تا بعضى به اشتباه، همه آنها را به كوفه نسبت دهند و بعضى ديگر با توجه به نسبت جمعيت كوفه و بصره كه جمعيت بصره بيشتر بوده، چهل هزار نفر را مربوط به بصره و ده هزار نفر ديگر را به كوفه مربوط بدانند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اما به اعتقاد نگارنده، صحيح‌تر آن است كه بگوييم با توجه به جمعيت صد هزار نفرى سرباز در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يعنى بيش از ده سال پيش و نيز با عنايت به سياست شيعه‌زدايى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 توجه به جمعيت شصت هزار نفرى سرباز در زمان زياد، بايد بيشتر اين جمعيت انتقالى را به كوفه مربوط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w:t>
      </w:r>
    </w:p>
    <w:p>
      <w:pPr>
        <w:pStyle w:val="BookText"/>
        <w:rPr/>
      </w:pPr>
      <w:r>
        <w:rPr>
          <w:rFonts w:ascii="IRNazanin" w:hAnsi="IRNazanin" w:eastAsia="IRNazanin"/>
          <w:color w:val="111111"/>
          <w:sz w:val="28"/>
          <w:sz w:val="28"/>
          <w:szCs w:val="28"/>
          <w:rtl w:val="true"/>
          <w:lang w:bidi="fa-IR"/>
        </w:rPr>
        <w:t xml:space="preserve">جمعيت منتقل شده به شام را عمدتاً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عناصر عجم شهر كوفه كه با قبايل كوفه پيمان بسته بودند، تشكيل مى‌دادند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سياست شيعه‌زدايى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نظر مى‌رسد كه عده فراوانى از جمعيت شيعه كوفه از اين شهر كوچ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جمعيت كوفه در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يعنى زمان شروع نهضت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مى‌توان براساس نامه‌هايى كه كوفيان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تخمين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اين نامه‌ها از سپاه صد هزار نفرى آماده به خدمت ياد شده </w:t>
      </w:r>
      <w:r>
        <w:rPr>
          <w:rStyle w:val="FootnoteAnchor"/>
          <w:rtl w:val="true"/>
        </w:rPr>
        <w:footnoteReference w:id="71"/>
      </w:r>
      <w:r>
        <w:rPr>
          <w:rFonts w:ascii="IRNazanin" w:hAnsi="IRNazanin" w:eastAsia="IRNazanin"/>
          <w:color w:val="111111"/>
          <w:sz w:val="28"/>
          <w:sz w:val="28"/>
          <w:szCs w:val="28"/>
          <w:rtl w:val="true"/>
          <w:lang w:bidi="fa-IR"/>
        </w:rPr>
        <w:t>كه با احتساب عناصر مختلف امام در كوفه به رقمى بيش از اين مقدار خواهيم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معاويه قبل از مرگش ضمن سفارش اهل كوفه به يزيد، از صد هزار شمشير كشيده در كوفه نام مى‌برد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بنابراين، اگر تعداد بيعت‌كنندگان با مسلم را طبق روايات مختلف تاريخى، دوازده هزار يا هجده هزار يا بيست هزار يا چهل هزار نفر بدانيم </w:t>
      </w:r>
      <w:r>
        <w:rPr>
          <w:rStyle w:val="FootnoteAnchor"/>
          <w:rtl w:val="true"/>
        </w:rPr>
        <w:footnoteReference w:id="73"/>
      </w:r>
      <w:r>
        <w:rPr>
          <w:rFonts w:ascii="IRNazanin" w:hAnsi="IRNazanin" w:eastAsia="IRNazanin"/>
          <w:color w:val="111111"/>
          <w:sz w:val="28"/>
          <w:sz w:val="28"/>
          <w:szCs w:val="28"/>
          <w:rtl w:val="true"/>
          <w:lang w:bidi="fa-IR"/>
        </w:rPr>
        <w:t>باز از نصف جمعيت كمتر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اگر تعداد نفرات لشكر عمربن‌سعد را در كربلا طبق روايت منسوب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هزار نفر بدانيم </w:t>
      </w:r>
      <w:r>
        <w:rPr>
          <w:rStyle w:val="FootnoteAnchor"/>
          <w:rtl w:val="true"/>
        </w:rPr>
        <w:footnoteReference w:id="74"/>
      </w:r>
      <w:r>
        <w:rPr>
          <w:rFonts w:ascii="IRNazanin" w:hAnsi="IRNazanin" w:eastAsia="IRNazanin"/>
          <w:color w:val="111111"/>
          <w:sz w:val="28"/>
          <w:sz w:val="28"/>
          <w:szCs w:val="28"/>
          <w:rtl w:val="true"/>
          <w:lang w:bidi="fa-IR"/>
        </w:rPr>
        <w:t>، از ثلث جمعيت كمتر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اينجا مى‌توانيم تعداد سپاهيان شصت هزار نفرى مختار </w:t>
      </w:r>
      <w:r>
        <w:rPr>
          <w:rStyle w:val="FootnoteAnchor"/>
          <w:rtl w:val="true"/>
        </w:rPr>
        <w:footnoteReference w:id="75"/>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ق‌توجيه نماييم، زيرا اغلب سپاهيان او را افرادى تشكيل مى‌دادند كه در كربلا شركت نكرده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اين نكته لازم است كه ياقوت حموى دو روايت مختلف تاريخى نقل مى‌كند كه در يكى از آنها جمعيت عرب كوفه را هشتاد هزار خانوار و در ديگرى بيست هزار خانوار ذكر مى‌كند</w:t>
      </w:r>
      <w:r>
        <w:rPr>
          <w:rFonts w:eastAsia="IRNazanin" w:cs="IRNazanin"/>
          <w:color w:val="111111"/>
          <w:sz w:val="28"/>
          <w:szCs w:val="28"/>
          <w:rtl w:val="true"/>
          <w:lang w:bidi="fa-IR"/>
        </w:rPr>
        <w:t xml:space="preserve">. </w:t>
      </w:r>
      <w:r>
        <w:rPr>
          <w:rStyle w:val="FootnoteAnchor"/>
          <w:rtl w:val="true"/>
        </w:rPr>
        <w:footnoteReference w:id="76"/>
      </w:r>
      <w:r>
        <w:rPr>
          <w:rFonts w:ascii="Amiri" w:hAnsi="Amiri" w:eastAsia="Amiri" w:cs="Amiri"/>
          <w:color w:val="111111"/>
          <w:sz w:val="28"/>
          <w:sz w:val="28"/>
          <w:szCs w:val="28"/>
          <w:rtl w:val="true"/>
          <w:lang w:bidi="ar-SA"/>
        </w:rPr>
        <w:t>اما اشكال اين دو نقل آن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روايات و شواهد تاريخى كه ذكر نموديم، تعارض دارند؛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مشخصى براى اين جمعيت، به جز زمان بنى‌اميه ارائه نمى‌دهند</w:t>
      </w:r>
      <w:r>
        <w:rPr>
          <w:rFonts w:eastAsia="Amiri" w:cs="Amiri" w:ascii="Amiri" w:hAnsi="Amiri"/>
          <w:color w:val="111111"/>
          <w:sz w:val="28"/>
          <w:szCs w:val="28"/>
          <w:rtl w:val="true"/>
          <w:lang w:bidi="ar-SA"/>
        </w:rPr>
        <w:t>.</w:t>
      </w:r>
      <w:bookmarkStart w:id="78" w:name="pg1964_19476"/>
    </w:p>
    <w:p>
      <w:pPr>
        <w:pStyle w:val="BookText"/>
        <w:rPr/>
      </w:pPr>
      <w:bookmarkEnd w:id="78"/>
      <w:r>
        <w:rPr>
          <w:rFonts w:ascii="IRNazanin" w:hAnsi="IRNazanin" w:eastAsia="IRNazanin"/>
          <w:color w:val="111111"/>
          <w:sz w:val="28"/>
          <w:sz w:val="28"/>
          <w:szCs w:val="28"/>
          <w:rtl w:val="true"/>
          <w:lang w:bidi="fa-IR"/>
        </w:rPr>
        <w:t xml:space="preserve">اما اشكال ديگرى كه در نقل هشتاد هزار وجود دارد،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نقل، مساحت كوفه را </w:t>
      </w:r>
      <w:r>
        <w:rPr>
          <w:rFonts w:eastAsia="IRNazanin" w:cs="IRNazanin"/>
          <w:color w:val="111111"/>
          <w:sz w:val="28"/>
          <w:szCs w:val="28"/>
          <w:lang w:bidi="fa-IR"/>
        </w:rPr>
        <w:t>3216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ذكر مى‌كند كه بدين ترتيب، بهره هر خانواده از زمين كمتر از يك سوم متر بوده است</w:t>
      </w:r>
      <w:r>
        <w:rPr>
          <w:rFonts w:eastAsia="IRNazanin" w:cs="IRNazanin"/>
          <w:color w:val="111111"/>
          <w:sz w:val="28"/>
          <w:szCs w:val="28"/>
          <w:rtl w:val="true"/>
          <w:lang w:bidi="fa-IR"/>
        </w:rPr>
        <w:t>.</w:t>
      </w:r>
    </w:p>
    <w:p>
      <w:pPr>
        <w:pStyle w:val="Heading4"/>
        <w:numPr>
          <w:ilvl w:val="3"/>
          <w:numId w:val="1"/>
        </w:numPr>
        <w:rPr/>
      </w:pPr>
      <w:bookmarkStart w:id="79" w:name="__RefHeading___Toc3584469_3650668749"/>
      <w:bookmarkStart w:id="80" w:name="_Toc31"/>
      <w:bookmarkEnd w:id="79"/>
      <w:r>
        <w:rPr>
          <w:rtl w:val="true"/>
        </w:rPr>
        <w:t>ز</w:t>
      </w:r>
      <w:r>
        <w:rPr>
          <w:rtl w:val="true"/>
        </w:rPr>
        <w:t xml:space="preserve">) </w:t>
      </w:r>
      <w:r>
        <w:rPr>
          <w:rtl w:val="true"/>
        </w:rPr>
        <w:t>گياهان و درختان كوفه</w:t>
      </w:r>
      <w:bookmarkEnd w:id="80"/>
    </w:p>
    <w:p>
      <w:pPr>
        <w:pStyle w:val="Heading5"/>
        <w:numPr>
          <w:ilvl w:val="4"/>
          <w:numId w:val="1"/>
        </w:numPr>
        <w:rPr/>
      </w:pPr>
      <w:bookmarkStart w:id="81" w:name="__RefHeading___Toc3584471_3650668749"/>
      <w:bookmarkStart w:id="82" w:name="_Toc32"/>
      <w:bookmarkEnd w:id="81"/>
      <w:r>
        <w:rPr>
          <w:rtl w:val="true"/>
        </w:rPr>
        <w:t xml:space="preserve">يك </w:t>
      </w:r>
      <w:r>
        <w:rPr>
          <w:rtl w:val="true"/>
        </w:rPr>
        <w:t xml:space="preserve">- </w:t>
      </w:r>
      <w:r>
        <w:rPr>
          <w:rtl w:val="true"/>
        </w:rPr>
        <w:t>گياهان قبل از بنيان‌گذار‌ى كوفه</w:t>
      </w:r>
      <w:bookmarkEnd w:id="82"/>
    </w:p>
    <w:p>
      <w:pPr>
        <w:pStyle w:val="Heading6"/>
        <w:numPr>
          <w:ilvl w:val="5"/>
          <w:numId w:val="1"/>
        </w:numPr>
        <w:rPr/>
      </w:pPr>
      <w:bookmarkStart w:id="83" w:name="__RefHeading___Toc3584473_3650668749"/>
      <w:bookmarkStart w:id="84" w:name="_Toc33"/>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گياهانى كه قبل از مسكونى شدن كوفه در آن منطقه مى‌روييدند،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اُقحُوان، حَلْفاء، خُزامى، شِيح، قِيصوم، شقائق </w:t>
      </w:r>
      <w:r>
        <w:rPr>
          <w:rStyle w:val="FootnoteAnchor"/>
          <w:rtl w:val="true"/>
        </w:rPr>
        <w:footnoteReference w:id="77"/>
      </w:r>
      <w:r>
        <w:rPr>
          <w:rFonts w:ascii="Amiri" w:hAnsi="Amiri" w:eastAsia="Amiri" w:cs="Amiri"/>
          <w:color w:val="111111"/>
          <w:sz w:val="28"/>
          <w:sz w:val="28"/>
          <w:szCs w:val="28"/>
          <w:rtl w:val="true"/>
          <w:lang w:bidi="ar-SA"/>
        </w:rPr>
        <w:t xml:space="preserve">، نصى و حَلى </w:t>
      </w:r>
      <w:r>
        <w:rPr>
          <w:rStyle w:val="FootnoteAnchor"/>
          <w:rtl w:val="true"/>
        </w:rPr>
        <w:footnoteReference w:id="78"/>
      </w:r>
      <w:r>
        <w:rPr>
          <w:rFonts w:ascii="IRNazanin" w:hAnsi="IRNazanin" w:eastAsia="IRNazanin"/>
          <w:color w:val="111111"/>
          <w:sz w:val="28"/>
          <w:sz w:val="28"/>
          <w:szCs w:val="28"/>
          <w:rtl w:val="true"/>
          <w:lang w:bidi="fa-IR"/>
        </w:rPr>
        <w:t>كه در ادامه به موارد مصرف آنها مى‌پردازيم</w:t>
      </w:r>
      <w:r>
        <w:rPr>
          <w:rFonts w:eastAsia="IRNazanin" w:cs="IRNazanin"/>
          <w:color w:val="111111"/>
          <w:sz w:val="28"/>
          <w:szCs w:val="28"/>
          <w:rtl w:val="true"/>
          <w:lang w:bidi="fa-IR"/>
        </w:rPr>
        <w:t>:</w:t>
      </w:r>
    </w:p>
    <w:p>
      <w:pPr>
        <w:pStyle w:val="Heading6"/>
        <w:numPr>
          <w:ilvl w:val="5"/>
          <w:numId w:val="1"/>
        </w:numPr>
        <w:rPr/>
      </w:pPr>
      <w:bookmarkStart w:id="85" w:name="__RefHeading___Toc3584475_3650668749"/>
      <w:bookmarkStart w:id="86" w:name="_Toc34"/>
      <w:bookmarkEnd w:id="85"/>
      <w:r>
        <w:rPr>
          <w:rtl w:val="true"/>
        </w:rPr>
        <w:t xml:space="preserve">اول </w:t>
      </w:r>
      <w:r>
        <w:rPr>
          <w:rtl w:val="true"/>
        </w:rPr>
        <w:t xml:space="preserve">- </w:t>
      </w:r>
      <w:r>
        <w:rPr>
          <w:rtl w:val="true"/>
        </w:rPr>
        <w:t>اُقحُوان</w:t>
      </w:r>
      <w:r>
        <w:rPr>
          <w:rtl w:val="true"/>
        </w:rPr>
        <w:t>:</w:t>
      </w:r>
      <w:bookmarkEnd w:id="86"/>
    </w:p>
    <w:p>
      <w:pPr>
        <w:pStyle w:val="BookText"/>
        <w:rPr/>
      </w:pPr>
      <w:r>
        <w:rPr>
          <w:rFonts w:ascii="IRNazanin" w:hAnsi="IRNazanin" w:eastAsia="IRNazanin"/>
          <w:color w:val="111111"/>
          <w:sz w:val="28"/>
          <w:sz w:val="28"/>
          <w:szCs w:val="28"/>
          <w:rtl w:val="true"/>
          <w:lang w:bidi="fa-IR"/>
        </w:rPr>
        <w:t xml:space="preserve">نام ديگر اين گياه نزد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فارسيان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اقحوان گياهى بهارى است كه برگ‌هاى جداجدا، گل سفيد رنگ، ساقه نازك و بوى خوشى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گياه براى درمان نيز استفاده مى‌شده است</w:t>
      </w:r>
      <w:r>
        <w:rPr>
          <w:rFonts w:eastAsia="IRNazanin" w:cs="IRNazanin"/>
          <w:color w:val="111111"/>
          <w:sz w:val="28"/>
          <w:szCs w:val="28"/>
          <w:rtl w:val="true"/>
          <w:lang w:bidi="fa-IR"/>
        </w:rPr>
        <w:t xml:space="preserve">. </w:t>
      </w:r>
      <w:r>
        <w:rPr>
          <w:rStyle w:val="FootnoteAnchor"/>
          <w:rtl w:val="true"/>
        </w:rPr>
        <w:footnoteReference w:id="79"/>
      </w:r>
    </w:p>
    <w:p>
      <w:pPr>
        <w:pStyle w:val="Heading6"/>
        <w:numPr>
          <w:ilvl w:val="5"/>
          <w:numId w:val="1"/>
        </w:numPr>
        <w:rPr/>
      </w:pPr>
      <w:bookmarkStart w:id="87" w:name="__RefHeading___Toc3584477_3650668749"/>
      <w:bookmarkStart w:id="88" w:name="_Toc35"/>
      <w:bookmarkEnd w:id="87"/>
      <w:r>
        <w:rPr>
          <w:rtl w:val="true"/>
        </w:rPr>
        <w:t xml:space="preserve">دوم </w:t>
      </w:r>
      <w:r>
        <w:rPr>
          <w:rtl w:val="true"/>
        </w:rPr>
        <w:t xml:space="preserve">- </w:t>
      </w:r>
      <w:r>
        <w:rPr>
          <w:rtl w:val="true"/>
        </w:rPr>
        <w:t>حلفاء</w:t>
      </w:r>
      <w:r>
        <w:rPr>
          <w:rtl w:val="true"/>
        </w:rPr>
        <w:t>:</w:t>
      </w:r>
      <w:bookmarkEnd w:id="88"/>
    </w:p>
    <w:p>
      <w:pPr>
        <w:pStyle w:val="BookText"/>
        <w:rPr/>
      </w:pPr>
      <w:r>
        <w:rPr>
          <w:rFonts w:ascii="IRNazanin" w:hAnsi="IRNazanin" w:eastAsia="IRNazanin"/>
          <w:color w:val="111111"/>
          <w:sz w:val="28"/>
          <w:sz w:val="28"/>
          <w:szCs w:val="28"/>
          <w:rtl w:val="true"/>
          <w:lang w:bidi="fa-IR"/>
        </w:rPr>
        <w:t xml:space="preserve">در فارسى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پاپيروس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اين گياه،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نزديك فرات مى‌روييده است</w:t>
      </w:r>
      <w:r>
        <w:rPr>
          <w:rFonts w:eastAsia="IRNazanin" w:cs="IRNazanin"/>
          <w:color w:val="111111"/>
          <w:sz w:val="28"/>
          <w:szCs w:val="28"/>
          <w:rtl w:val="true"/>
          <w:lang w:bidi="fa-IR"/>
        </w:rPr>
        <w:t xml:space="preserve">. </w:t>
      </w:r>
      <w:r>
        <w:rPr>
          <w:rStyle w:val="FootnoteAnchor"/>
          <w:rtl w:val="true"/>
        </w:rPr>
        <w:footnoteReference w:id="80"/>
      </w:r>
    </w:p>
    <w:p>
      <w:pPr>
        <w:pStyle w:val="Heading6"/>
        <w:numPr>
          <w:ilvl w:val="5"/>
          <w:numId w:val="1"/>
        </w:numPr>
        <w:rPr/>
      </w:pPr>
      <w:bookmarkStart w:id="89" w:name="__RefHeading___Toc3584479_3650668749"/>
      <w:bookmarkStart w:id="90" w:name="_Toc36"/>
      <w:bookmarkEnd w:id="89"/>
      <w:r>
        <w:rPr>
          <w:rtl w:val="true"/>
        </w:rPr>
        <w:t xml:space="preserve">سوم </w:t>
      </w:r>
      <w:r>
        <w:rPr>
          <w:rtl w:val="true"/>
        </w:rPr>
        <w:t xml:space="preserve">- </w:t>
      </w:r>
      <w:r>
        <w:rPr>
          <w:rtl w:val="true"/>
        </w:rPr>
        <w:t>خزامى</w:t>
      </w:r>
      <w:r>
        <w:rPr>
          <w:rtl w:val="true"/>
        </w:rPr>
        <w:t>:</w:t>
      </w:r>
      <w:bookmarkEnd w:id="90"/>
    </w:p>
    <w:p>
      <w:pPr>
        <w:pStyle w:val="BookText"/>
        <w:rPr/>
      </w:pPr>
      <w:r>
        <w:rPr>
          <w:rFonts w:ascii="IRNazanin" w:hAnsi="IRNazanin" w:eastAsia="IRNazanin"/>
          <w:color w:val="111111"/>
          <w:sz w:val="28"/>
          <w:sz w:val="28"/>
          <w:szCs w:val="28"/>
          <w:rtl w:val="true"/>
          <w:lang w:bidi="fa-IR"/>
        </w:rPr>
        <w:t>نوعى گياه شب بوى دشتى است كه ساقه‌اى بلند، برگ‌هايى كوچك، شكوفه‌هاى قرمز رنگ و بوى خوشى دارد</w:t>
      </w:r>
      <w:r>
        <w:rPr>
          <w:rFonts w:eastAsia="IRNazanin" w:cs="IRNazanin"/>
          <w:color w:val="111111"/>
          <w:sz w:val="28"/>
          <w:szCs w:val="28"/>
          <w:rtl w:val="true"/>
          <w:lang w:bidi="fa-IR"/>
        </w:rPr>
        <w:t xml:space="preserve">. </w:t>
      </w:r>
      <w:r>
        <w:rPr>
          <w:rStyle w:val="FootnoteAnchor"/>
          <w:rtl w:val="true"/>
        </w:rPr>
        <w:footnoteReference w:id="81"/>
      </w:r>
    </w:p>
    <w:p>
      <w:pPr>
        <w:pStyle w:val="Heading6"/>
        <w:numPr>
          <w:ilvl w:val="5"/>
          <w:numId w:val="1"/>
        </w:numPr>
        <w:rPr/>
      </w:pPr>
      <w:bookmarkStart w:id="91" w:name="__RefHeading___Toc3584481_3650668749"/>
      <w:bookmarkStart w:id="92" w:name="_Toc37"/>
      <w:bookmarkEnd w:id="91"/>
      <w:r>
        <w:rPr>
          <w:rtl w:val="true"/>
        </w:rPr>
        <w:t xml:space="preserve">چهارم </w:t>
      </w:r>
      <w:r>
        <w:rPr>
          <w:rtl w:val="true"/>
        </w:rPr>
        <w:t xml:space="preserve">- </w:t>
      </w:r>
      <w:r>
        <w:rPr>
          <w:rtl w:val="true"/>
        </w:rPr>
        <w:t>شقائق</w:t>
      </w:r>
      <w:r>
        <w:rPr>
          <w:rtl w:val="true"/>
        </w:rPr>
        <w:t>:</w:t>
      </w:r>
      <w:bookmarkEnd w:id="9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عرب‌ها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شقائق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مى‌گفتند؛ زيرا نعمان بن مُنْذَر، پادشاه حيره به حفظ و نگهدارى اين گياه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گياه، لاله‌اى شكل است و گل‌هاى قرمز رنگ دارد</w:t>
      </w:r>
      <w:r>
        <w:rPr>
          <w:rFonts w:eastAsia="IRNazanin" w:cs="IRNazanin"/>
          <w:color w:val="111111"/>
          <w:sz w:val="28"/>
          <w:szCs w:val="28"/>
          <w:rtl w:val="true"/>
          <w:lang w:bidi="fa-IR"/>
        </w:rPr>
        <w:t xml:space="preserve">. </w:t>
      </w:r>
      <w:r>
        <w:rPr>
          <w:rStyle w:val="FootnoteAnchor"/>
          <w:rtl w:val="true"/>
        </w:rPr>
        <w:footnoteReference w:id="82"/>
      </w:r>
      <w:bookmarkStart w:id="93" w:name="pg1964_19477"/>
    </w:p>
    <w:p>
      <w:pPr>
        <w:pStyle w:val="Heading6"/>
        <w:numPr>
          <w:ilvl w:val="5"/>
          <w:numId w:val="1"/>
        </w:numPr>
        <w:rPr/>
      </w:pPr>
      <w:bookmarkStart w:id="94" w:name="__RefHeading___Toc3584483_3650668749"/>
      <w:bookmarkStart w:id="95" w:name="_Toc38"/>
      <w:bookmarkEnd w:id="93"/>
      <w:bookmarkEnd w:id="94"/>
      <w:r>
        <w:rPr>
          <w:rtl w:val="true"/>
        </w:rPr>
        <w:t xml:space="preserve">پنجم </w:t>
      </w:r>
      <w:r>
        <w:rPr>
          <w:rtl w:val="true"/>
        </w:rPr>
        <w:t xml:space="preserve">- </w:t>
      </w:r>
      <w:r>
        <w:rPr>
          <w:rtl w:val="true"/>
        </w:rPr>
        <w:t>شيح</w:t>
      </w:r>
      <w:r>
        <w:rPr>
          <w:rtl w:val="true"/>
        </w:rPr>
        <w:t>:</w:t>
      </w:r>
      <w:bookmarkEnd w:id="95"/>
    </w:p>
    <w:p>
      <w:pPr>
        <w:pStyle w:val="BookText"/>
        <w:rPr/>
      </w:pPr>
      <w:r>
        <w:rPr>
          <w:rFonts w:ascii="IRNazanin" w:hAnsi="IRNazanin" w:eastAsia="IRNazanin"/>
          <w:color w:val="111111"/>
          <w:sz w:val="28"/>
          <w:sz w:val="28"/>
          <w:szCs w:val="28"/>
          <w:rtl w:val="true"/>
          <w:lang w:bidi="fa-IR"/>
        </w:rPr>
        <w:t xml:space="preserve">گياهى است كه در دشت‌ها مى‌رويد و براى تهيه جارو از آن استفاده مى‌شود و در فارسى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 جاروب، وَرَك، دَرْمَته و خُنْجَك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شيح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قيصوم انثى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اشنتوتين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فارسى براى آن استعمال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گياه نيز به عنوان علوفه اسب و ديگر چارپايان استفاده مى‌شده است</w:t>
      </w:r>
      <w:r>
        <w:rPr>
          <w:rFonts w:eastAsia="IRNazanin" w:cs="IRNazanin"/>
          <w:color w:val="111111"/>
          <w:sz w:val="28"/>
          <w:szCs w:val="28"/>
          <w:rtl w:val="true"/>
          <w:lang w:bidi="fa-IR"/>
        </w:rPr>
        <w:t xml:space="preserve">. </w:t>
      </w:r>
      <w:r>
        <w:rPr>
          <w:rStyle w:val="FootnoteAnchor"/>
          <w:rtl w:val="true"/>
        </w:rPr>
        <w:footnoteReference w:id="83"/>
      </w:r>
    </w:p>
    <w:p>
      <w:pPr>
        <w:pStyle w:val="Heading6"/>
        <w:numPr>
          <w:ilvl w:val="5"/>
          <w:numId w:val="1"/>
        </w:numPr>
        <w:rPr/>
      </w:pPr>
      <w:bookmarkStart w:id="96" w:name="__RefHeading___Toc3584485_3650668749"/>
      <w:bookmarkStart w:id="97" w:name="_Toc39"/>
      <w:bookmarkEnd w:id="96"/>
      <w:r>
        <w:rPr>
          <w:rtl w:val="true"/>
        </w:rPr>
        <w:t xml:space="preserve">ششم </w:t>
      </w:r>
      <w:r>
        <w:rPr>
          <w:rtl w:val="true"/>
        </w:rPr>
        <w:t xml:space="preserve">- </w:t>
      </w:r>
      <w:r>
        <w:rPr>
          <w:rtl w:val="true"/>
        </w:rPr>
        <w:t>قِيْصوم</w:t>
      </w:r>
      <w:r>
        <w:rPr>
          <w:rtl w:val="true"/>
        </w:rPr>
        <w:t>:</w:t>
      </w:r>
      <w:bookmarkEnd w:id="97"/>
    </w:p>
    <w:p>
      <w:pPr>
        <w:pStyle w:val="BookText"/>
        <w:rPr/>
      </w:pPr>
      <w:r>
        <w:rPr>
          <w:rFonts w:ascii="IRNazanin" w:hAnsi="IRNazanin" w:eastAsia="IRNazanin"/>
          <w:color w:val="111111"/>
          <w:sz w:val="28"/>
          <w:sz w:val="28"/>
          <w:szCs w:val="28"/>
          <w:rtl w:val="true"/>
          <w:lang w:bidi="fa-IR"/>
        </w:rPr>
        <w:t>گياهى است كه ساقه‌اى بلند و برگ‌هايى مانند برگ سرو، بوى خوش و گلى زرد 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فارسى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4"/>
      </w:r>
    </w:p>
    <w:p>
      <w:pPr>
        <w:pStyle w:val="Heading6"/>
        <w:numPr>
          <w:ilvl w:val="5"/>
          <w:numId w:val="1"/>
        </w:numPr>
        <w:rPr/>
      </w:pPr>
      <w:bookmarkStart w:id="98" w:name="__RefHeading___Toc3584487_3650668749"/>
      <w:bookmarkStart w:id="99" w:name="_Toc40"/>
      <w:bookmarkEnd w:id="98"/>
      <w:r>
        <w:rPr>
          <w:rtl w:val="true"/>
        </w:rPr>
        <w:t xml:space="preserve">هفتم </w:t>
      </w:r>
      <w:r>
        <w:rPr>
          <w:rtl w:val="true"/>
        </w:rPr>
        <w:t xml:space="preserve">- </w:t>
      </w:r>
      <w:r>
        <w:rPr>
          <w:rtl w:val="true"/>
        </w:rPr>
        <w:t>نَصى</w:t>
      </w:r>
      <w:r>
        <w:rPr>
          <w:rtl w:val="true"/>
        </w:rPr>
        <w:t xml:space="preserve">: </w:t>
      </w:r>
      <w:r>
        <w:rPr>
          <w:rtl w:val="true"/>
        </w:rPr>
        <w:t>نوعى گياه ساقه دراز سفيد است كه در چراگاه، بسيار از آن استفاده مى‌شد</w:t>
      </w:r>
      <w:r>
        <w:rPr>
          <w:rtl w:val="true"/>
        </w:rPr>
        <w:t xml:space="preserve">. </w:t>
      </w:r>
      <w:r>
        <w:rPr>
          <w:rtl w:val="true"/>
        </w:rPr>
        <w:t xml:space="preserve">هرگاه ساقه اين گياه، ضخيم و خشك مى‌شد، به آن </w:t>
      </w:r>
      <w:r>
        <w:rPr>
          <w:rtl w:val="true"/>
        </w:rPr>
        <w:t>«</w:t>
      </w:r>
      <w:r>
        <w:rPr>
          <w:rtl w:val="true"/>
        </w:rPr>
        <w:t>حَلى</w:t>
      </w:r>
      <w:r>
        <w:rPr>
          <w:rtl w:val="true"/>
        </w:rPr>
        <w:t xml:space="preserve">» </w:t>
      </w:r>
      <w:r>
        <w:rPr>
          <w:rtl w:val="true"/>
        </w:rPr>
        <w:t>مى‌گفتند</w:t>
      </w:r>
      <w:r>
        <w:rPr>
          <w:rtl w:val="true"/>
        </w:rPr>
        <w:t>.</w:t>
      </w:r>
      <w:bookmarkEnd w:id="99"/>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گياه ساقه دراز سفيد است كه در چراگاه، بسيار از آن 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ساقه اين گياه، ضخيم و خشك مى‌شد،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85"/>
      </w:r>
    </w:p>
    <w:p>
      <w:pPr>
        <w:pStyle w:val="Heading5"/>
        <w:numPr>
          <w:ilvl w:val="4"/>
          <w:numId w:val="1"/>
        </w:numPr>
        <w:rPr/>
      </w:pPr>
      <w:bookmarkStart w:id="100" w:name="__RefHeading___Toc3584489_3650668749"/>
      <w:bookmarkStart w:id="101" w:name="_Toc41"/>
      <w:bookmarkEnd w:id="100"/>
      <w:r>
        <w:rPr>
          <w:rtl w:val="true"/>
        </w:rPr>
        <w:t xml:space="preserve">دو </w:t>
      </w:r>
      <w:r>
        <w:rPr>
          <w:rtl w:val="true"/>
        </w:rPr>
        <w:t xml:space="preserve">- </w:t>
      </w:r>
      <w:r>
        <w:rPr>
          <w:rtl w:val="true"/>
        </w:rPr>
        <w:t>درختان و گياهان بعد از شهرشدن كوفه</w:t>
      </w:r>
      <w:bookmarkEnd w:id="101"/>
    </w:p>
    <w:p>
      <w:pPr>
        <w:pStyle w:val="Heading6"/>
        <w:numPr>
          <w:ilvl w:val="5"/>
          <w:numId w:val="1"/>
        </w:numPr>
        <w:rPr/>
      </w:pPr>
      <w:bookmarkStart w:id="102" w:name="__RefHeading___Toc3584491_3650668749"/>
      <w:bookmarkStart w:id="103" w:name="_Toc42"/>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 xml:space="preserve">گرچه مى‌توان بسيارى از گياهان و درختان را طبق قراين مختلف در كوفه آن زمان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دانست، اما بناى ما در اين نوشتار برآن است كه تنها نام گياهان و درختانى را ذكر نماييم كه در احاديث يا نقل‌هاى تاريخى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را در دو قسمت درختان و گياهان پى مى‌گيريم</w:t>
      </w:r>
      <w:r>
        <w:rPr>
          <w:rFonts w:eastAsia="IRNazanin" w:cs="IRNazanin"/>
          <w:color w:val="111111"/>
          <w:sz w:val="28"/>
          <w:szCs w:val="28"/>
          <w:rtl w:val="true"/>
          <w:lang w:bidi="fa-IR"/>
        </w:rPr>
        <w:t>:</w:t>
      </w:r>
    </w:p>
    <w:p>
      <w:pPr>
        <w:pStyle w:val="Heading6"/>
        <w:numPr>
          <w:ilvl w:val="5"/>
          <w:numId w:val="1"/>
        </w:numPr>
        <w:rPr/>
      </w:pPr>
      <w:bookmarkStart w:id="104" w:name="__RefHeading___Toc3584493_3650668749"/>
      <w:bookmarkStart w:id="105" w:name="_Toc43"/>
      <w:bookmarkEnd w:id="104"/>
      <w:r>
        <w:rPr>
          <w:rtl w:val="true"/>
        </w:rPr>
        <w:t xml:space="preserve">اول </w:t>
      </w:r>
      <w:r>
        <w:rPr>
          <w:rtl w:val="true"/>
        </w:rPr>
        <w:t xml:space="preserve">- </w:t>
      </w:r>
      <w:r>
        <w:rPr>
          <w:rtl w:val="true"/>
        </w:rPr>
        <w:t>درختان</w:t>
      </w:r>
      <w:bookmarkEnd w:id="105"/>
    </w:p>
    <w:p>
      <w:pPr>
        <w:pStyle w:val="Heading6"/>
        <w:numPr>
          <w:ilvl w:val="5"/>
          <w:numId w:val="1"/>
        </w:numPr>
        <w:rPr/>
      </w:pPr>
      <w:bookmarkStart w:id="106" w:name="__RefHeading___Toc3584495_3650668749"/>
      <w:bookmarkStart w:id="107" w:name="_Toc44"/>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در اين بخش، درختانى را نام مى‌بريم كه ميوه‌هاى آنها در كوفه موجود بوده است، حال يا اصل درخت نيز در كوفه بوده و يا ميوه را از شهر ديگر وارد كرده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 خرما به سبب نوع آب و هواى كوفه و نيز استفاده فراوان عرب از آن، بيشترين حجم را به خود اختصاص داده بود، به‌طورى كه قسمت شرقى كوفه كه در كناره رود فرات قرار داشت، محل اصلى نخلستان‌هاى مردم كوفه به شمار مى‌رفت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خرماى كوفه بسيار خوشمزه‌تر از خرماى بصره بود،</w:t>
      </w:r>
      <w:bookmarkStart w:id="108" w:name="pg1964_19478"/>
    </w:p>
    <w:p>
      <w:pPr>
        <w:pStyle w:val="BookText"/>
        <w:rPr/>
      </w:pPr>
      <w:bookmarkEnd w:id="108"/>
      <w:r>
        <w:rPr>
          <w:rFonts w:ascii="IRNazanin" w:hAnsi="IRNazanin" w:eastAsia="IRNazanin"/>
          <w:color w:val="111111"/>
          <w:sz w:val="28"/>
          <w:sz w:val="28"/>
          <w:szCs w:val="28"/>
          <w:rtl w:val="true"/>
          <w:lang w:bidi="fa-IR"/>
        </w:rPr>
        <w:t>به‌طورى كه بعضى از كوفيان هنگام شمردن افتخارات خود بر بصريان، از اين مطلب ياد مى‌كردند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گفتنى است كه نخلستان‌هاى كوفه از سمت غرب تا قادسيه و از سمت شمال تا شهر انبار و هيت امتداد داشته است</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انواع خرماى موجود در مقطع زمانى مورد بحث از قرار زير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رُطَب آزاد؛</w:t>
      </w:r>
    </w:p>
    <w:p>
      <w:pPr>
        <w:pStyle w:val="Heading6"/>
        <w:numPr>
          <w:ilvl w:val="5"/>
          <w:numId w:val="1"/>
        </w:numPr>
        <w:rPr/>
      </w:pPr>
      <w:bookmarkStart w:id="109" w:name="__RefHeading___Toc3584497_3650668749"/>
      <w:bookmarkStart w:id="110" w:name="_Toc45"/>
      <w:bookmarkEnd w:id="109"/>
      <w:r>
        <w:rPr>
          <w:rtl w:val="true"/>
        </w:rPr>
        <w:t>رُطبِ مُشان</w:t>
      </w:r>
      <w:r>
        <w:rPr>
          <w:rtl w:val="true"/>
        </w:rPr>
        <w:t>:</w:t>
      </w:r>
      <w:bookmarkEnd w:id="110"/>
    </w:p>
    <w:p>
      <w:pPr>
        <w:pStyle w:val="BookText"/>
        <w:rPr/>
      </w:pPr>
      <w:r>
        <w:rPr>
          <w:rFonts w:ascii="Amiri" w:hAnsi="Amiri" w:eastAsia="Amiri" w:cs="Amiri"/>
          <w:color w:val="111111"/>
          <w:sz w:val="28"/>
          <w:sz w:val="28"/>
          <w:szCs w:val="28"/>
          <w:rtl w:val="true"/>
          <w:lang w:bidi="ar-SA"/>
        </w:rPr>
        <w:t>رُطبِ مُشان</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نوعى خرماى زرد رنگ كه 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موش‌ها از اين نوع خرما بسيار مى‌خوردند، ايرانيان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عرب‌هاى مدينه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جُرْذان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Style w:val="FootnoteAnchor"/>
          <w:rtl w:val="true"/>
        </w:rPr>
        <w:footnoteReference w:id="90"/>
      </w:r>
    </w:p>
    <w:p>
      <w:pPr>
        <w:pStyle w:val="Heading6"/>
        <w:numPr>
          <w:ilvl w:val="5"/>
          <w:numId w:val="1"/>
        </w:numPr>
        <w:rPr/>
      </w:pPr>
      <w:bookmarkStart w:id="111" w:name="__RefHeading___Toc3584499_3650668749"/>
      <w:bookmarkStart w:id="112" w:name="_Toc46"/>
      <w:bookmarkEnd w:id="111"/>
      <w:r>
        <w:rPr>
          <w:rtl w:val="true"/>
        </w:rPr>
        <w:t>تمر بَرْني</w:t>
      </w:r>
      <w:r>
        <w:rPr>
          <w:rtl w:val="true"/>
        </w:rPr>
        <w:t>:</w:t>
      </w:r>
      <w:bookmarkEnd w:id="112"/>
    </w:p>
    <w:p>
      <w:pPr>
        <w:pStyle w:val="BookText"/>
        <w:rPr/>
      </w:pPr>
      <w:r>
        <w:rPr>
          <w:rFonts w:ascii="Amiri" w:hAnsi="Amiri" w:eastAsia="Amiri" w:cs="Amiri"/>
          <w:color w:val="111111"/>
          <w:sz w:val="28"/>
          <w:sz w:val="28"/>
          <w:szCs w:val="28"/>
          <w:rtl w:val="true"/>
          <w:lang w:bidi="ar-SA"/>
        </w:rPr>
        <w:t xml:space="preserve">تمر بَرْني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نوعى خرماى قرمز مايل به زرد كه بسيار خوشمزه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خرما ايرانى بوده و اصولاً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تمر و ميوه است</w:t>
      </w:r>
      <w:r>
        <w:rPr>
          <w:rFonts w:eastAsia="IRNazanin" w:cs="IRNazanin"/>
          <w:color w:val="111111"/>
          <w:sz w:val="28"/>
          <w:szCs w:val="28"/>
          <w:rtl w:val="true"/>
          <w:lang w:bidi="fa-IR"/>
        </w:rPr>
        <w:t xml:space="preserve">. </w:t>
      </w:r>
      <w:r>
        <w:rPr>
          <w:rStyle w:val="FootnoteAnchor"/>
          <w:rtl w:val="true"/>
        </w:rPr>
        <w:footnoteReference w:id="92"/>
      </w:r>
    </w:p>
    <w:p>
      <w:pPr>
        <w:pStyle w:val="Heading6"/>
        <w:numPr>
          <w:ilvl w:val="5"/>
          <w:numId w:val="1"/>
        </w:numPr>
        <w:rPr/>
      </w:pPr>
      <w:bookmarkStart w:id="113" w:name="__RefHeading___Toc3584501_3650668749"/>
      <w:bookmarkStart w:id="114" w:name="_Toc47"/>
      <w:bookmarkEnd w:id="113"/>
      <w:r>
        <w:rPr>
          <w:rtl w:val="true"/>
        </w:rPr>
        <w:t>تمر سابِري</w:t>
      </w:r>
      <w:r>
        <w:rPr>
          <w:rtl w:val="true"/>
        </w:rPr>
        <w:t>:</w:t>
      </w:r>
      <w:bookmarkEnd w:id="114"/>
    </w:p>
    <w:p>
      <w:pPr>
        <w:pStyle w:val="BookText"/>
        <w:rPr/>
      </w:pPr>
      <w:r>
        <w:rPr>
          <w:rFonts w:ascii="IRNazanin" w:hAnsi="IRNazanin" w:eastAsia="IRNazanin"/>
          <w:color w:val="111111"/>
          <w:sz w:val="28"/>
          <w:sz w:val="28"/>
          <w:szCs w:val="28"/>
          <w:rtl w:val="true"/>
          <w:lang w:bidi="fa-IR"/>
        </w:rPr>
        <w:t>اين لغت نيز ممكن است از شاپور فارسى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به اين نوع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93"/>
      </w:r>
    </w:p>
    <w:p>
      <w:pPr>
        <w:pStyle w:val="Heading6"/>
        <w:numPr>
          <w:ilvl w:val="5"/>
          <w:numId w:val="1"/>
        </w:numPr>
        <w:rPr/>
      </w:pPr>
      <w:bookmarkStart w:id="115" w:name="__RefHeading___Toc3584503_3650668749"/>
      <w:bookmarkStart w:id="116" w:name="_Toc48"/>
      <w:bookmarkEnd w:id="115"/>
      <w:r>
        <w:rPr>
          <w:rtl w:val="true"/>
        </w:rPr>
        <w:t>تمر صرفان</w:t>
      </w:r>
      <w:r>
        <w:rPr>
          <w:rtl w:val="true"/>
        </w:rPr>
        <w:t>:</w:t>
      </w:r>
      <w:bookmarkEnd w:id="116"/>
    </w:p>
    <w:p>
      <w:pPr>
        <w:pStyle w:val="BookText"/>
        <w:rPr/>
      </w:pPr>
      <w:r>
        <w:rPr>
          <w:rFonts w:ascii="IRNazanin" w:hAnsi="IRNazanin" w:eastAsia="IRNazanin"/>
          <w:color w:val="111111"/>
          <w:sz w:val="28"/>
          <w:sz w:val="28"/>
          <w:szCs w:val="28"/>
          <w:rtl w:val="true"/>
          <w:lang w:bidi="fa-IR"/>
        </w:rPr>
        <w:t xml:space="preserve">تمر صرفان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نوعى خرما مانند بَرْنى، اما سخت‌تر كه معمولاً آن را با جويدن مى‌خوردند و به اصطلاح مقدارى حالت آدامس مانند داشته است</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در مدينه به اين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96"/>
      </w:r>
      <w:bookmarkStart w:id="117" w:name="pg1964_19479"/>
    </w:p>
    <w:p>
      <w:pPr>
        <w:pStyle w:val="Heading6"/>
        <w:numPr>
          <w:ilvl w:val="5"/>
          <w:numId w:val="1"/>
        </w:numPr>
        <w:rPr/>
      </w:pPr>
      <w:bookmarkStart w:id="118" w:name="__RefHeading___Toc3584505_3650668749"/>
      <w:bookmarkStart w:id="119" w:name="_Toc49"/>
      <w:bookmarkEnd w:id="117"/>
      <w:bookmarkEnd w:id="118"/>
      <w:r>
        <w:rPr>
          <w:rtl w:val="true"/>
        </w:rPr>
        <w:t>تمر هيروان</w:t>
      </w:r>
      <w:r>
        <w:rPr>
          <w:rtl w:val="true"/>
        </w:rPr>
        <w:t>:</w:t>
      </w:r>
      <w:bookmarkEnd w:id="119"/>
    </w:p>
    <w:p>
      <w:pPr>
        <w:pStyle w:val="BookText"/>
        <w:rPr/>
      </w:pPr>
      <w:r>
        <w:rPr>
          <w:rFonts w:ascii="Amiri" w:hAnsi="Amiri" w:eastAsia="Amiri" w:cs="Amiri"/>
          <w:color w:val="111111"/>
          <w:sz w:val="28"/>
          <w:sz w:val="28"/>
          <w:szCs w:val="28"/>
          <w:rtl w:val="true"/>
          <w:lang w:bidi="ar-SA"/>
        </w:rPr>
        <w:t xml:space="preserve">خرماى هيروان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هيرور و هيرون</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نيز ناميده شده، بهترين خرماى مدينه بوده و گفته شده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نشانده است</w:t>
      </w:r>
      <w:r>
        <w:rPr>
          <w:rFonts w:eastAsia="IRNazanin" w:cs="IRNazanin"/>
          <w:color w:val="111111"/>
          <w:sz w:val="28"/>
          <w:szCs w:val="28"/>
          <w:rtl w:val="true"/>
          <w:lang w:bidi="fa-IR"/>
        </w:rPr>
        <w:t xml:space="preserve">. </w:t>
      </w:r>
      <w:r>
        <w:rPr>
          <w:rStyle w:val="FootnoteAnchor"/>
          <w:rtl w:val="true"/>
        </w:rPr>
        <w:footnoteReference w:id="98"/>
      </w:r>
    </w:p>
    <w:p>
      <w:pPr>
        <w:pStyle w:val="Heading6"/>
        <w:numPr>
          <w:ilvl w:val="5"/>
          <w:numId w:val="1"/>
        </w:numPr>
        <w:rPr/>
      </w:pPr>
      <w:bookmarkStart w:id="120" w:name="__RefHeading___Toc3584507_3650668749"/>
      <w:bookmarkStart w:id="121" w:name="_Toc50"/>
      <w:bookmarkEnd w:id="120"/>
      <w:r>
        <w:rPr>
          <w:rtl w:val="true"/>
        </w:rPr>
        <w:t>تمر نرسيان</w:t>
      </w:r>
      <w:r>
        <w:rPr>
          <w:rtl w:val="true"/>
        </w:rPr>
        <w:t>:</w:t>
      </w:r>
      <w:bookmarkEnd w:id="121"/>
    </w:p>
    <w:p>
      <w:pPr>
        <w:pStyle w:val="BookText"/>
        <w:rPr/>
      </w:pPr>
      <w:r>
        <w:rPr>
          <w:rFonts w:ascii="Amiri" w:hAnsi="Amiri" w:eastAsia="Amiri" w:cs="Amiri"/>
          <w:color w:val="111111"/>
          <w:sz w:val="28"/>
          <w:sz w:val="28"/>
          <w:szCs w:val="28"/>
          <w:rtl w:val="true"/>
          <w:lang w:bidi="ar-SA"/>
        </w:rPr>
        <w:t xml:space="preserve">تمر نرسيان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خرما بهترين خرماى عراق بود، به گونه‌اى كه از شدت مرغوبيت، كَره خوب را به آن مثال مى‌زدند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فرق بين رطب و تمر آن است كه رطب به خرماى تازه رسيده و تمر به خرماى كاملا رسيده گفته مى‌شود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درخت انگور در كوفه كشت مى‌شد و به‌خصوص،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Style w:val="FootnoteAnchor"/>
          <w:rtl w:val="true"/>
        </w:rPr>
        <w:footnoteReference w:id="102"/>
      </w:r>
      <w:r>
        <w:rPr>
          <w:rFonts w:ascii="IRNazanin" w:hAnsi="IRNazanin" w:eastAsia="IRNazanin"/>
          <w:color w:val="111111"/>
          <w:sz w:val="28"/>
          <w:sz w:val="28"/>
          <w:szCs w:val="28"/>
          <w:rtl w:val="true"/>
          <w:lang w:bidi="fa-IR"/>
        </w:rPr>
        <w:t>كه انگور سفيد دانه دراز بوده، اهميت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نوع انگور به شهر طائف منسوب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درخت عمدتاً در ديرهاى اطراف كوفه كه از آنِ مسيحيان بود، كاشته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عمده روغن نباتى مردم از ميوه اين درخت بود</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روايت‌ها از نوعى انار در كوفه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انار سورانى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رمان سورانى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برده شده </w:t>
      </w:r>
      <w:r>
        <w:rPr>
          <w:rStyle w:val="FootnoteAnchor"/>
          <w:rtl w:val="true"/>
        </w:rPr>
        <w:footnoteReference w:id="105"/>
      </w:r>
      <w:r>
        <w:rPr>
          <w:rFonts w:ascii="Amiri" w:hAnsi="Amiri" w:eastAsia="Amiri" w:cs="Amiri"/>
          <w:color w:val="111111"/>
          <w:sz w:val="28"/>
          <w:sz w:val="28"/>
          <w:szCs w:val="28"/>
          <w:rtl w:val="true"/>
          <w:lang w:bidi="ar-SA"/>
        </w:rPr>
        <w:t xml:space="preserve">كه ممكن است به سريانى‌هاى ساكن عراق منسوب باشد،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مكانى در بابل بوده است</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خوردن آن توصيه فرموده و اين نشانه وجود آن در كوفه است</w:t>
      </w:r>
      <w:r>
        <w:rPr>
          <w:rFonts w:eastAsia="Amiri" w:cs="Amiri" w:ascii="Amiri" w:hAnsi="Amiri"/>
          <w:color w:val="111111"/>
          <w:sz w:val="28"/>
          <w:szCs w:val="28"/>
          <w:rtl w:val="true"/>
          <w:lang w:bidi="ar-SA"/>
        </w:rPr>
        <w:t xml:space="preserve">. </w:t>
      </w:r>
      <w:r>
        <w:rPr>
          <w:rStyle w:val="FootnoteAnchor"/>
          <w:rtl w:val="true"/>
        </w:rPr>
        <w:footnoteReference w:id="107"/>
      </w:r>
      <w:bookmarkStart w:id="122" w:name="pg1964_19480"/>
    </w:p>
    <w:p>
      <w:pPr>
        <w:pStyle w:val="BookText"/>
        <w:rPr/>
      </w:pPr>
      <w:bookmarkEnd w:id="12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سَفَرْجَل</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تُرَنج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اُتْرَجّ، ترنجه، اُتْرُجَّه، تُرُنجه و تُرنج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آن درختى است كه ميوه‌اش شبيه ليمو مى‌باشد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در بعضى از كتاب‌هاى لغت، آن را گياه بالنگ يا سيب آبى معرفى نموده‌اند</w:t>
      </w:r>
      <w:r>
        <w:rPr>
          <w:rFonts w:eastAsia="IRNazanin" w:cs="IRNazanin"/>
          <w:color w:val="111111"/>
          <w:sz w:val="28"/>
          <w:szCs w:val="28"/>
          <w:rtl w:val="true"/>
          <w:lang w:bidi="fa-IR"/>
        </w:rPr>
        <w:t xml:space="preserve">. </w:t>
      </w:r>
      <w:r>
        <w:rPr>
          <w:rStyle w:val="FootnoteAnchor"/>
          <w:rtl w:val="true"/>
        </w:rPr>
        <w:footnoteReference w:id="112"/>
      </w:r>
    </w:p>
    <w:p>
      <w:pPr>
        <w:pStyle w:val="Heading6"/>
        <w:numPr>
          <w:ilvl w:val="5"/>
          <w:numId w:val="1"/>
        </w:numPr>
        <w:rPr/>
      </w:pPr>
      <w:bookmarkStart w:id="123" w:name="__RefHeading___Toc3584509_3650668749"/>
      <w:bookmarkStart w:id="124" w:name="_Toc51"/>
      <w:bookmarkEnd w:id="123"/>
      <w:r>
        <w:rPr>
          <w:rtl w:val="true"/>
        </w:rPr>
        <w:t xml:space="preserve">دوم </w:t>
      </w:r>
      <w:r>
        <w:rPr>
          <w:rtl w:val="true"/>
        </w:rPr>
        <w:t xml:space="preserve">- </w:t>
      </w:r>
      <w:r>
        <w:rPr>
          <w:rtl w:val="true"/>
        </w:rPr>
        <w:t>گياهان</w:t>
      </w:r>
      <w:bookmarkEnd w:id="124"/>
    </w:p>
    <w:p>
      <w:pPr>
        <w:pStyle w:val="Heading6"/>
        <w:numPr>
          <w:ilvl w:val="5"/>
          <w:numId w:val="1"/>
        </w:numPr>
        <w:rPr/>
      </w:pPr>
      <w:bookmarkStart w:id="125" w:name="__RefHeading___Toc3584511_3650668749"/>
      <w:bookmarkStart w:id="126" w:name="_Toc52"/>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قبل از شمارش گياهان يادآورى چند نكته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گياهان در معنايى عام به‌كار برده شده است كه شامل غلات، حبوبات، گياهان بوته‌اى، مانند كدو و به‌طور كلى هر روييدنى غير از درختان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نام گياهانى آمده كه طبق احاديث يا روايات تاريخى در زمان مورد بحث موجود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رواياتى كه به آنها استناد شده، مربوط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اگرچه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عمر خود را خارج از كوفه سپرى نمود، اما احتمال ارتباط احاديث به دوران حضور ايشان در كوفه و نيز وجود قراين در بعضى از اين روايات، ما را بر آن داشت كه از اين احاديث استفاده نماييم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گياهانى ياد شده كه در كوفه وجود داشته است و البته بديهى است كه وجود يك گياه، اعم از كاشت آن در كوفه مى‌باشد، اما با توجه به سهولت كاشت بسيارى از اين گياهان و نيز سريع‌الفساد بودن بعضى ديگر از اين گياهان و همچنين استعداد زمين كوفه براى پرورش بسيارى از آنها، ما را برآن داشت كه به ذكر اين گياهان بپردازيم</w:t>
      </w:r>
      <w:r>
        <w:rPr>
          <w:rFonts w:eastAsia="IRNazanin" w:cs="IRNazanin"/>
          <w:color w:val="111111"/>
          <w:sz w:val="28"/>
          <w:szCs w:val="28"/>
          <w:rtl w:val="true"/>
          <w:lang w:bidi="fa-IR"/>
        </w:rPr>
        <w:t>.</w:t>
      </w:r>
      <w:bookmarkStart w:id="127" w:name="pg1964_19481"/>
    </w:p>
    <w:p>
      <w:pPr>
        <w:pStyle w:val="BookText"/>
        <w:rPr/>
      </w:pPr>
      <w:bookmarkEnd w:id="127"/>
      <w:r>
        <w:rPr>
          <w:rFonts w:ascii="IRNazanin" w:hAnsi="IRNazanin" w:eastAsia="IRNazanin"/>
          <w:color w:val="111111"/>
          <w:sz w:val="28"/>
          <w:sz w:val="28"/>
          <w:szCs w:val="28"/>
          <w:rtl w:val="true"/>
          <w:lang w:bidi="fa-IR"/>
        </w:rPr>
        <w:t>حال، پس از اين مقدمه، بررسى خود را در سه محور غلاّت و حبوبات، گل‌ها و گياهان بوته‌اى ادامه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غلات و حبوبات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به‌طور كلى غلاّت و حبوبات متنوعى در كوفه كشت مى‌شد و ماليات و خراج آن را نيز حكومت تعيين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انواع متعدد غلات و حبوبات كوفه عبارت بود از</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3584513_3650668749"/>
      <w:bookmarkStart w:id="129" w:name="_Toc53"/>
      <w:bookmarkEnd w:id="128"/>
      <w:r>
        <w:rPr>
          <w:rtl w:val="true"/>
        </w:rPr>
        <w:t xml:space="preserve">گندم </w:t>
      </w:r>
      <w:r>
        <w:rPr>
          <w:rtl w:val="true"/>
        </w:rPr>
        <w:t>(</w:t>
      </w:r>
      <w:r>
        <w:rPr>
          <w:rtl w:val="true"/>
        </w:rPr>
        <w:t>حِنْطَه</w:t>
      </w:r>
      <w:r>
        <w:rPr>
          <w:rtl w:val="true"/>
        </w:rPr>
        <w:t>) :</w:t>
      </w:r>
      <w:bookmarkEnd w:id="129"/>
    </w:p>
    <w:p>
      <w:pPr>
        <w:pStyle w:val="BookText"/>
        <w:rPr/>
      </w:pPr>
      <w:r>
        <w:rPr>
          <w:rFonts w:ascii="IRNazanin" w:hAnsi="IRNazanin" w:eastAsia="IRNazanin"/>
          <w:color w:val="111111"/>
          <w:sz w:val="28"/>
          <w:sz w:val="28"/>
          <w:szCs w:val="28"/>
          <w:rtl w:val="true"/>
          <w:lang w:bidi="fa-IR"/>
        </w:rPr>
        <w:t>خراج اين محصول در زمان عمر چهار درهم براى هر جريب تعيين شده بود</w:t>
      </w:r>
      <w:r>
        <w:rPr>
          <w:rFonts w:eastAsia="IRNazanin" w:cs="IRNazanin"/>
          <w:color w:val="111111"/>
          <w:sz w:val="28"/>
          <w:szCs w:val="28"/>
          <w:rtl w:val="true"/>
          <w:lang w:bidi="fa-IR"/>
        </w:rPr>
        <w:t>.</w:t>
      </w:r>
    </w:p>
    <w:p>
      <w:pPr>
        <w:pStyle w:val="Heading6"/>
        <w:numPr>
          <w:ilvl w:val="5"/>
          <w:numId w:val="1"/>
        </w:numPr>
        <w:rPr/>
      </w:pPr>
      <w:bookmarkStart w:id="130" w:name="__RefHeading___Toc3584515_3650668749"/>
      <w:bookmarkStart w:id="131" w:name="_Toc54"/>
      <w:bookmarkEnd w:id="130"/>
      <w:r>
        <w:rPr>
          <w:rtl w:val="true"/>
        </w:rPr>
        <w:t xml:space="preserve">جو </w:t>
      </w:r>
      <w:r>
        <w:rPr>
          <w:rtl w:val="true"/>
        </w:rPr>
        <w:t>(</w:t>
      </w:r>
      <w:r>
        <w:rPr>
          <w:rtl w:val="true"/>
        </w:rPr>
        <w:t>شَعير</w:t>
      </w:r>
      <w:r>
        <w:rPr>
          <w:rtl w:val="true"/>
        </w:rPr>
        <w:t>) :</w:t>
      </w:r>
      <w:bookmarkEnd w:id="131"/>
    </w:p>
    <w:p>
      <w:pPr>
        <w:pStyle w:val="BookText"/>
        <w:rPr/>
      </w:pPr>
      <w:r>
        <w:rPr>
          <w:rFonts w:ascii="IRNazanin" w:hAnsi="IRNazanin" w:eastAsia="IRNazanin"/>
          <w:color w:val="111111"/>
          <w:sz w:val="28"/>
          <w:sz w:val="28"/>
          <w:szCs w:val="28"/>
          <w:rtl w:val="true"/>
          <w:lang w:bidi="fa-IR"/>
        </w:rPr>
        <w:t>خراج آن دو درهم مشخص شده بود</w:t>
      </w:r>
      <w:r>
        <w:rPr>
          <w:rFonts w:eastAsia="IRNazanin" w:cs="IRNazanin"/>
          <w:color w:val="111111"/>
          <w:sz w:val="28"/>
          <w:szCs w:val="28"/>
          <w:rtl w:val="true"/>
          <w:lang w:bidi="fa-IR"/>
        </w:rPr>
        <w:t xml:space="preserve">. </w:t>
      </w:r>
      <w:r>
        <w:rPr>
          <w:rStyle w:val="FootnoteAnchor"/>
          <w:rtl w:val="true"/>
        </w:rPr>
        <w:footnoteReference w:id="113"/>
      </w:r>
    </w:p>
    <w:p>
      <w:pPr>
        <w:pStyle w:val="Heading6"/>
        <w:numPr>
          <w:ilvl w:val="5"/>
          <w:numId w:val="1"/>
        </w:numPr>
        <w:rPr/>
      </w:pPr>
      <w:bookmarkStart w:id="132" w:name="__RefHeading___Toc3584517_3650668749"/>
      <w:bookmarkStart w:id="133" w:name="_Toc55"/>
      <w:bookmarkEnd w:id="132"/>
      <w:r>
        <w:rPr>
          <w:rtl w:val="true"/>
        </w:rPr>
        <w:t xml:space="preserve">برنج </w:t>
      </w:r>
      <w:r>
        <w:rPr>
          <w:rtl w:val="true"/>
        </w:rPr>
        <w:t>(</w:t>
      </w:r>
      <w:r>
        <w:rPr>
          <w:rtl w:val="true"/>
        </w:rPr>
        <w:t>اَرُّز</w:t>
      </w:r>
      <w:r>
        <w:rPr>
          <w:rtl w:val="true"/>
        </w:rPr>
        <w:t>) :</w:t>
      </w:r>
      <w:bookmarkEnd w:id="133"/>
    </w:p>
    <w:p>
      <w:pPr>
        <w:pStyle w:val="BookText"/>
        <w:rPr/>
      </w:pPr>
      <w:r>
        <w:rPr>
          <w:rFonts w:ascii="IRNazanin" w:hAnsi="IRNazanin" w:eastAsia="IRNazanin"/>
          <w:color w:val="111111"/>
          <w:sz w:val="28"/>
          <w:sz w:val="28"/>
          <w:szCs w:val="28"/>
          <w:rtl w:val="true"/>
          <w:lang w:bidi="fa-IR"/>
        </w:rPr>
        <w:t xml:space="preserve">كشت اين محصول در زمين‌هاى هورى اطراف فرات صورت مى‌گرفت و بيشتر آب آن از نهرهاى سورا، مراة و نيل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مى‌شد</w:t>
      </w:r>
      <w:r>
        <w:rPr>
          <w:rFonts w:eastAsia="IRNazanin" w:cs="IRNazanin"/>
          <w:color w:val="111111"/>
          <w:sz w:val="28"/>
          <w:szCs w:val="28"/>
          <w:rtl w:val="true"/>
          <w:lang w:bidi="fa-IR"/>
        </w:rPr>
        <w:t xml:space="preserve">. </w:t>
      </w:r>
      <w:r>
        <w:rPr>
          <w:rStyle w:val="FootnoteAnchor"/>
          <w:rtl w:val="true"/>
        </w:rPr>
        <w:footnoteReference w:id="114"/>
      </w:r>
    </w:p>
    <w:p>
      <w:pPr>
        <w:pStyle w:val="Heading6"/>
        <w:numPr>
          <w:ilvl w:val="5"/>
          <w:numId w:val="1"/>
        </w:numPr>
        <w:rPr/>
      </w:pPr>
      <w:bookmarkStart w:id="134" w:name="__RefHeading___Toc3584519_3650668749"/>
      <w:bookmarkStart w:id="135" w:name="_Toc56"/>
      <w:bookmarkEnd w:id="134"/>
      <w:r>
        <w:rPr>
          <w:rtl w:val="true"/>
        </w:rPr>
        <w:t xml:space="preserve">كنجد </w:t>
      </w:r>
      <w:r>
        <w:rPr>
          <w:rtl w:val="true"/>
        </w:rPr>
        <w:t>(</w:t>
      </w:r>
      <w:r>
        <w:rPr>
          <w:rtl w:val="true"/>
        </w:rPr>
        <w:t>سِمْسِمْ</w:t>
      </w:r>
      <w:r>
        <w:rPr>
          <w:rtl w:val="true"/>
        </w:rPr>
        <w:t>) :</w:t>
      </w:r>
      <w:bookmarkEnd w:id="135"/>
    </w:p>
    <w:p>
      <w:pPr>
        <w:pStyle w:val="BookText"/>
        <w:rPr/>
      </w:pPr>
      <w:r>
        <w:rPr>
          <w:rFonts w:ascii="IRNazanin" w:hAnsi="IRNazanin" w:eastAsia="IRNazanin"/>
          <w:color w:val="111111"/>
          <w:sz w:val="28"/>
          <w:sz w:val="28"/>
          <w:szCs w:val="28"/>
          <w:rtl w:val="true"/>
          <w:lang w:bidi="fa-IR"/>
        </w:rPr>
        <w:t>خراج آن در زمان عمر پنج درهم براى هر جريب مشخص شده بود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ذُرّت، ماش، عدس، ارزن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دُخْن</w:t>
      </w:r>
      <w:r>
        <w:rPr>
          <w:rFonts w:eastAsia="Amiri" w:cs="Amiri" w:ascii="Amiri" w:hAnsi="Amiri"/>
          <w:color w:val="111111"/>
          <w:sz w:val="28"/>
          <w:szCs w:val="28"/>
          <w:rtl w:val="true"/>
          <w:lang w:bidi="ar-SA"/>
        </w:rPr>
        <w:t xml:space="preserve">) . </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گل‌هاى خوشبويى كه قبل از شهر شدن كوفه در اين منطقه بوده، بعد از آن نيز كوفيان به آنها توجه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از اين گل‌ها، مانند اقحوان، خزامى، شيح، شقايق، قيصوم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در اول اين بخش اشاره نموده و هم‌اكنون به ذكر بقيه گل‌ها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توجه است كه بيشتر اين گل‌ها در ديرهاى اطراف كوفه كه متعلق به مسيحيان بود، كشت مى‌شد و آبيارى اين گلستان‌ها به وسيله نهرهايى از فرات كه در اين ديرها جارى بود، صورت مى‌گرفت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گل‌ها عبارت بودند از</w:t>
      </w:r>
      <w:r>
        <w:rPr>
          <w:rFonts w:eastAsia="IRNazanin" w:cs="IRNazanin"/>
          <w:color w:val="111111"/>
          <w:sz w:val="28"/>
          <w:szCs w:val="28"/>
          <w:rtl w:val="true"/>
          <w:lang w:bidi="fa-IR"/>
        </w:rPr>
        <w:t>:</w:t>
      </w:r>
      <w:bookmarkStart w:id="136" w:name="pg1964_19482"/>
    </w:p>
    <w:p>
      <w:pPr>
        <w:pStyle w:val="Heading6"/>
        <w:numPr>
          <w:ilvl w:val="5"/>
          <w:numId w:val="1"/>
        </w:numPr>
        <w:rPr/>
      </w:pPr>
      <w:bookmarkStart w:id="137" w:name="__RefHeading___Toc3584521_3650668749"/>
      <w:bookmarkStart w:id="138" w:name="_Toc57"/>
      <w:bookmarkEnd w:id="136"/>
      <w:bookmarkEnd w:id="137"/>
      <w:r>
        <w:rPr>
          <w:rtl w:val="true"/>
        </w:rPr>
        <w:t xml:space="preserve">گل بنفشه </w:t>
      </w:r>
      <w:r>
        <w:rPr>
          <w:rtl w:val="true"/>
        </w:rPr>
        <w:t>(</w:t>
      </w:r>
      <w:r>
        <w:rPr>
          <w:rtl w:val="true"/>
        </w:rPr>
        <w:t>بَنَفْسَج</w:t>
      </w:r>
      <w:r>
        <w:rPr>
          <w:rtl w:val="true"/>
        </w:rPr>
        <w:t>):</w:t>
      </w:r>
      <w:bookmarkEnd w:id="138"/>
    </w:p>
    <w:p>
      <w:pPr>
        <w:pStyle w:val="BookText"/>
        <w:rPr/>
      </w:pPr>
      <w:r>
        <w:rPr>
          <w:rFonts w:ascii="IRNazanin" w:hAnsi="IRNazanin" w:eastAsia="IRNazanin"/>
          <w:color w:val="111111"/>
          <w:sz w:val="28"/>
          <w:sz w:val="28"/>
          <w:szCs w:val="28"/>
          <w:rtl w:val="true"/>
          <w:lang w:bidi="fa-IR"/>
        </w:rPr>
        <w:t xml:space="preserve">گل بنفشه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بَنَفْسَج</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عربى اين گل از كلمه فارسى بنفشه گرفته شده است و به نظر مى‌رسد عرب‌ها يا ساكنان كوفه كِشت اين گل را از ايرانيان آموخته بودند</w:t>
      </w:r>
      <w:r>
        <w:rPr>
          <w:rFonts w:eastAsia="IRNazanin" w:cs="IRNazanin"/>
          <w:color w:val="111111"/>
          <w:sz w:val="28"/>
          <w:szCs w:val="28"/>
          <w:rtl w:val="true"/>
          <w:lang w:bidi="fa-IR"/>
        </w:rPr>
        <w:t>.</w:t>
      </w:r>
    </w:p>
    <w:p>
      <w:pPr>
        <w:pStyle w:val="Heading6"/>
        <w:numPr>
          <w:ilvl w:val="5"/>
          <w:numId w:val="1"/>
        </w:numPr>
        <w:rPr/>
      </w:pPr>
      <w:bookmarkStart w:id="139" w:name="__RefHeading___Toc3584523_3650668749"/>
      <w:bookmarkStart w:id="140" w:name="_Toc58"/>
      <w:bookmarkEnd w:id="139"/>
      <w:r>
        <w:rPr>
          <w:rtl w:val="true"/>
        </w:rPr>
        <w:t xml:space="preserve">گل نرگس </w:t>
      </w:r>
      <w:r>
        <w:rPr>
          <w:rtl w:val="true"/>
        </w:rPr>
        <w:t>(</w:t>
      </w:r>
      <w:r>
        <w:rPr>
          <w:rtl w:val="true"/>
        </w:rPr>
        <w:t>نرجس</w:t>
      </w:r>
      <w:r>
        <w:rPr>
          <w:rtl w:val="true"/>
        </w:rPr>
        <w:t>)</w:t>
      </w:r>
      <w:bookmarkEnd w:id="140"/>
    </w:p>
    <w:p>
      <w:pPr>
        <w:pStyle w:val="BookText"/>
        <w:rPr/>
      </w:pPr>
      <w:r>
        <w:rPr>
          <w:rFonts w:ascii="IRNazanin" w:hAnsi="IRNazanin" w:eastAsia="IRNazanin"/>
          <w:color w:val="111111"/>
          <w:sz w:val="28"/>
          <w:sz w:val="28"/>
          <w:szCs w:val="28"/>
          <w:rtl w:val="true"/>
          <w:lang w:bidi="fa-IR"/>
        </w:rPr>
        <w:t xml:space="preserve">گل نرگس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نام عربى اين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يا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فارسى گرفته شده‌باشد</w:t>
      </w:r>
      <w:r>
        <w:rPr>
          <w:rFonts w:eastAsia="IRNazanin" w:cs="IRNazanin"/>
          <w:color w:val="111111"/>
          <w:sz w:val="28"/>
          <w:szCs w:val="28"/>
          <w:rtl w:val="true"/>
          <w:lang w:bidi="fa-IR"/>
        </w:rPr>
        <w:t xml:space="preserve">. </w:t>
      </w:r>
      <w:r>
        <w:rPr>
          <w:rStyle w:val="FootnoteAnchor"/>
          <w:rtl w:val="true"/>
        </w:rPr>
        <w:footnoteReference w:id="119"/>
      </w:r>
    </w:p>
    <w:p>
      <w:pPr>
        <w:pStyle w:val="Heading6"/>
        <w:numPr>
          <w:ilvl w:val="5"/>
          <w:numId w:val="1"/>
        </w:numPr>
        <w:rPr/>
      </w:pPr>
      <w:bookmarkStart w:id="141" w:name="__RefHeading___Toc3584525_3650668749"/>
      <w:bookmarkStart w:id="142" w:name="_Toc59"/>
      <w:bookmarkEnd w:id="141"/>
      <w:r>
        <w:rPr>
          <w:rtl w:val="true"/>
        </w:rPr>
        <w:t>گل ياسمين</w:t>
      </w:r>
      <w:bookmarkEnd w:id="142"/>
    </w:p>
    <w:p>
      <w:pPr>
        <w:pStyle w:val="BookText"/>
        <w:rPr/>
      </w:pPr>
      <w:r>
        <w:rPr>
          <w:rFonts w:ascii="IRNazanin" w:hAnsi="IRNazanin" w:eastAsia="IRNazanin"/>
          <w:color w:val="111111"/>
          <w:sz w:val="28"/>
          <w:sz w:val="28"/>
          <w:szCs w:val="28"/>
          <w:rtl w:val="true"/>
          <w:lang w:bidi="fa-IR"/>
        </w:rPr>
        <w:t xml:space="preserve">گل ياسمين </w:t>
      </w:r>
      <w:r>
        <w:rPr>
          <w:rStyle w:val="FootnoteAnchor"/>
          <w:rtl w:val="true"/>
        </w:rPr>
        <w:footnoteReference w:id="1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به آن ياسِمين، ياسَمين و ياسِمُون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اين كلمه از فارسى گرفته شده است</w:t>
      </w:r>
      <w:r>
        <w:rPr>
          <w:rFonts w:eastAsia="IRNazanin" w:cs="IRNazanin"/>
          <w:color w:val="111111"/>
          <w:sz w:val="28"/>
          <w:szCs w:val="28"/>
          <w:rtl w:val="true"/>
          <w:lang w:bidi="fa-IR"/>
        </w:rPr>
        <w:t xml:space="preserve">. </w:t>
      </w:r>
      <w:r>
        <w:rPr>
          <w:rStyle w:val="FootnoteAnchor"/>
          <w:rtl w:val="true"/>
        </w:rPr>
        <w:footnoteReference w:id="121"/>
      </w:r>
    </w:p>
    <w:p>
      <w:pPr>
        <w:pStyle w:val="Heading6"/>
        <w:numPr>
          <w:ilvl w:val="5"/>
          <w:numId w:val="1"/>
        </w:numPr>
        <w:rPr/>
      </w:pPr>
      <w:bookmarkStart w:id="143" w:name="__RefHeading___Toc3584527_3650668749"/>
      <w:bookmarkStart w:id="144" w:name="_Toc60"/>
      <w:bookmarkEnd w:id="143"/>
      <w:r>
        <w:rPr>
          <w:rtl w:val="true"/>
        </w:rPr>
        <w:t xml:space="preserve">گل سوسن </w:t>
      </w:r>
      <w:r>
        <w:rPr>
          <w:rtl w:val="true"/>
        </w:rPr>
        <w:t>(</w:t>
      </w:r>
      <w:r>
        <w:rPr>
          <w:rtl w:val="true"/>
        </w:rPr>
        <w:t>الزَنْبَق، الزنبق الأبيض</w:t>
      </w:r>
      <w:r>
        <w:rPr>
          <w:rtl w:val="true"/>
        </w:rPr>
        <w:t>) .</w:t>
      </w:r>
      <w:bookmarkEnd w:id="144"/>
    </w:p>
    <w:p>
      <w:pPr>
        <w:pStyle w:val="BookText"/>
        <w:rPr/>
      </w:pPr>
      <w:r>
        <w:rPr>
          <w:rFonts w:ascii="IRNazanin" w:hAnsi="IRNazanin" w:eastAsia="IRNazanin"/>
          <w:color w:val="111111"/>
          <w:sz w:val="28"/>
          <w:sz w:val="28"/>
          <w:szCs w:val="28"/>
          <w:rtl w:val="true"/>
          <w:lang w:bidi="fa-IR"/>
        </w:rPr>
        <w:t xml:space="preserve">گل سوسن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الزَنْبَق، الزنبق الأبيض</w:t>
      </w:r>
      <w:r>
        <w:rPr>
          <w:rFonts w:eastAsia="IRNazanin" w:cs="IRNazanin"/>
          <w:color w:val="111111"/>
          <w:sz w:val="28"/>
          <w:szCs w:val="28"/>
          <w:rtl w:val="true"/>
          <w:lang w:bidi="fa-IR"/>
        </w:rPr>
        <w:t xml:space="preserve">) . </w:t>
      </w:r>
      <w:r>
        <w:rPr>
          <w:rStyle w:val="FootnoteAnchor"/>
          <w:rtl w:val="true"/>
        </w:rPr>
        <w:footnoteReference w:id="122"/>
      </w:r>
    </w:p>
    <w:p>
      <w:pPr>
        <w:pStyle w:val="Heading6"/>
        <w:numPr>
          <w:ilvl w:val="5"/>
          <w:numId w:val="1"/>
        </w:numPr>
        <w:rPr/>
      </w:pPr>
      <w:bookmarkStart w:id="145" w:name="__RefHeading___Toc3584529_3650668749"/>
      <w:bookmarkStart w:id="146" w:name="_Toc61"/>
      <w:bookmarkEnd w:id="145"/>
      <w:r>
        <w:rPr>
          <w:rtl w:val="true"/>
        </w:rPr>
        <w:t xml:space="preserve">گل خَيّري </w:t>
      </w:r>
      <w:r>
        <w:rPr>
          <w:rtl w:val="true"/>
        </w:rPr>
        <w:t>(</w:t>
      </w:r>
      <w:r>
        <w:rPr>
          <w:rtl w:val="true"/>
        </w:rPr>
        <w:t>خيرو، هيري</w:t>
      </w:r>
      <w:r>
        <w:rPr>
          <w:rtl w:val="true"/>
        </w:rPr>
        <w:t>)</w:t>
      </w:r>
      <w:bookmarkEnd w:id="146"/>
    </w:p>
    <w:p>
      <w:pPr>
        <w:pStyle w:val="BookText"/>
        <w:rPr/>
      </w:pPr>
      <w:r>
        <w:rPr>
          <w:rFonts w:ascii="IRNazanin" w:hAnsi="IRNazanin" w:eastAsia="IRNazanin"/>
          <w:color w:val="111111"/>
          <w:sz w:val="28"/>
          <w:sz w:val="28"/>
          <w:szCs w:val="28"/>
          <w:rtl w:val="true"/>
          <w:lang w:bidi="fa-IR"/>
        </w:rPr>
        <w:t xml:space="preserve">گل خَيّري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خيرو، هيري</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در كتاب‌هاى لغت براى گل شب‌بو و گل هميشه‌بهار به كار رفته و لغتى است كه از فارسى گرفته شده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گياهان بوته‌اي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نوع گياهان، هر گياهى غير از دو دسته اول مى‌باشد كه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 السُكَّر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w:t>
      </w:r>
      <w:r>
        <w:rPr>
          <w:rStyle w:val="FootnoteAnchor"/>
          <w:rtl w:val="true"/>
        </w:rPr>
        <w:footnoteReference w:id="125"/>
      </w:r>
      <w:r>
        <w:rPr>
          <w:rFonts w:ascii="Amiri" w:hAnsi="Amiri" w:eastAsia="Amiri" w:cs="Amiri"/>
          <w:color w:val="111111"/>
          <w:sz w:val="28"/>
          <w:sz w:val="28"/>
          <w:szCs w:val="28"/>
          <w:rtl w:val="true"/>
          <w:lang w:bidi="ar-SA"/>
        </w:rPr>
        <w:t>و محل رويش آن، هورهاى اطراف فرات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احتمال قوى مردم آن زمان از شكر اين بوته استفاده مى‌كردند</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3584531_3650668749"/>
      <w:bookmarkStart w:id="148" w:name="_Toc62"/>
      <w:bookmarkEnd w:id="147"/>
      <w:r>
        <w:rPr>
          <w:rtl w:val="true"/>
        </w:rPr>
        <w:t>قَسَب العنبر</w:t>
      </w:r>
      <w:r>
        <w:rPr>
          <w:rtl w:val="true"/>
        </w:rPr>
        <w:t>:</w:t>
      </w:r>
      <w:bookmarkEnd w:id="148"/>
    </w:p>
    <w:p>
      <w:pPr>
        <w:pStyle w:val="BookText"/>
        <w:rPr/>
      </w:pPr>
      <w:r>
        <w:rPr>
          <w:rFonts w:ascii="Amiri" w:hAnsi="Amiri" w:eastAsia="Amiri" w:cs="Amiri"/>
          <w:color w:val="111111"/>
          <w:sz w:val="28"/>
          <w:sz w:val="28"/>
          <w:szCs w:val="28"/>
          <w:rtl w:val="true"/>
          <w:lang w:bidi="ar-SA"/>
        </w:rPr>
        <w:t xml:space="preserve">قَسَب العنبر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قسب به معناى خشك شده هر گياهى، و عنبر به معناى زعفران يا 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 نوعى زعفران يمنى است كه در فارسى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گياه در صنعت رنگ‌رزى بسيار استفاده مى‌شده است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مشخصات كامل اين گياه در فرهنگ معين به همراه شكل آن آمده است</w:t>
      </w:r>
      <w:r>
        <w:rPr>
          <w:rFonts w:eastAsia="IRNazanin" w:cs="IRNazanin"/>
          <w:color w:val="111111"/>
          <w:sz w:val="28"/>
          <w:szCs w:val="28"/>
          <w:rtl w:val="true"/>
          <w:lang w:bidi="fa-IR"/>
        </w:rPr>
        <w:t>.</w:t>
      </w:r>
      <w:bookmarkStart w:id="149" w:name="pg1964_19483"/>
    </w:p>
    <w:p>
      <w:pPr>
        <w:pStyle w:val="Heading6"/>
        <w:numPr>
          <w:ilvl w:val="5"/>
          <w:numId w:val="1"/>
        </w:numPr>
        <w:rPr/>
      </w:pPr>
      <w:bookmarkStart w:id="150" w:name="__RefHeading___Toc3584533_3650668749"/>
      <w:bookmarkStart w:id="151" w:name="_Toc63"/>
      <w:bookmarkEnd w:id="149"/>
      <w:bookmarkEnd w:id="150"/>
      <w:r>
        <w:rPr>
          <w:rtl w:val="true"/>
        </w:rPr>
        <w:t xml:space="preserve">پنبه </w:t>
      </w:r>
      <w:r>
        <w:rPr>
          <w:rtl w:val="true"/>
        </w:rPr>
        <w:t>(</w:t>
      </w:r>
      <w:r>
        <w:rPr>
          <w:rtl w:val="true"/>
        </w:rPr>
        <w:t>قُطْن</w:t>
      </w:r>
      <w:r>
        <w:rPr>
          <w:rtl w:val="true"/>
        </w:rPr>
        <w:t>)</w:t>
      </w:r>
      <w:bookmarkEnd w:id="151"/>
    </w:p>
    <w:p>
      <w:pPr>
        <w:pStyle w:val="BookText"/>
        <w:rPr/>
      </w:pPr>
      <w:r>
        <w:rPr>
          <w:rFonts w:ascii="IRNazanin" w:hAnsi="IRNazanin" w:eastAsia="IRNazanin"/>
          <w:color w:val="111111"/>
          <w:sz w:val="28"/>
          <w:sz w:val="28"/>
          <w:szCs w:val="28"/>
          <w:rtl w:val="true"/>
          <w:lang w:bidi="fa-IR"/>
        </w:rPr>
        <w:t xml:space="preserve">پنبه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خراج براى هر جريب پنبه در زمان عمر بن خطاب، پنج درهم بوده‌است</w:t>
      </w:r>
      <w:r>
        <w:rPr>
          <w:rFonts w:eastAsia="IRNazanin" w:cs="IRNazanin"/>
          <w:color w:val="111111"/>
          <w:sz w:val="28"/>
          <w:szCs w:val="28"/>
          <w:rtl w:val="true"/>
          <w:lang w:bidi="fa-IR"/>
        </w:rPr>
        <w:t xml:space="preserve">. </w:t>
      </w:r>
      <w:r>
        <w:rPr>
          <w:rStyle w:val="FootnoteAnchor"/>
          <w:rtl w:val="true"/>
        </w:rPr>
        <w:footnoteReference w:id="129"/>
      </w:r>
    </w:p>
    <w:p>
      <w:pPr>
        <w:pStyle w:val="Heading6"/>
        <w:numPr>
          <w:ilvl w:val="5"/>
          <w:numId w:val="1"/>
        </w:numPr>
        <w:rPr/>
      </w:pPr>
      <w:bookmarkStart w:id="152" w:name="__RefHeading___Toc3584535_3650668749"/>
      <w:bookmarkStart w:id="153" w:name="_Toc64"/>
      <w:bookmarkEnd w:id="152"/>
      <w:r>
        <w:rPr>
          <w:rtl w:val="true"/>
        </w:rPr>
        <w:t>بِطّيخَه</w:t>
      </w:r>
      <w:r>
        <w:rPr>
          <w:rtl w:val="true"/>
        </w:rPr>
        <w:t>:</w:t>
      </w:r>
      <w:bookmarkEnd w:id="153"/>
    </w:p>
    <w:p>
      <w:pPr>
        <w:pStyle w:val="BookText"/>
        <w:rPr/>
      </w:pPr>
      <w:r>
        <w:rPr>
          <w:rFonts w:ascii="IRNazanin" w:hAnsi="IRNazanin" w:eastAsia="IRNazanin"/>
          <w:color w:val="111111"/>
          <w:sz w:val="28"/>
          <w:sz w:val="28"/>
          <w:szCs w:val="28"/>
          <w:rtl w:val="true"/>
          <w:lang w:bidi="fa-IR"/>
        </w:rPr>
        <w:t>اين كلمه در لغت براى سه بوته خيار، خربزه و كدو به‌كار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كه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اين كلمه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بطيخه‌اى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و پس از خوردن مقدارى، آن را تلخ‌يافت</w:t>
      </w:r>
      <w:r>
        <w:rPr>
          <w:rFonts w:eastAsia="IRNazanin" w:cs="IRNazanin"/>
          <w:color w:val="111111"/>
          <w:sz w:val="28"/>
          <w:szCs w:val="28"/>
          <w:rtl w:val="true"/>
          <w:lang w:bidi="fa-IR"/>
        </w:rPr>
        <w:t xml:space="preserve">. . .» .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اين حديث نيز قرينه‌اى است براى تعيين كاربرد آن در يكى از اين سه 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بتوانيم با احاديث ديگر كه از كدو سخن مى‌گويند، قرينه‌اى احتمالى بر كاربرد اين لغت در آن زمان براى كدو به دست آوريم، به خصوص با توجه به اينكه كدو ظاهرترين معناى آن مى‌باشد</w:t>
      </w:r>
      <w:r>
        <w:rPr>
          <w:rFonts w:eastAsia="IRNazanin" w:cs="IRNazanin"/>
          <w:color w:val="111111"/>
          <w:sz w:val="28"/>
          <w:szCs w:val="28"/>
          <w:rtl w:val="true"/>
          <w:lang w:bidi="fa-IR"/>
        </w:rPr>
        <w:t xml:space="preserve">. </w:t>
      </w:r>
      <w:r>
        <w:rPr>
          <w:rStyle w:val="FootnoteAnchor"/>
          <w:rtl w:val="true"/>
        </w:rPr>
        <w:footnoteReference w:id="131"/>
      </w:r>
      <w:r>
        <w:rPr>
          <w:rFonts w:ascii="Amiri" w:hAnsi="Amiri" w:eastAsia="Amiri" w:cs="Amiri"/>
          <w:color w:val="111111"/>
          <w:sz w:val="28"/>
          <w:sz w:val="28"/>
          <w:szCs w:val="28"/>
          <w:rtl w:val="true"/>
          <w:lang w:bidi="ar-SA"/>
        </w:rPr>
        <w:t>البته از اين لغت براى خربزه نيز استفاده مى‌شود</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3584537_3650668749"/>
      <w:bookmarkStart w:id="155" w:name="_Toc65"/>
      <w:bookmarkEnd w:id="154"/>
      <w:r>
        <w:rPr>
          <w:rtl w:val="true"/>
        </w:rPr>
        <w:t>كاسني</w:t>
      </w:r>
      <w:r>
        <w:rPr>
          <w:rtl w:val="true"/>
        </w:rPr>
        <w:t>:</w:t>
      </w:r>
      <w:bookmarkEnd w:id="155"/>
    </w:p>
    <w:p>
      <w:pPr>
        <w:pStyle w:val="BookText"/>
        <w:rPr/>
      </w:pPr>
      <w:r>
        <w:rPr>
          <w:rFonts w:ascii="Amiri" w:hAnsi="Amiri" w:eastAsia="Amiri" w:cs="Amiri"/>
          <w:color w:val="111111"/>
          <w:sz w:val="28"/>
          <w:sz w:val="28"/>
          <w:szCs w:val="28"/>
          <w:rtl w:val="true"/>
          <w:lang w:bidi="ar-SA"/>
        </w:rPr>
        <w:t xml:space="preserve">اين لغت را براى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آورديم كه در روايت آمده است</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عرب علاوه بر اين لغت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مى‌كند</w:t>
      </w:r>
      <w:r>
        <w:rPr>
          <w:rFonts w:eastAsia="Amiri" w:cs="Amiri" w:ascii="Amiri" w:hAnsi="Amiri"/>
          <w:color w:val="111111"/>
          <w:sz w:val="28"/>
          <w:szCs w:val="28"/>
          <w:rtl w:val="true"/>
          <w:lang w:bidi="ar-SA"/>
        </w:rPr>
        <w:t xml:space="preserve">. </w:t>
      </w:r>
      <w:r>
        <w:rPr>
          <w:rStyle w:val="FootnoteAnchor"/>
          <w:rtl w:val="true"/>
        </w:rPr>
        <w:footnoteReference w:id="133"/>
      </w:r>
    </w:p>
    <w:p>
      <w:pPr>
        <w:pStyle w:val="Heading6"/>
        <w:numPr>
          <w:ilvl w:val="5"/>
          <w:numId w:val="1"/>
        </w:numPr>
        <w:rPr/>
      </w:pPr>
      <w:bookmarkStart w:id="156" w:name="__RefHeading___Toc3584539_3650668749"/>
      <w:bookmarkStart w:id="157" w:name="_Toc66"/>
      <w:bookmarkEnd w:id="156"/>
      <w:r>
        <w:rPr>
          <w:rtl w:val="true"/>
        </w:rPr>
        <w:t xml:space="preserve">بادَروج </w:t>
      </w:r>
      <w:r>
        <w:rPr>
          <w:rtl w:val="true"/>
        </w:rPr>
        <w:t>(</w:t>
      </w:r>
      <w:r>
        <w:rPr>
          <w:rtl w:val="true"/>
        </w:rPr>
        <w:t>ريحان كوهي، تخم شربتي</w:t>
      </w:r>
      <w:r>
        <w:rPr>
          <w:rtl w:val="true"/>
        </w:rPr>
        <w:t>) :</w:t>
      </w:r>
      <w:bookmarkEnd w:id="157"/>
    </w:p>
    <w:p>
      <w:pPr>
        <w:pStyle w:val="BookText"/>
        <w:rPr/>
      </w:pPr>
      <w:r>
        <w:rPr>
          <w:rFonts w:ascii="Amiri" w:hAnsi="Amiri" w:eastAsia="Amiri" w:cs="Amiri"/>
          <w:color w:val="111111"/>
          <w:sz w:val="28"/>
          <w:sz w:val="28"/>
          <w:szCs w:val="28"/>
          <w:rtl w:val="true"/>
          <w:lang w:bidi="ar-SA"/>
        </w:rPr>
        <w:t xml:space="preserve">اين لغت در روايات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به‌كار رفته است و به عنوان سبزى خوراكى همراه غذاى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شده </w:t>
      </w:r>
      <w:r>
        <w:rPr>
          <w:rStyle w:val="FootnoteAnchor"/>
          <w:rtl w:val="true"/>
        </w:rPr>
        <w:footnoteReference w:id="134"/>
      </w:r>
      <w:r>
        <w:rPr>
          <w:rFonts w:ascii="Amiri" w:hAnsi="Amiri" w:eastAsia="Amiri" w:cs="Amiri"/>
          <w:color w:val="111111"/>
          <w:sz w:val="28"/>
          <w:sz w:val="28"/>
          <w:szCs w:val="28"/>
          <w:rtl w:val="true"/>
          <w:lang w:bidi="ar-SA"/>
        </w:rPr>
        <w:t>و آن را ريحان كوهى و تخم شربتى ترجمه كرده‌اند</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بعضى نيز احتمال داده‌اند همان نعناع باشد</w:t>
      </w:r>
      <w:r>
        <w:rPr>
          <w:rFonts w:eastAsia="Amiri" w:cs="Amiri" w:ascii="Amiri" w:hAnsi="Amiri"/>
          <w:color w:val="111111"/>
          <w:sz w:val="28"/>
          <w:szCs w:val="28"/>
          <w:rtl w:val="true"/>
          <w:lang w:bidi="ar-SA"/>
        </w:rPr>
        <w:t xml:space="preserve">. </w:t>
      </w:r>
      <w:r>
        <w:rPr>
          <w:rStyle w:val="FootnoteAnchor"/>
          <w:rtl w:val="true"/>
        </w:rPr>
        <w:footnoteReference w:id="136"/>
      </w:r>
    </w:p>
    <w:p>
      <w:pPr>
        <w:pStyle w:val="Heading6"/>
        <w:numPr>
          <w:ilvl w:val="5"/>
          <w:numId w:val="1"/>
        </w:numPr>
        <w:rPr/>
      </w:pPr>
      <w:bookmarkStart w:id="158" w:name="__RefHeading___Toc3584541_3650668749"/>
      <w:bookmarkStart w:id="159" w:name="_Toc67"/>
      <w:bookmarkEnd w:id="158"/>
      <w:r>
        <w:rPr>
          <w:rtl w:val="true"/>
        </w:rPr>
        <w:t>كَرّاث</w:t>
      </w:r>
      <w:r>
        <w:rPr>
          <w:rtl w:val="true"/>
        </w:rPr>
        <w:t>:</w:t>
      </w:r>
      <w:bookmarkEnd w:id="15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روايت آمده است كه 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همراه نمك نيم‌كوب شده ميل مى‌كرد</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در فرهنگ فارسى معين، معانى متعددى</w:t>
      </w:r>
      <w:bookmarkStart w:id="160" w:name="pg1964_19484"/>
    </w:p>
    <w:p>
      <w:pPr>
        <w:pStyle w:val="BookText"/>
        <w:rPr/>
      </w:pPr>
      <w:bookmarkEnd w:id="160"/>
      <w:r>
        <w:rPr>
          <w:rFonts w:ascii="IRNazanin" w:hAnsi="IRNazanin" w:eastAsia="IRNazanin"/>
          <w:color w:val="111111"/>
          <w:sz w:val="28"/>
          <w:sz w:val="28"/>
          <w:szCs w:val="28"/>
          <w:rtl w:val="true"/>
          <w:lang w:bidi="fa-IR"/>
        </w:rPr>
        <w:t>براى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گونه‌اى تره وحشى كه بويى تند شبيه سير دارد و آن را به كوچوك، پراسه، موسير، پياز كوهى، تره فرهنگى و تره خاورى نيز ترجمه كرده‌اند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به هر حال از اين معانى چنين برمى‌آيد كه اين گياه، نوعى سبزى خوردنى بوده است</w:t>
      </w:r>
      <w:r>
        <w:rPr>
          <w:rFonts w:eastAsia="IRNazanin" w:cs="IRNazanin"/>
          <w:color w:val="111111"/>
          <w:sz w:val="28"/>
          <w:szCs w:val="28"/>
          <w:rtl w:val="true"/>
          <w:lang w:bidi="fa-IR"/>
        </w:rPr>
        <w:t>.</w:t>
      </w:r>
    </w:p>
    <w:p>
      <w:pPr>
        <w:pStyle w:val="Heading6"/>
        <w:numPr>
          <w:ilvl w:val="5"/>
          <w:numId w:val="1"/>
        </w:numPr>
        <w:rPr/>
      </w:pPr>
      <w:bookmarkStart w:id="161" w:name="__RefHeading___Toc3584543_3650668749"/>
      <w:bookmarkStart w:id="162" w:name="_Toc68"/>
      <w:bookmarkEnd w:id="161"/>
      <w:r>
        <w:rPr>
          <w:rtl w:val="true"/>
        </w:rPr>
        <w:t>قارچ خوراكى</w:t>
      </w:r>
      <w:r>
        <w:rPr>
          <w:rtl w:val="true"/>
        </w:rPr>
        <w:t>:</w:t>
      </w:r>
      <w:bookmarkEnd w:id="162"/>
    </w:p>
    <w:p>
      <w:pPr>
        <w:pStyle w:val="BookText"/>
        <w:rPr/>
      </w:pPr>
      <w:r>
        <w:rPr>
          <w:rFonts w:ascii="IRNazanin" w:hAnsi="IRNazanin" w:eastAsia="IRNazanin"/>
          <w:color w:val="111111"/>
          <w:sz w:val="28"/>
          <w:sz w:val="28"/>
          <w:szCs w:val="28"/>
          <w:rtl w:val="true"/>
          <w:lang w:bidi="fa-IR"/>
        </w:rPr>
        <w:t xml:space="preserve">اين لغت، ترجمه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روايتى به وجود آن در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روايت آمده است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گياه را دوست مى‌داشت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در فارسى به اين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سماروغ، سماروخ، سمارغ و زماروغ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 كه اصولاً اين لغات در مورد نوعى قارچ خوراكى به‌كار مى‌روند</w:t>
      </w:r>
      <w:r>
        <w:rPr>
          <w:rFonts w:eastAsia="IRNazanin" w:cs="IRNazanin"/>
          <w:color w:val="111111"/>
          <w:sz w:val="28"/>
          <w:szCs w:val="28"/>
          <w:rtl w:val="true"/>
          <w:lang w:bidi="fa-IR"/>
        </w:rPr>
        <w:t xml:space="preserve">. </w:t>
      </w:r>
      <w:r>
        <w:rPr>
          <w:rStyle w:val="FootnoteAnchor"/>
          <w:rtl w:val="true"/>
        </w:rPr>
        <w:footnoteReference w:id="140"/>
      </w:r>
    </w:p>
    <w:p>
      <w:pPr>
        <w:pStyle w:val="Heading6"/>
        <w:numPr>
          <w:ilvl w:val="5"/>
          <w:numId w:val="1"/>
        </w:numPr>
        <w:rPr/>
      </w:pPr>
      <w:bookmarkStart w:id="163" w:name="__RefHeading___Toc3584545_3650668749"/>
      <w:bookmarkStart w:id="164" w:name="_Toc69"/>
      <w:bookmarkEnd w:id="163"/>
      <w:r>
        <w:rPr>
          <w:rtl w:val="true"/>
        </w:rPr>
        <w:t>كدو</w:t>
      </w:r>
      <w:r>
        <w:rPr>
          <w:rtl w:val="true"/>
        </w:rPr>
        <w:t>:</w:t>
      </w:r>
      <w:bookmarkEnd w:id="164"/>
    </w:p>
    <w:p>
      <w:pPr>
        <w:pStyle w:val="BookText"/>
        <w:rPr/>
      </w:pPr>
      <w:r>
        <w:rPr>
          <w:rFonts w:ascii="IRNazanin" w:hAnsi="IRNazanin" w:eastAsia="IRNazanin"/>
          <w:color w:val="111111"/>
          <w:sz w:val="28"/>
          <w:sz w:val="28"/>
          <w:szCs w:val="28"/>
          <w:rtl w:val="true"/>
          <w:lang w:bidi="fa-IR"/>
        </w:rPr>
        <w:t xml:space="preserve">دو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در مورد اين گياه به‌كار رفته است و حكايت دارد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مى‌كرد</w:t>
      </w:r>
      <w:r>
        <w:rPr>
          <w:rFonts w:eastAsia="IRNazanin" w:cs="IRNazanin"/>
          <w:color w:val="111111"/>
          <w:sz w:val="28"/>
          <w:szCs w:val="28"/>
          <w:rtl w:val="true"/>
          <w:lang w:bidi="fa-IR"/>
        </w:rPr>
        <w:t xml:space="preserve">. </w:t>
      </w:r>
      <w:r>
        <w:rPr>
          <w:rStyle w:val="FootnoteAnchor"/>
          <w:rtl w:val="true"/>
        </w:rPr>
        <w:footnoteReference w:id="141"/>
      </w:r>
    </w:p>
    <w:p>
      <w:pPr>
        <w:pStyle w:val="Heading6"/>
        <w:numPr>
          <w:ilvl w:val="5"/>
          <w:numId w:val="1"/>
        </w:numPr>
        <w:rPr/>
      </w:pPr>
      <w:bookmarkStart w:id="165" w:name="__RefHeading___Toc3584547_3650668749"/>
      <w:bookmarkStart w:id="166" w:name="_Toc70"/>
      <w:bookmarkEnd w:id="165"/>
      <w:r>
        <w:rPr>
          <w:rtl w:val="true"/>
        </w:rPr>
        <w:t xml:space="preserve">پونه </w:t>
      </w:r>
      <w:r>
        <w:rPr>
          <w:rtl w:val="true"/>
        </w:rPr>
        <w:t>(</w:t>
      </w:r>
      <w:r>
        <w:rPr>
          <w:rtl w:val="true"/>
        </w:rPr>
        <w:t>پودينه</w:t>
      </w:r>
      <w:r>
        <w:rPr>
          <w:rtl w:val="true"/>
        </w:rPr>
        <w:t>) :</w:t>
      </w:r>
      <w:bookmarkEnd w:id="166"/>
    </w:p>
    <w:p>
      <w:pPr>
        <w:pStyle w:val="BookText"/>
        <w:rPr/>
      </w:pPr>
      <w:r>
        <w:rPr>
          <w:rFonts w:ascii="IRNazanin" w:hAnsi="IRNazanin" w:eastAsia="IRNazanin"/>
          <w:color w:val="111111"/>
          <w:sz w:val="28"/>
          <w:sz w:val="28"/>
          <w:szCs w:val="28"/>
          <w:rtl w:val="true"/>
          <w:lang w:bidi="fa-IR"/>
        </w:rPr>
        <w:t xml:space="preserve">اين گياه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به كار رفته، در روايات به عنوان دواى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 xml:space="preserve">. </w:t>
      </w:r>
      <w:r>
        <w:rPr>
          <w:rStyle w:val="FootnoteAnchor"/>
          <w:rtl w:val="true"/>
        </w:rPr>
        <w:footnoteReference w:id="142"/>
      </w:r>
    </w:p>
    <w:p>
      <w:pPr>
        <w:pStyle w:val="Heading3"/>
        <w:numPr>
          <w:ilvl w:val="2"/>
          <w:numId w:val="1"/>
        </w:numPr>
        <w:rPr/>
      </w:pPr>
      <w:bookmarkStart w:id="167" w:name="__RefHeading___Toc3584549_3650668749"/>
      <w:bookmarkStart w:id="168" w:name="_Toc71"/>
      <w:bookmarkEnd w:id="167"/>
      <w:r>
        <w:rPr/>
        <w:t>۴</w:t>
      </w:r>
      <w:r>
        <w:rPr>
          <w:rtl w:val="true"/>
        </w:rPr>
        <w:t xml:space="preserve">. </w:t>
      </w:r>
      <w:r>
        <w:rPr>
          <w:rtl w:val="true"/>
        </w:rPr>
        <w:t>حيوانات</w:t>
      </w:r>
      <w:bookmarkEnd w:id="168"/>
    </w:p>
    <w:p>
      <w:pPr>
        <w:pStyle w:val="Heading4"/>
        <w:numPr>
          <w:ilvl w:val="3"/>
          <w:numId w:val="1"/>
        </w:numPr>
        <w:rPr/>
      </w:pPr>
      <w:bookmarkStart w:id="169" w:name="__RefHeading___Toc3584551_3650668749"/>
      <w:bookmarkStart w:id="170" w:name="_Toc72"/>
      <w:bookmarkEnd w:id="169"/>
      <w:r>
        <w:rPr>
          <w:rtl w:val="true"/>
        </w:rPr>
        <w:t>اشاره</w:t>
      </w:r>
      <w:bookmarkEnd w:id="170"/>
    </w:p>
    <w:p>
      <w:pPr>
        <w:pStyle w:val="BookText"/>
        <w:rPr/>
      </w:pPr>
      <w:r>
        <w:rPr>
          <w:rFonts w:ascii="Amiri" w:hAnsi="Amiri" w:eastAsia="Amiri" w:cs="Amiri"/>
          <w:color w:val="111111"/>
          <w:sz w:val="28"/>
          <w:sz w:val="28"/>
          <w:szCs w:val="28"/>
          <w:rtl w:val="true"/>
          <w:lang w:bidi="ar-SA"/>
        </w:rPr>
        <w:t>حيوانات منطقه كوفه را مى‌توان به دو بخش حيوانات خشكى و آبى تقسيم كرد</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3584553_3650668749"/>
      <w:bookmarkStart w:id="172" w:name="_Toc73"/>
      <w:bookmarkEnd w:id="171"/>
      <w:r>
        <w:rPr>
          <w:rtl w:val="true"/>
        </w:rPr>
        <w:t>الف</w:t>
      </w:r>
      <w:r>
        <w:rPr>
          <w:rtl w:val="true"/>
        </w:rPr>
        <w:t xml:space="preserve">) </w:t>
      </w:r>
      <w:r>
        <w:rPr>
          <w:rtl w:val="true"/>
        </w:rPr>
        <w:t>حيوانات خشكى</w:t>
      </w:r>
      <w:bookmarkEnd w:id="172"/>
    </w:p>
    <w:p>
      <w:pPr>
        <w:pStyle w:val="Heading5"/>
        <w:numPr>
          <w:ilvl w:val="4"/>
          <w:numId w:val="1"/>
        </w:numPr>
        <w:rPr/>
      </w:pPr>
      <w:bookmarkStart w:id="173" w:name="__RefHeading___Toc3584555_3650668749"/>
      <w:bookmarkStart w:id="174" w:name="_Toc74"/>
      <w:bookmarkEnd w:id="173"/>
      <w:r>
        <w:rPr>
          <w:rtl w:val="true"/>
        </w:rPr>
        <w:t>اشاره</w:t>
      </w:r>
      <w:bookmarkEnd w:id="17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حيوانات را نيز مى‌توان به دو قسم حيوانات اهلى و حيوانات غير اهلى تقسيم كرد</w:t>
      </w:r>
      <w:r>
        <w:rPr>
          <w:rFonts w:eastAsia="Amiri" w:cs="Amiri" w:ascii="Amiri" w:hAnsi="Amiri"/>
          <w:color w:val="111111"/>
          <w:sz w:val="28"/>
          <w:szCs w:val="28"/>
          <w:rtl w:val="true"/>
          <w:lang w:bidi="ar-SA"/>
        </w:rPr>
        <w:t>:</w:t>
      </w:r>
      <w:bookmarkStart w:id="175" w:name="pg1964_19485"/>
    </w:p>
    <w:p>
      <w:pPr>
        <w:pStyle w:val="Heading5"/>
        <w:numPr>
          <w:ilvl w:val="4"/>
          <w:numId w:val="1"/>
        </w:numPr>
        <w:rPr/>
      </w:pPr>
      <w:bookmarkStart w:id="176" w:name="__RefHeading___Toc3584557_3650668749"/>
      <w:bookmarkStart w:id="177" w:name="_Toc75"/>
      <w:bookmarkEnd w:id="175"/>
      <w:bookmarkEnd w:id="176"/>
      <w:r>
        <w:rPr>
          <w:rtl w:val="true"/>
        </w:rPr>
        <w:t xml:space="preserve">يك </w:t>
      </w:r>
      <w:r>
        <w:rPr>
          <w:rtl w:val="true"/>
        </w:rPr>
        <w:t xml:space="preserve">- </w:t>
      </w:r>
      <w:r>
        <w:rPr>
          <w:rtl w:val="true"/>
        </w:rPr>
        <w:t>حيوانات اهلى</w:t>
      </w:r>
      <w:bookmarkEnd w:id="177"/>
    </w:p>
    <w:p>
      <w:pPr>
        <w:pStyle w:val="Heading6"/>
        <w:numPr>
          <w:ilvl w:val="5"/>
          <w:numId w:val="1"/>
        </w:numPr>
        <w:rPr/>
      </w:pPr>
      <w:bookmarkStart w:id="178" w:name="__RefHeading___Toc3584559_3650668749"/>
      <w:bookmarkStart w:id="179" w:name="_Toc76"/>
      <w:bookmarkEnd w:id="178"/>
      <w:r>
        <w:rPr>
          <w:rtl w:val="true"/>
        </w:rPr>
        <w:t>اشاره</w:t>
      </w:r>
      <w:bookmarkEnd w:id="179"/>
    </w:p>
    <w:p>
      <w:pPr>
        <w:pStyle w:val="BookText"/>
        <w:rPr/>
      </w:pPr>
      <w:r>
        <w:rPr>
          <w:rFonts w:ascii="Amiri" w:hAnsi="Amiri" w:eastAsia="Amiri" w:cs="Amiri"/>
          <w:color w:val="111111"/>
          <w:sz w:val="28"/>
          <w:sz w:val="28"/>
          <w:szCs w:val="28"/>
          <w:rtl w:val="true"/>
          <w:lang w:bidi="ar-SA"/>
        </w:rPr>
        <w:t>اين حيوانات عبارت‌اند از</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3584561_3650668749"/>
      <w:bookmarkStart w:id="181" w:name="_Toc77"/>
      <w:bookmarkEnd w:id="180"/>
      <w:r>
        <w:rPr>
          <w:rtl w:val="true"/>
        </w:rPr>
        <w:t xml:space="preserve">اول </w:t>
      </w:r>
      <w:r>
        <w:rPr>
          <w:rtl w:val="true"/>
        </w:rPr>
        <w:t xml:space="preserve">- </w:t>
      </w:r>
      <w:r>
        <w:rPr>
          <w:rtl w:val="true"/>
        </w:rPr>
        <w:t>شتر و انواع آن</w:t>
      </w:r>
      <w:bookmarkEnd w:id="181"/>
    </w:p>
    <w:p>
      <w:pPr>
        <w:pStyle w:val="BookText"/>
        <w:rPr/>
      </w:pPr>
      <w:r>
        <w:rPr>
          <w:rFonts w:ascii="Amiri" w:hAnsi="Amiri" w:eastAsia="Amiri" w:cs="Amiri"/>
          <w:color w:val="111111"/>
          <w:sz w:val="28"/>
          <w:sz w:val="28"/>
          <w:szCs w:val="28"/>
          <w:rtl w:val="true"/>
          <w:lang w:bidi="ar-SA"/>
        </w:rPr>
        <w:t>اين حيوان را عمدتاً عرب‌هاى حجاز همراه خود آورده بودند، علاوه بر اينكه عرب‌هاى ساكن در اين منطقه نيز از آن استفاده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اصولاً زندگى عرب در آن زمان بسيار وابسته به شتر بود و چنان به هم خو گرفته بودند كه طبايع آنها در بعض از موارد يكسان شده بود، به گونه‌اى كه وقتى از دست پشه‌ها و نيز آب و هواى مدائن به ستوه آمدند و شكايت نزد عُمر بردند، عمر در نامه خود خطاب به سعد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را تنها سرزمينى مناسب است كه به حال شترانش مناسب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سرانجام منطقه كوفه را كه با طبيعت و مزاج هر دو سازگار بود، براى سكونت برگزيدند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گوشت، شير، پشم و كرك شتر موارد استفاده عرب‌ها از اين حيوان بوده است</w:t>
      </w:r>
      <w:r>
        <w:rPr>
          <w:rFonts w:eastAsia="IRNazanin" w:cs="IRNazanin"/>
          <w:color w:val="111111"/>
          <w:sz w:val="28"/>
          <w:szCs w:val="28"/>
          <w:rtl w:val="true"/>
          <w:lang w:bidi="fa-IR"/>
        </w:rPr>
        <w:t>.</w:t>
      </w:r>
    </w:p>
    <w:p>
      <w:pPr>
        <w:pStyle w:val="Heading6"/>
        <w:numPr>
          <w:ilvl w:val="5"/>
          <w:numId w:val="1"/>
        </w:numPr>
        <w:rPr/>
      </w:pPr>
      <w:bookmarkStart w:id="182" w:name="__RefHeading___Toc3584563_3650668749"/>
      <w:bookmarkStart w:id="183" w:name="_Toc78"/>
      <w:bookmarkEnd w:id="182"/>
      <w:r>
        <w:rPr>
          <w:rtl w:val="true"/>
        </w:rPr>
        <w:t xml:space="preserve">دوم </w:t>
      </w:r>
      <w:r>
        <w:rPr>
          <w:rtl w:val="true"/>
        </w:rPr>
        <w:t xml:space="preserve">- </w:t>
      </w:r>
      <w:r>
        <w:rPr>
          <w:rtl w:val="true"/>
        </w:rPr>
        <w:t>گاو</w:t>
      </w:r>
      <w:bookmarkEnd w:id="183"/>
    </w:p>
    <w:p>
      <w:pPr>
        <w:pStyle w:val="BookText"/>
        <w:rPr/>
      </w:pPr>
      <w:r>
        <w:rPr>
          <w:rFonts w:ascii="IRNazanin" w:hAnsi="IRNazanin" w:eastAsia="IRNazanin"/>
          <w:color w:val="111111"/>
          <w:sz w:val="28"/>
          <w:sz w:val="28"/>
          <w:szCs w:val="28"/>
          <w:rtl w:val="true"/>
          <w:lang w:bidi="fa-IR"/>
        </w:rPr>
        <w:t>از شير و گوشت اين حيوان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كشاورزى نيز براى كشيدن گاوآهن از آن 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كشاورزى بيشتر از گاو نر كه به آن ثور مى‌گفتند، بهره مى‌بردند</w:t>
      </w:r>
      <w:r>
        <w:rPr>
          <w:rFonts w:eastAsia="IRNazanin" w:cs="IRNazanin"/>
          <w:color w:val="111111"/>
          <w:sz w:val="28"/>
          <w:szCs w:val="28"/>
          <w:rtl w:val="true"/>
          <w:lang w:bidi="fa-IR"/>
        </w:rPr>
        <w:t>.</w:t>
      </w:r>
    </w:p>
    <w:p>
      <w:pPr>
        <w:pStyle w:val="Heading6"/>
        <w:numPr>
          <w:ilvl w:val="5"/>
          <w:numId w:val="1"/>
        </w:numPr>
        <w:rPr/>
      </w:pPr>
      <w:bookmarkStart w:id="184" w:name="__RefHeading___Toc3584565_3650668749"/>
      <w:bookmarkStart w:id="185" w:name="_Toc79"/>
      <w:bookmarkEnd w:id="184"/>
      <w:r>
        <w:rPr>
          <w:rtl w:val="true"/>
        </w:rPr>
        <w:t xml:space="preserve">سوم </w:t>
      </w:r>
      <w:r>
        <w:rPr>
          <w:rtl w:val="true"/>
        </w:rPr>
        <w:t xml:space="preserve">- </w:t>
      </w:r>
      <w:r>
        <w:rPr>
          <w:rtl w:val="true"/>
        </w:rPr>
        <w:t>اسب</w:t>
      </w:r>
      <w:bookmarkEnd w:id="185"/>
    </w:p>
    <w:p>
      <w:pPr>
        <w:pStyle w:val="Heading6"/>
        <w:numPr>
          <w:ilvl w:val="5"/>
          <w:numId w:val="1"/>
        </w:numPr>
        <w:rPr/>
      </w:pPr>
      <w:bookmarkStart w:id="186" w:name="__RefHeading___Toc3584567_3650668749"/>
      <w:bookmarkStart w:id="187" w:name="_Toc80"/>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اسب از گذشته‌هاى بسيار دور در ميان عرب اهميت داشت و از آن براى پيمودن مسافت‌هاى طولانى كه به سرعت نياز داشت،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جنگ و غارت و شبيخون‌ها بسيار به كار مى‌رفت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انواع فراوانى داشت كه به چند نوع آن كه در گزارش‌هاى زمان مورد بحث ما به‌كار رفته است، اشاره مى‌شود</w:t>
      </w:r>
      <w:r>
        <w:rPr>
          <w:rFonts w:eastAsia="IRNazanin" w:cs="IRNazanin"/>
          <w:color w:val="111111"/>
          <w:sz w:val="28"/>
          <w:szCs w:val="28"/>
          <w:rtl w:val="true"/>
          <w:lang w:bidi="fa-IR"/>
        </w:rPr>
        <w:t>:</w:t>
      </w:r>
      <w:bookmarkStart w:id="188" w:name="pg1964_19486"/>
    </w:p>
    <w:p>
      <w:pPr>
        <w:pStyle w:val="BookText"/>
        <w:rPr/>
      </w:pPr>
      <w:bookmarkEnd w:id="188"/>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9" w:name="__RefHeading___Toc3584569_3650668749"/>
      <w:bookmarkStart w:id="190" w:name="_Toc81"/>
      <w:bookmarkEnd w:id="189"/>
      <w:r>
        <w:rPr>
          <w:rtl w:val="true"/>
        </w:rPr>
        <w:t>بِرْذَوْن</w:t>
      </w:r>
      <w:bookmarkEnd w:id="190"/>
    </w:p>
    <w:p>
      <w:pPr>
        <w:pStyle w:val="BookText"/>
        <w:rPr/>
      </w:pPr>
      <w:r>
        <w:rPr>
          <w:rFonts w:ascii="IRNazanin" w:hAnsi="IRNazanin" w:eastAsia="IRNazanin"/>
          <w:color w:val="111111"/>
          <w:sz w:val="28"/>
          <w:sz w:val="28"/>
          <w:szCs w:val="28"/>
          <w:rtl w:val="true"/>
          <w:lang w:bidi="fa-IR"/>
        </w:rPr>
        <w:t xml:space="preserve">اسبى غير عربى بوده كه در فارسى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تاتارى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سرعت زيادى داشته است</w:t>
      </w:r>
      <w:r>
        <w:rPr>
          <w:rFonts w:eastAsia="IRNazanin" w:cs="IRNazanin"/>
          <w:color w:val="111111"/>
          <w:sz w:val="28"/>
          <w:szCs w:val="28"/>
          <w:rtl w:val="true"/>
          <w:lang w:bidi="fa-IR"/>
        </w:rPr>
        <w:t xml:space="preserve">. </w:t>
      </w:r>
      <w:r>
        <w:rPr>
          <w:rStyle w:val="FootnoteAnchor"/>
          <w:rtl w:val="true"/>
        </w:rPr>
        <w:footnoteReference w:id="144"/>
      </w:r>
      <w:r>
        <w:rPr>
          <w:rFonts w:ascii="Amiri" w:hAnsi="Amiri" w:eastAsia="Amiri" w:cs="Amiri"/>
          <w:color w:val="111111"/>
          <w:sz w:val="28"/>
          <w:sz w:val="28"/>
          <w:szCs w:val="28"/>
          <w:rtl w:val="true"/>
          <w:lang w:bidi="ar-SA"/>
        </w:rPr>
        <w:t>از اين اسب بيشتر براى خودنمايى و تجمل استفاده مى‌شد</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1" w:name="__RefHeading___Toc3584571_3650668749"/>
      <w:bookmarkStart w:id="192" w:name="_Toc82"/>
      <w:bookmarkEnd w:id="191"/>
      <w:r>
        <w:rPr>
          <w:rtl w:val="true"/>
        </w:rPr>
        <w:t>هِمْلاج</w:t>
      </w:r>
      <w:bookmarkEnd w:id="192"/>
    </w:p>
    <w:p>
      <w:pPr>
        <w:pStyle w:val="BookText"/>
        <w:rPr/>
      </w:pPr>
      <w:r>
        <w:rPr>
          <w:rFonts w:ascii="Amiri" w:hAnsi="Amiri" w:eastAsia="Amiri" w:cs="Amiri"/>
          <w:color w:val="111111"/>
          <w:sz w:val="28"/>
          <w:sz w:val="28"/>
          <w:szCs w:val="28"/>
          <w:rtl w:val="true"/>
          <w:lang w:bidi="ar-SA"/>
        </w:rPr>
        <w:t xml:space="preserve">هِمْلاج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اين اسب نوعى از برذون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لغت هملاج را لغتى فارسى دانسته‌اند كه به معناى راهوار بودن و آرام رفتن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3" w:name="__RefHeading___Toc3584573_3650668749"/>
      <w:bookmarkStart w:id="194" w:name="_Toc83"/>
      <w:bookmarkEnd w:id="193"/>
      <w:r>
        <w:rPr>
          <w:rtl w:val="true"/>
        </w:rPr>
        <w:t>فَرَس ذَنُوب</w:t>
      </w:r>
      <w:bookmarkEnd w:id="19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اسبى كه دُمى دراز داشته و پرمو بوده است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زهير بن قين در ميدان جنگ كربلا با اين عنوان ياد شده است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گفتنى است كه نظر به تربيت‌پذيرى فراوان اسب و نيز شدت علاقه عرب به اين حيوان، معمولاً براى آن، نام انتخاب كرده و آن را صدا مى‌زدند، براى مثال، نام اسب‌هاى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يادآورى مى‌شود كه در منابع اوليه و معتبر به اسبى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نكرديم، البته در برخى از منابع روايى قرن دوم و سوم به اسبى با عنوان جناح كه از اسب‌هاى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برخورد مى‌كنيم</w:t>
      </w:r>
      <w:r>
        <w:rPr>
          <w:rFonts w:eastAsia="IRNazanin" w:cs="IRNazanin"/>
          <w:color w:val="111111"/>
          <w:sz w:val="28"/>
          <w:szCs w:val="28"/>
          <w:rtl w:val="true"/>
          <w:lang w:bidi="fa-IR"/>
        </w:rPr>
        <w:t xml:space="preserve">. </w:t>
      </w:r>
      <w:r>
        <w:rPr>
          <w:rStyle w:val="FootnoteAnchor"/>
          <w:rtl w:val="true"/>
        </w:rPr>
        <w:footnoteReference w:id="150"/>
      </w:r>
      <w:bookmarkStart w:id="195" w:name="pg1964_19487"/>
    </w:p>
    <w:p>
      <w:pPr>
        <w:pStyle w:val="Heading6"/>
        <w:numPr>
          <w:ilvl w:val="5"/>
          <w:numId w:val="1"/>
        </w:numPr>
        <w:rPr/>
      </w:pPr>
      <w:bookmarkStart w:id="196" w:name="__RefHeading___Toc3584575_3650668749"/>
      <w:bookmarkStart w:id="197" w:name="_Toc84"/>
      <w:bookmarkEnd w:id="195"/>
      <w:bookmarkEnd w:id="196"/>
      <w:r>
        <w:rPr>
          <w:rtl w:val="true"/>
        </w:rPr>
        <w:t xml:space="preserve">چهارم </w:t>
      </w:r>
      <w:r>
        <w:rPr>
          <w:rtl w:val="true"/>
        </w:rPr>
        <w:t xml:space="preserve">- </w:t>
      </w:r>
      <w:r>
        <w:rPr>
          <w:rtl w:val="true"/>
        </w:rPr>
        <w:t>الاغ</w:t>
      </w:r>
      <w:bookmarkEnd w:id="197"/>
    </w:p>
    <w:p>
      <w:pPr>
        <w:pStyle w:val="BookText"/>
        <w:rPr/>
      </w:pPr>
      <w:r>
        <w:rPr>
          <w:rFonts w:ascii="IRNazanin" w:hAnsi="IRNazanin" w:eastAsia="IRNazanin"/>
          <w:color w:val="111111"/>
          <w:sz w:val="28"/>
          <w:sz w:val="28"/>
          <w:szCs w:val="28"/>
          <w:rtl w:val="true"/>
          <w:lang w:bidi="fa-IR"/>
        </w:rPr>
        <w:t>از اين حيوان براى انجام كارهاى روزمره و پيمودن مسافت‌هاى كوتاه 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حمل و نقل و انتقال كالاهاى نه چندان سنگين نيز به وسيله اين حيوان انجام مى‌گرفت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در روايات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اين حيوان، گزارش شده است</w:t>
      </w:r>
      <w:r>
        <w:rPr>
          <w:rFonts w:eastAsia="IRNazanin" w:cs="IRNazanin"/>
          <w:color w:val="111111"/>
          <w:sz w:val="28"/>
          <w:szCs w:val="28"/>
          <w:rtl w:val="true"/>
          <w:lang w:bidi="fa-IR"/>
        </w:rPr>
        <w:t xml:space="preserve">. </w:t>
      </w:r>
      <w:r>
        <w:rPr>
          <w:rStyle w:val="FootnoteAnchor"/>
          <w:rtl w:val="true"/>
        </w:rPr>
        <w:footnoteReference w:id="152"/>
      </w:r>
    </w:p>
    <w:p>
      <w:pPr>
        <w:pStyle w:val="Heading6"/>
        <w:numPr>
          <w:ilvl w:val="5"/>
          <w:numId w:val="1"/>
        </w:numPr>
        <w:rPr/>
      </w:pPr>
      <w:bookmarkStart w:id="198" w:name="__RefHeading___Toc3584577_3650668749"/>
      <w:bookmarkStart w:id="199" w:name="_Toc85"/>
      <w:bookmarkEnd w:id="198"/>
      <w:r>
        <w:rPr>
          <w:rtl w:val="true"/>
        </w:rPr>
        <w:t xml:space="preserve">پنجم </w:t>
      </w:r>
      <w:r>
        <w:rPr>
          <w:rtl w:val="true"/>
        </w:rPr>
        <w:t xml:space="preserve">- </w:t>
      </w:r>
      <w:r>
        <w:rPr>
          <w:rtl w:val="true"/>
        </w:rPr>
        <w:t>قاطر</w:t>
      </w:r>
      <w:bookmarkEnd w:id="199"/>
    </w:p>
    <w:p>
      <w:pPr>
        <w:pStyle w:val="BookText"/>
        <w:rPr/>
      </w:pPr>
      <w:r>
        <w:rPr>
          <w:rFonts w:ascii="IRNazanin" w:hAnsi="IRNazanin" w:eastAsia="IRNazanin"/>
          <w:color w:val="111111"/>
          <w:sz w:val="28"/>
          <w:sz w:val="28"/>
          <w:szCs w:val="28"/>
          <w:rtl w:val="true"/>
          <w:lang w:bidi="fa-IR"/>
        </w:rPr>
        <w:t>از اين حيوان نيز به منظور سوارى و حمل و نقل كالاهاى نسبتاً سنگين استفاده مى‌شد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در گزارش‌هاى جنگ جمل چنين آمده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قاطر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بود</w:t>
      </w:r>
      <w:r>
        <w:rPr>
          <w:rFonts w:eastAsia="IRNazanin" w:cs="IRNazanin"/>
          <w:color w:val="111111"/>
          <w:sz w:val="28"/>
          <w:szCs w:val="28"/>
          <w:rtl w:val="true"/>
          <w:lang w:bidi="fa-IR"/>
        </w:rPr>
        <w:t xml:space="preserve">. </w:t>
      </w:r>
      <w:r>
        <w:rPr>
          <w:rStyle w:val="FootnoteAnchor"/>
          <w:rtl w:val="true"/>
        </w:rPr>
        <w:footnoteReference w:id="154"/>
      </w:r>
    </w:p>
    <w:p>
      <w:pPr>
        <w:pStyle w:val="Heading6"/>
        <w:numPr>
          <w:ilvl w:val="5"/>
          <w:numId w:val="1"/>
        </w:numPr>
        <w:rPr/>
      </w:pPr>
      <w:bookmarkStart w:id="200" w:name="__RefHeading___Toc3584579_3650668749"/>
      <w:bookmarkStart w:id="201" w:name="_Toc86"/>
      <w:bookmarkEnd w:id="200"/>
      <w:r>
        <w:rPr>
          <w:rtl w:val="true"/>
        </w:rPr>
        <w:t xml:space="preserve">ششم </w:t>
      </w:r>
      <w:r>
        <w:rPr>
          <w:rtl w:val="true"/>
        </w:rPr>
        <w:t xml:space="preserve">- </w:t>
      </w:r>
      <w:r>
        <w:rPr>
          <w:rtl w:val="true"/>
        </w:rPr>
        <w:t>گوسفند</w:t>
      </w:r>
      <w:bookmarkEnd w:id="201"/>
    </w:p>
    <w:p>
      <w:pPr>
        <w:pStyle w:val="BookText"/>
        <w:rPr/>
      </w:pPr>
      <w:r>
        <w:rPr>
          <w:rFonts w:ascii="IRNazanin" w:hAnsi="IRNazanin" w:eastAsia="IRNazanin"/>
          <w:color w:val="111111"/>
          <w:sz w:val="28"/>
          <w:sz w:val="28"/>
          <w:szCs w:val="28"/>
          <w:rtl w:val="true"/>
          <w:lang w:bidi="fa-IR"/>
        </w:rPr>
        <w:t>عرب‌ها از شير، پشم و گوشت اين حيوان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روايتى بعضى از موادى كه براى تغذيه اين حيوان استفاده مى‌شده، از قرار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نخاله و كنجاره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عرب‌ها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از لغت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 را خرد مى‌كرده و به گوسفند مى‌داده‌اند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نان‌هايى را كه براى مصرف انسان مناسب نبود، به اين حيوان مى‌خوراندند</w:t>
      </w:r>
      <w:r>
        <w:rPr>
          <w:rFonts w:eastAsia="Amiri" w:cs="Amiri" w:ascii="Amiri" w:hAnsi="Amiri"/>
          <w:color w:val="111111"/>
          <w:sz w:val="28"/>
          <w:szCs w:val="28"/>
          <w:rtl w:val="true"/>
          <w:lang w:bidi="ar-SA"/>
        </w:rPr>
        <w:t xml:space="preserve">. </w:t>
      </w:r>
      <w:r>
        <w:rPr>
          <w:rStyle w:val="FootnoteAnchor"/>
          <w:rtl w:val="true"/>
        </w:rPr>
        <w:footnoteReference w:id="155"/>
      </w:r>
      <w:bookmarkStart w:id="202" w:name="pg1964_19488"/>
    </w:p>
    <w:p>
      <w:pPr>
        <w:pStyle w:val="Heading6"/>
        <w:numPr>
          <w:ilvl w:val="5"/>
          <w:numId w:val="1"/>
        </w:numPr>
        <w:rPr/>
      </w:pPr>
      <w:bookmarkStart w:id="203" w:name="__RefHeading___Toc3584581_3650668749"/>
      <w:bookmarkStart w:id="204" w:name="_Toc87"/>
      <w:bookmarkEnd w:id="202"/>
      <w:bookmarkEnd w:id="203"/>
      <w:r>
        <w:rPr>
          <w:rtl w:val="true"/>
        </w:rPr>
        <w:t xml:space="preserve">هفتم </w:t>
      </w:r>
      <w:r>
        <w:rPr>
          <w:rtl w:val="true"/>
        </w:rPr>
        <w:t xml:space="preserve">- </w:t>
      </w:r>
      <w:r>
        <w:rPr>
          <w:rtl w:val="true"/>
        </w:rPr>
        <w:t>كبوتر</w:t>
      </w:r>
      <w:bookmarkEnd w:id="204"/>
    </w:p>
    <w:p>
      <w:pPr>
        <w:pStyle w:val="BookText"/>
        <w:rPr/>
      </w:pPr>
      <w:r>
        <w:rPr>
          <w:rFonts w:ascii="IRNazanin" w:hAnsi="IRNazanin" w:eastAsia="IRNazanin"/>
          <w:color w:val="111111"/>
          <w:sz w:val="28"/>
          <w:sz w:val="28"/>
          <w:szCs w:val="28"/>
          <w:rtl w:val="true"/>
          <w:lang w:bidi="fa-IR"/>
        </w:rPr>
        <w:t>طبق بعضى گزارش‌ها، كبوتر بازى در آن زمان در كوفه ميان جوانان شايع بوده است</w:t>
      </w:r>
      <w:r>
        <w:rPr>
          <w:rFonts w:eastAsia="IRNazanin" w:cs="IRNazanin"/>
          <w:color w:val="111111"/>
          <w:sz w:val="28"/>
          <w:szCs w:val="28"/>
          <w:rtl w:val="true"/>
          <w:lang w:bidi="fa-IR"/>
        </w:rPr>
        <w:t xml:space="preserve">. </w:t>
      </w:r>
      <w:r>
        <w:rPr>
          <w:rStyle w:val="FootnoteAnchor"/>
          <w:rtl w:val="true"/>
        </w:rPr>
        <w:footnoteReference w:id="156"/>
      </w:r>
    </w:p>
    <w:p>
      <w:pPr>
        <w:pStyle w:val="Heading6"/>
        <w:numPr>
          <w:ilvl w:val="5"/>
          <w:numId w:val="1"/>
        </w:numPr>
        <w:rPr/>
      </w:pPr>
      <w:bookmarkStart w:id="205" w:name="__RefHeading___Toc3584583_3650668749"/>
      <w:bookmarkStart w:id="206" w:name="_Toc88"/>
      <w:bookmarkEnd w:id="205"/>
      <w:r>
        <w:rPr>
          <w:rtl w:val="true"/>
        </w:rPr>
        <w:t xml:space="preserve">هشتم </w:t>
      </w:r>
      <w:r>
        <w:rPr>
          <w:rtl w:val="true"/>
        </w:rPr>
        <w:t xml:space="preserve">- </w:t>
      </w:r>
      <w:r>
        <w:rPr>
          <w:rtl w:val="true"/>
        </w:rPr>
        <w:t>مرغ</w:t>
      </w:r>
      <w:bookmarkEnd w:id="206"/>
    </w:p>
    <w:p>
      <w:pPr>
        <w:pStyle w:val="BookText"/>
        <w:rPr/>
      </w:pPr>
      <w:r>
        <w:rPr>
          <w:rFonts w:ascii="Amiri" w:hAnsi="Amiri" w:eastAsia="Amiri" w:cs="Amiri"/>
          <w:color w:val="111111"/>
          <w:sz w:val="28"/>
          <w:sz w:val="28"/>
          <w:szCs w:val="28"/>
          <w:rtl w:val="true"/>
          <w:lang w:bidi="ar-SA"/>
        </w:rPr>
        <w:t xml:space="preserve">مرغ و طبعاً خروس يكى از مصارف غذايى مردم كوفه در آن زمان بوده است </w:t>
      </w:r>
      <w:r>
        <w:rPr>
          <w:rStyle w:val="FootnoteAnchor"/>
          <w:rtl w:val="true"/>
        </w:rPr>
        <w:footnoteReference w:id="157"/>
      </w:r>
      <w:r>
        <w:rPr>
          <w:rFonts w:ascii="Amiri" w:hAnsi="Amiri" w:eastAsia="Amiri" w:cs="Amiri"/>
          <w:color w:val="111111"/>
          <w:sz w:val="28"/>
          <w:sz w:val="28"/>
          <w:szCs w:val="28"/>
          <w:rtl w:val="true"/>
          <w:lang w:bidi="ar-SA"/>
        </w:rPr>
        <w:t>، علاوه بر اينكه از تخم مرغ آن نيز مى‌توانستند به عنوان غذا بهره ببرند</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3584585_3650668749"/>
      <w:bookmarkStart w:id="208" w:name="_Toc89"/>
      <w:bookmarkEnd w:id="207"/>
      <w:r>
        <w:rPr>
          <w:rtl w:val="true"/>
        </w:rPr>
        <w:t xml:space="preserve">نهم </w:t>
      </w:r>
      <w:r>
        <w:rPr>
          <w:rtl w:val="true"/>
        </w:rPr>
        <w:t xml:space="preserve">- </w:t>
      </w:r>
      <w:r>
        <w:rPr>
          <w:rtl w:val="true"/>
        </w:rPr>
        <w:t xml:space="preserve">مرغابى </w:t>
      </w:r>
      <w:r>
        <w:rPr>
          <w:rtl w:val="true"/>
        </w:rPr>
        <w:t>(</w:t>
      </w:r>
      <w:r>
        <w:rPr>
          <w:rtl w:val="true"/>
        </w:rPr>
        <w:t>اردك</w:t>
      </w:r>
      <w:r>
        <w:rPr>
          <w:rtl w:val="true"/>
        </w:rPr>
        <w:t>)</w:t>
      </w:r>
      <w:bookmarkEnd w:id="208"/>
    </w:p>
    <w:p>
      <w:pPr>
        <w:pStyle w:val="BookText"/>
        <w:rPr/>
      </w:pPr>
      <w:r>
        <w:rPr>
          <w:rFonts w:ascii="IRNazanin" w:hAnsi="IRNazanin" w:eastAsia="IRNazanin"/>
          <w:color w:val="111111"/>
          <w:sz w:val="28"/>
          <w:sz w:val="28"/>
          <w:szCs w:val="28"/>
          <w:rtl w:val="true"/>
          <w:lang w:bidi="fa-IR"/>
        </w:rPr>
        <w:t>به نظر مى‌رسد كه مردم كوفه اين پرنده آبى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دريايى را از رودخانه فرات گرفته و به خانه‌هاى خود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و صدايى كه اين پرندگان در شب ضربت خوردن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اُم كلثوم به راه انداختند </w:t>
      </w:r>
      <w:r>
        <w:rPr>
          <w:rStyle w:val="FootnoteAnchor"/>
          <w:rtl w:val="true"/>
        </w:rPr>
        <w:footnoteReference w:id="158"/>
      </w:r>
      <w:r>
        <w:rPr>
          <w:rFonts w:ascii="IRNazanin" w:hAnsi="IRNazanin" w:eastAsia="IRNazanin"/>
          <w:color w:val="111111"/>
          <w:sz w:val="28"/>
          <w:sz w:val="28"/>
          <w:szCs w:val="28"/>
          <w:rtl w:val="true"/>
          <w:lang w:bidi="fa-IR"/>
        </w:rPr>
        <w:t>، چنين استفاده مى‌شود كه مردم كوفه اين پرنده را در خانه‌هاى خود پرورش مى‌داده و از آن نگهدارى و از تخم و گوشت آن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لغت‌هايى كه عرب براى اين پرنده به‌كار مى‌برده‌اند،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لغتى عجمى و به احتمال زياد فارسى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w:t>
      </w:r>
      <w:r>
        <w:rPr>
          <w:rFonts w:eastAsia="Amiri" w:cs="Amiri" w:ascii="Amiri" w:hAnsi="Amiri"/>
          <w:color w:val="111111"/>
          <w:sz w:val="28"/>
          <w:szCs w:val="28"/>
          <w:rtl w:val="true"/>
          <w:lang w:bidi="ar-SA"/>
        </w:rPr>
        <w:t xml:space="preserve">. </w:t>
      </w:r>
      <w:r>
        <w:rPr>
          <w:rStyle w:val="FootnoteAnchor"/>
          <w:rtl w:val="true"/>
        </w:rPr>
        <w:footnoteReference w:id="159"/>
      </w:r>
    </w:p>
    <w:p>
      <w:pPr>
        <w:pStyle w:val="Heading6"/>
        <w:numPr>
          <w:ilvl w:val="5"/>
          <w:numId w:val="1"/>
        </w:numPr>
        <w:rPr/>
      </w:pPr>
      <w:bookmarkStart w:id="209" w:name="__RefHeading___Toc3584587_3650668749"/>
      <w:bookmarkStart w:id="210" w:name="_Toc90"/>
      <w:bookmarkEnd w:id="209"/>
      <w:r>
        <w:rPr>
          <w:rtl w:val="true"/>
        </w:rPr>
        <w:t xml:space="preserve">دهم </w:t>
      </w:r>
      <w:r>
        <w:rPr>
          <w:rtl w:val="true"/>
        </w:rPr>
        <w:t xml:space="preserve">- </w:t>
      </w:r>
      <w:r>
        <w:rPr>
          <w:rtl w:val="true"/>
        </w:rPr>
        <w:t>گربه</w:t>
      </w:r>
      <w:bookmarkEnd w:id="21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عربى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روايات تاريخى سخن از فروش گربه در كوفه و نيز وجود بازارى در آن شهر با نام بازار گربه‌ها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bookmarkStart w:id="211" w:name="pg1964_19489"/>
    </w:p>
    <w:p>
      <w:pPr>
        <w:pStyle w:val="BookText"/>
        <w:rPr/>
      </w:pPr>
      <w:bookmarkEnd w:id="211"/>
      <w:r>
        <w:rPr>
          <w:rFonts w:ascii="Amiri" w:hAnsi="Amiri" w:eastAsia="Amiri" w:cs="Amiri"/>
          <w:color w:val="111111"/>
          <w:sz w:val="28"/>
          <w:sz w:val="28"/>
          <w:szCs w:val="28"/>
          <w:rtl w:val="true"/>
          <w:lang w:bidi="ar-SA"/>
        </w:rPr>
        <w:t>السنانير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شريح قاضى به ميان آمده است</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شايد به منظور ريشه‌كن كردن نسل موش‌ها اقدام به نگهدارى و خريد و فروش اين حيوان خانگى مى‌كردند</w:t>
      </w:r>
      <w:r>
        <w:rPr>
          <w:rFonts w:eastAsia="IRNazanin" w:cs="IRNazanin"/>
          <w:color w:val="111111"/>
          <w:sz w:val="28"/>
          <w:szCs w:val="28"/>
          <w:rtl w:val="true"/>
          <w:lang w:bidi="fa-IR"/>
        </w:rPr>
        <w:t>.</w:t>
      </w:r>
    </w:p>
    <w:p>
      <w:pPr>
        <w:pStyle w:val="Heading6"/>
        <w:numPr>
          <w:ilvl w:val="5"/>
          <w:numId w:val="1"/>
        </w:numPr>
        <w:rPr/>
      </w:pPr>
      <w:bookmarkStart w:id="212" w:name="__RefHeading___Toc3584589_3650668749"/>
      <w:bookmarkStart w:id="213" w:name="_Toc91"/>
      <w:bookmarkEnd w:id="212"/>
      <w:r>
        <w:rPr>
          <w:rtl w:val="true"/>
        </w:rPr>
        <w:t xml:space="preserve">يازدهم </w:t>
      </w:r>
      <w:r>
        <w:rPr>
          <w:rtl w:val="true"/>
        </w:rPr>
        <w:t xml:space="preserve">- </w:t>
      </w:r>
      <w:r>
        <w:rPr>
          <w:rtl w:val="true"/>
        </w:rPr>
        <w:t>سگ</w:t>
      </w:r>
      <w:bookmarkEnd w:id="213"/>
    </w:p>
    <w:p>
      <w:pPr>
        <w:pStyle w:val="BookText"/>
        <w:rPr/>
      </w:pPr>
      <w:r>
        <w:rPr>
          <w:rFonts w:ascii="IRNazanin" w:hAnsi="IRNazanin" w:eastAsia="IRNazanin"/>
          <w:color w:val="111111"/>
          <w:sz w:val="28"/>
          <w:sz w:val="28"/>
          <w:szCs w:val="28"/>
          <w:rtl w:val="true"/>
          <w:lang w:bidi="fa-IR"/>
        </w:rPr>
        <w:t>سگ اگرچه از نظر مسلمانان نجس است، اما در مواردى، همچون نگهبانى منزل، باغ و گوسفندان و نيز صيد حيوانات از آن استفاده مى‌كردند</w:t>
      </w:r>
      <w:r>
        <w:rPr>
          <w:rFonts w:eastAsia="IRNazanin" w:cs="IRNazanin"/>
          <w:color w:val="111111"/>
          <w:sz w:val="28"/>
          <w:szCs w:val="28"/>
          <w:rtl w:val="true"/>
          <w:lang w:bidi="fa-IR"/>
        </w:rPr>
        <w:t>.</w:t>
      </w:r>
    </w:p>
    <w:p>
      <w:pPr>
        <w:pStyle w:val="Heading6"/>
        <w:numPr>
          <w:ilvl w:val="5"/>
          <w:numId w:val="1"/>
        </w:numPr>
        <w:rPr/>
      </w:pPr>
      <w:bookmarkStart w:id="214" w:name="__RefHeading___Toc3584591_3650668749"/>
      <w:bookmarkStart w:id="215" w:name="_Toc92"/>
      <w:bookmarkEnd w:id="214"/>
      <w:r>
        <w:rPr>
          <w:rtl w:val="true"/>
        </w:rPr>
        <w:t xml:space="preserve">دوازدهم </w:t>
      </w:r>
      <w:r>
        <w:rPr>
          <w:rtl w:val="true"/>
        </w:rPr>
        <w:t xml:space="preserve">- </w:t>
      </w:r>
      <w:r>
        <w:rPr>
          <w:rtl w:val="true"/>
        </w:rPr>
        <w:t>خوك</w:t>
      </w:r>
      <w:bookmarkEnd w:id="215"/>
    </w:p>
    <w:p>
      <w:pPr>
        <w:pStyle w:val="BookText"/>
        <w:rPr/>
      </w:pPr>
      <w:r>
        <w:rPr>
          <w:rFonts w:ascii="IRNazanin" w:hAnsi="IRNazanin" w:eastAsia="IRNazanin"/>
          <w:color w:val="111111"/>
          <w:sz w:val="28"/>
          <w:sz w:val="28"/>
          <w:szCs w:val="28"/>
          <w:rtl w:val="true"/>
          <w:lang w:bidi="fa-IR"/>
        </w:rPr>
        <w:t>اين دو حيوان و به خصوص خوك نزد مسيحيان ساكن كوفه اهميت فراوان داشته است، زيرا از گوشت و شير خوك بهره فراوانى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مربوط به واقعه عاشورا، از آب‌تنى اين دو حيوان در نهر فرات سخن به ميان آمده است</w:t>
      </w:r>
      <w:r>
        <w:rPr>
          <w:rFonts w:eastAsia="IRNazanin" w:cs="IRNazanin"/>
          <w:color w:val="111111"/>
          <w:sz w:val="28"/>
          <w:szCs w:val="28"/>
          <w:rtl w:val="true"/>
          <w:lang w:bidi="fa-IR"/>
        </w:rPr>
        <w:t xml:space="preserve">.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حالى‌كه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يارانش تشنه بودند</w:t>
      </w:r>
      <w:r>
        <w:rPr>
          <w:rFonts w:eastAsia="Amiri" w:cs="Amiri" w:ascii="Amiri" w:hAnsi="Amiri"/>
          <w:color w:val="111111"/>
          <w:sz w:val="28"/>
          <w:szCs w:val="28"/>
          <w:rtl w:val="true"/>
          <w:lang w:bidi="ar-SA"/>
        </w:rPr>
        <w:t>) .</w:t>
      </w:r>
    </w:p>
    <w:p>
      <w:pPr>
        <w:pStyle w:val="Heading5"/>
        <w:numPr>
          <w:ilvl w:val="4"/>
          <w:numId w:val="1"/>
        </w:numPr>
        <w:rPr/>
      </w:pPr>
      <w:bookmarkStart w:id="216" w:name="__RefHeading___Toc3584593_3650668749"/>
      <w:bookmarkStart w:id="217" w:name="_Toc93"/>
      <w:bookmarkEnd w:id="216"/>
      <w:r>
        <w:rPr>
          <w:rtl w:val="true"/>
        </w:rPr>
        <w:t xml:space="preserve">دو </w:t>
      </w:r>
      <w:r>
        <w:rPr>
          <w:rtl w:val="true"/>
        </w:rPr>
        <w:t xml:space="preserve">- </w:t>
      </w:r>
      <w:r>
        <w:rPr>
          <w:rtl w:val="true"/>
        </w:rPr>
        <w:t>حيوانات غيراهلى</w:t>
      </w:r>
      <w:bookmarkEnd w:id="217"/>
    </w:p>
    <w:p>
      <w:pPr>
        <w:pStyle w:val="Heading6"/>
        <w:numPr>
          <w:ilvl w:val="5"/>
          <w:numId w:val="1"/>
        </w:numPr>
        <w:rPr/>
      </w:pPr>
      <w:bookmarkStart w:id="218" w:name="__RefHeading___Toc3584595_3650668749"/>
      <w:bookmarkStart w:id="219" w:name="_Toc94"/>
      <w:bookmarkEnd w:id="218"/>
      <w:r>
        <w:rPr>
          <w:rtl w:val="true"/>
        </w:rPr>
        <w:t xml:space="preserve">اول </w:t>
      </w:r>
      <w:r>
        <w:rPr>
          <w:rtl w:val="true"/>
        </w:rPr>
        <w:t xml:space="preserve">- </w:t>
      </w:r>
      <w:r>
        <w:rPr>
          <w:rtl w:val="true"/>
        </w:rPr>
        <w:t>موش</w:t>
      </w:r>
      <w:bookmarkEnd w:id="219"/>
    </w:p>
    <w:p>
      <w:pPr>
        <w:pStyle w:val="BookText"/>
        <w:rPr/>
      </w:pPr>
      <w:r>
        <w:rPr>
          <w:rFonts w:ascii="IRNazanin" w:hAnsi="IRNazanin" w:eastAsia="IRNazanin"/>
          <w:color w:val="111111"/>
          <w:sz w:val="28"/>
          <w:sz w:val="28"/>
          <w:szCs w:val="28"/>
          <w:rtl w:val="true"/>
          <w:lang w:bidi="fa-IR"/>
        </w:rPr>
        <w:t xml:space="preserve">در عربى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الايام انسان اين حيوان كوچك را دشمن خود به شمار آورده؛ زيرا خسارات فراوانى به غلات و مواد غذايى انسان وارد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حيوان كوچك در كوفه را مى‌توان از روايات ثابت نمود</w:t>
      </w:r>
      <w:r>
        <w:rPr>
          <w:rFonts w:eastAsia="IRNazanin" w:cs="IRNazanin"/>
          <w:color w:val="111111"/>
          <w:sz w:val="28"/>
          <w:szCs w:val="28"/>
          <w:rtl w:val="true"/>
          <w:lang w:bidi="fa-IR"/>
        </w:rPr>
        <w:t xml:space="preserve">. </w:t>
      </w:r>
      <w:r>
        <w:rPr>
          <w:rStyle w:val="FootnoteAnchor"/>
          <w:rtl w:val="true"/>
        </w:rPr>
        <w:footnoteReference w:id="162"/>
      </w:r>
    </w:p>
    <w:p>
      <w:pPr>
        <w:pStyle w:val="Heading6"/>
        <w:numPr>
          <w:ilvl w:val="5"/>
          <w:numId w:val="1"/>
        </w:numPr>
        <w:rPr/>
      </w:pPr>
      <w:bookmarkStart w:id="220" w:name="__RefHeading___Toc3584597_3650668749"/>
      <w:bookmarkStart w:id="221" w:name="_Toc95"/>
      <w:bookmarkEnd w:id="220"/>
      <w:r>
        <w:rPr>
          <w:rtl w:val="true"/>
        </w:rPr>
        <w:t xml:space="preserve">دوم </w:t>
      </w:r>
      <w:r>
        <w:rPr>
          <w:rtl w:val="true"/>
        </w:rPr>
        <w:t xml:space="preserve">- </w:t>
      </w:r>
      <w:r>
        <w:rPr>
          <w:rtl w:val="true"/>
        </w:rPr>
        <w:t xml:space="preserve">كلاغ </w:t>
      </w:r>
      <w:r>
        <w:rPr>
          <w:rtl w:val="true"/>
        </w:rPr>
        <w:t>(</w:t>
      </w:r>
      <w:r>
        <w:rPr>
          <w:rtl w:val="true"/>
        </w:rPr>
        <w:t>غُراب</w:t>
      </w:r>
      <w:r>
        <w:rPr>
          <w:rtl w:val="true"/>
        </w:rPr>
        <w:t>)</w:t>
      </w:r>
      <w:bookmarkEnd w:id="22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گزارش‌ها از اين پرنده در زمان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Style w:val="FootnoteAnchor"/>
          <w:rtl w:val="true"/>
        </w:rPr>
        <w:footnoteReference w:id="163"/>
      </w:r>
      <w:bookmarkStart w:id="222" w:name="pg1964_19490"/>
    </w:p>
    <w:p>
      <w:pPr>
        <w:pStyle w:val="Heading6"/>
        <w:numPr>
          <w:ilvl w:val="5"/>
          <w:numId w:val="1"/>
        </w:numPr>
        <w:rPr/>
      </w:pPr>
      <w:bookmarkStart w:id="223" w:name="__RefHeading___Toc3584599_3650668749"/>
      <w:bookmarkStart w:id="224" w:name="_Toc96"/>
      <w:bookmarkEnd w:id="222"/>
      <w:bookmarkEnd w:id="223"/>
      <w:r>
        <w:rPr>
          <w:rtl w:val="true"/>
        </w:rPr>
        <w:t xml:space="preserve">سوم </w:t>
      </w:r>
      <w:r>
        <w:rPr>
          <w:rtl w:val="true"/>
        </w:rPr>
        <w:t xml:space="preserve">- </w:t>
      </w:r>
      <w:r>
        <w:rPr>
          <w:rtl w:val="true"/>
        </w:rPr>
        <w:t xml:space="preserve">روباه </w:t>
      </w:r>
      <w:r>
        <w:rPr>
          <w:rtl w:val="true"/>
        </w:rPr>
        <w:t xml:space="preserve">( </w:t>
      </w:r>
      <w:r>
        <w:rPr>
          <w:rtl w:val="true"/>
        </w:rPr>
        <w:t>ثعلب</w:t>
      </w:r>
      <w:r>
        <w:rPr>
          <w:rtl w:val="true"/>
        </w:rPr>
        <w:t>)</w:t>
      </w:r>
      <w:bookmarkEnd w:id="224"/>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 xml:space="preserve">) </w:t>
      </w:r>
      <w:r>
        <w:rPr>
          <w:rStyle w:val="FootnoteAnchor"/>
          <w:rtl w:val="true"/>
        </w:rPr>
        <w:footnoteReference w:id="164"/>
      </w:r>
    </w:p>
    <w:p>
      <w:pPr>
        <w:pStyle w:val="Heading6"/>
        <w:numPr>
          <w:ilvl w:val="5"/>
          <w:numId w:val="1"/>
        </w:numPr>
        <w:rPr/>
      </w:pPr>
      <w:bookmarkStart w:id="225" w:name="__RefHeading___Toc3584601_3650668749"/>
      <w:bookmarkStart w:id="226" w:name="_Toc97"/>
      <w:bookmarkEnd w:id="225"/>
      <w:r>
        <w:rPr>
          <w:rtl w:val="true"/>
        </w:rPr>
        <w:t xml:space="preserve">چهارم </w:t>
      </w:r>
      <w:r>
        <w:rPr>
          <w:rtl w:val="true"/>
        </w:rPr>
        <w:t xml:space="preserve">- </w:t>
      </w:r>
      <w:r>
        <w:rPr>
          <w:rtl w:val="true"/>
        </w:rPr>
        <w:t xml:space="preserve">شترمرغ </w:t>
      </w:r>
      <w:r>
        <w:rPr>
          <w:rtl w:val="true"/>
        </w:rPr>
        <w:t>(</w:t>
      </w:r>
      <w:r>
        <w:rPr>
          <w:rtl w:val="true"/>
        </w:rPr>
        <w:t xml:space="preserve">ظَليم </w:t>
      </w:r>
      <w:r>
        <w:rPr>
          <w:rtl w:val="true"/>
        </w:rPr>
        <w:t>\</w:t>
      </w:r>
      <w:r>
        <w:rPr>
          <w:rtl w:val="true"/>
        </w:rPr>
        <w:t>شترمرغ نر</w:t>
      </w:r>
      <w:r>
        <w:rPr>
          <w:rtl w:val="true"/>
        </w:rPr>
        <w:t>)</w:t>
      </w:r>
      <w:bookmarkEnd w:id="226"/>
    </w:p>
    <w:p>
      <w:pPr>
        <w:pStyle w:val="Heading6"/>
        <w:numPr>
          <w:ilvl w:val="5"/>
          <w:numId w:val="1"/>
        </w:numPr>
        <w:rPr/>
      </w:pPr>
      <w:bookmarkStart w:id="227" w:name="__RefHeading___Toc3584603_3650668749"/>
      <w:bookmarkStart w:id="228" w:name="_Toc98"/>
      <w:bookmarkEnd w:id="227"/>
      <w:r>
        <w:rPr>
          <w:rtl w:val="true"/>
        </w:rPr>
        <w:t xml:space="preserve">پنجم </w:t>
      </w:r>
      <w:r>
        <w:rPr>
          <w:rtl w:val="true"/>
        </w:rPr>
        <w:t xml:space="preserve">- </w:t>
      </w:r>
      <w:r>
        <w:rPr>
          <w:rtl w:val="true"/>
        </w:rPr>
        <w:t xml:space="preserve">آهو </w:t>
      </w:r>
      <w:r>
        <w:rPr>
          <w:rtl w:val="true"/>
        </w:rPr>
        <w:t>(</w:t>
      </w:r>
      <w:r>
        <w:rPr>
          <w:rtl w:val="true"/>
        </w:rPr>
        <w:t>ظبي</w:t>
      </w:r>
      <w:r>
        <w:rPr>
          <w:rtl w:val="true"/>
        </w:rPr>
        <w:t>)</w:t>
      </w:r>
      <w:bookmarkEnd w:id="228"/>
    </w:p>
    <w:p>
      <w:pPr>
        <w:pStyle w:val="Heading6"/>
        <w:numPr>
          <w:ilvl w:val="5"/>
          <w:numId w:val="1"/>
        </w:numPr>
        <w:rPr/>
      </w:pPr>
      <w:bookmarkStart w:id="229" w:name="__RefHeading___Toc3584605_3650668749"/>
      <w:bookmarkStart w:id="230" w:name="_Toc99"/>
      <w:bookmarkEnd w:id="229"/>
      <w:r>
        <w:rPr>
          <w:rtl w:val="true"/>
        </w:rPr>
        <w:t xml:space="preserve">ششم </w:t>
      </w:r>
      <w:r>
        <w:rPr>
          <w:rtl w:val="true"/>
        </w:rPr>
        <w:t xml:space="preserve">- </w:t>
      </w:r>
      <w:r>
        <w:rPr>
          <w:rtl w:val="true"/>
        </w:rPr>
        <w:t xml:space="preserve">سوسمار </w:t>
      </w:r>
      <w:r>
        <w:rPr>
          <w:rtl w:val="true"/>
        </w:rPr>
        <w:t>(</w:t>
      </w:r>
      <w:r>
        <w:rPr>
          <w:rtl w:val="true"/>
        </w:rPr>
        <w:t>ضبّ</w:t>
      </w:r>
      <w:r>
        <w:rPr>
          <w:rtl w:val="true"/>
        </w:rPr>
        <w:t>)</w:t>
      </w:r>
      <w:bookmarkEnd w:id="230"/>
    </w:p>
    <w:p>
      <w:pPr>
        <w:pStyle w:val="BookText"/>
        <w:rPr/>
      </w:pPr>
      <w:r>
        <w:rPr>
          <w:rFonts w:ascii="IRNazanin" w:hAnsi="IRNazanin" w:eastAsia="IRNazanin"/>
          <w:color w:val="111111"/>
          <w:sz w:val="28"/>
          <w:sz w:val="28"/>
          <w:szCs w:val="28"/>
          <w:rtl w:val="true"/>
          <w:lang w:bidi="fa-IR"/>
        </w:rPr>
        <w:t>از اين سه حيوان، در منطقه كوفه در زمان پادشاهى نُعمان بن منذر، يعنى سال‌ها پيش از تأسيس كوفه ياد شده است</w:t>
      </w:r>
      <w:r>
        <w:rPr>
          <w:rFonts w:eastAsia="IRNazanin" w:cs="IRNazanin"/>
          <w:color w:val="111111"/>
          <w:sz w:val="28"/>
          <w:szCs w:val="28"/>
          <w:rtl w:val="true"/>
          <w:lang w:bidi="fa-IR"/>
        </w:rPr>
        <w:t xml:space="preserve">. </w:t>
      </w:r>
      <w:r>
        <w:rPr>
          <w:rStyle w:val="FootnoteAnchor"/>
          <w:rtl w:val="true"/>
        </w:rPr>
        <w:footnoteReference w:id="165"/>
      </w:r>
      <w:r>
        <w:rPr>
          <w:rFonts w:ascii="Amiri" w:hAnsi="Amiri" w:eastAsia="Amiri" w:cs="Amiri"/>
          <w:color w:val="111111"/>
          <w:sz w:val="28"/>
          <w:sz w:val="28"/>
          <w:szCs w:val="28"/>
          <w:rtl w:val="true"/>
          <w:lang w:bidi="ar-SA"/>
        </w:rPr>
        <w:t>به نظر مى‌رسد، در صورت صحت اين خبر، در زمان مورد بحث ما نيز اين سه حيوان در مناطق اطراف كوفه يافت مى‌شدند</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3584607_3650668749"/>
      <w:bookmarkStart w:id="232" w:name="_Toc100"/>
      <w:bookmarkEnd w:id="231"/>
      <w:r>
        <w:rPr>
          <w:rtl w:val="true"/>
        </w:rPr>
        <w:t>ب</w:t>
      </w:r>
      <w:r>
        <w:rPr>
          <w:rtl w:val="true"/>
        </w:rPr>
        <w:t xml:space="preserve">) </w:t>
      </w:r>
      <w:r>
        <w:rPr>
          <w:rtl w:val="true"/>
        </w:rPr>
        <w:t>حيوانات آبى</w:t>
      </w:r>
      <w:bookmarkEnd w:id="232"/>
    </w:p>
    <w:p>
      <w:pPr>
        <w:pStyle w:val="Heading5"/>
        <w:numPr>
          <w:ilvl w:val="4"/>
          <w:numId w:val="1"/>
        </w:numPr>
        <w:rPr/>
      </w:pPr>
      <w:bookmarkStart w:id="233" w:name="__RefHeading___Toc3584609_3650668749"/>
      <w:bookmarkStart w:id="234" w:name="_Toc101"/>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 xml:space="preserve">اين حيوانات انواع مختلف ماهى را شامل مى‌شد كه زيستگاه آنان رودخانه فرات بود و از آنجا صيد شده و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حيتان؛ بازار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مى‌شد</w:t>
      </w:r>
      <w:r>
        <w:rPr>
          <w:rFonts w:eastAsia="IRNazanin" w:cs="IRNazanin"/>
          <w:color w:val="111111"/>
          <w:sz w:val="28"/>
          <w:szCs w:val="28"/>
          <w:rtl w:val="true"/>
          <w:lang w:bidi="fa-IR"/>
        </w:rPr>
        <w:t xml:space="preserve">. </w:t>
      </w:r>
      <w:r>
        <w:rPr>
          <w:rStyle w:val="FootnoteAnchor"/>
          <w:rtl w:val="true"/>
        </w:rPr>
        <w:footnoteReference w:id="166"/>
      </w:r>
      <w:r>
        <w:rPr>
          <w:rFonts w:ascii="Amiri" w:hAnsi="Amiri" w:eastAsia="Amiri" w:cs="Amiri"/>
          <w:color w:val="111111"/>
          <w:sz w:val="28"/>
          <w:sz w:val="28"/>
          <w:szCs w:val="28"/>
          <w:rtl w:val="true"/>
          <w:lang w:bidi="ar-SA"/>
        </w:rPr>
        <w:t>انواع مختلف ماهى كه در روايات و عبارات تاريخى از آن نام برده شده عبارت است از</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3584611_3650668749"/>
      <w:bookmarkStart w:id="236" w:name="_Toc102"/>
      <w:bookmarkEnd w:id="235"/>
      <w:r>
        <w:rPr>
          <w:rtl w:val="true"/>
        </w:rPr>
        <w:t xml:space="preserve">يك </w:t>
      </w:r>
      <w:r>
        <w:rPr>
          <w:rtl w:val="true"/>
        </w:rPr>
        <w:t xml:space="preserve">- </w:t>
      </w:r>
      <w:r>
        <w:rPr>
          <w:rtl w:val="true"/>
        </w:rPr>
        <w:t xml:space="preserve">ماهى بَنانى </w:t>
      </w:r>
      <w:r>
        <w:rPr>
          <w:rtl w:val="true"/>
        </w:rPr>
        <w:t>(</w:t>
      </w:r>
      <w:r>
        <w:rPr>
          <w:rtl w:val="true"/>
        </w:rPr>
        <w:t>سَمَك‌بَناني</w:t>
      </w:r>
      <w:r>
        <w:rPr>
          <w:rtl w:val="true"/>
        </w:rPr>
        <w:t>)</w:t>
      </w:r>
      <w:bookmarkEnd w:id="236"/>
    </w:p>
    <w:p>
      <w:pPr>
        <w:pStyle w:val="BookText"/>
        <w:rPr/>
      </w:pPr>
      <w:r>
        <w:rPr>
          <w:rFonts w:ascii="Amiri" w:hAnsi="Amiri" w:eastAsia="Amiri" w:cs="Amiri"/>
          <w:color w:val="111111"/>
          <w:sz w:val="28"/>
          <w:sz w:val="28"/>
          <w:szCs w:val="28"/>
          <w:rtl w:val="true"/>
          <w:lang w:bidi="ar-SA"/>
        </w:rPr>
        <w:t>اين نوع ماهى در روايات ما به عنوان يكى از امتيازات كوفه شمرده شده است</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البته به رغم تتبعى كه در منابع صورت گرفت، مشخصات آن به دست نيامد</w:t>
      </w:r>
      <w:r>
        <w:rPr>
          <w:rFonts w:eastAsia="IRNazanin" w:cs="IRNazanin"/>
          <w:color w:val="111111"/>
          <w:sz w:val="28"/>
          <w:szCs w:val="28"/>
          <w:rtl w:val="true"/>
          <w:lang w:bidi="fa-IR"/>
        </w:rPr>
        <w:t>.</w:t>
      </w:r>
    </w:p>
    <w:p>
      <w:pPr>
        <w:pStyle w:val="Heading5"/>
        <w:numPr>
          <w:ilvl w:val="4"/>
          <w:numId w:val="1"/>
        </w:numPr>
        <w:rPr/>
      </w:pPr>
      <w:bookmarkStart w:id="237" w:name="__RefHeading___Toc3584613_3650668749"/>
      <w:bookmarkStart w:id="238" w:name="_Toc103"/>
      <w:bookmarkEnd w:id="237"/>
      <w:r>
        <w:rPr>
          <w:rtl w:val="true"/>
        </w:rPr>
        <w:t xml:space="preserve">دو </w:t>
      </w:r>
      <w:r>
        <w:rPr>
          <w:rtl w:val="true"/>
        </w:rPr>
        <w:t xml:space="preserve">- </w:t>
      </w:r>
      <w:r>
        <w:rPr>
          <w:rtl w:val="true"/>
        </w:rPr>
        <w:t>مارماهى</w:t>
      </w:r>
      <w:bookmarkEnd w:id="23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نوع ماهى در روايات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 روايات به گونه‌اى است كه بين جِرّى و جِريت و بين مار ماهى تفاوت قائل شده و آنها را دو نوع ماهى به 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جِرّى نوعى خاص از مار ماهى بوده است</w:t>
      </w:r>
      <w:r>
        <w:rPr>
          <w:rFonts w:eastAsia="IRNazanin" w:cs="IRNazanin"/>
          <w:color w:val="111111"/>
          <w:sz w:val="28"/>
          <w:szCs w:val="28"/>
          <w:rtl w:val="true"/>
          <w:lang w:bidi="fa-IR"/>
        </w:rPr>
        <w:t>.</w:t>
      </w:r>
      <w:bookmarkStart w:id="239" w:name="pg1964_19491"/>
    </w:p>
    <w:p>
      <w:pPr>
        <w:pStyle w:val="BookText"/>
        <w:rPr/>
      </w:pPr>
      <w:bookmarkEnd w:id="239"/>
      <w:r>
        <w:rPr>
          <w:rFonts w:ascii="IRNazanin" w:hAnsi="IRNazanin" w:eastAsia="IRNazanin"/>
          <w:color w:val="111111"/>
          <w:sz w:val="28"/>
          <w:sz w:val="28"/>
          <w:szCs w:val="28"/>
          <w:rtl w:val="true"/>
          <w:lang w:bidi="fa-IR"/>
        </w:rPr>
        <w:t>به هر حال، اين ماهى از نظر شيعه از ماهى‌هاى حرام‌گوشت مى‌باشد؛ زيرا پوست آنها فلس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بازاريان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حيتان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خريد و فروش اين ماهى منع مى‌كرد</w:t>
      </w:r>
      <w:r>
        <w:rPr>
          <w:rFonts w:eastAsia="IRNazanin" w:cs="IRNazanin"/>
          <w:color w:val="111111"/>
          <w:sz w:val="28"/>
          <w:szCs w:val="28"/>
          <w:rtl w:val="true"/>
          <w:lang w:bidi="fa-IR"/>
        </w:rPr>
        <w:t xml:space="preserve">. </w:t>
      </w:r>
      <w:r>
        <w:rPr>
          <w:rStyle w:val="FootnoteAnchor"/>
          <w:rtl w:val="true"/>
        </w:rPr>
        <w:footnoteReference w:id="168"/>
      </w:r>
    </w:p>
    <w:p>
      <w:pPr>
        <w:pStyle w:val="Heading5"/>
        <w:numPr>
          <w:ilvl w:val="4"/>
          <w:numId w:val="1"/>
        </w:numPr>
        <w:rPr/>
      </w:pPr>
      <w:bookmarkStart w:id="240" w:name="__RefHeading___Toc3584615_3650668749"/>
      <w:bookmarkStart w:id="241" w:name="_Toc104"/>
      <w:bookmarkEnd w:id="240"/>
      <w:r>
        <w:rPr>
          <w:rtl w:val="true"/>
        </w:rPr>
        <w:t xml:space="preserve">سه </w:t>
      </w:r>
      <w:r>
        <w:rPr>
          <w:rtl w:val="true"/>
        </w:rPr>
        <w:t xml:space="preserve">- </w:t>
      </w:r>
      <w:r>
        <w:rPr>
          <w:rtl w:val="true"/>
        </w:rPr>
        <w:t>زِمّير</w:t>
      </w:r>
      <w:bookmarkEnd w:id="241"/>
    </w:p>
    <w:p>
      <w:pPr>
        <w:pStyle w:val="BookText"/>
        <w:rPr/>
      </w:pPr>
      <w:r>
        <w:rPr>
          <w:rFonts w:ascii="IRNazanin" w:hAnsi="IRNazanin" w:eastAsia="IRNazanin"/>
          <w:color w:val="111111"/>
          <w:sz w:val="28"/>
          <w:sz w:val="28"/>
          <w:szCs w:val="28"/>
          <w:rtl w:val="true"/>
          <w:lang w:bidi="fa-IR"/>
        </w:rPr>
        <w:t xml:space="preserve">در روايات گاهى از اين ماهى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 اما لغت زِمّار در كتاب‌هاى لغت به معناى ماهى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مصداق اين نوع ماهى همان خاردار استخوانى است كه در رودخانه‌ها و آب‌هاى شيرين زندگى مى‌كند و طولى بين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سانتيمتر و وزنى بين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باله پشتى اين حيوان، تيغه‌هاى استخوانى نوك تيز خار مانند دارد و به همين سبب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 خاردار استخوانى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سبز مايل به زرد يا قهوه‌اى قرمز رنگ با خطوط پهن تيره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فصل‌هاى مختلف تغيير رنگ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اين ماهى در رودخانه‌هاى نيم‌كره شمالى زندگى مى‌كند و گوشتش خوشمزه است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با توجه به ممنوعيت خوردن آن، كه در روايات ما از زبان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معلوم مى‌شود كه پوست اين ماهى فلس نداشته است، گرچه تا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در زمان آن حضرت خريد و فروش آن در كوفه رايج بود</w:t>
      </w:r>
      <w:r>
        <w:rPr>
          <w:rFonts w:eastAsia="IRNazanin" w:cs="IRNazanin"/>
          <w:color w:val="111111"/>
          <w:sz w:val="28"/>
          <w:szCs w:val="28"/>
          <w:rtl w:val="true"/>
          <w:lang w:bidi="fa-IR"/>
        </w:rPr>
        <w:t xml:space="preserve">. </w:t>
      </w:r>
      <w:r>
        <w:rPr>
          <w:rStyle w:val="FootnoteAnchor"/>
          <w:rtl w:val="true"/>
        </w:rPr>
        <w:footnoteReference w:id="170"/>
      </w:r>
    </w:p>
    <w:p>
      <w:pPr>
        <w:pStyle w:val="Heading3"/>
        <w:numPr>
          <w:ilvl w:val="2"/>
          <w:numId w:val="1"/>
        </w:numPr>
        <w:rPr/>
      </w:pPr>
      <w:bookmarkStart w:id="242" w:name="__RefHeading___Toc3584617_3650668749"/>
      <w:bookmarkStart w:id="243" w:name="_Toc105"/>
      <w:bookmarkEnd w:id="242"/>
      <w:r>
        <w:rPr/>
        <w:t>۵</w:t>
      </w:r>
      <w:r>
        <w:rPr>
          <w:rtl w:val="true"/>
        </w:rPr>
        <w:t xml:space="preserve">. </w:t>
      </w:r>
      <w:r>
        <w:rPr>
          <w:rtl w:val="true"/>
        </w:rPr>
        <w:t>نهرها‌ى كوفه</w:t>
      </w:r>
      <w:bookmarkEnd w:id="243"/>
    </w:p>
    <w:p>
      <w:pPr>
        <w:pStyle w:val="Heading4"/>
        <w:numPr>
          <w:ilvl w:val="3"/>
          <w:numId w:val="1"/>
        </w:numPr>
        <w:rPr/>
      </w:pPr>
      <w:bookmarkStart w:id="244" w:name="__RefHeading___Toc3584619_3650668749"/>
      <w:bookmarkStart w:id="245" w:name="_Toc106"/>
      <w:bookmarkEnd w:id="244"/>
      <w:r>
        <w:rPr>
          <w:rtl w:val="true"/>
        </w:rPr>
        <w:t>اشاره</w:t>
      </w:r>
      <w:bookmarkEnd w:id="24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نهر اصلى كوفه نهر فرات است كه سرچشمه آن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ارمنستان تركيه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رود پس از گذر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قاليقَلا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روم آن زمان و تركيه امروزى و نيز عبور از نقاط مختلف، از سمت شرقى كوفه و در فاصله نيم فرسخى آن عبوركرده</w:t>
      </w:r>
    </w:p>
    <w:p>
      <w:pPr>
        <w:pStyle w:val="BookText"/>
        <w:rPr/>
      </w:pPr>
      <w:r>
        <w:rPr>
          <w:rFonts w:ascii="IRNazanin" w:hAnsi="IRNazanin" w:eastAsia="IRNazanin"/>
          <w:color w:val="111111"/>
          <w:sz w:val="28"/>
          <w:sz w:val="28"/>
          <w:szCs w:val="28"/>
          <w:rtl w:val="true"/>
          <w:lang w:bidi="fa-IR"/>
        </w:rPr>
        <w:t>و سپس نزديك خليج فارس به دجله مى‌پيوندد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مجموع اين دو رود، رود بزرگى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مى‌دهند كه به خليج فارس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رود فرات در مجموع حدود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 و بستر آن به خصوص در نقاط جلگه‌اى، عريض و پهن بوده است</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آب اين نهر، شيرين و گوارا بوده و علاوه بر كشاورزى براى آشاميدن نيز از آن بهره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در زمان مورد بحث ما، شبكه سَقّاها آب فرات را به وسيله مشك به كوفه حمل نموده و در آنجا به مردم مى‌فروختند</w:t>
      </w:r>
      <w:r>
        <w:rPr>
          <w:rFonts w:eastAsia="IRNazanin" w:cs="IRNazanin"/>
          <w:color w:val="111111"/>
          <w:sz w:val="28"/>
          <w:szCs w:val="28"/>
          <w:rtl w:val="true"/>
          <w:lang w:bidi="fa-IR"/>
        </w:rPr>
        <w:t xml:space="preserve">. </w:t>
      </w:r>
      <w:r>
        <w:rPr>
          <w:rStyle w:val="FootnoteAnchor"/>
          <w:rtl w:val="true"/>
        </w:rPr>
        <w:footnoteReference w:id="173"/>
      </w:r>
      <w:r>
        <w:rPr>
          <w:rFonts w:ascii="Amiri" w:hAnsi="Amiri" w:eastAsia="Amiri" w:cs="Amiri"/>
          <w:color w:val="111111"/>
          <w:sz w:val="28"/>
          <w:sz w:val="28"/>
          <w:szCs w:val="28"/>
          <w:rtl w:val="true"/>
          <w:lang w:bidi="ar-SA"/>
        </w:rPr>
        <w:t>اما اينكه آيا از اين رودخانه نهرهايى در شهر كوفه جارى بوده يا نه، محل اختلاف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بر اين عقيده‌اند كه به علت نزديكى شهر كوفه به فرات و امكان حمل‌ونقل آسان آب، مردم زحمت حفر نهر و كانال را به خود نداده و بنابراين در زمان مورد بحث، هيچ نهرى در داخل كوفه جريان نداشته است</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اين در حالى است كه احْنَف بن قيس يكى از بزرگان بصره كه در زمان بحث مى‌زيسته است، در مقام مدح و ذمّ بصره اشاره‌هايى به وجود نهرهاى جارى و آب‌هاى فراوان در كوفه دارد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همچنين در بعضى از آثار، به وجود آبراه‌هايى در ديرهاى اطراف كوفه اشاره شده است كه مردم از آن آبراه‌ها بوستان‌ها و باغستان‌هاى خود را آبيارى مى‌كردند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اما در مورد آبيارى باغستان‌ها و نخلستان‌هاى كوفه قبلاً يادآور شديم كه بيشتر اين باغستان‌ها در شرق كوفه و در كنار فرات واقع شده بود و جارى كردن جوى‌هاى كوچكى از فرات به اين باغستان‌ها بسيار آسان بوده‌است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حال، در لابه‌لاى كتاب‌هايى كه در مورد كوفه نوشته شده است، نهرهاى فراوانى براى كوفه ذكر شده كه بيشتر آنها با يكى از دو مشكل زير يا هردو مواجه‌اند</w:t>
      </w:r>
      <w:r>
        <w:rPr>
          <w:rFonts w:eastAsia="Amiri" w:cs="Amiri" w:ascii="Amiri" w:hAnsi="Amiri"/>
          <w:color w:val="111111"/>
          <w:sz w:val="28"/>
          <w:szCs w:val="28"/>
          <w:rtl w:val="true"/>
          <w:lang w:bidi="ar-SA"/>
        </w:rPr>
        <w:t>:</w:t>
      </w:r>
      <w:bookmarkStart w:id="246" w:name="pg1964_19493"/>
    </w:p>
    <w:p>
      <w:pPr>
        <w:pStyle w:val="BookText"/>
        <w:rPr/>
      </w:pPr>
      <w:bookmarkEnd w:id="246"/>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اين نهرها در محدوده جغرافيايى كوفه واقع نشده‌اند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احداث بعضى از اين نهرها مربوط به زمان مورد بحث ما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به برخى از نهرهايى كه به عنوان نهرهاى كوفه دانسته شده است، مى‌پردازيم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3584621_3650668749"/>
      <w:bookmarkStart w:id="248" w:name="_Toc107"/>
      <w:bookmarkEnd w:id="247"/>
      <w:r>
        <w:rPr>
          <w:rtl w:val="true"/>
        </w:rPr>
        <w:t>الف</w:t>
      </w:r>
      <w:r>
        <w:rPr>
          <w:rtl w:val="true"/>
        </w:rPr>
        <w:t xml:space="preserve">) </w:t>
      </w:r>
      <w:r>
        <w:rPr>
          <w:rtl w:val="true"/>
        </w:rPr>
        <w:t xml:space="preserve">نهر عَلْقَمَه </w:t>
      </w:r>
      <w:r>
        <w:rPr>
          <w:rtl w:val="true"/>
        </w:rPr>
        <w:t>(</w:t>
      </w:r>
      <w:r>
        <w:rPr>
          <w:rtl w:val="true"/>
        </w:rPr>
        <w:t>نهر عَلْقَمي</w:t>
      </w:r>
      <w:r>
        <w:rPr>
          <w:rtl w:val="true"/>
        </w:rPr>
        <w:t>)</w:t>
      </w:r>
      <w:bookmarkEnd w:id="248"/>
    </w:p>
    <w:p>
      <w:pPr>
        <w:pStyle w:val="BookText"/>
        <w:rPr/>
      </w:pPr>
      <w:r>
        <w:rPr>
          <w:rFonts w:ascii="IRNazanin" w:hAnsi="IRNazanin" w:eastAsia="IRNazanin"/>
          <w:color w:val="111111"/>
          <w:sz w:val="28"/>
          <w:sz w:val="28"/>
          <w:szCs w:val="28"/>
          <w:rtl w:val="true"/>
          <w:lang w:bidi="fa-IR"/>
        </w:rPr>
        <w:t xml:space="preserve">نهر فرات هنگام عبور از شهرهاى هيت و أنْبار در شمال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شاخه فرعى تقسيم مى‌شود </w:t>
      </w:r>
      <w:r>
        <w:rPr>
          <w:rStyle w:val="FootnoteAnchor"/>
          <w:rtl w:val="true"/>
        </w:rPr>
        <w:footnoteReference w:id="178"/>
      </w:r>
      <w:r>
        <w:rPr>
          <w:rFonts w:ascii="IRNazanin" w:hAnsi="IRNazanin" w:eastAsia="IRNazanin"/>
          <w:color w:val="111111"/>
          <w:sz w:val="28"/>
          <w:sz w:val="28"/>
          <w:szCs w:val="28"/>
          <w:rtl w:val="true"/>
          <w:lang w:bidi="fa-IR"/>
        </w:rPr>
        <w:t>كه شاخه‌اى از آن، از كنار كوفه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شاخه، نهر عَلْقَمى مى‌گويند</w:t>
      </w:r>
      <w:r>
        <w:rPr>
          <w:rFonts w:eastAsia="IRNazanin" w:cs="IRNazanin"/>
          <w:color w:val="111111"/>
          <w:sz w:val="28"/>
          <w:szCs w:val="28"/>
          <w:rtl w:val="true"/>
          <w:lang w:bidi="fa-IR"/>
        </w:rPr>
        <w:t xml:space="preserve">. </w:t>
      </w:r>
      <w:r>
        <w:rPr>
          <w:rStyle w:val="FootnoteAnchor"/>
          <w:rtl w:val="true"/>
        </w:rPr>
        <w:footnoteReference w:id="179"/>
      </w:r>
      <w:r>
        <w:rPr>
          <w:rFonts w:ascii="Amiri" w:hAnsi="Amiri" w:eastAsia="Amiri" w:cs="Amiri"/>
          <w:color w:val="111111"/>
          <w:sz w:val="28"/>
          <w:sz w:val="28"/>
          <w:szCs w:val="28"/>
          <w:rtl w:val="true"/>
          <w:lang w:bidi="ar-SA"/>
        </w:rPr>
        <w:t>بنابراين، نهر علقمه همان فرات كوفه است كه از فرات اصلى منشعب شده است و نهرى منشعب از فرات كوفه نيست</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به نظر مى‌رسد نهر علقمه‌اى كه در حوادث كربلا از آن ياد شده، نيز همين نهر فرات منشعب از فرات اصلى است كه از كنار سرزمين كربلا عبور مى‌كرده است نه اينكه كانالى منشعب از آن بوده است</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3584623_3650668749"/>
      <w:bookmarkStart w:id="250" w:name="_Toc108"/>
      <w:bookmarkEnd w:id="249"/>
      <w:r>
        <w:rPr>
          <w:rtl w:val="true"/>
        </w:rPr>
        <w:t>ب</w:t>
      </w:r>
      <w:r>
        <w:rPr>
          <w:rtl w:val="true"/>
        </w:rPr>
        <w:t xml:space="preserve">) </w:t>
      </w:r>
      <w:r>
        <w:rPr>
          <w:rtl w:val="true"/>
        </w:rPr>
        <w:t>نهر سُورا</w:t>
      </w:r>
      <w:bookmarkEnd w:id="250"/>
    </w:p>
    <w:p>
      <w:pPr>
        <w:pStyle w:val="BookText"/>
        <w:rPr/>
      </w:pPr>
      <w:r>
        <w:rPr>
          <w:rFonts w:ascii="IRNazanin" w:hAnsi="IRNazanin" w:eastAsia="IRNazanin"/>
          <w:color w:val="111111"/>
          <w:sz w:val="28"/>
          <w:sz w:val="28"/>
          <w:szCs w:val="28"/>
          <w:rtl w:val="true"/>
          <w:lang w:bidi="fa-IR"/>
        </w:rPr>
        <w:t>شاخه ديگر فرات اصلى است كه از شهر سورا در شمال كوفه عبور كرده و به نهر سورا معروف بوده و بزرگ‌ترين نهر فرات به شمار مى‌آمده است</w:t>
      </w:r>
      <w:r>
        <w:rPr>
          <w:rFonts w:eastAsia="IRNazanin" w:cs="IRNazanin"/>
          <w:color w:val="111111"/>
          <w:sz w:val="28"/>
          <w:szCs w:val="28"/>
          <w:rtl w:val="true"/>
          <w:lang w:bidi="fa-IR"/>
        </w:rPr>
        <w:t xml:space="preserve">. </w:t>
      </w:r>
      <w:r>
        <w:rPr>
          <w:rStyle w:val="FootnoteAnchor"/>
          <w:rtl w:val="true"/>
        </w:rPr>
        <w:footnoteReference w:id="181"/>
      </w:r>
      <w:r>
        <w:rPr>
          <w:rFonts w:ascii="Amiri" w:hAnsi="Amiri" w:eastAsia="Amiri" w:cs="Amiri"/>
          <w:color w:val="111111"/>
          <w:sz w:val="28"/>
          <w:sz w:val="28"/>
          <w:szCs w:val="28"/>
          <w:rtl w:val="true"/>
          <w:lang w:bidi="ar-SA"/>
        </w:rPr>
        <w:t>بنابراين، اين نهر مربوط به كوفه نيست</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3584625_3650668749"/>
      <w:bookmarkStart w:id="252" w:name="_Toc109"/>
      <w:bookmarkEnd w:id="251"/>
      <w:r>
        <w:rPr>
          <w:rtl w:val="true"/>
        </w:rPr>
        <w:t>ج</w:t>
      </w:r>
      <w:r>
        <w:rPr>
          <w:rtl w:val="true"/>
        </w:rPr>
        <w:t xml:space="preserve">) </w:t>
      </w:r>
      <w:r>
        <w:rPr>
          <w:rtl w:val="true"/>
        </w:rPr>
        <w:t>نهر نيل</w:t>
      </w:r>
      <w:bookmarkEnd w:id="25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نهر،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از كوفه بوده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حجاج بن يوسف ثقفى حفر شده‌است</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اين نهر در شرق كوفه قرار داشته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نقشه شماره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53" w:name="pg1964_19494"/>
    </w:p>
    <w:p>
      <w:pPr>
        <w:pStyle w:val="Heading4"/>
        <w:numPr>
          <w:ilvl w:val="3"/>
          <w:numId w:val="1"/>
        </w:numPr>
        <w:rPr/>
      </w:pPr>
      <w:bookmarkStart w:id="254" w:name="__RefHeading___Toc3584627_3650668749"/>
      <w:bookmarkStart w:id="255" w:name="_Toc110"/>
      <w:bookmarkEnd w:id="253"/>
      <w:bookmarkEnd w:id="254"/>
      <w:r>
        <w:rPr>
          <w:rtl w:val="true"/>
        </w:rPr>
        <w:t>د</w:t>
      </w:r>
      <w:r>
        <w:rPr>
          <w:rtl w:val="true"/>
        </w:rPr>
        <w:t xml:space="preserve">) </w:t>
      </w:r>
      <w:r>
        <w:rPr>
          <w:rtl w:val="true"/>
        </w:rPr>
        <w:t>نهر تاجيه</w:t>
      </w:r>
      <w:bookmarkEnd w:id="255"/>
    </w:p>
    <w:p>
      <w:pPr>
        <w:pStyle w:val="BookText"/>
        <w:rPr/>
      </w:pPr>
      <w:r>
        <w:rPr>
          <w:rFonts w:ascii="Amiri" w:hAnsi="Amiri" w:eastAsia="Amiri" w:cs="Amiri"/>
          <w:color w:val="111111"/>
          <w:sz w:val="28"/>
          <w:sz w:val="28"/>
          <w:szCs w:val="28"/>
          <w:rtl w:val="true"/>
          <w:lang w:bidi="ar-SA"/>
        </w:rPr>
        <w:t xml:space="preserve">اين نهر نيز خارج از كوفه قرار داشته است </w:t>
      </w:r>
      <w:r>
        <w:rPr>
          <w:rStyle w:val="FootnoteAnchor"/>
          <w:rtl w:val="true"/>
        </w:rPr>
        <w:footnoteReference w:id="183"/>
      </w:r>
      <w:r>
        <w:rPr>
          <w:rFonts w:ascii="Amiri" w:hAnsi="Amiri" w:eastAsia="Amiri" w:cs="Amiri"/>
          <w:color w:val="111111"/>
          <w:sz w:val="28"/>
          <w:sz w:val="28"/>
          <w:szCs w:val="28"/>
          <w:rtl w:val="true"/>
          <w:lang w:bidi="ar-SA"/>
        </w:rPr>
        <w:t>، علاوه بر اينكه زمان احداث آن مشخص نيست</w:t>
      </w:r>
      <w:r>
        <w:rPr>
          <w:rFonts w:eastAsia="Amiri" w:cs="Amiri" w:ascii="Amiri" w:hAnsi="Amiri"/>
          <w:color w:val="111111"/>
          <w:sz w:val="28"/>
          <w:szCs w:val="28"/>
          <w:rtl w:val="true"/>
          <w:lang w:bidi="ar-SA"/>
        </w:rPr>
        <w:t xml:space="preserve">. </w:t>
      </w:r>
      <w:r>
        <w:rPr>
          <w:rStyle w:val="FootnoteAnchor"/>
          <w:rtl w:val="true"/>
        </w:rPr>
        <w:footnoteReference w:id="184"/>
      </w:r>
    </w:p>
    <w:p>
      <w:pPr>
        <w:pStyle w:val="Heading4"/>
        <w:numPr>
          <w:ilvl w:val="3"/>
          <w:numId w:val="1"/>
        </w:numPr>
        <w:rPr/>
      </w:pPr>
      <w:bookmarkStart w:id="256" w:name="__RefHeading___Toc3584629_3650668749"/>
      <w:bookmarkStart w:id="257" w:name="_Toc111"/>
      <w:bookmarkEnd w:id="256"/>
      <w:r>
        <w:rPr>
          <w:rtl w:val="true"/>
        </w:rPr>
        <w:t>ه</w:t>
      </w:r>
      <w:r>
        <w:rPr>
          <w:rtl w:val="true"/>
        </w:rPr>
        <w:t xml:space="preserve">) </w:t>
      </w:r>
      <w:r>
        <w:rPr>
          <w:rtl w:val="true"/>
        </w:rPr>
        <w:t>نهر سَدير</w:t>
      </w:r>
      <w:bookmarkEnd w:id="257"/>
    </w:p>
    <w:p>
      <w:pPr>
        <w:pStyle w:val="BookText"/>
        <w:rPr/>
      </w:pPr>
      <w:r>
        <w:rPr>
          <w:rFonts w:ascii="Amiri" w:hAnsi="Amiri" w:eastAsia="Amiri" w:cs="Amiri"/>
          <w:color w:val="111111"/>
          <w:sz w:val="28"/>
          <w:sz w:val="28"/>
          <w:szCs w:val="28"/>
          <w:rtl w:val="true"/>
          <w:lang w:bidi="ar-SA"/>
        </w:rPr>
        <w:t>اين نهر نيز خارج از كوفه و در كناره شهر حيره قرار داشته است</w:t>
      </w:r>
      <w:r>
        <w:rPr>
          <w:rFonts w:eastAsia="Amiri" w:cs="Amiri" w:ascii="Amiri" w:hAnsi="Amiri"/>
          <w:color w:val="111111"/>
          <w:sz w:val="28"/>
          <w:szCs w:val="28"/>
          <w:rtl w:val="true"/>
          <w:lang w:bidi="ar-SA"/>
        </w:rPr>
        <w:t xml:space="preserve">. </w:t>
      </w:r>
      <w:r>
        <w:rPr>
          <w:rStyle w:val="FootnoteAnchor"/>
          <w:rtl w:val="true"/>
        </w:rPr>
        <w:footnoteReference w:id="185"/>
      </w:r>
    </w:p>
    <w:p>
      <w:pPr>
        <w:pStyle w:val="Heading4"/>
        <w:numPr>
          <w:ilvl w:val="3"/>
          <w:numId w:val="1"/>
        </w:numPr>
        <w:rPr/>
      </w:pPr>
      <w:bookmarkStart w:id="258" w:name="__RefHeading___Toc3584631_3650668749"/>
      <w:bookmarkStart w:id="259" w:name="_Toc112"/>
      <w:bookmarkEnd w:id="258"/>
      <w:r>
        <w:rPr>
          <w:rtl w:val="true"/>
        </w:rPr>
        <w:t>و</w:t>
      </w:r>
      <w:r>
        <w:rPr>
          <w:rtl w:val="true"/>
        </w:rPr>
        <w:t xml:space="preserve">) </w:t>
      </w:r>
      <w:r>
        <w:rPr>
          <w:rtl w:val="true"/>
        </w:rPr>
        <w:t xml:space="preserve">نهر سَيلحين </w:t>
      </w:r>
      <w:r>
        <w:rPr>
          <w:rtl w:val="true"/>
        </w:rPr>
        <w:t>(</w:t>
      </w:r>
      <w:r>
        <w:rPr>
          <w:rtl w:val="true"/>
        </w:rPr>
        <w:t>سيلحون</w:t>
      </w:r>
      <w:r>
        <w:rPr>
          <w:rtl w:val="true"/>
        </w:rPr>
        <w:t>)</w:t>
      </w:r>
      <w:bookmarkEnd w:id="259"/>
    </w:p>
    <w:p>
      <w:pPr>
        <w:pStyle w:val="BookText"/>
        <w:rPr/>
      </w:pPr>
      <w:r>
        <w:rPr>
          <w:rFonts w:ascii="Amiri" w:hAnsi="Amiri" w:eastAsia="Amiri" w:cs="Amiri"/>
          <w:color w:val="111111"/>
          <w:sz w:val="28"/>
          <w:sz w:val="28"/>
          <w:szCs w:val="28"/>
          <w:rtl w:val="true"/>
          <w:lang w:bidi="ar-SA"/>
        </w:rPr>
        <w:t xml:space="preserve">منطقه سيليحين يا بين كوفه و قادسيه </w:t>
      </w:r>
      <w:r>
        <w:rPr>
          <w:rStyle w:val="FootnoteAnchor"/>
          <w:rtl w:val="true"/>
        </w:rPr>
        <w:footnoteReference w:id="186"/>
      </w:r>
      <w:r>
        <w:rPr>
          <w:rFonts w:ascii="Amiri" w:hAnsi="Amiri" w:eastAsia="Amiri" w:cs="Amiri"/>
          <w:color w:val="111111"/>
          <w:sz w:val="28"/>
          <w:sz w:val="28"/>
          <w:szCs w:val="28"/>
          <w:rtl w:val="true"/>
          <w:lang w:bidi="ar-SA"/>
        </w:rPr>
        <w:t>و يا نزديك حيره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بعضى از نقشه‌ها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نقشه شماره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نزديك انبار و در غرب نشان داده‌اند</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اما در هر دو حال، مربوط به كوفه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نهر در زمان مختار نام برده شده‌است</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260" w:name="__RefHeading___Toc3584633_3650668749"/>
      <w:bookmarkStart w:id="261" w:name="_Toc113"/>
      <w:bookmarkEnd w:id="260"/>
      <w:r>
        <w:rPr>
          <w:rtl w:val="true"/>
        </w:rPr>
        <w:t>ز</w:t>
      </w:r>
      <w:r>
        <w:rPr>
          <w:rtl w:val="true"/>
        </w:rPr>
        <w:t xml:space="preserve">) </w:t>
      </w:r>
      <w:r>
        <w:rPr>
          <w:rtl w:val="true"/>
        </w:rPr>
        <w:t>نهر صَراة</w:t>
      </w:r>
      <w:bookmarkEnd w:id="261"/>
    </w:p>
    <w:p>
      <w:pPr>
        <w:pStyle w:val="BookText"/>
        <w:rPr/>
      </w:pPr>
      <w:r>
        <w:rPr>
          <w:rFonts w:ascii="Amiri" w:hAnsi="Amiri" w:eastAsia="Amiri" w:cs="Amiri"/>
          <w:color w:val="111111"/>
          <w:sz w:val="28"/>
          <w:sz w:val="28"/>
          <w:szCs w:val="28"/>
          <w:rtl w:val="true"/>
          <w:lang w:bidi="ar-SA"/>
        </w:rPr>
        <w:t>اين نهر نزديك بغداد بوده است و حفر آن را به ساسانيان نسبت‌داده‌اند</w:t>
      </w:r>
      <w:r>
        <w:rPr>
          <w:rFonts w:eastAsia="Amiri" w:cs="Amiri" w:ascii="Amiri" w:hAnsi="Amiri"/>
          <w:color w:val="111111"/>
          <w:sz w:val="28"/>
          <w:szCs w:val="28"/>
          <w:rtl w:val="true"/>
          <w:lang w:bidi="ar-SA"/>
        </w:rPr>
        <w:t xml:space="preserve">. </w:t>
      </w:r>
      <w:r>
        <w:rPr>
          <w:rStyle w:val="FootnoteAnchor"/>
          <w:rtl w:val="true"/>
        </w:rPr>
        <w:footnoteReference w:id="189"/>
      </w:r>
    </w:p>
    <w:p>
      <w:pPr>
        <w:pStyle w:val="Heading4"/>
        <w:numPr>
          <w:ilvl w:val="3"/>
          <w:numId w:val="1"/>
        </w:numPr>
        <w:rPr/>
      </w:pPr>
      <w:bookmarkStart w:id="262" w:name="__RefHeading___Toc3584635_3650668749"/>
      <w:bookmarkStart w:id="263" w:name="_Toc114"/>
      <w:bookmarkEnd w:id="262"/>
      <w:r>
        <w:rPr>
          <w:rtl w:val="true"/>
        </w:rPr>
        <w:t>ح</w:t>
      </w:r>
      <w:r>
        <w:rPr>
          <w:rtl w:val="true"/>
        </w:rPr>
        <w:t xml:space="preserve">) </w:t>
      </w:r>
      <w:r>
        <w:rPr>
          <w:rtl w:val="true"/>
        </w:rPr>
        <w:t>نهر صَرصَر</w:t>
      </w:r>
      <w:bookmarkEnd w:id="263"/>
    </w:p>
    <w:p>
      <w:pPr>
        <w:pStyle w:val="BookText"/>
        <w:rPr/>
      </w:pPr>
      <w:r>
        <w:rPr>
          <w:rFonts w:ascii="Amiri" w:hAnsi="Amiri" w:eastAsia="Amiri" w:cs="Amiri"/>
          <w:color w:val="111111"/>
          <w:sz w:val="28"/>
          <w:sz w:val="28"/>
          <w:szCs w:val="28"/>
          <w:rtl w:val="true"/>
          <w:lang w:bidi="ar-SA"/>
        </w:rPr>
        <w:t>اين نهر نزديك بغداد جريان داشته است</w:t>
      </w:r>
      <w:r>
        <w:rPr>
          <w:rFonts w:eastAsia="Amiri" w:cs="Amiri" w:ascii="Amiri" w:hAnsi="Amiri"/>
          <w:color w:val="111111"/>
          <w:sz w:val="28"/>
          <w:szCs w:val="28"/>
          <w:rtl w:val="true"/>
          <w:lang w:bidi="ar-SA"/>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اين نهر را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w:t>
      </w:r>
      <w:r>
        <w:rPr>
          <w:rFonts w:eastAsia="IRNazanin" w:cs="IRNazanin"/>
          <w:color w:val="111111"/>
          <w:sz w:val="28"/>
          <w:szCs w:val="28"/>
          <w:rtl w:val="true"/>
          <w:lang w:bidi="fa-IR"/>
        </w:rPr>
        <w:t xml:space="preserve">. </w:t>
      </w:r>
      <w:r>
        <w:rPr>
          <w:rStyle w:val="FootnoteAnchor"/>
          <w:rtl w:val="true"/>
        </w:rPr>
        <w:footnoteReference w:id="191"/>
      </w:r>
    </w:p>
    <w:p>
      <w:pPr>
        <w:pStyle w:val="Heading4"/>
        <w:numPr>
          <w:ilvl w:val="3"/>
          <w:numId w:val="1"/>
        </w:numPr>
        <w:rPr/>
      </w:pPr>
      <w:bookmarkStart w:id="264" w:name="__RefHeading___Toc3584637_3650668749"/>
      <w:bookmarkStart w:id="265" w:name="_Toc115"/>
      <w:bookmarkEnd w:id="264"/>
      <w:r>
        <w:rPr>
          <w:rtl w:val="true"/>
        </w:rPr>
        <w:t>ط</w:t>
      </w:r>
      <w:r>
        <w:rPr>
          <w:rtl w:val="true"/>
        </w:rPr>
        <w:t xml:space="preserve">) </w:t>
      </w:r>
      <w:r>
        <w:rPr>
          <w:rtl w:val="true"/>
        </w:rPr>
        <w:t>نهر قَوْرا</w:t>
      </w:r>
      <w:bookmarkEnd w:id="26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نظر مى‌رسد كه همان نهر سُورا باشد</w:t>
      </w:r>
      <w:r>
        <w:rPr>
          <w:rFonts w:eastAsia="Amiri" w:cs="Amiri" w:ascii="Amiri" w:hAnsi="Amiri"/>
          <w:color w:val="111111"/>
          <w:sz w:val="28"/>
          <w:szCs w:val="28"/>
          <w:rtl w:val="true"/>
          <w:lang w:bidi="ar-SA"/>
        </w:rPr>
        <w:t xml:space="preserve">. </w:t>
      </w:r>
      <w:r>
        <w:rPr>
          <w:rStyle w:val="FootnoteAnchor"/>
          <w:rtl w:val="true"/>
        </w:rPr>
        <w:footnoteReference w:id="192"/>
      </w:r>
      <w:bookmarkStart w:id="266" w:name="pg1964_19495"/>
    </w:p>
    <w:p>
      <w:pPr>
        <w:pStyle w:val="Heading4"/>
        <w:numPr>
          <w:ilvl w:val="3"/>
          <w:numId w:val="1"/>
        </w:numPr>
        <w:rPr/>
      </w:pPr>
      <w:bookmarkStart w:id="267" w:name="__RefHeading___Toc3584639_3650668749"/>
      <w:bookmarkStart w:id="268" w:name="_Toc116"/>
      <w:bookmarkEnd w:id="266"/>
      <w:bookmarkEnd w:id="267"/>
      <w:r>
        <w:rPr>
          <w:rtl w:val="true"/>
        </w:rPr>
        <w:t>ي</w:t>
      </w:r>
      <w:r>
        <w:rPr>
          <w:rtl w:val="true"/>
        </w:rPr>
        <w:t xml:space="preserve">) </w:t>
      </w:r>
      <w:r>
        <w:rPr>
          <w:rtl w:val="true"/>
        </w:rPr>
        <w:t>نهر كوثي</w:t>
      </w:r>
      <w:bookmarkEnd w:id="268"/>
    </w:p>
    <w:p>
      <w:pPr>
        <w:pStyle w:val="BookText"/>
        <w:rPr/>
      </w:pPr>
      <w:r>
        <w:rPr>
          <w:rFonts w:ascii="Amiri" w:hAnsi="Amiri" w:eastAsia="Amiri" w:cs="Amiri"/>
          <w:color w:val="111111"/>
          <w:sz w:val="28"/>
          <w:sz w:val="28"/>
          <w:szCs w:val="28"/>
          <w:rtl w:val="true"/>
          <w:lang w:bidi="ar-SA"/>
        </w:rPr>
        <w:t xml:space="preserve">اين نهر نيز منطقه كوثى را كه در مغرب كوفه قرار داشته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نقشه شماره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سيراب مى‌كرده است</w:t>
      </w:r>
      <w:r>
        <w:rPr>
          <w:rFonts w:eastAsia="Amiri" w:cs="Amiri" w:ascii="Amiri" w:hAnsi="Amiri"/>
          <w:color w:val="111111"/>
          <w:sz w:val="28"/>
          <w:szCs w:val="28"/>
          <w:rtl w:val="true"/>
          <w:lang w:bidi="ar-SA"/>
        </w:rPr>
        <w:t xml:space="preserve">. </w:t>
      </w:r>
      <w:r>
        <w:rPr>
          <w:rStyle w:val="FootnoteAnchor"/>
          <w:rtl w:val="true"/>
        </w:rPr>
        <w:footnoteReference w:id="193"/>
      </w:r>
    </w:p>
    <w:p>
      <w:pPr>
        <w:pStyle w:val="Heading4"/>
        <w:numPr>
          <w:ilvl w:val="3"/>
          <w:numId w:val="1"/>
        </w:numPr>
        <w:rPr/>
      </w:pPr>
      <w:bookmarkStart w:id="269" w:name="__RefHeading___Toc3584641_3650668749"/>
      <w:bookmarkStart w:id="270" w:name="_Toc117"/>
      <w:bookmarkEnd w:id="269"/>
      <w:r>
        <w:rPr>
          <w:rtl w:val="true"/>
        </w:rPr>
        <w:t>ك</w:t>
      </w:r>
      <w:r>
        <w:rPr>
          <w:rtl w:val="true"/>
        </w:rPr>
        <w:t xml:space="preserve">) </w:t>
      </w:r>
      <w:r>
        <w:rPr>
          <w:rtl w:val="true"/>
        </w:rPr>
        <w:t>نهر خُرشيذ</w:t>
      </w:r>
      <w:bookmarkEnd w:id="270"/>
    </w:p>
    <w:p>
      <w:pPr>
        <w:pStyle w:val="BookText"/>
        <w:rPr/>
      </w:pPr>
      <w:r>
        <w:rPr>
          <w:rFonts w:ascii="IRNazanin" w:hAnsi="IRNazanin" w:eastAsia="IRNazanin"/>
          <w:color w:val="111111"/>
          <w:sz w:val="28"/>
          <w:sz w:val="28"/>
          <w:szCs w:val="28"/>
          <w:rtl w:val="true"/>
          <w:lang w:bidi="fa-IR"/>
        </w:rPr>
        <w:t>اين نهر از فرات منشعب شده و بين كوفه و بصره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زُبَير هنگام حمله به مختار، از اين نهر به وسيله قايق عبور كرد و وارد فرات شد و از آنجا به كوفه حمله نمود</w:t>
      </w:r>
      <w:r>
        <w:rPr>
          <w:rFonts w:eastAsia="IRNazanin" w:cs="IRNazanin"/>
          <w:color w:val="111111"/>
          <w:sz w:val="28"/>
          <w:szCs w:val="28"/>
          <w:rtl w:val="true"/>
          <w:lang w:bidi="fa-IR"/>
        </w:rPr>
        <w:t xml:space="preserve">. </w:t>
      </w:r>
      <w:r>
        <w:rPr>
          <w:rStyle w:val="FootnoteAnchor"/>
          <w:rtl w:val="true"/>
        </w:rPr>
        <w:footnoteReference w:id="194"/>
      </w:r>
    </w:p>
    <w:p>
      <w:pPr>
        <w:pStyle w:val="Heading4"/>
        <w:numPr>
          <w:ilvl w:val="3"/>
          <w:numId w:val="1"/>
        </w:numPr>
        <w:rPr/>
      </w:pPr>
      <w:bookmarkStart w:id="271" w:name="__RefHeading___Toc3584643_3650668749"/>
      <w:bookmarkStart w:id="272" w:name="_Toc118"/>
      <w:bookmarkEnd w:id="271"/>
      <w:r>
        <w:rPr>
          <w:rtl w:val="true"/>
        </w:rPr>
        <w:t>ل</w:t>
      </w:r>
      <w:r>
        <w:rPr>
          <w:rtl w:val="true"/>
        </w:rPr>
        <w:t xml:space="preserve">) </w:t>
      </w:r>
      <w:r>
        <w:rPr>
          <w:rtl w:val="true"/>
        </w:rPr>
        <w:t>نهر بَلْخ</w:t>
      </w:r>
      <w:bookmarkEnd w:id="272"/>
    </w:p>
    <w:p>
      <w:pPr>
        <w:pStyle w:val="BookText"/>
        <w:rPr/>
      </w:pPr>
      <w:r>
        <w:rPr>
          <w:rFonts w:ascii="Amiri" w:hAnsi="Amiri" w:eastAsia="Amiri" w:cs="Amiri"/>
          <w:color w:val="111111"/>
          <w:sz w:val="28"/>
          <w:sz w:val="28"/>
          <w:szCs w:val="28"/>
          <w:rtl w:val="true"/>
          <w:lang w:bidi="ar-SA"/>
        </w:rPr>
        <w:t>از اين نهر در زمان شريح قاضى كه سال‌ها قضاوت كوفه را بر عهده داشت، نام برده شده است</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البته مكان آن مشخص نشده، شايد محل جريان آن در خود شهر كوفه يا دست‌كم حومه نزديك آن بوده است</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3584645_3650668749"/>
      <w:bookmarkStart w:id="274" w:name="_Toc119"/>
      <w:bookmarkEnd w:id="273"/>
      <w:r>
        <w:rPr>
          <w:rtl w:val="true"/>
        </w:rPr>
        <w:t>م</w:t>
      </w:r>
      <w:r>
        <w:rPr>
          <w:rtl w:val="true"/>
        </w:rPr>
        <w:t xml:space="preserve">) </w:t>
      </w:r>
      <w:r>
        <w:rPr>
          <w:rtl w:val="true"/>
        </w:rPr>
        <w:t>نهر بُوَيب</w:t>
      </w:r>
      <w:bookmarkEnd w:id="274"/>
    </w:p>
    <w:p>
      <w:pPr>
        <w:pStyle w:val="BookText"/>
        <w:rPr/>
      </w:pPr>
      <w:r>
        <w:rPr>
          <w:rFonts w:ascii="IRNazanin" w:hAnsi="IRNazanin" w:eastAsia="IRNazanin"/>
          <w:color w:val="111111"/>
          <w:sz w:val="28"/>
          <w:sz w:val="28"/>
          <w:szCs w:val="28"/>
          <w:rtl w:val="true"/>
          <w:lang w:bidi="fa-IR"/>
        </w:rPr>
        <w:t xml:space="preserve">اين نهر كه پيش از تأسيس كوفه در اين منطقه جريان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شماره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 مدّ آب فرات مقدارى از آن را در خود جاى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ابوبكر بين مسلمانان و ايرانيان در محل اين نهر جنگى رخ داد</w:t>
      </w:r>
      <w:r>
        <w:rPr>
          <w:rFonts w:eastAsia="IRNazanin" w:cs="IRNazanin"/>
          <w:color w:val="111111"/>
          <w:sz w:val="28"/>
          <w:szCs w:val="28"/>
          <w:rtl w:val="true"/>
          <w:lang w:bidi="fa-IR"/>
        </w:rPr>
        <w:t xml:space="preserve">. </w:t>
      </w:r>
      <w:r>
        <w:rPr>
          <w:rStyle w:val="FootnoteAnchor"/>
          <w:rtl w:val="true"/>
        </w:rPr>
        <w:footnoteReference w:id="196"/>
      </w:r>
    </w:p>
    <w:p>
      <w:pPr>
        <w:pStyle w:val="Heading4"/>
        <w:numPr>
          <w:ilvl w:val="3"/>
          <w:numId w:val="1"/>
        </w:numPr>
        <w:rPr/>
      </w:pPr>
      <w:bookmarkStart w:id="275" w:name="__RefHeading___Toc3584647_3650668749"/>
      <w:bookmarkStart w:id="276" w:name="_Toc120"/>
      <w:bookmarkEnd w:id="275"/>
      <w:r>
        <w:rPr>
          <w:rtl w:val="true"/>
        </w:rPr>
        <w:t>ن</w:t>
      </w:r>
      <w:r>
        <w:rPr>
          <w:rtl w:val="true"/>
        </w:rPr>
        <w:t xml:space="preserve">) </w:t>
      </w:r>
      <w:r>
        <w:rPr>
          <w:rtl w:val="true"/>
        </w:rPr>
        <w:t>نهر شيلي</w:t>
      </w:r>
      <w:bookmarkEnd w:id="27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نهر قبل از اسلام نزديك كوفه جارى بوده و به همين نام خوانده مى‌شده و بعدها به نام نهر زياد، منسوب به زياد بن ابيه، معروف شده است</w:t>
      </w:r>
      <w:r>
        <w:rPr>
          <w:rFonts w:eastAsia="Amiri" w:cs="Amiri" w:ascii="Amiri" w:hAnsi="Amiri"/>
          <w:color w:val="111111"/>
          <w:sz w:val="28"/>
          <w:szCs w:val="28"/>
          <w:rtl w:val="true"/>
          <w:lang w:bidi="ar-SA"/>
        </w:rPr>
        <w:t xml:space="preserve">. </w:t>
      </w:r>
      <w:r>
        <w:rPr>
          <w:rStyle w:val="FootnoteAnchor"/>
          <w:rtl w:val="true"/>
        </w:rPr>
        <w:footnoteReference w:id="197"/>
      </w:r>
      <w:bookmarkStart w:id="277" w:name="pg1964_19496"/>
    </w:p>
    <w:p>
      <w:pPr>
        <w:pStyle w:val="Heading3"/>
        <w:numPr>
          <w:ilvl w:val="2"/>
          <w:numId w:val="1"/>
        </w:numPr>
        <w:rPr/>
      </w:pPr>
      <w:bookmarkStart w:id="278" w:name="__RefHeading___Toc3584649_3650668749"/>
      <w:bookmarkStart w:id="279" w:name="_Toc121"/>
      <w:bookmarkEnd w:id="277"/>
      <w:bookmarkEnd w:id="278"/>
      <w:r>
        <w:rPr/>
        <w:t>۶</w:t>
      </w:r>
      <w:r>
        <w:rPr>
          <w:rtl w:val="true"/>
        </w:rPr>
        <w:t xml:space="preserve">. </w:t>
      </w:r>
      <w:r>
        <w:rPr>
          <w:rtl w:val="true"/>
        </w:rPr>
        <w:t>كوه‌هاي كوفه</w:t>
      </w:r>
      <w:bookmarkEnd w:id="279"/>
    </w:p>
    <w:p>
      <w:pPr>
        <w:pStyle w:val="Heading4"/>
        <w:numPr>
          <w:ilvl w:val="3"/>
          <w:numId w:val="1"/>
        </w:numPr>
        <w:rPr/>
      </w:pPr>
      <w:bookmarkStart w:id="280" w:name="__RefHeading___Toc3584651_3650668749"/>
      <w:bookmarkStart w:id="281" w:name="_Toc122"/>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با توجه به اينكه منطقه كوفه منطقه‌اى جلگه‌اى و دشتى بوده، كوه بزرگى در آن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منابع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جغرافيايى تنها از دو كوه نام مى‌برند كه به نظر مى‌رسد آنها تپه‌هاى بزرگ شنى ماسه‌اى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كوه عبارت‌اند از</w:t>
      </w:r>
      <w:r>
        <w:rPr>
          <w:rFonts w:eastAsia="IRNazanin" w:cs="IRNazanin"/>
          <w:color w:val="111111"/>
          <w:sz w:val="28"/>
          <w:szCs w:val="28"/>
          <w:rtl w:val="true"/>
          <w:lang w:bidi="fa-IR"/>
        </w:rPr>
        <w:t>:</w:t>
      </w:r>
    </w:p>
    <w:p>
      <w:pPr>
        <w:pStyle w:val="Heading4"/>
        <w:numPr>
          <w:ilvl w:val="3"/>
          <w:numId w:val="1"/>
        </w:numPr>
        <w:rPr/>
      </w:pPr>
      <w:bookmarkStart w:id="282" w:name="__RefHeading___Toc3584653_3650668749"/>
      <w:bookmarkStart w:id="283" w:name="_Toc123"/>
      <w:bookmarkEnd w:id="282"/>
      <w:r>
        <w:rPr>
          <w:rtl w:val="true"/>
        </w:rPr>
        <w:t>الف</w:t>
      </w:r>
      <w:r>
        <w:rPr>
          <w:rtl w:val="true"/>
        </w:rPr>
        <w:t xml:space="preserve">) </w:t>
      </w:r>
      <w:r>
        <w:rPr>
          <w:rtl w:val="true"/>
        </w:rPr>
        <w:t>ساتيدَما</w:t>
      </w:r>
      <w:bookmarkEnd w:id="283"/>
    </w:p>
    <w:p>
      <w:pPr>
        <w:pStyle w:val="BookText"/>
        <w:rPr/>
      </w:pPr>
      <w:r>
        <w:rPr>
          <w:rFonts w:ascii="IRNazanin" w:hAnsi="IRNazanin" w:eastAsia="IRNazanin"/>
          <w:color w:val="111111"/>
          <w:sz w:val="28"/>
          <w:sz w:val="28"/>
          <w:szCs w:val="28"/>
          <w:rtl w:val="true"/>
          <w:lang w:bidi="fa-IR"/>
        </w:rPr>
        <w:t xml:space="preserve">ياقوت حموى در معجم البلدان هنگام بيان وجوه نامگذارى كوفه، يكى از آن وجوه را احاطه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ساتيدَما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منطقه ذكر مى‌كند كه در اين صورت كوفه از كفاف به معناى در برگرفته شدن، اشتقاق يافته است</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البته ياقوت هنگام 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ساتيدما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كوه ياد نكرده، بلكه محل آن را در كشور هند و روم و مكان‌هاى ديگر ذكر مى‌كند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به هر حال، وجود چنين كوهى در اطراف كوفه بعيد به نظر مى‌رسد</w:t>
      </w:r>
      <w:r>
        <w:rPr>
          <w:rFonts w:eastAsia="IRNazanin" w:cs="IRNazanin"/>
          <w:color w:val="111111"/>
          <w:sz w:val="28"/>
          <w:szCs w:val="28"/>
          <w:rtl w:val="true"/>
          <w:lang w:bidi="fa-IR"/>
        </w:rPr>
        <w:t>.</w:t>
      </w:r>
    </w:p>
    <w:p>
      <w:pPr>
        <w:pStyle w:val="Heading4"/>
        <w:numPr>
          <w:ilvl w:val="3"/>
          <w:numId w:val="1"/>
        </w:numPr>
        <w:rPr/>
      </w:pPr>
      <w:bookmarkStart w:id="284" w:name="__RefHeading___Toc3584655_3650668749"/>
      <w:bookmarkStart w:id="285" w:name="_Toc124"/>
      <w:bookmarkEnd w:id="284"/>
      <w:r>
        <w:rPr>
          <w:rtl w:val="true"/>
        </w:rPr>
        <w:t>ب</w:t>
      </w:r>
      <w:r>
        <w:rPr>
          <w:rtl w:val="true"/>
        </w:rPr>
        <w:t xml:space="preserve">) </w:t>
      </w:r>
      <w:r>
        <w:rPr>
          <w:rtl w:val="true"/>
        </w:rPr>
        <w:t>كوفان</w:t>
      </w:r>
      <w:bookmarkEnd w:id="285"/>
    </w:p>
    <w:p>
      <w:pPr>
        <w:pStyle w:val="BookText"/>
        <w:rPr/>
      </w:pPr>
      <w:r>
        <w:rPr>
          <w:rFonts w:ascii="IRNazanin" w:hAnsi="IRNazanin" w:eastAsia="IRNazanin"/>
          <w:color w:val="111111"/>
          <w:sz w:val="28"/>
          <w:sz w:val="28"/>
          <w:szCs w:val="28"/>
          <w:rtl w:val="true"/>
          <w:lang w:bidi="fa-IR"/>
        </w:rPr>
        <w:t>اين كوه را كوه كوچكى در وسط منطقه كوفه دانسته‌اند، همچنان‌كه يكى از وجوه نامگذارى كوفه را اشتقاق آن از اين كوه دانسته‌اند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وجود چنين كوهى نيز در كوفه مشكوك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ممكن است تپه شنى ماسه‌اى بوده كه به مرور ايام از ميان رفته است، به خصوص با توجه به اينكه كوفه در لغت به معناى شن و ماسه نيز آمده‌است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توجه است كه در بعضى از منابع از مكانى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الصِياغ؛ كوه صياغ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و مكان آن را بين مسجد كوفه و سهله تعيين كرده‌اند و گفته</w:t>
      </w:r>
      <w:bookmarkStart w:id="286" w:name="pg1964_19497"/>
    </w:p>
    <w:p>
      <w:pPr>
        <w:pStyle w:val="BookText"/>
        <w:rPr/>
      </w:pPr>
      <w:bookmarkEnd w:id="286"/>
      <w:r>
        <w:rPr>
          <w:rFonts w:ascii="IRNazanin" w:hAnsi="IRNazanin" w:eastAsia="IRNazanin"/>
          <w:color w:val="111111"/>
          <w:sz w:val="28"/>
          <w:sz w:val="28"/>
          <w:szCs w:val="28"/>
          <w:rtl w:val="true"/>
          <w:lang w:bidi="fa-IR"/>
        </w:rPr>
        <w:t>شده است كه ابن‌ملجم را در آنجا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نيست كه اين مكان هم تپه‌اى كوچك در كوفه بوده باشد</w:t>
      </w:r>
      <w:r>
        <w:rPr>
          <w:rFonts w:eastAsia="IRNazanin" w:cs="IRNazanin"/>
          <w:color w:val="111111"/>
          <w:sz w:val="28"/>
          <w:szCs w:val="28"/>
          <w:rtl w:val="true"/>
          <w:lang w:bidi="fa-IR"/>
        </w:rPr>
        <w:t xml:space="preserve">. </w:t>
      </w:r>
      <w:r>
        <w:rPr>
          <w:rStyle w:val="FootnoteAnchor"/>
          <w:rtl w:val="true"/>
        </w:rPr>
        <w:footnoteReference w:id="201"/>
      </w:r>
    </w:p>
    <w:p>
      <w:pPr>
        <w:pStyle w:val="Heading3"/>
        <w:numPr>
          <w:ilvl w:val="2"/>
          <w:numId w:val="1"/>
        </w:numPr>
        <w:rPr/>
      </w:pPr>
      <w:bookmarkStart w:id="287" w:name="__RefHeading___Toc3584657_3650668749"/>
      <w:bookmarkStart w:id="288" w:name="_Toc125"/>
      <w:bookmarkEnd w:id="287"/>
      <w:r>
        <w:rPr/>
        <w:t>٧</w:t>
      </w:r>
      <w:r>
        <w:rPr>
          <w:rtl w:val="true"/>
        </w:rPr>
        <w:t xml:space="preserve">. </w:t>
      </w:r>
      <w:r>
        <w:rPr>
          <w:rtl w:val="true"/>
        </w:rPr>
        <w:t>چاه‌ها‌ى كوفه</w:t>
      </w:r>
      <w:bookmarkEnd w:id="288"/>
    </w:p>
    <w:p>
      <w:pPr>
        <w:pStyle w:val="Heading4"/>
        <w:numPr>
          <w:ilvl w:val="3"/>
          <w:numId w:val="1"/>
        </w:numPr>
        <w:rPr/>
      </w:pPr>
      <w:bookmarkStart w:id="289" w:name="__RefHeading___Toc3584659_3650668749"/>
      <w:bookmarkStart w:id="290" w:name="_Toc126"/>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به نظرمى‌رسد به جز منطقه شرقى كوفه كه در كنار فرات قرار داشته است، مردم ديگر مناطق كوفه براى استفاده از آب، ناگزير به حفر چاه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نزديكى آب به سطح زمين، حفر چاه‌هاى عميق ضرورت نداشته و اصولاً حفر چاه، كار آسانى به شمار مى‌آمده است</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نكته ديگر اينكه بسيارى از اين چاه‌ها آب شيرين نداشته و بنابراين براى آشاميدن از آنها استفاده نمى‌شد، بلكه براى شست‌وشو و مصارف ديگر از آنها بهره‌بردارى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آب آشاميدنى خود را از سقاهايى كه از فرات آب مى‌آوردند، تأمين مى‌كردند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در منابع اشاره چندانى به چاه‌هاى كوفه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چاه‌هايى كه از لابه‌لاى منابع به دست آمده، عبارت است از</w:t>
      </w:r>
      <w:r>
        <w:rPr>
          <w:rFonts w:eastAsia="IRNazanin" w:cs="IRNazanin"/>
          <w:color w:val="111111"/>
          <w:sz w:val="28"/>
          <w:szCs w:val="28"/>
          <w:rtl w:val="true"/>
          <w:lang w:bidi="fa-IR"/>
        </w:rPr>
        <w:t>:</w:t>
      </w:r>
    </w:p>
    <w:p>
      <w:pPr>
        <w:pStyle w:val="Heading4"/>
        <w:numPr>
          <w:ilvl w:val="3"/>
          <w:numId w:val="1"/>
        </w:numPr>
        <w:rPr/>
      </w:pPr>
      <w:bookmarkStart w:id="291" w:name="__RefHeading___Toc3584661_3650668749"/>
      <w:bookmarkStart w:id="292" w:name="_Toc127"/>
      <w:bookmarkEnd w:id="291"/>
      <w:r>
        <w:rPr>
          <w:rtl w:val="true"/>
        </w:rPr>
        <w:t>الف</w:t>
      </w:r>
      <w:r>
        <w:rPr>
          <w:rtl w:val="true"/>
        </w:rPr>
        <w:t xml:space="preserve">) </w:t>
      </w:r>
      <w:r>
        <w:rPr>
          <w:rtl w:val="true"/>
        </w:rPr>
        <w:t xml:space="preserve">چاه حضرت على </w:t>
      </w:r>
      <w:r>
        <w:rPr>
          <w:rtl w:val="true"/>
        </w:rPr>
        <w:t>(</w:t>
      </w:r>
      <w:r>
        <w:rPr>
          <w:rtl w:val="true"/>
        </w:rPr>
        <w:t>عليه السلام</w:t>
      </w:r>
      <w:r>
        <w:rPr>
          <w:rtl w:val="true"/>
        </w:rPr>
        <w:t>) (</w:t>
      </w:r>
      <w:r>
        <w:rPr>
          <w:rtl w:val="true"/>
        </w:rPr>
        <w:t>بئر علي</w:t>
      </w:r>
      <w:r>
        <w:rPr>
          <w:rtl w:val="true"/>
        </w:rPr>
        <w:t>)</w:t>
      </w:r>
      <w:bookmarkEnd w:id="292"/>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منزل گرفتن در كوفه، اين چاه را در خانه خود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رحبةعلى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 حفر نمود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و تنها چاهى بود كه در آن زمان آبش شيرين بود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از اين رو، همسايگان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ديگر مردم كوفه از آن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نيز محل اين چاه در كوفه محفوظ است</w:t>
      </w:r>
      <w:r>
        <w:rPr>
          <w:rFonts w:eastAsia="IRNazanin" w:cs="IRNazanin"/>
          <w:color w:val="111111"/>
          <w:sz w:val="28"/>
          <w:szCs w:val="28"/>
          <w:rtl w:val="true"/>
          <w:lang w:bidi="fa-IR"/>
        </w:rPr>
        <w:t>.</w:t>
      </w:r>
    </w:p>
    <w:p>
      <w:pPr>
        <w:pStyle w:val="Heading4"/>
        <w:numPr>
          <w:ilvl w:val="3"/>
          <w:numId w:val="1"/>
        </w:numPr>
        <w:rPr/>
      </w:pPr>
      <w:bookmarkStart w:id="293" w:name="__RefHeading___Toc3584663_3650668749"/>
      <w:bookmarkStart w:id="294" w:name="_Toc128"/>
      <w:bookmarkEnd w:id="293"/>
      <w:r>
        <w:rPr>
          <w:rtl w:val="true"/>
        </w:rPr>
        <w:t>ب</w:t>
      </w:r>
      <w:r>
        <w:rPr>
          <w:rtl w:val="true"/>
        </w:rPr>
        <w:t xml:space="preserve">) </w:t>
      </w:r>
      <w:r>
        <w:rPr>
          <w:rtl w:val="true"/>
        </w:rPr>
        <w:t xml:space="preserve">چاه جُعد </w:t>
      </w:r>
      <w:r>
        <w:rPr>
          <w:rtl w:val="true"/>
        </w:rPr>
        <w:t>(</w:t>
      </w:r>
      <w:r>
        <w:rPr>
          <w:rtl w:val="true"/>
        </w:rPr>
        <w:t>بئر جعد</w:t>
      </w:r>
      <w:r>
        <w:rPr>
          <w:rtl w:val="true"/>
        </w:rPr>
        <w:t>)</w:t>
      </w:r>
      <w:bookmarkEnd w:id="29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چاه در زيستگاه قبيله همدان، در شرق كوفه قرار داشته است</w:t>
      </w:r>
      <w:r>
        <w:rPr>
          <w:rFonts w:eastAsia="IRNazanin" w:cs="IRNazanin"/>
          <w:color w:val="111111"/>
          <w:sz w:val="28"/>
          <w:szCs w:val="28"/>
          <w:rtl w:val="true"/>
          <w:lang w:bidi="fa-IR"/>
        </w:rPr>
        <w:t xml:space="preserve">. </w:t>
      </w:r>
      <w:r>
        <w:rPr>
          <w:rStyle w:val="FootnoteAnchor"/>
          <w:rtl w:val="true"/>
        </w:rPr>
        <w:footnoteReference w:id="205"/>
      </w:r>
      <w:bookmarkStart w:id="295" w:name="pg1964_19498"/>
    </w:p>
    <w:p>
      <w:pPr>
        <w:pStyle w:val="Heading4"/>
        <w:numPr>
          <w:ilvl w:val="3"/>
          <w:numId w:val="1"/>
        </w:numPr>
        <w:rPr/>
      </w:pPr>
      <w:bookmarkStart w:id="296" w:name="__RefHeading___Toc3584665_3650668749"/>
      <w:bookmarkStart w:id="297" w:name="_Toc129"/>
      <w:bookmarkEnd w:id="295"/>
      <w:bookmarkEnd w:id="296"/>
      <w:r>
        <w:rPr>
          <w:rtl w:val="true"/>
        </w:rPr>
        <w:t>ج</w:t>
      </w:r>
      <w:r>
        <w:rPr>
          <w:rtl w:val="true"/>
        </w:rPr>
        <w:t xml:space="preserve">) </w:t>
      </w:r>
      <w:r>
        <w:rPr>
          <w:rtl w:val="true"/>
        </w:rPr>
        <w:t>چاه قصر دارالاماره</w:t>
      </w:r>
      <w:bookmarkEnd w:id="297"/>
    </w:p>
    <w:p>
      <w:pPr>
        <w:pStyle w:val="BookText"/>
        <w:rPr/>
      </w:pPr>
      <w:r>
        <w:rPr>
          <w:rFonts w:ascii="IRNazanin" w:hAnsi="IRNazanin" w:eastAsia="IRNazanin"/>
          <w:color w:val="111111"/>
          <w:sz w:val="28"/>
          <w:sz w:val="28"/>
          <w:szCs w:val="28"/>
          <w:rtl w:val="true"/>
          <w:lang w:bidi="fa-IR"/>
        </w:rPr>
        <w:t>از حوادث تاريخى مربوط به دوران مختار چنين استفاده مى‌شود كه در قصر دارالاماره چاهى وجود داشته كه آب آن شيرين نبوده است؛ زيرا هنگامى كه مختار در قصر به وسيله سپاهيان مصعب محاصره شد و تشنگى بر او و افرادش فشار وارد آورد، دستور داد كه آب از چاه بكشند و تلخى آن را به وسيله عسل جبران كنند و آن را بنوشند</w:t>
      </w:r>
      <w:r>
        <w:rPr>
          <w:rFonts w:eastAsia="IRNazanin" w:cs="IRNazanin"/>
          <w:color w:val="111111"/>
          <w:sz w:val="28"/>
          <w:szCs w:val="28"/>
          <w:rtl w:val="true"/>
          <w:lang w:bidi="fa-IR"/>
        </w:rPr>
        <w:t xml:space="preserve">. </w:t>
      </w:r>
      <w:r>
        <w:rPr>
          <w:rStyle w:val="FootnoteAnchor"/>
          <w:rtl w:val="true"/>
        </w:rPr>
        <w:footnoteReference w:id="206"/>
      </w:r>
    </w:p>
    <w:p>
      <w:pPr>
        <w:pStyle w:val="Heading4"/>
        <w:numPr>
          <w:ilvl w:val="3"/>
          <w:numId w:val="1"/>
        </w:numPr>
        <w:rPr/>
      </w:pPr>
      <w:bookmarkStart w:id="298" w:name="__RefHeading___Toc3584667_3650668749"/>
      <w:bookmarkStart w:id="299" w:name="_Toc130"/>
      <w:bookmarkEnd w:id="298"/>
      <w:r>
        <w:rPr>
          <w:rtl w:val="true"/>
        </w:rPr>
        <w:t>د</w:t>
      </w:r>
      <w:r>
        <w:rPr>
          <w:rtl w:val="true"/>
        </w:rPr>
        <w:t xml:space="preserve">) </w:t>
      </w:r>
      <w:r>
        <w:rPr>
          <w:rtl w:val="true"/>
        </w:rPr>
        <w:t>چاه مُبارك</w:t>
      </w:r>
      <w:bookmarkEnd w:id="299"/>
    </w:p>
    <w:p>
      <w:pPr>
        <w:pStyle w:val="BookText"/>
        <w:rPr/>
      </w:pPr>
      <w:r>
        <w:rPr>
          <w:rFonts w:ascii="IRNazanin" w:hAnsi="IRNazanin" w:eastAsia="IRNazanin"/>
          <w:color w:val="111111"/>
          <w:sz w:val="28"/>
          <w:sz w:val="28"/>
          <w:szCs w:val="28"/>
          <w:rtl w:val="true"/>
          <w:lang w:bidi="fa-IR"/>
        </w:rPr>
        <w:t xml:space="preserve">محل اين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در بعضى از منابع از چاه‌هاى داراى آب گوارا در كوفه نام برده شده است </w:t>
      </w:r>
      <w:r>
        <w:rPr>
          <w:rStyle w:val="FootnoteAnchor"/>
          <w:rtl w:val="true"/>
        </w:rPr>
        <w:footnoteReference w:id="208"/>
      </w:r>
      <w:r>
        <w:rPr>
          <w:rFonts w:ascii="IRNazanin" w:hAnsi="IRNazanin" w:eastAsia="IRNazanin"/>
          <w:color w:val="111111"/>
          <w:sz w:val="28"/>
          <w:sz w:val="28"/>
          <w:szCs w:val="28"/>
          <w:rtl w:val="true"/>
          <w:lang w:bidi="fa-IR"/>
        </w:rPr>
        <w:t>كه به احتمال فراوان مربوط به زمان مورد بحث ما نمى‌باشد، ضمن آنكه محل اين چاه‌ها نيز مشخص نشده است</w:t>
      </w:r>
      <w:r>
        <w:rPr>
          <w:rFonts w:eastAsia="IRNazanin" w:cs="IRNazanin"/>
          <w:color w:val="111111"/>
          <w:sz w:val="28"/>
          <w:szCs w:val="28"/>
          <w:rtl w:val="true"/>
          <w:lang w:bidi="fa-IR"/>
        </w:rPr>
        <w:t>.</w:t>
      </w:r>
    </w:p>
    <w:p>
      <w:pPr>
        <w:pStyle w:val="Heading3"/>
        <w:numPr>
          <w:ilvl w:val="2"/>
          <w:numId w:val="1"/>
        </w:numPr>
        <w:rPr/>
      </w:pPr>
      <w:bookmarkStart w:id="300" w:name="__RefHeading___Toc3584669_3650668749"/>
      <w:bookmarkStart w:id="301" w:name="_Toc131"/>
      <w:bookmarkEnd w:id="300"/>
      <w:r>
        <w:rPr/>
        <w:t>٨</w:t>
      </w:r>
      <w:r>
        <w:rPr>
          <w:rtl w:val="true"/>
        </w:rPr>
        <w:t xml:space="preserve">. </w:t>
      </w:r>
      <w:r>
        <w:rPr>
          <w:rtl w:val="true"/>
        </w:rPr>
        <w:t>چشمه‌ها‌ى كوفه</w:t>
      </w:r>
      <w:bookmarkEnd w:id="301"/>
    </w:p>
    <w:p>
      <w:pPr>
        <w:pStyle w:val="BookText"/>
        <w:rPr/>
      </w:pPr>
      <w:r>
        <w:rPr>
          <w:rFonts w:ascii="IRNazanin" w:hAnsi="IRNazanin" w:eastAsia="IRNazanin"/>
          <w:color w:val="111111"/>
          <w:sz w:val="28"/>
          <w:sz w:val="28"/>
          <w:szCs w:val="28"/>
          <w:rtl w:val="true"/>
          <w:lang w:bidi="fa-IR"/>
        </w:rPr>
        <w:t xml:space="preserve">نوشته‌اى كه بر وجود چشمه در داخل شهر كوفه دلالت كند، به دست نيامد، بلكه در كنار كوفه يا در فاصله‌هايى دورتر، چشمه‌هايى وجود داشته است كه به نام بعضى از آنها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توابع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چشمه‌اى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بنى‌الحَذّاد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كوفه نام برده شده است </w:t>
      </w:r>
      <w:r>
        <w:rPr>
          <w:rStyle w:val="FootnoteAnchor"/>
          <w:rtl w:val="true"/>
        </w:rPr>
        <w:footnoteReference w:id="209"/>
      </w:r>
      <w:r>
        <w:rPr>
          <w:rFonts w:ascii="Amiri" w:hAnsi="Amiri" w:eastAsia="Amiri" w:cs="Amiri"/>
          <w:color w:val="111111"/>
          <w:sz w:val="28"/>
          <w:sz w:val="28"/>
          <w:szCs w:val="28"/>
          <w:rtl w:val="true"/>
          <w:lang w:bidi="ar-SA"/>
        </w:rPr>
        <w:t>كه زمان تاريخى آن مشخص نيست</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3584671_3650668749"/>
      <w:bookmarkStart w:id="303" w:name="_Toc132"/>
      <w:bookmarkEnd w:id="302"/>
      <w:r>
        <w:rPr/>
        <w:t>٩</w:t>
      </w:r>
      <w:r>
        <w:rPr>
          <w:rtl w:val="true"/>
        </w:rPr>
        <w:t xml:space="preserve">. </w:t>
      </w:r>
      <w:r>
        <w:rPr>
          <w:rtl w:val="true"/>
        </w:rPr>
        <w:t>توابع شهر كوفه و روستاها‌ى آن</w:t>
      </w:r>
      <w:bookmarkEnd w:id="303"/>
    </w:p>
    <w:p>
      <w:pPr>
        <w:pStyle w:val="Heading4"/>
        <w:numPr>
          <w:ilvl w:val="3"/>
          <w:numId w:val="1"/>
        </w:numPr>
        <w:rPr/>
      </w:pPr>
      <w:bookmarkStart w:id="304" w:name="__RefHeading___Toc3584673_3650668749"/>
      <w:bookmarkStart w:id="305" w:name="_Toc133"/>
      <w:bookmarkEnd w:id="304"/>
      <w:r>
        <w:rPr>
          <w:rtl w:val="true"/>
        </w:rPr>
        <w:t>اشاره</w:t>
      </w:r>
      <w:bookmarkEnd w:id="305"/>
    </w:p>
    <w:p>
      <w:pPr>
        <w:pStyle w:val="BookText"/>
        <w:rPr/>
      </w:pPr>
      <w:r>
        <w:rPr>
          <w:rFonts w:ascii="Amiri" w:hAnsi="Amiri" w:eastAsia="Amiri" w:cs="Amiri"/>
          <w:color w:val="111111"/>
          <w:sz w:val="28"/>
          <w:sz w:val="28"/>
          <w:szCs w:val="28"/>
          <w:rtl w:val="true"/>
          <w:lang w:bidi="ar-SA"/>
        </w:rPr>
        <w:t>در اينجا در باره توابعى بحث مى‌شود كه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شهر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توابعى را كه برخى از نويسندگان ذكر كرده و از نقاط داخل شهر مى‌باشد، در فصل معمارى از آنها بحث خواهد شد</w:t>
      </w:r>
      <w:r>
        <w:rPr>
          <w:rFonts w:eastAsia="IRNazanin" w:cs="IRNazanin"/>
          <w:color w:val="111111"/>
          <w:sz w:val="28"/>
          <w:szCs w:val="28"/>
          <w:rtl w:val="true"/>
          <w:lang w:bidi="fa-IR"/>
        </w:rPr>
        <w:t>.</w:t>
      </w:r>
      <w:bookmarkStart w:id="306" w:name="pg1964_19499"/>
    </w:p>
    <w:p>
      <w:pPr>
        <w:pStyle w:val="BookText"/>
        <w:rPr/>
      </w:pPr>
      <w:bookmarkEnd w:id="306"/>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شهر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توابع ادارى كوفه، مانند شهرهاى داخل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آذربايجان، همدان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در اينجا بررسى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واقع نشده باشند، زيرا در باره مكان‌هاى اين مسير، جداگانه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مورد بحث اگر چه به صورت احتمال، موجود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توابعى كه بعدها ساخته شده، بررسى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پس از ذكر اين مقدمه به بررسى اجمالى توابع به ترتيب حروف الفبا مى‌پردازيم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3584675_3650668749"/>
      <w:bookmarkStart w:id="308" w:name="_Toc134"/>
      <w:bookmarkEnd w:id="307"/>
      <w:r>
        <w:rPr>
          <w:rtl w:val="true"/>
        </w:rPr>
        <w:t xml:space="preserve">يك </w:t>
      </w:r>
      <w:r>
        <w:rPr>
          <w:rtl w:val="true"/>
        </w:rPr>
        <w:t xml:space="preserve">- </w:t>
      </w:r>
      <w:r>
        <w:rPr>
          <w:rtl w:val="true"/>
        </w:rPr>
        <w:t>إسْتينياء</w:t>
      </w:r>
      <w:bookmarkEnd w:id="308"/>
    </w:p>
    <w:p>
      <w:pPr>
        <w:pStyle w:val="BookText"/>
        <w:rPr/>
      </w:pPr>
      <w:r>
        <w:rPr>
          <w:rFonts w:ascii="IRNazanin" w:hAnsi="IRNazanin" w:eastAsia="IRNazanin"/>
          <w:color w:val="111111"/>
          <w:sz w:val="28"/>
          <w:sz w:val="28"/>
          <w:szCs w:val="28"/>
          <w:rtl w:val="true"/>
          <w:lang w:bidi="fa-IR"/>
        </w:rPr>
        <w:t>يكى از روستاهاى اطراف كوفه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در زمان عثمان بن عفان كه اصحاب قصد مهاجرت به شهرهاى تازه تأسيس را داشتند، نزد او آمده و از او مى‌خواستند كه در عوض زمين‌هايى كه در حجاز ترك مى‌كنند، زمين‌هايى در كوفه و بصره به آنها واگذار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چنين مى‌كرد، از جمله اين روستا را به خبَّاب بن اَرت واگذار نمود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اين نوع زمين‌ها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Heading4"/>
        <w:numPr>
          <w:ilvl w:val="3"/>
          <w:numId w:val="1"/>
        </w:numPr>
        <w:rPr/>
      </w:pPr>
      <w:bookmarkStart w:id="309" w:name="__RefHeading___Toc3584677_3650668749"/>
      <w:bookmarkStart w:id="310" w:name="_Toc135"/>
      <w:bookmarkEnd w:id="309"/>
      <w:r>
        <w:rPr>
          <w:rtl w:val="true"/>
        </w:rPr>
        <w:t xml:space="preserve">دو </w:t>
      </w:r>
      <w:r>
        <w:rPr>
          <w:rtl w:val="true"/>
        </w:rPr>
        <w:t xml:space="preserve">- </w:t>
      </w:r>
      <w:r>
        <w:rPr>
          <w:rtl w:val="true"/>
        </w:rPr>
        <w:t>اَقساس مالك</w:t>
      </w:r>
      <w:bookmarkEnd w:id="31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يكى از روستاهاى كوفه، منسوب به مالك بن عبد هند از قبيله اَياد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اقساس، جمع قَسّ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 در لغت به معناى طلب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سبب آنكه مالك اين مكان را طلب كرد و آن را آباد نمود، به او نسبت داده‌اند</w:t>
      </w:r>
      <w:r>
        <w:rPr>
          <w:rFonts w:eastAsia="IRNazanin" w:cs="IRNazanin"/>
          <w:color w:val="111111"/>
          <w:sz w:val="28"/>
          <w:szCs w:val="28"/>
          <w:rtl w:val="true"/>
          <w:lang w:bidi="fa-IR"/>
        </w:rPr>
        <w:t xml:space="preserve">. </w:t>
      </w:r>
      <w:r>
        <w:rPr>
          <w:rStyle w:val="FootnoteAnchor"/>
          <w:rtl w:val="true"/>
        </w:rPr>
        <w:footnoteReference w:id="212"/>
      </w:r>
      <w:bookmarkStart w:id="311" w:name="pg1964_19500"/>
    </w:p>
    <w:p>
      <w:pPr>
        <w:pStyle w:val="Heading4"/>
        <w:numPr>
          <w:ilvl w:val="3"/>
          <w:numId w:val="1"/>
        </w:numPr>
        <w:rPr/>
      </w:pPr>
      <w:bookmarkStart w:id="312" w:name="__RefHeading___Toc3584679_3650668749"/>
      <w:bookmarkStart w:id="313" w:name="_Toc136"/>
      <w:bookmarkEnd w:id="311"/>
      <w:bookmarkEnd w:id="312"/>
      <w:r>
        <w:rPr>
          <w:rtl w:val="true"/>
        </w:rPr>
        <w:t xml:space="preserve">سه </w:t>
      </w:r>
      <w:r>
        <w:rPr>
          <w:rtl w:val="true"/>
        </w:rPr>
        <w:t xml:space="preserve">- </w:t>
      </w:r>
      <w:r>
        <w:rPr>
          <w:rtl w:val="true"/>
        </w:rPr>
        <w:t>اُكَيْراح</w:t>
      </w:r>
      <w:bookmarkEnd w:id="313"/>
    </w:p>
    <w:p>
      <w:pPr>
        <w:pStyle w:val="BookText"/>
        <w:rPr/>
      </w:pPr>
      <w:r>
        <w:rPr>
          <w:rFonts w:ascii="IRNazanin" w:hAnsi="IRNazanin" w:eastAsia="IRNazanin"/>
          <w:color w:val="111111"/>
          <w:sz w:val="28"/>
          <w:sz w:val="28"/>
          <w:szCs w:val="28"/>
          <w:rtl w:val="true"/>
          <w:lang w:bidi="fa-IR"/>
        </w:rPr>
        <w:t>روستايى خوش آب و هوا با باغ‌ها و بوستان‌هاى فراوان كه در غرب كوفه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اُكيراح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اتاق‌هاى كوچكى مى‌باشد كه راهبان در آنجا ساكن مى‌شدند، به احتمال فراوان اين روستا محل سكونت راهبان و ديگر مسيحيان بوده است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بعضى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اُكيراح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فرسخى غرب حيره واقع شده بود و ديرهاى فراوانى را همراه با چشمه‌ها و چاه‌ها در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 مَرْ عبدا و دير حَنَّة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اُكيراح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Style w:val="FootnoteAnchor"/>
          <w:rtl w:val="true"/>
        </w:rPr>
        <w:footnoteReference w:id="214"/>
      </w:r>
    </w:p>
    <w:p>
      <w:pPr>
        <w:pStyle w:val="Heading4"/>
        <w:numPr>
          <w:ilvl w:val="3"/>
          <w:numId w:val="1"/>
        </w:numPr>
        <w:rPr/>
      </w:pPr>
      <w:bookmarkStart w:id="314" w:name="__RefHeading___Toc3584681_3650668749"/>
      <w:bookmarkStart w:id="315" w:name="_Toc137"/>
      <w:bookmarkEnd w:id="314"/>
      <w:r>
        <w:rPr>
          <w:rtl w:val="true"/>
        </w:rPr>
        <w:t xml:space="preserve">چهار </w:t>
      </w:r>
      <w:r>
        <w:rPr>
          <w:rtl w:val="true"/>
        </w:rPr>
        <w:t xml:space="preserve">- </w:t>
      </w:r>
      <w:r>
        <w:rPr>
          <w:rtl w:val="true"/>
        </w:rPr>
        <w:t>بانِقْيا</w:t>
      </w:r>
      <w:bookmarkEnd w:id="315"/>
    </w:p>
    <w:p>
      <w:pPr>
        <w:pStyle w:val="BookText"/>
        <w:rPr/>
      </w:pPr>
      <w:r>
        <w:rPr>
          <w:rFonts w:ascii="IRNazanin" w:hAnsi="IRNazanin" w:eastAsia="IRNazanin"/>
          <w:color w:val="111111"/>
          <w:sz w:val="28"/>
          <w:sz w:val="28"/>
          <w:szCs w:val="28"/>
          <w:rtl w:val="true"/>
          <w:lang w:bidi="fa-IR"/>
        </w:rPr>
        <w:t xml:space="preserve">روستايى بزرگ قبل از تأسيس كوفه بوده كه در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جنگ مختصرى، به وسيله عقد قرارداد صلح و با اين شرط كه در هر سال هزار درهم و يك طَيلَسان خراج بدهند، تسليم سپاهيان خالد بن وليد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چون اين روستا با قرارداد صلح گشوده شده و نه با جنگ، از زمين‌هاى مفتوح العنوه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سرزمين‌هاى فتح شده به وسيله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نيامده و جزء اقطاعات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زمين‌هاى بخششى حكومت به افراد مانند استينيا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نگرفته است</w:t>
      </w:r>
      <w:r>
        <w:rPr>
          <w:rFonts w:eastAsia="IRNazanin" w:cs="IRNazanin"/>
          <w:color w:val="111111"/>
          <w:sz w:val="28"/>
          <w:szCs w:val="28"/>
          <w:rtl w:val="true"/>
          <w:lang w:bidi="fa-IR"/>
        </w:rPr>
        <w:t xml:space="preserve">. </w:t>
      </w:r>
      <w:r>
        <w:rPr>
          <w:rStyle w:val="FootnoteAnchor"/>
          <w:rtl w:val="true"/>
        </w:rPr>
        <w:footnoteReference w:id="215"/>
      </w:r>
      <w:r>
        <w:rPr>
          <w:rFonts w:ascii="Amiri" w:hAnsi="Amiri" w:eastAsia="Amiri" w:cs="Amiri"/>
          <w:color w:val="111111"/>
          <w:sz w:val="28"/>
          <w:sz w:val="28"/>
          <w:szCs w:val="28"/>
          <w:rtl w:val="true"/>
          <w:lang w:bidi="ar-SA"/>
        </w:rPr>
        <w:t>اين روستا بين كوفه و حيره، نزديك سرزمين نجف قرار داشت</w:t>
      </w:r>
      <w:r>
        <w:rPr>
          <w:rFonts w:eastAsia="Amiri" w:cs="Amiri" w:ascii="Amiri" w:hAnsi="Amiri"/>
          <w:color w:val="111111"/>
          <w:sz w:val="28"/>
          <w:szCs w:val="28"/>
          <w:rtl w:val="true"/>
          <w:lang w:bidi="ar-SA"/>
        </w:rPr>
        <w:t xml:space="preserve">. </w:t>
      </w:r>
      <w:r>
        <w:rPr>
          <w:rStyle w:val="FootnoteAnchor"/>
          <w:rtl w:val="true"/>
        </w:rPr>
        <w:footnoteReference w:id="216"/>
      </w:r>
    </w:p>
    <w:p>
      <w:pPr>
        <w:pStyle w:val="Heading4"/>
        <w:numPr>
          <w:ilvl w:val="3"/>
          <w:numId w:val="1"/>
        </w:numPr>
        <w:rPr/>
      </w:pPr>
      <w:bookmarkStart w:id="316" w:name="__RefHeading___Toc3584683_3650668749"/>
      <w:bookmarkStart w:id="317" w:name="_Toc138"/>
      <w:bookmarkEnd w:id="316"/>
      <w:r>
        <w:rPr>
          <w:rtl w:val="true"/>
        </w:rPr>
        <w:t xml:space="preserve">پنج </w:t>
      </w:r>
      <w:r>
        <w:rPr>
          <w:rtl w:val="true"/>
        </w:rPr>
        <w:t xml:space="preserve">- </w:t>
      </w:r>
      <w:r>
        <w:rPr>
          <w:rtl w:val="true"/>
        </w:rPr>
        <w:t>بداة</w:t>
      </w:r>
      <w:bookmarkEnd w:id="317"/>
    </w:p>
    <w:p>
      <w:pPr>
        <w:pStyle w:val="BookText"/>
        <w:rPr/>
      </w:pPr>
      <w:r>
        <w:rPr>
          <w:rFonts w:ascii="IRNazanin" w:hAnsi="IRNazanin" w:eastAsia="IRNazanin"/>
          <w:color w:val="111111"/>
          <w:sz w:val="28"/>
          <w:sz w:val="28"/>
          <w:szCs w:val="28"/>
          <w:rtl w:val="true"/>
          <w:lang w:bidi="fa-IR"/>
        </w:rPr>
        <w:t>محل آن مشخص نشد</w:t>
      </w:r>
      <w:r>
        <w:rPr>
          <w:rFonts w:eastAsia="IRNazanin" w:cs="IRNazanin"/>
          <w:color w:val="111111"/>
          <w:sz w:val="28"/>
          <w:szCs w:val="28"/>
          <w:rtl w:val="true"/>
          <w:lang w:bidi="fa-IR"/>
        </w:rPr>
        <w:t xml:space="preserve">. </w:t>
      </w:r>
      <w:r>
        <w:rPr>
          <w:rStyle w:val="FootnoteAnchor"/>
          <w:rtl w:val="true"/>
        </w:rPr>
        <w:footnoteReference w:id="217"/>
      </w:r>
    </w:p>
    <w:p>
      <w:pPr>
        <w:pStyle w:val="Heading4"/>
        <w:numPr>
          <w:ilvl w:val="3"/>
          <w:numId w:val="1"/>
        </w:numPr>
        <w:rPr/>
      </w:pPr>
      <w:bookmarkStart w:id="318" w:name="__RefHeading___Toc3584685_3650668749"/>
      <w:bookmarkStart w:id="319" w:name="_Toc139"/>
      <w:bookmarkEnd w:id="318"/>
      <w:r>
        <w:rPr>
          <w:rtl w:val="true"/>
        </w:rPr>
        <w:t xml:space="preserve">شش </w:t>
      </w:r>
      <w:r>
        <w:rPr>
          <w:rtl w:val="true"/>
        </w:rPr>
        <w:t xml:space="preserve">- </w:t>
      </w:r>
      <w:r>
        <w:rPr>
          <w:rtl w:val="true"/>
        </w:rPr>
        <w:t>بَديق</w:t>
      </w:r>
      <w:bookmarkEnd w:id="31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روستاهاى كوفه كه دو ميل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داشته است</w:t>
      </w:r>
      <w:r>
        <w:rPr>
          <w:rFonts w:eastAsia="Amiri" w:cs="Amiri" w:ascii="Amiri" w:hAnsi="Amiri"/>
          <w:color w:val="111111"/>
          <w:sz w:val="28"/>
          <w:szCs w:val="28"/>
          <w:rtl w:val="true"/>
          <w:lang w:bidi="ar-SA"/>
        </w:rPr>
        <w:t xml:space="preserve">. </w:t>
      </w:r>
      <w:r>
        <w:rPr>
          <w:rStyle w:val="FootnoteAnchor"/>
          <w:rtl w:val="true"/>
        </w:rPr>
        <w:footnoteReference w:id="218"/>
      </w:r>
      <w:bookmarkStart w:id="320" w:name="pg1964_19501"/>
    </w:p>
    <w:p>
      <w:pPr>
        <w:pStyle w:val="Heading4"/>
        <w:numPr>
          <w:ilvl w:val="3"/>
          <w:numId w:val="1"/>
        </w:numPr>
        <w:rPr/>
      </w:pPr>
      <w:bookmarkStart w:id="321" w:name="__RefHeading___Toc3584687_3650668749"/>
      <w:bookmarkStart w:id="322" w:name="_Toc140"/>
      <w:bookmarkEnd w:id="320"/>
      <w:bookmarkEnd w:id="321"/>
      <w:r>
        <w:rPr>
          <w:rtl w:val="true"/>
        </w:rPr>
        <w:t xml:space="preserve">هفت </w:t>
      </w:r>
      <w:r>
        <w:rPr>
          <w:rtl w:val="true"/>
        </w:rPr>
        <w:t xml:space="preserve">- </w:t>
      </w:r>
      <w:r>
        <w:rPr>
          <w:rtl w:val="true"/>
        </w:rPr>
        <w:t>بَرْثَه</w:t>
      </w:r>
      <w:bookmarkEnd w:id="322"/>
    </w:p>
    <w:p>
      <w:pPr>
        <w:pStyle w:val="BookText"/>
        <w:rPr/>
      </w:pPr>
      <w:r>
        <w:rPr>
          <w:rFonts w:ascii="Amiri" w:hAnsi="Amiri" w:eastAsia="Amiri" w:cs="Amiri"/>
          <w:color w:val="111111"/>
          <w:sz w:val="28"/>
          <w:sz w:val="28"/>
          <w:szCs w:val="28"/>
          <w:rtl w:val="true"/>
          <w:lang w:bidi="ar-SA"/>
        </w:rPr>
        <w:t>اين مكان فقط به عنوان مكانى در نواحى كوفه معرفى شده است</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3584689_3650668749"/>
      <w:bookmarkStart w:id="324" w:name="_Toc141"/>
      <w:bookmarkEnd w:id="323"/>
      <w:r>
        <w:rPr>
          <w:rtl w:val="true"/>
        </w:rPr>
        <w:t xml:space="preserve">هشت </w:t>
      </w:r>
      <w:r>
        <w:rPr>
          <w:rtl w:val="true"/>
        </w:rPr>
        <w:t xml:space="preserve">- </w:t>
      </w:r>
      <w:r>
        <w:rPr>
          <w:rtl w:val="true"/>
        </w:rPr>
        <w:t>بَرَدان</w:t>
      </w:r>
      <w:bookmarkEnd w:id="324"/>
    </w:p>
    <w:p>
      <w:pPr>
        <w:pStyle w:val="BookText"/>
        <w:rPr/>
      </w:pPr>
      <w:r>
        <w:rPr>
          <w:rFonts w:ascii="IRNazanin" w:hAnsi="IRNazanin" w:eastAsia="IRNazanin"/>
          <w:color w:val="111111"/>
          <w:sz w:val="28"/>
          <w:sz w:val="28"/>
          <w:szCs w:val="28"/>
          <w:rtl w:val="true"/>
          <w:lang w:bidi="fa-IR"/>
        </w:rPr>
        <w:t>فقط به عنوان ناحيه‌اى از كوفه ياد شده است بدون آنكه محل آن مشخص گردد</w:t>
      </w:r>
      <w:r>
        <w:rPr>
          <w:rFonts w:eastAsia="IRNazanin" w:cs="IRNazanin"/>
          <w:color w:val="111111"/>
          <w:sz w:val="28"/>
          <w:szCs w:val="28"/>
          <w:rtl w:val="true"/>
          <w:lang w:bidi="fa-IR"/>
        </w:rPr>
        <w:t xml:space="preserve">. </w:t>
      </w:r>
      <w:r>
        <w:rPr>
          <w:rStyle w:val="FootnoteAnchor"/>
          <w:rtl w:val="true"/>
        </w:rPr>
        <w:footnoteReference w:id="219"/>
      </w:r>
    </w:p>
    <w:p>
      <w:pPr>
        <w:pStyle w:val="Heading4"/>
        <w:numPr>
          <w:ilvl w:val="3"/>
          <w:numId w:val="1"/>
        </w:numPr>
        <w:rPr/>
      </w:pPr>
      <w:bookmarkStart w:id="325" w:name="__RefHeading___Toc3584691_3650668749"/>
      <w:bookmarkStart w:id="326" w:name="_Toc142"/>
      <w:bookmarkEnd w:id="325"/>
      <w:r>
        <w:rPr>
          <w:rtl w:val="true"/>
        </w:rPr>
        <w:t xml:space="preserve">نه </w:t>
      </w:r>
      <w:r>
        <w:rPr>
          <w:rtl w:val="true"/>
        </w:rPr>
        <w:t xml:space="preserve">- </w:t>
      </w:r>
      <w:r>
        <w:rPr>
          <w:rtl w:val="true"/>
        </w:rPr>
        <w:t>بَقيقا</w:t>
      </w:r>
      <w:bookmarkEnd w:id="326"/>
    </w:p>
    <w:p>
      <w:pPr>
        <w:pStyle w:val="BookText"/>
        <w:rPr/>
      </w:pPr>
      <w:r>
        <w:rPr>
          <w:rFonts w:ascii="IRNazanin" w:hAnsi="IRNazanin" w:eastAsia="IRNazanin"/>
          <w:color w:val="111111"/>
          <w:sz w:val="28"/>
          <w:sz w:val="28"/>
          <w:szCs w:val="28"/>
          <w:rtl w:val="true"/>
          <w:lang w:bidi="fa-IR"/>
        </w:rPr>
        <w:t>يكى از روستاهاى اطراف كوفه كه مصعب بن زبير در نزديكى آن با خوارج جنگيد</w:t>
      </w:r>
      <w:r>
        <w:rPr>
          <w:rFonts w:eastAsia="IRNazanin" w:cs="IRNazanin"/>
          <w:color w:val="111111"/>
          <w:sz w:val="28"/>
          <w:szCs w:val="28"/>
          <w:rtl w:val="true"/>
          <w:lang w:bidi="fa-IR"/>
        </w:rPr>
        <w:t xml:space="preserve">. </w:t>
      </w:r>
      <w:r>
        <w:rPr>
          <w:rStyle w:val="FootnoteAnchor"/>
          <w:rtl w:val="true"/>
        </w:rPr>
        <w:footnoteReference w:id="220"/>
      </w:r>
    </w:p>
    <w:p>
      <w:pPr>
        <w:pStyle w:val="Heading4"/>
        <w:numPr>
          <w:ilvl w:val="3"/>
          <w:numId w:val="1"/>
        </w:numPr>
        <w:rPr/>
      </w:pPr>
      <w:bookmarkStart w:id="327" w:name="__RefHeading___Toc3584693_3650668749"/>
      <w:bookmarkStart w:id="328" w:name="_Toc143"/>
      <w:bookmarkEnd w:id="327"/>
      <w:r>
        <w:rPr>
          <w:rtl w:val="true"/>
        </w:rPr>
        <w:t xml:space="preserve">ده </w:t>
      </w:r>
      <w:r>
        <w:rPr>
          <w:rtl w:val="true"/>
        </w:rPr>
        <w:t xml:space="preserve">- </w:t>
      </w:r>
      <w:r>
        <w:rPr>
          <w:rtl w:val="true"/>
        </w:rPr>
        <w:t>تَلّبَوَنّا</w:t>
      </w:r>
      <w:bookmarkEnd w:id="328"/>
    </w:p>
    <w:p>
      <w:pPr>
        <w:pStyle w:val="BookText"/>
        <w:rPr/>
      </w:pPr>
      <w:r>
        <w:rPr>
          <w:rFonts w:ascii="Amiri" w:hAnsi="Amiri" w:eastAsia="Amiri" w:cs="Amiri"/>
          <w:color w:val="111111"/>
          <w:sz w:val="28"/>
          <w:sz w:val="28"/>
          <w:szCs w:val="28"/>
          <w:rtl w:val="true"/>
          <w:lang w:bidi="ar-SA"/>
        </w:rPr>
        <w:t>يكى از روستاهاى كوفه است كه نام آن در بعضى از اشعار آورده شده است</w:t>
      </w:r>
      <w:r>
        <w:rPr>
          <w:rFonts w:eastAsia="Amiri" w:cs="Amiri" w:ascii="Amiri" w:hAnsi="Amiri"/>
          <w:color w:val="111111"/>
          <w:sz w:val="28"/>
          <w:szCs w:val="28"/>
          <w:rtl w:val="true"/>
          <w:lang w:bidi="ar-SA"/>
        </w:rPr>
        <w:t xml:space="preserve">. </w:t>
      </w:r>
      <w:r>
        <w:rPr>
          <w:rStyle w:val="FootnoteAnchor"/>
          <w:rtl w:val="true"/>
        </w:rPr>
        <w:footnoteReference w:id="221"/>
      </w:r>
    </w:p>
    <w:p>
      <w:pPr>
        <w:pStyle w:val="Heading4"/>
        <w:numPr>
          <w:ilvl w:val="3"/>
          <w:numId w:val="1"/>
        </w:numPr>
        <w:rPr/>
      </w:pPr>
      <w:bookmarkStart w:id="329" w:name="__RefHeading___Toc3584695_3650668749"/>
      <w:bookmarkStart w:id="330" w:name="_Toc144"/>
      <w:bookmarkEnd w:id="329"/>
      <w:r>
        <w:rPr>
          <w:rtl w:val="true"/>
        </w:rPr>
        <w:t xml:space="preserve">يازده </w:t>
      </w:r>
      <w:r>
        <w:rPr>
          <w:rtl w:val="true"/>
        </w:rPr>
        <w:t xml:space="preserve">- </w:t>
      </w:r>
      <w:r>
        <w:rPr>
          <w:rtl w:val="true"/>
        </w:rPr>
        <w:t>جُبّه</w:t>
      </w:r>
      <w:bookmarkEnd w:id="330"/>
    </w:p>
    <w:p>
      <w:pPr>
        <w:pStyle w:val="BookText"/>
        <w:rPr/>
      </w:pPr>
      <w:r>
        <w:rPr>
          <w:rFonts w:ascii="Amiri" w:hAnsi="Amiri" w:eastAsia="Amiri" w:cs="Amiri"/>
          <w:color w:val="111111"/>
          <w:sz w:val="28"/>
          <w:sz w:val="28"/>
          <w:szCs w:val="28"/>
          <w:rtl w:val="true"/>
          <w:lang w:bidi="ar-SA"/>
        </w:rPr>
        <w:t xml:space="preserve">يكى از نواحى اطراف كوفه كه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طُسّوج الجبّه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نام برده مى‌شد</w:t>
      </w:r>
      <w:r>
        <w:rPr>
          <w:rFonts w:eastAsia="Amiri" w:cs="Amiri" w:ascii="Amiri" w:hAnsi="Amiri"/>
          <w:color w:val="111111"/>
          <w:sz w:val="28"/>
          <w:szCs w:val="28"/>
          <w:rtl w:val="true"/>
          <w:lang w:bidi="ar-SA"/>
        </w:rPr>
        <w:t xml:space="preserve">. </w:t>
      </w:r>
      <w:r>
        <w:rPr>
          <w:rStyle w:val="FootnoteAnchor"/>
          <w:rtl w:val="true"/>
        </w:rPr>
        <w:footnoteReference w:id="222"/>
      </w:r>
    </w:p>
    <w:p>
      <w:pPr>
        <w:pStyle w:val="Heading4"/>
        <w:numPr>
          <w:ilvl w:val="3"/>
          <w:numId w:val="1"/>
        </w:numPr>
        <w:rPr/>
      </w:pPr>
      <w:bookmarkStart w:id="331" w:name="__RefHeading___Toc3584697_3650668749"/>
      <w:bookmarkStart w:id="332" w:name="_Toc145"/>
      <w:bookmarkEnd w:id="331"/>
      <w:r>
        <w:rPr>
          <w:rtl w:val="true"/>
        </w:rPr>
        <w:t xml:space="preserve">دوازده </w:t>
      </w:r>
      <w:r>
        <w:rPr>
          <w:rtl w:val="true"/>
        </w:rPr>
        <w:t xml:space="preserve">- </w:t>
      </w:r>
      <w:r>
        <w:rPr>
          <w:rtl w:val="true"/>
        </w:rPr>
        <w:t>جُرْزَه</w:t>
      </w:r>
      <w:bookmarkEnd w:id="332"/>
    </w:p>
    <w:p>
      <w:pPr>
        <w:pStyle w:val="BookText"/>
        <w:rPr/>
      </w:pPr>
      <w:r>
        <w:rPr>
          <w:rFonts w:ascii="Amiri" w:hAnsi="Amiri" w:eastAsia="Amiri" w:cs="Amiri"/>
          <w:color w:val="111111"/>
          <w:sz w:val="28"/>
          <w:sz w:val="28"/>
          <w:szCs w:val="28"/>
          <w:rtl w:val="true"/>
          <w:lang w:bidi="ar-SA"/>
        </w:rPr>
        <w:t xml:space="preserve">نام يكى از نواحى اطراف كوفه كه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بَنى‌رَبيعَه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نام آن در اشعار آمده است</w:t>
      </w:r>
      <w:r>
        <w:rPr>
          <w:rFonts w:eastAsia="Amiri" w:cs="Amiri" w:ascii="Amiri" w:hAnsi="Amiri"/>
          <w:color w:val="111111"/>
          <w:sz w:val="28"/>
          <w:szCs w:val="28"/>
          <w:rtl w:val="true"/>
          <w:lang w:bidi="ar-SA"/>
        </w:rPr>
        <w:t xml:space="preserve">. </w:t>
      </w:r>
      <w:r>
        <w:rPr>
          <w:rStyle w:val="FootnoteAnchor"/>
          <w:rtl w:val="true"/>
        </w:rPr>
        <w:footnoteReference w:id="223"/>
      </w:r>
    </w:p>
    <w:p>
      <w:pPr>
        <w:pStyle w:val="Heading4"/>
        <w:numPr>
          <w:ilvl w:val="3"/>
          <w:numId w:val="1"/>
        </w:numPr>
        <w:rPr/>
      </w:pPr>
      <w:bookmarkStart w:id="333" w:name="__RefHeading___Toc3584699_3650668749"/>
      <w:bookmarkStart w:id="334" w:name="_Toc146"/>
      <w:bookmarkEnd w:id="333"/>
      <w:r>
        <w:rPr>
          <w:rtl w:val="true"/>
        </w:rPr>
        <w:t xml:space="preserve">سيزده </w:t>
      </w:r>
      <w:r>
        <w:rPr>
          <w:rtl w:val="true"/>
        </w:rPr>
        <w:t xml:space="preserve">- </w:t>
      </w:r>
      <w:r>
        <w:rPr>
          <w:rtl w:val="true"/>
        </w:rPr>
        <w:t>جَرَعه</w:t>
      </w:r>
      <w:bookmarkEnd w:id="33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دشتى بوده در اطراف كوفه كه شن و ماسه سطح آن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هنگام فتح عراق در اين زمين فرود آمد</w:t>
      </w:r>
      <w:r>
        <w:rPr>
          <w:rFonts w:eastAsia="IRNazanin" w:cs="IRNazanin"/>
          <w:color w:val="111111"/>
          <w:sz w:val="28"/>
          <w:szCs w:val="28"/>
          <w:rtl w:val="true"/>
          <w:lang w:bidi="fa-IR"/>
        </w:rPr>
        <w:t xml:space="preserve">. </w:t>
      </w:r>
      <w:r>
        <w:rPr>
          <w:rStyle w:val="FootnoteAnchor"/>
          <w:rtl w:val="true"/>
        </w:rPr>
        <w:footnoteReference w:id="224"/>
      </w:r>
      <w:bookmarkStart w:id="335" w:name="pg1964_19502"/>
    </w:p>
    <w:p>
      <w:pPr>
        <w:pStyle w:val="Heading4"/>
        <w:numPr>
          <w:ilvl w:val="3"/>
          <w:numId w:val="1"/>
        </w:numPr>
        <w:rPr/>
      </w:pPr>
      <w:bookmarkStart w:id="336" w:name="__RefHeading___Toc3584701_3650668749"/>
      <w:bookmarkStart w:id="337" w:name="_Toc147"/>
      <w:bookmarkEnd w:id="335"/>
      <w:bookmarkEnd w:id="336"/>
      <w:r>
        <w:rPr>
          <w:rtl w:val="true"/>
        </w:rPr>
        <w:t xml:space="preserve">چهارده </w:t>
      </w:r>
      <w:r>
        <w:rPr>
          <w:rtl w:val="true"/>
        </w:rPr>
        <w:t xml:space="preserve">- </w:t>
      </w:r>
      <w:r>
        <w:rPr>
          <w:rtl w:val="true"/>
        </w:rPr>
        <w:t>جِسْر</w:t>
      </w:r>
      <w:bookmarkEnd w:id="337"/>
    </w:p>
    <w:p>
      <w:pPr>
        <w:pStyle w:val="BookText"/>
        <w:rPr/>
      </w:pPr>
      <w:r>
        <w:rPr>
          <w:rFonts w:ascii="IRNazanin" w:hAnsi="IRNazanin" w:eastAsia="IRNazanin"/>
          <w:color w:val="111111"/>
          <w:sz w:val="28"/>
          <w:sz w:val="28"/>
          <w:szCs w:val="28"/>
          <w:rtl w:val="true"/>
          <w:lang w:bidi="fa-IR"/>
        </w:rPr>
        <w:t>نام پلى است كه در شمال شرقى كوفه روى فرات نصب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احداث اين پل را به ساسانيان نسبت مى‌دهند و بعضى مى‌گويند كه ابوعبيد ثقفى، پدر مختار در سال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احداث نمود تا از فرات عبور كرده و با ايرانيان بجنگد</w:t>
      </w:r>
      <w:r>
        <w:rPr>
          <w:rFonts w:eastAsia="IRNazanin" w:cs="IRNazanin"/>
          <w:color w:val="111111"/>
          <w:sz w:val="28"/>
          <w:szCs w:val="28"/>
          <w:rtl w:val="true"/>
          <w:lang w:bidi="fa-IR"/>
        </w:rPr>
        <w:t xml:space="preserve">. </w:t>
      </w:r>
      <w:r>
        <w:rPr>
          <w:rStyle w:val="FootnoteAnchor"/>
          <w:rtl w:val="true"/>
        </w:rPr>
        <w:footnoteReference w:id="225"/>
      </w:r>
    </w:p>
    <w:p>
      <w:pPr>
        <w:pStyle w:val="Heading4"/>
        <w:numPr>
          <w:ilvl w:val="3"/>
          <w:numId w:val="1"/>
        </w:numPr>
        <w:rPr/>
      </w:pPr>
      <w:bookmarkStart w:id="338" w:name="__RefHeading___Toc3584703_3650668749"/>
      <w:bookmarkStart w:id="339" w:name="_Toc148"/>
      <w:bookmarkEnd w:id="338"/>
      <w:r>
        <w:rPr>
          <w:rtl w:val="true"/>
        </w:rPr>
        <w:t xml:space="preserve">پانزده </w:t>
      </w:r>
      <w:r>
        <w:rPr>
          <w:rtl w:val="true"/>
        </w:rPr>
        <w:t xml:space="preserve">- </w:t>
      </w:r>
      <w:r>
        <w:rPr>
          <w:rtl w:val="true"/>
        </w:rPr>
        <w:t>حَروراء</w:t>
      </w:r>
      <w:bookmarkEnd w:id="339"/>
    </w:p>
    <w:p>
      <w:pPr>
        <w:pStyle w:val="BookText"/>
        <w:rPr/>
      </w:pPr>
      <w:r>
        <w:rPr>
          <w:rFonts w:ascii="IRNazanin" w:hAnsi="IRNazanin" w:eastAsia="IRNazanin"/>
          <w:color w:val="111111"/>
          <w:sz w:val="28"/>
          <w:sz w:val="28"/>
          <w:szCs w:val="28"/>
          <w:rtl w:val="true"/>
          <w:lang w:bidi="fa-IR"/>
        </w:rPr>
        <w:t xml:space="preserve">مكانى است در فاصله دو ميلى جنوب شرقى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خوارج در آنجا اجتماع نموده و بر ضد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پرداختند</w:t>
      </w:r>
      <w:r>
        <w:rPr>
          <w:rFonts w:eastAsia="IRNazanin" w:cs="IRNazanin"/>
          <w:color w:val="111111"/>
          <w:sz w:val="28"/>
          <w:szCs w:val="28"/>
          <w:rtl w:val="true"/>
          <w:lang w:bidi="fa-IR"/>
        </w:rPr>
        <w:t xml:space="preserve">. </w:t>
      </w:r>
      <w:r>
        <w:rPr>
          <w:rStyle w:val="FootnoteAnchor"/>
          <w:rtl w:val="true"/>
        </w:rPr>
        <w:footnoteReference w:id="226"/>
      </w:r>
    </w:p>
    <w:p>
      <w:pPr>
        <w:pStyle w:val="Heading4"/>
        <w:numPr>
          <w:ilvl w:val="3"/>
          <w:numId w:val="1"/>
        </w:numPr>
        <w:rPr/>
      </w:pPr>
      <w:bookmarkStart w:id="340" w:name="__RefHeading___Toc3584705_3650668749"/>
      <w:bookmarkStart w:id="341" w:name="_Toc149"/>
      <w:bookmarkEnd w:id="340"/>
      <w:r>
        <w:rPr>
          <w:rtl w:val="true"/>
        </w:rPr>
        <w:t xml:space="preserve">شانزده </w:t>
      </w:r>
      <w:r>
        <w:rPr>
          <w:rtl w:val="true"/>
        </w:rPr>
        <w:t xml:space="preserve">- </w:t>
      </w:r>
      <w:r>
        <w:rPr>
          <w:rtl w:val="true"/>
        </w:rPr>
        <w:t>جَصّاصه</w:t>
      </w:r>
      <w:bookmarkEnd w:id="341"/>
    </w:p>
    <w:p>
      <w:pPr>
        <w:pStyle w:val="BookText"/>
        <w:rPr/>
      </w:pPr>
      <w:r>
        <w:rPr>
          <w:rFonts w:ascii="Amiri" w:hAnsi="Amiri" w:eastAsia="Amiri" w:cs="Amiri"/>
          <w:color w:val="111111"/>
          <w:sz w:val="28"/>
          <w:sz w:val="28"/>
          <w:szCs w:val="28"/>
          <w:rtl w:val="true"/>
          <w:lang w:bidi="ar-SA"/>
        </w:rPr>
        <w:t>يكى از نواحى اطراف كوفه و نزديك قصر ابن‌هُبَيره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قصر بعد از زمان مورد بحث بنا شده است</w:t>
      </w:r>
      <w:r>
        <w:rPr>
          <w:rFonts w:eastAsia="Amiri" w:cs="Amiri" w:ascii="Amiri" w:hAnsi="Amiri"/>
          <w:color w:val="111111"/>
          <w:sz w:val="28"/>
          <w:szCs w:val="28"/>
          <w:rtl w:val="true"/>
          <w:lang w:bidi="ar-SA"/>
        </w:rPr>
        <w:t xml:space="preserve">. </w:t>
      </w:r>
      <w:r>
        <w:rPr>
          <w:rStyle w:val="FootnoteAnchor"/>
          <w:rtl w:val="true"/>
        </w:rPr>
        <w:footnoteReference w:id="227"/>
      </w:r>
    </w:p>
    <w:p>
      <w:pPr>
        <w:pStyle w:val="Heading4"/>
        <w:numPr>
          <w:ilvl w:val="3"/>
          <w:numId w:val="1"/>
        </w:numPr>
        <w:rPr/>
      </w:pPr>
      <w:bookmarkStart w:id="342" w:name="__RefHeading___Toc3584707_3650668749"/>
      <w:bookmarkStart w:id="343" w:name="_Toc150"/>
      <w:bookmarkEnd w:id="342"/>
      <w:r>
        <w:rPr>
          <w:rtl w:val="true"/>
        </w:rPr>
        <w:t xml:space="preserve">هفده </w:t>
      </w:r>
      <w:r>
        <w:rPr>
          <w:rtl w:val="true"/>
        </w:rPr>
        <w:t xml:space="preserve">- </w:t>
      </w:r>
      <w:r>
        <w:rPr>
          <w:rtl w:val="true"/>
        </w:rPr>
        <w:t>حيره</w:t>
      </w:r>
      <w:bookmarkEnd w:id="343"/>
    </w:p>
    <w:p>
      <w:pPr>
        <w:pStyle w:val="BookText"/>
        <w:rPr/>
      </w:pPr>
      <w:r>
        <w:rPr>
          <w:rFonts w:ascii="IRNazanin" w:hAnsi="IRNazanin" w:eastAsia="IRNazanin"/>
          <w:color w:val="111111"/>
          <w:sz w:val="28"/>
          <w:sz w:val="28"/>
          <w:szCs w:val="28"/>
          <w:rtl w:val="true"/>
          <w:lang w:bidi="fa-IR"/>
        </w:rPr>
        <w:t>شهرى آباد و بزرگ، واقع در فاصله يك فرسخى جنوب غربى كوفه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زمان تأسيس اين شهر را بين سال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م، يعنى تقريباً هم‌زمان با تأسيس دولت ساسانى در ايران دانسته‌اند</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ياقوت حموى زمان تأسيس اين شهر را حدود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تأسيس كوفه مى‌داند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اين شهر تا قبل از گشوده شدن به وسيله سپاه اسلام، محل حكومت پادشاهان عرب جاهلى، از قبيله لخم بوده است كه از پادشاه ايران فرمانبردارى</w:t>
      </w:r>
      <w:bookmarkStart w:id="344" w:name="pg1964_19503"/>
    </w:p>
    <w:p>
      <w:pPr>
        <w:pStyle w:val="BookText"/>
        <w:rPr/>
      </w:pPr>
      <w:bookmarkEnd w:id="344"/>
      <w:r>
        <w:rPr>
          <w:rFonts w:ascii="IRNazanin" w:hAnsi="IRNazanin" w:eastAsia="IRNazanin"/>
          <w:color w:val="111111"/>
          <w:sz w:val="28"/>
          <w:sz w:val="28"/>
          <w:szCs w:val="28"/>
          <w:rtl w:val="true"/>
          <w:lang w:bidi="fa-IR"/>
        </w:rPr>
        <w:t>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ششم هجرت براى پادشاهان دنيا نامه نوشت، نامه‌اى هم خطاب به حارث غَسّانى، پادشاه حيره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علت نامگذارى اين شهر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سپاهيان خود قبل از تأسيس اين شهر به آن رسيد، خود و سپاهيانش دچار حيرت و سرگردانى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 الرَوْحاء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اين شهر، آبى گوارا و هوايى صاف و آب و هوايى معتدل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آن از سطح بيابان‌هاى اطراف آن، كمتر و از سطح كشتزارها و مزارع اطراف فرات بيشتر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اين شهر به حدى بوده كه قسمتى از شهر نجف كنونى را شامل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زيادى از اين شهر در كنار رود فرات بنا شده بود، به گونه‌اى كه از بالاى قصرهاى آن، رود فرات و ماهى‌هاى آن مشاهده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در زمان‌هاى دور در كنار حيره درياچه‌اى قرار داشته كه در آن كشتى‌هايى كه از چين و هند كالا به حيره مى‌آوردند، حركت مى‌كردند و بنابراين، حيره شهرى بندرى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بنيان نهاده شدن كوفه، حيره كه يكى از بزرگ‌ترين شهرهاى عراق بود، اهميت خود را از دست داد و سيل جمعيت آن به سوى كوفه روان شد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البته از آنجا كه شهرى آباد بود و همه امور لازم براى يك شهر را داشت، در شهر كوفه از جهت ساختمانى، شهرسازى، حرفه‌ها، آداب و رسوم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تأثير فراوانى گذاشت</w:t>
      </w:r>
      <w:r>
        <w:rPr>
          <w:rFonts w:eastAsia="IRNazanin" w:cs="IRNazanin"/>
          <w:color w:val="111111"/>
          <w:sz w:val="28"/>
          <w:szCs w:val="28"/>
          <w:rtl w:val="true"/>
          <w:lang w:bidi="fa-IR"/>
        </w:rPr>
        <w:t xml:space="preserve">. </w:t>
      </w:r>
      <w:r>
        <w:rPr>
          <w:rStyle w:val="FootnoteAnchor"/>
          <w:rtl w:val="true"/>
        </w:rPr>
        <w:footnoteReference w:id="232"/>
      </w:r>
    </w:p>
    <w:p>
      <w:pPr>
        <w:pStyle w:val="Heading4"/>
        <w:numPr>
          <w:ilvl w:val="3"/>
          <w:numId w:val="1"/>
        </w:numPr>
        <w:rPr/>
      </w:pPr>
      <w:bookmarkStart w:id="345" w:name="__RefHeading___Toc3584709_3650668749"/>
      <w:bookmarkStart w:id="346" w:name="_Toc151"/>
      <w:bookmarkEnd w:id="345"/>
      <w:r>
        <w:rPr>
          <w:rtl w:val="true"/>
        </w:rPr>
        <w:t xml:space="preserve">هجده </w:t>
      </w:r>
      <w:r>
        <w:rPr>
          <w:rtl w:val="true"/>
        </w:rPr>
        <w:t xml:space="preserve">- </w:t>
      </w:r>
      <w:r>
        <w:rPr>
          <w:rtl w:val="true"/>
        </w:rPr>
        <w:t>خانِقَيْن</w:t>
      </w:r>
      <w:bookmarkEnd w:id="34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خانقين در اينجا يكى از نواحى اطراف كوفه مى‌باشد، نه شهرى كه در مرز عراق و ايران و نزديك قصر شيرين قرار دارد</w:t>
      </w:r>
      <w:r>
        <w:rPr>
          <w:rFonts w:eastAsia="Amiri" w:cs="Amiri" w:ascii="Amiri" w:hAnsi="Amiri"/>
          <w:color w:val="111111"/>
          <w:sz w:val="28"/>
          <w:szCs w:val="28"/>
          <w:rtl w:val="true"/>
          <w:lang w:bidi="ar-SA"/>
        </w:rPr>
        <w:t xml:space="preserve">. </w:t>
      </w:r>
      <w:r>
        <w:rPr>
          <w:rStyle w:val="FootnoteAnchor"/>
          <w:rtl w:val="true"/>
        </w:rPr>
        <w:footnoteReference w:id="233"/>
      </w:r>
      <w:bookmarkStart w:id="347" w:name="pg1964_19504"/>
    </w:p>
    <w:p>
      <w:pPr>
        <w:pStyle w:val="Heading4"/>
        <w:numPr>
          <w:ilvl w:val="3"/>
          <w:numId w:val="1"/>
        </w:numPr>
        <w:rPr/>
      </w:pPr>
      <w:bookmarkStart w:id="348" w:name="__RefHeading___Toc3584711_3650668749"/>
      <w:bookmarkStart w:id="349" w:name="_Toc152"/>
      <w:bookmarkEnd w:id="347"/>
      <w:bookmarkEnd w:id="348"/>
      <w:r>
        <w:rPr>
          <w:rtl w:val="true"/>
        </w:rPr>
        <w:t xml:space="preserve">نوزده </w:t>
      </w:r>
      <w:r>
        <w:rPr>
          <w:rtl w:val="true"/>
        </w:rPr>
        <w:t xml:space="preserve">- </w:t>
      </w:r>
      <w:r>
        <w:rPr>
          <w:rtl w:val="true"/>
        </w:rPr>
        <w:t>خَرّاره</w:t>
      </w:r>
      <w:bookmarkEnd w:id="349"/>
    </w:p>
    <w:p>
      <w:pPr>
        <w:pStyle w:val="BookText"/>
        <w:rPr/>
      </w:pPr>
      <w:r>
        <w:rPr>
          <w:rFonts w:ascii="Amiri" w:hAnsi="Amiri" w:eastAsia="Amiri" w:cs="Amiri"/>
          <w:color w:val="111111"/>
          <w:sz w:val="28"/>
          <w:sz w:val="28"/>
          <w:szCs w:val="28"/>
          <w:rtl w:val="true"/>
          <w:lang w:bidi="ar-SA"/>
        </w:rPr>
        <w:t xml:space="preserve">اين مكان، نزديك سَيلَحون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يكى از نواحى اطراف كوفه و در جنوب شرقى آن است، واقع شده بود</w:t>
      </w:r>
      <w:r>
        <w:rPr>
          <w:rFonts w:eastAsia="Amiri" w:cs="Amiri" w:ascii="Amiri" w:hAnsi="Amiri"/>
          <w:color w:val="111111"/>
          <w:sz w:val="28"/>
          <w:szCs w:val="28"/>
          <w:rtl w:val="true"/>
          <w:lang w:bidi="ar-SA"/>
        </w:rPr>
        <w:t xml:space="preserve">. </w:t>
      </w:r>
      <w:r>
        <w:rPr>
          <w:rStyle w:val="FootnoteAnchor"/>
          <w:rtl w:val="true"/>
        </w:rPr>
        <w:footnoteReference w:id="234"/>
      </w:r>
    </w:p>
    <w:p>
      <w:pPr>
        <w:pStyle w:val="Heading4"/>
        <w:numPr>
          <w:ilvl w:val="3"/>
          <w:numId w:val="1"/>
        </w:numPr>
        <w:rPr/>
      </w:pPr>
      <w:bookmarkStart w:id="350" w:name="__RefHeading___Toc3584713_3650668749"/>
      <w:bookmarkStart w:id="351" w:name="_Toc153"/>
      <w:bookmarkEnd w:id="350"/>
      <w:r>
        <w:rPr>
          <w:rtl w:val="true"/>
        </w:rPr>
        <w:t xml:space="preserve">بيست </w:t>
      </w:r>
      <w:r>
        <w:rPr>
          <w:rtl w:val="true"/>
        </w:rPr>
        <w:t xml:space="preserve">- </w:t>
      </w:r>
      <w:r>
        <w:rPr>
          <w:rtl w:val="true"/>
        </w:rPr>
        <w:t>خُصوص</w:t>
      </w:r>
      <w:bookmarkEnd w:id="351"/>
    </w:p>
    <w:p>
      <w:pPr>
        <w:pStyle w:val="BookText"/>
        <w:rPr/>
      </w:pPr>
      <w:r>
        <w:rPr>
          <w:rFonts w:ascii="Amiri" w:hAnsi="Amiri" w:eastAsia="Amiri" w:cs="Amiri"/>
          <w:color w:val="111111"/>
          <w:sz w:val="28"/>
          <w:sz w:val="28"/>
          <w:szCs w:val="28"/>
          <w:rtl w:val="true"/>
          <w:lang w:bidi="ar-SA"/>
        </w:rPr>
        <w:t>مكانى نزديك كوفه بوده است</w:t>
      </w:r>
      <w:r>
        <w:rPr>
          <w:rFonts w:eastAsia="Amiri" w:cs="Amiri" w:ascii="Amiri" w:hAnsi="Amiri"/>
          <w:color w:val="111111"/>
          <w:sz w:val="28"/>
          <w:szCs w:val="28"/>
          <w:rtl w:val="true"/>
          <w:lang w:bidi="ar-SA"/>
        </w:rPr>
        <w:t xml:space="preserve">. </w:t>
      </w:r>
      <w:r>
        <w:rPr>
          <w:rStyle w:val="FootnoteAnchor"/>
          <w:rtl w:val="true"/>
        </w:rPr>
        <w:footnoteReference w:id="235"/>
      </w:r>
    </w:p>
    <w:p>
      <w:pPr>
        <w:pStyle w:val="Heading4"/>
        <w:numPr>
          <w:ilvl w:val="3"/>
          <w:numId w:val="1"/>
        </w:numPr>
        <w:rPr/>
      </w:pPr>
      <w:bookmarkStart w:id="352" w:name="__RefHeading___Toc3584715_3650668749"/>
      <w:bookmarkStart w:id="353" w:name="_Toc154"/>
      <w:bookmarkEnd w:id="352"/>
      <w:r>
        <w:rPr>
          <w:rtl w:val="true"/>
        </w:rPr>
        <w:t xml:space="preserve">بيست و يك </w:t>
      </w:r>
      <w:r>
        <w:rPr>
          <w:rtl w:val="true"/>
        </w:rPr>
        <w:t xml:space="preserve">- </w:t>
      </w:r>
      <w:r>
        <w:rPr>
          <w:rtl w:val="true"/>
        </w:rPr>
        <w:t>خَفّان</w:t>
      </w:r>
      <w:bookmarkEnd w:id="353"/>
    </w:p>
    <w:p>
      <w:pPr>
        <w:pStyle w:val="BookText"/>
        <w:rPr/>
      </w:pPr>
      <w:r>
        <w:rPr>
          <w:rFonts w:ascii="Amiri" w:hAnsi="Amiri" w:eastAsia="Amiri" w:cs="Amiri"/>
          <w:color w:val="111111"/>
          <w:sz w:val="28"/>
          <w:sz w:val="28"/>
          <w:szCs w:val="28"/>
          <w:rtl w:val="true"/>
          <w:lang w:bidi="ar-SA"/>
        </w:rPr>
        <w:t>مكانى بوده در جنوب كوفه كه در سر راه حاجيان كوفه قرار داشته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نقشه‌شماره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مكان، بيشه شيران بوده است</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از اين مكان هنگام بستن راه‌هاى ورودى و خروجى در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وسيله عبيدالله‌بن‌زياد، نام برده شده است</w:t>
      </w:r>
      <w:r>
        <w:rPr>
          <w:rFonts w:eastAsia="IRNazanin" w:cs="IRNazanin"/>
          <w:color w:val="111111"/>
          <w:sz w:val="28"/>
          <w:szCs w:val="28"/>
          <w:rtl w:val="true"/>
          <w:lang w:bidi="fa-IR"/>
        </w:rPr>
        <w:t xml:space="preserve">. </w:t>
      </w:r>
      <w:r>
        <w:rPr>
          <w:rStyle w:val="FootnoteAnchor"/>
          <w:rtl w:val="true"/>
        </w:rPr>
        <w:footnoteReference w:id="237"/>
      </w:r>
    </w:p>
    <w:p>
      <w:pPr>
        <w:pStyle w:val="Heading4"/>
        <w:numPr>
          <w:ilvl w:val="3"/>
          <w:numId w:val="1"/>
        </w:numPr>
        <w:rPr/>
      </w:pPr>
      <w:bookmarkStart w:id="354" w:name="__RefHeading___Toc3584717_3650668749"/>
      <w:bookmarkStart w:id="355" w:name="_Toc155"/>
      <w:bookmarkEnd w:id="354"/>
      <w:r>
        <w:rPr>
          <w:rtl w:val="true"/>
        </w:rPr>
        <w:t xml:space="preserve">بيست و دو </w:t>
      </w:r>
      <w:r>
        <w:rPr>
          <w:rtl w:val="true"/>
        </w:rPr>
        <w:t xml:space="preserve">- </w:t>
      </w:r>
      <w:r>
        <w:rPr>
          <w:rtl w:val="true"/>
        </w:rPr>
        <w:t>خَفيّه</w:t>
      </w:r>
      <w:bookmarkEnd w:id="355"/>
    </w:p>
    <w:p>
      <w:pPr>
        <w:pStyle w:val="BookText"/>
        <w:rPr/>
      </w:pPr>
      <w:r>
        <w:rPr>
          <w:rFonts w:ascii="Amiri" w:hAnsi="Amiri" w:eastAsia="Amiri" w:cs="Amiri"/>
          <w:color w:val="111111"/>
          <w:sz w:val="28"/>
          <w:sz w:val="28"/>
          <w:szCs w:val="28"/>
          <w:rtl w:val="true"/>
          <w:lang w:bidi="ar-SA"/>
        </w:rPr>
        <w:t>نيزارى بوده نزديك خَفّان</w:t>
      </w:r>
      <w:r>
        <w:rPr>
          <w:rFonts w:eastAsia="Amiri" w:cs="Amiri" w:ascii="Amiri" w:hAnsi="Amiri"/>
          <w:color w:val="111111"/>
          <w:sz w:val="28"/>
          <w:szCs w:val="28"/>
          <w:rtl w:val="true"/>
          <w:lang w:bidi="ar-SA"/>
        </w:rPr>
        <w:t xml:space="preserve">. </w:t>
      </w:r>
      <w:r>
        <w:rPr>
          <w:rStyle w:val="FootnoteAnchor"/>
          <w:rtl w:val="true"/>
        </w:rPr>
        <w:footnoteReference w:id="238"/>
      </w:r>
    </w:p>
    <w:p>
      <w:pPr>
        <w:pStyle w:val="Heading4"/>
        <w:numPr>
          <w:ilvl w:val="3"/>
          <w:numId w:val="1"/>
        </w:numPr>
        <w:rPr/>
      </w:pPr>
      <w:bookmarkStart w:id="356" w:name="__RefHeading___Toc3584719_3650668749"/>
      <w:bookmarkStart w:id="357" w:name="_Toc156"/>
      <w:bookmarkEnd w:id="356"/>
      <w:r>
        <w:rPr>
          <w:rtl w:val="true"/>
        </w:rPr>
        <w:t xml:space="preserve">بيست و سه </w:t>
      </w:r>
      <w:r>
        <w:rPr>
          <w:rtl w:val="true"/>
        </w:rPr>
        <w:t xml:space="preserve">- </w:t>
      </w:r>
      <w:r>
        <w:rPr>
          <w:rtl w:val="true"/>
        </w:rPr>
        <w:t xml:space="preserve">خَنْدَق سابور </w:t>
      </w:r>
      <w:r>
        <w:rPr>
          <w:rtl w:val="true"/>
        </w:rPr>
        <w:t>(</w:t>
      </w:r>
      <w:r>
        <w:rPr>
          <w:rtl w:val="true"/>
        </w:rPr>
        <w:t>خندق شاپور</w:t>
      </w:r>
      <w:r>
        <w:rPr>
          <w:rtl w:val="true"/>
        </w:rPr>
        <w:t>)</w:t>
      </w:r>
      <w:bookmarkEnd w:id="357"/>
    </w:p>
    <w:p>
      <w:pPr>
        <w:pStyle w:val="BookText"/>
        <w:rPr/>
      </w:pPr>
      <w:r>
        <w:rPr>
          <w:rFonts w:ascii="IRNazanin" w:hAnsi="IRNazanin" w:eastAsia="IRNazanin"/>
          <w:color w:val="111111"/>
          <w:sz w:val="28"/>
          <w:sz w:val="28"/>
          <w:szCs w:val="28"/>
          <w:rtl w:val="true"/>
          <w:lang w:bidi="fa-IR"/>
        </w:rPr>
        <w:t>خندقى بوده نزديك بيابان كوفه كه شاپور پادشاه ايرانى براى جلوگيرى از حملات اعراب باديه‌نشين قبل از اسلام حفر نموده بود</w:t>
      </w:r>
      <w:r>
        <w:rPr>
          <w:rFonts w:eastAsia="IRNazanin" w:cs="IRNazanin"/>
          <w:color w:val="111111"/>
          <w:sz w:val="28"/>
          <w:szCs w:val="28"/>
          <w:rtl w:val="true"/>
          <w:lang w:bidi="fa-IR"/>
        </w:rPr>
        <w:t xml:space="preserve">. </w:t>
      </w:r>
      <w:r>
        <w:rPr>
          <w:rStyle w:val="FootnoteAnchor"/>
          <w:rtl w:val="true"/>
        </w:rPr>
        <w:footnoteReference w:id="239"/>
      </w:r>
    </w:p>
    <w:p>
      <w:pPr>
        <w:pStyle w:val="Heading4"/>
        <w:numPr>
          <w:ilvl w:val="3"/>
          <w:numId w:val="1"/>
        </w:numPr>
        <w:rPr/>
      </w:pPr>
      <w:bookmarkStart w:id="358" w:name="__RefHeading___Toc3584721_3650668749"/>
      <w:bookmarkStart w:id="359" w:name="_Toc157"/>
      <w:bookmarkEnd w:id="358"/>
      <w:r>
        <w:rPr>
          <w:rtl w:val="true"/>
        </w:rPr>
        <w:t xml:space="preserve">بيست و چهار </w:t>
      </w:r>
      <w:r>
        <w:rPr>
          <w:rtl w:val="true"/>
        </w:rPr>
        <w:t xml:space="preserve">- </w:t>
      </w:r>
      <w:r>
        <w:rPr>
          <w:rtl w:val="true"/>
        </w:rPr>
        <w:t>خَوَرْنَق</w:t>
      </w:r>
      <w:bookmarkEnd w:id="35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قصرى بزرگ و با شكوه بوده كه در ناحيه جنوب شرقى كوفه و حيره و در كنار فرات بنا شده بود به گونه‌اى كه يكى از نهرهاى فرات همچون خندقى آن را</w:t>
      </w:r>
      <w:bookmarkStart w:id="360" w:name="pg1964_19505"/>
    </w:p>
    <w:p>
      <w:pPr>
        <w:pStyle w:val="BookText"/>
        <w:rPr/>
      </w:pPr>
      <w:bookmarkEnd w:id="360"/>
      <w:r>
        <w:rPr>
          <w:rFonts w:ascii="IRNazanin" w:hAnsi="IRNazanin" w:eastAsia="IRNazanin"/>
          <w:color w:val="111111"/>
          <w:sz w:val="28"/>
          <w:sz w:val="28"/>
          <w:szCs w:val="28"/>
          <w:rtl w:val="true"/>
          <w:lang w:bidi="fa-IR"/>
        </w:rPr>
        <w:t>در برمى‌گرفت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نقشه‌هاى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قصر به دستور نُعْمان بن اِمْرئ القيس كه حكومت حيره را در زمان پادشاهى بهرام گور ساسانى به عهده داشت،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اين قصر، معمارى رومى به نام سِنِمّار بود كه آن را در مدت شصت سال از حكومت هشتاد ساله نعمان،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پايان كار اظهار داشت از مكان آجرى در اين قصر آگاه است كه اگر آن را بردارند، همه قصر در هم مى‌ريزد، به همين دليل به دستور نعمان از قصر پايين انداخته شد و از اين رو، مَثَل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سنمّار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جزاى نيكى،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ساختمان قصر در مكانى بنا شده بود كه از بالاى آن، منظره رود فرات از روبه‌رو و منظره بيابان از پشت قصر به خوبى مشاهده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مى‌رود كه نام اين قصر از لغت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خوردن، گرفته شده‌باشد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صاحب مراصد الاطلاع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قصر تا هم اكنون در پشت حيره باقى است</w:t>
      </w:r>
      <w:r>
        <w:rPr>
          <w:rFonts w:eastAsia="IRNazanin" w:cs="IRNazanin"/>
          <w:color w:val="111111"/>
          <w:sz w:val="28"/>
          <w:szCs w:val="28"/>
          <w:rtl w:val="true"/>
          <w:lang w:bidi="fa-IR"/>
        </w:rPr>
        <w:t xml:space="preserve">» . </w:t>
      </w:r>
      <w:r>
        <w:rPr>
          <w:rStyle w:val="FootnoteAnchor"/>
          <w:rtl w:val="true"/>
        </w:rPr>
        <w:footnoteReference w:id="241"/>
      </w:r>
      <w:r>
        <w:rPr>
          <w:rFonts w:ascii="IRNazanin" w:hAnsi="IRNazanin" w:eastAsia="IRNazanin"/>
          <w:color w:val="111111"/>
          <w:sz w:val="28"/>
          <w:sz w:val="28"/>
          <w:szCs w:val="28"/>
          <w:rtl w:val="true"/>
          <w:lang w:bidi="fa-IR"/>
        </w:rPr>
        <w:t>از اين گفته مى‌توان نتيجه گرفت كه اين قصر تا اوايل قرن هشتم هجرى قمرى پا برجا بوده است</w:t>
      </w:r>
      <w:r>
        <w:rPr>
          <w:rFonts w:eastAsia="IRNazanin" w:cs="IRNazanin"/>
          <w:color w:val="111111"/>
          <w:sz w:val="28"/>
          <w:szCs w:val="28"/>
          <w:rtl w:val="true"/>
          <w:lang w:bidi="fa-IR"/>
        </w:rPr>
        <w:t>.</w:t>
      </w:r>
    </w:p>
    <w:p>
      <w:pPr>
        <w:pStyle w:val="Heading4"/>
        <w:numPr>
          <w:ilvl w:val="3"/>
          <w:numId w:val="1"/>
        </w:numPr>
        <w:rPr/>
      </w:pPr>
      <w:bookmarkStart w:id="361" w:name="__RefHeading___Toc3584723_3650668749"/>
      <w:bookmarkStart w:id="362" w:name="_Toc158"/>
      <w:bookmarkEnd w:id="361"/>
      <w:r>
        <w:rPr>
          <w:rtl w:val="true"/>
        </w:rPr>
        <w:t xml:space="preserve">بيست و پنج </w:t>
      </w:r>
      <w:r>
        <w:rPr>
          <w:rtl w:val="true"/>
        </w:rPr>
        <w:t xml:space="preserve">- </w:t>
      </w:r>
      <w:r>
        <w:rPr>
          <w:rtl w:val="true"/>
        </w:rPr>
        <w:t>دُوران</w:t>
      </w:r>
      <w:bookmarkEnd w:id="362"/>
    </w:p>
    <w:p>
      <w:pPr>
        <w:pStyle w:val="BookText"/>
        <w:rPr/>
      </w:pPr>
      <w:r>
        <w:rPr>
          <w:rFonts w:ascii="IRNazanin" w:hAnsi="IRNazanin" w:eastAsia="IRNazanin"/>
          <w:color w:val="111111"/>
          <w:sz w:val="28"/>
          <w:sz w:val="28"/>
          <w:szCs w:val="28"/>
          <w:rtl w:val="true"/>
          <w:lang w:bidi="fa-IR"/>
        </w:rPr>
        <w:t xml:space="preserve">مكانى بوده است واقع در غرب جسر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كوفه</w:t>
      </w:r>
      <w:r>
        <w:rPr>
          <w:rFonts w:eastAsia="IRNazanin" w:cs="IRNazanin"/>
          <w:color w:val="111111"/>
          <w:sz w:val="28"/>
          <w:szCs w:val="28"/>
          <w:rtl w:val="true"/>
          <w:lang w:bidi="fa-IR"/>
        </w:rPr>
        <w:t xml:space="preserve">) . </w:t>
      </w:r>
      <w:r>
        <w:rPr>
          <w:rStyle w:val="FootnoteAnchor"/>
          <w:rtl w:val="true"/>
        </w:rPr>
        <w:footnoteReference w:id="242"/>
      </w:r>
    </w:p>
    <w:p>
      <w:pPr>
        <w:pStyle w:val="Heading4"/>
        <w:numPr>
          <w:ilvl w:val="3"/>
          <w:numId w:val="1"/>
        </w:numPr>
        <w:rPr/>
      </w:pPr>
      <w:bookmarkStart w:id="363" w:name="__RefHeading___Toc3584725_3650668749"/>
      <w:bookmarkStart w:id="364" w:name="_Toc159"/>
      <w:bookmarkEnd w:id="363"/>
      <w:r>
        <w:rPr>
          <w:rtl w:val="true"/>
        </w:rPr>
        <w:t xml:space="preserve">بيست و شش </w:t>
      </w:r>
      <w:r>
        <w:rPr>
          <w:rtl w:val="true"/>
        </w:rPr>
        <w:t xml:space="preserve">- </w:t>
      </w:r>
      <w:r>
        <w:rPr>
          <w:rtl w:val="true"/>
        </w:rPr>
        <w:t xml:space="preserve">دُوما </w:t>
      </w:r>
      <w:r>
        <w:rPr>
          <w:rtl w:val="true"/>
        </w:rPr>
        <w:t>(</w:t>
      </w:r>
      <w:r>
        <w:rPr>
          <w:rtl w:val="true"/>
        </w:rPr>
        <w:t>دُرمَه</w:t>
      </w:r>
      <w:r>
        <w:rPr>
          <w:rtl w:val="true"/>
        </w:rPr>
        <w:t>)</w:t>
      </w:r>
      <w:bookmarkEnd w:id="364"/>
    </w:p>
    <w:p>
      <w:pPr>
        <w:pStyle w:val="BookText"/>
        <w:rPr/>
      </w:pPr>
      <w:r>
        <w:rPr>
          <w:rFonts w:ascii="Amiri" w:hAnsi="Amiri" w:eastAsia="Amiri" w:cs="Amiri"/>
          <w:color w:val="111111"/>
          <w:sz w:val="28"/>
          <w:sz w:val="28"/>
          <w:szCs w:val="28"/>
          <w:rtl w:val="true"/>
          <w:lang w:bidi="ar-SA"/>
        </w:rPr>
        <w:t>نام ناحيه‌اى بود نزديك كوفه كه نجف جزئى از آن به شمار مى‌رفت</w:t>
      </w:r>
      <w:r>
        <w:rPr>
          <w:rFonts w:eastAsia="Amiri" w:cs="Amiri" w:ascii="Amiri" w:hAnsi="Amiri"/>
          <w:color w:val="111111"/>
          <w:sz w:val="28"/>
          <w:szCs w:val="28"/>
          <w:rtl w:val="true"/>
          <w:lang w:bidi="ar-SA"/>
        </w:rPr>
        <w:t xml:space="preserve">. </w:t>
      </w:r>
      <w:r>
        <w:rPr>
          <w:rStyle w:val="FootnoteAnchor"/>
          <w:rtl w:val="true"/>
        </w:rPr>
        <w:footnoteReference w:id="243"/>
      </w:r>
    </w:p>
    <w:p>
      <w:pPr>
        <w:pStyle w:val="Heading4"/>
        <w:numPr>
          <w:ilvl w:val="3"/>
          <w:numId w:val="1"/>
        </w:numPr>
        <w:rPr/>
      </w:pPr>
      <w:bookmarkStart w:id="365" w:name="__RefHeading___Toc3584727_3650668749"/>
      <w:bookmarkStart w:id="366" w:name="_Toc160"/>
      <w:bookmarkEnd w:id="365"/>
      <w:r>
        <w:rPr>
          <w:rtl w:val="true"/>
        </w:rPr>
        <w:t xml:space="preserve">بيست و هفت </w:t>
      </w:r>
      <w:r>
        <w:rPr>
          <w:rtl w:val="true"/>
        </w:rPr>
        <w:t xml:space="preserve">- </w:t>
      </w:r>
      <w:r>
        <w:rPr>
          <w:rtl w:val="true"/>
        </w:rPr>
        <w:t>زُرارَه</w:t>
      </w:r>
      <w:bookmarkEnd w:id="36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روستايى بين كوفه و فرات بوده و نزديك جسر كوفه قرار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روستا منسوب به زرارةبن يزيد، از تيره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كه در زمان</w:t>
      </w:r>
      <w:bookmarkStart w:id="367" w:name="pg1964_19506"/>
    </w:p>
    <w:p>
      <w:pPr>
        <w:pStyle w:val="BookText"/>
        <w:rPr/>
      </w:pPr>
      <w:bookmarkEnd w:id="367"/>
      <w:r>
        <w:rPr>
          <w:rFonts w:ascii="IRNazanin" w:hAnsi="IRNazanin" w:eastAsia="IRNazanin"/>
          <w:color w:val="111111"/>
          <w:sz w:val="28"/>
          <w:sz w:val="28"/>
          <w:szCs w:val="28"/>
          <w:rtl w:val="true"/>
          <w:lang w:bidi="fa-IR"/>
        </w:rPr>
        <w:t>حكومت سعيد بن عاص كه از طرف عثمان فرمانرواى كوفه بود، رياست شرطه كوفه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در زمان خلافت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روستا شراب خريد و فروش مى‌شد، از اين رو حضرت فرمان سوزاندن اين روستا را صادر كرد</w:t>
      </w:r>
      <w:r>
        <w:rPr>
          <w:rFonts w:eastAsia="IRNazanin" w:cs="IRNazanin"/>
          <w:color w:val="111111"/>
          <w:sz w:val="28"/>
          <w:szCs w:val="28"/>
          <w:rtl w:val="true"/>
          <w:lang w:bidi="fa-IR"/>
        </w:rPr>
        <w:t xml:space="preserve">. </w:t>
      </w:r>
      <w:r>
        <w:rPr>
          <w:rStyle w:val="FootnoteAnchor"/>
          <w:rtl w:val="true"/>
        </w:rPr>
        <w:footnoteReference w:id="244"/>
      </w:r>
    </w:p>
    <w:p>
      <w:pPr>
        <w:pStyle w:val="Heading4"/>
        <w:numPr>
          <w:ilvl w:val="3"/>
          <w:numId w:val="1"/>
        </w:numPr>
        <w:rPr/>
      </w:pPr>
      <w:bookmarkStart w:id="368" w:name="__RefHeading___Toc3584729_3650668749"/>
      <w:bookmarkStart w:id="369" w:name="_Toc161"/>
      <w:bookmarkEnd w:id="368"/>
      <w:r>
        <w:rPr>
          <w:rtl w:val="true"/>
        </w:rPr>
        <w:t xml:space="preserve">بيست و هشت </w:t>
      </w:r>
      <w:r>
        <w:rPr>
          <w:rtl w:val="true"/>
        </w:rPr>
        <w:t xml:space="preserve">- </w:t>
      </w:r>
      <w:r>
        <w:rPr>
          <w:rtl w:val="true"/>
        </w:rPr>
        <w:t>زَُوْرَه</w:t>
      </w:r>
      <w:bookmarkEnd w:id="369"/>
    </w:p>
    <w:p>
      <w:pPr>
        <w:pStyle w:val="BookText"/>
        <w:rPr/>
      </w:pPr>
      <w:r>
        <w:rPr>
          <w:rFonts w:ascii="IRNazanin" w:hAnsi="IRNazanin" w:eastAsia="IRNazanin"/>
          <w:color w:val="111111"/>
          <w:sz w:val="28"/>
          <w:sz w:val="28"/>
          <w:szCs w:val="28"/>
          <w:rtl w:val="true"/>
          <w:lang w:bidi="fa-IR"/>
        </w:rPr>
        <w:t>بعضى آن را مكانى در كوفه و بعضى ديگر ناحيه‌اى بين شام و كوفه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لغت به معناى دورى و بُعد مى‌باشد</w:t>
      </w:r>
      <w:r>
        <w:rPr>
          <w:rFonts w:eastAsia="IRNazanin" w:cs="IRNazanin"/>
          <w:color w:val="111111"/>
          <w:sz w:val="28"/>
          <w:szCs w:val="28"/>
          <w:rtl w:val="true"/>
          <w:lang w:bidi="fa-IR"/>
        </w:rPr>
        <w:t xml:space="preserve">. </w:t>
      </w:r>
      <w:r>
        <w:rPr>
          <w:rStyle w:val="FootnoteAnchor"/>
          <w:rtl w:val="true"/>
        </w:rPr>
        <w:footnoteReference w:id="245"/>
      </w:r>
    </w:p>
    <w:p>
      <w:pPr>
        <w:pStyle w:val="Heading4"/>
        <w:numPr>
          <w:ilvl w:val="3"/>
          <w:numId w:val="1"/>
        </w:numPr>
        <w:rPr/>
      </w:pPr>
      <w:bookmarkStart w:id="370" w:name="__RefHeading___Toc3584731_3650668749"/>
      <w:bookmarkStart w:id="371" w:name="_Toc162"/>
      <w:bookmarkEnd w:id="370"/>
      <w:r>
        <w:rPr>
          <w:rtl w:val="true"/>
        </w:rPr>
        <w:t xml:space="preserve">بيست و نه </w:t>
      </w:r>
      <w:r>
        <w:rPr>
          <w:rtl w:val="true"/>
        </w:rPr>
        <w:t xml:space="preserve">- </w:t>
      </w:r>
      <w:r>
        <w:rPr>
          <w:rtl w:val="true"/>
        </w:rPr>
        <w:t>زَيْدان</w:t>
      </w:r>
      <w:bookmarkEnd w:id="371"/>
    </w:p>
    <w:p>
      <w:pPr>
        <w:pStyle w:val="BookText"/>
        <w:rPr/>
      </w:pPr>
      <w:r>
        <w:rPr>
          <w:rFonts w:ascii="IRNazanin" w:hAnsi="IRNazanin" w:eastAsia="IRNazanin"/>
          <w:color w:val="111111"/>
          <w:sz w:val="28"/>
          <w:sz w:val="28"/>
          <w:szCs w:val="28"/>
          <w:rtl w:val="true"/>
          <w:lang w:bidi="fa-IR"/>
        </w:rPr>
        <w:t>اين لغت، تثنيه زَيد و به گفته بعضى نام مكانى در كوفه بوده است</w:t>
      </w:r>
      <w:r>
        <w:rPr>
          <w:rFonts w:eastAsia="IRNazanin" w:cs="IRNazanin"/>
          <w:color w:val="111111"/>
          <w:sz w:val="28"/>
          <w:szCs w:val="28"/>
          <w:rtl w:val="true"/>
          <w:lang w:bidi="fa-IR"/>
        </w:rPr>
        <w:t xml:space="preserve">. </w:t>
      </w:r>
      <w:r>
        <w:rPr>
          <w:rStyle w:val="FootnoteAnchor"/>
          <w:rtl w:val="true"/>
        </w:rPr>
        <w:footnoteReference w:id="246"/>
      </w:r>
    </w:p>
    <w:p>
      <w:pPr>
        <w:pStyle w:val="Heading4"/>
        <w:numPr>
          <w:ilvl w:val="3"/>
          <w:numId w:val="1"/>
        </w:numPr>
        <w:rPr/>
      </w:pPr>
      <w:bookmarkStart w:id="372" w:name="__RefHeading___Toc3584733_3650668749"/>
      <w:bookmarkStart w:id="373" w:name="_Toc163"/>
      <w:bookmarkEnd w:id="372"/>
      <w:r>
        <w:rPr>
          <w:rtl w:val="true"/>
        </w:rPr>
        <w:t xml:space="preserve">سى </w:t>
      </w:r>
      <w:r>
        <w:rPr>
          <w:rtl w:val="true"/>
        </w:rPr>
        <w:t xml:space="preserve">- </w:t>
      </w:r>
      <w:r>
        <w:rPr>
          <w:rtl w:val="true"/>
        </w:rPr>
        <w:t>سَكِن</w:t>
      </w:r>
      <w:bookmarkEnd w:id="373"/>
    </w:p>
    <w:p>
      <w:pPr>
        <w:pStyle w:val="BookText"/>
        <w:rPr/>
      </w:pPr>
      <w:r>
        <w:rPr>
          <w:rFonts w:ascii="IRNazanin" w:hAnsi="IRNazanin" w:eastAsia="IRNazanin"/>
          <w:color w:val="111111"/>
          <w:sz w:val="28"/>
          <w:sz w:val="28"/>
          <w:szCs w:val="28"/>
          <w:rtl w:val="true"/>
          <w:lang w:bidi="fa-IR"/>
        </w:rPr>
        <w:t xml:space="preserve">بعضى گفته‌اند كه نام مكانى در كوفه است، اما ياقوت مى‌گويد كه امكان دارد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247"/>
      </w:r>
    </w:p>
    <w:p>
      <w:pPr>
        <w:pStyle w:val="Heading4"/>
        <w:numPr>
          <w:ilvl w:val="3"/>
          <w:numId w:val="1"/>
        </w:numPr>
        <w:rPr/>
      </w:pPr>
      <w:bookmarkStart w:id="374" w:name="__RefHeading___Toc3584735_3650668749"/>
      <w:bookmarkStart w:id="375" w:name="_Toc164"/>
      <w:bookmarkEnd w:id="374"/>
      <w:r>
        <w:rPr>
          <w:rtl w:val="true"/>
        </w:rPr>
        <w:t xml:space="preserve">سى و يك </w:t>
      </w:r>
      <w:r>
        <w:rPr>
          <w:rtl w:val="true"/>
        </w:rPr>
        <w:t xml:space="preserve">- </w:t>
      </w:r>
      <w:r>
        <w:rPr>
          <w:rtl w:val="true"/>
        </w:rPr>
        <w:t>سَنينِيا</w:t>
      </w:r>
      <w:bookmarkEnd w:id="375"/>
    </w:p>
    <w:p>
      <w:pPr>
        <w:pStyle w:val="BookText"/>
        <w:rPr/>
      </w:pPr>
      <w:r>
        <w:rPr>
          <w:rFonts w:ascii="Amiri" w:hAnsi="Amiri" w:eastAsia="Amiri" w:cs="Amiri"/>
          <w:color w:val="111111"/>
          <w:sz w:val="28"/>
          <w:sz w:val="28"/>
          <w:szCs w:val="28"/>
          <w:rtl w:val="true"/>
          <w:lang w:bidi="ar-SA"/>
        </w:rPr>
        <w:t>يكى از روستاهاى اطراف كوفه بود كه عثمان آن را به عمّار ياسر بخشيد</w:t>
      </w:r>
      <w:r>
        <w:rPr>
          <w:rFonts w:eastAsia="Amiri" w:cs="Amiri" w:ascii="Amiri" w:hAnsi="Amiri"/>
          <w:color w:val="111111"/>
          <w:sz w:val="28"/>
          <w:szCs w:val="28"/>
          <w:rtl w:val="true"/>
          <w:lang w:bidi="ar-SA"/>
        </w:rPr>
        <w:t xml:space="preserve">. </w:t>
      </w:r>
      <w:r>
        <w:rPr>
          <w:rStyle w:val="FootnoteAnchor"/>
          <w:rtl w:val="true"/>
        </w:rPr>
        <w:footnoteReference w:id="248"/>
      </w:r>
    </w:p>
    <w:p>
      <w:pPr>
        <w:pStyle w:val="Heading4"/>
        <w:numPr>
          <w:ilvl w:val="3"/>
          <w:numId w:val="1"/>
        </w:numPr>
        <w:rPr/>
      </w:pPr>
      <w:bookmarkStart w:id="376" w:name="__RefHeading___Toc3584737_3650668749"/>
      <w:bookmarkStart w:id="377" w:name="_Toc165"/>
      <w:bookmarkEnd w:id="376"/>
      <w:r>
        <w:rPr>
          <w:rtl w:val="true"/>
        </w:rPr>
        <w:t xml:space="preserve">سى و دو </w:t>
      </w:r>
      <w:r>
        <w:rPr>
          <w:rtl w:val="true"/>
        </w:rPr>
        <w:t xml:space="preserve">- </w:t>
      </w:r>
      <w:r>
        <w:rPr>
          <w:rtl w:val="true"/>
        </w:rPr>
        <w:t>سَواديّه</w:t>
      </w:r>
      <w:bookmarkEnd w:id="37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روستاهاى اطراف كوفه و منسوب به سواد بن زيد، از قبيله بنى‌تميم بوده‌است</w:t>
      </w:r>
      <w:r>
        <w:rPr>
          <w:rFonts w:eastAsia="Amiri" w:cs="Amiri" w:ascii="Amiri" w:hAnsi="Amiri"/>
          <w:color w:val="111111"/>
          <w:sz w:val="28"/>
          <w:szCs w:val="28"/>
          <w:rtl w:val="true"/>
          <w:lang w:bidi="ar-SA"/>
        </w:rPr>
        <w:t xml:space="preserve">. </w:t>
      </w:r>
      <w:r>
        <w:rPr>
          <w:rStyle w:val="FootnoteAnchor"/>
          <w:rtl w:val="true"/>
        </w:rPr>
        <w:footnoteReference w:id="249"/>
      </w:r>
      <w:bookmarkStart w:id="378" w:name="pg1964_19507"/>
    </w:p>
    <w:p>
      <w:pPr>
        <w:pStyle w:val="Heading4"/>
        <w:numPr>
          <w:ilvl w:val="3"/>
          <w:numId w:val="1"/>
        </w:numPr>
        <w:rPr/>
      </w:pPr>
      <w:bookmarkStart w:id="379" w:name="__RefHeading___Toc3584739_3650668749"/>
      <w:bookmarkStart w:id="380" w:name="_Toc166"/>
      <w:bookmarkEnd w:id="378"/>
      <w:bookmarkEnd w:id="379"/>
      <w:r>
        <w:rPr>
          <w:rtl w:val="true"/>
        </w:rPr>
        <w:t xml:space="preserve">سى و سه </w:t>
      </w:r>
      <w:r>
        <w:rPr>
          <w:rtl w:val="true"/>
        </w:rPr>
        <w:t xml:space="preserve">- </w:t>
      </w:r>
      <w:r>
        <w:rPr>
          <w:rtl w:val="true"/>
        </w:rPr>
        <w:t>سِيْب</w:t>
      </w:r>
      <w:bookmarkEnd w:id="380"/>
    </w:p>
    <w:p>
      <w:pPr>
        <w:pStyle w:val="BookText"/>
        <w:rPr/>
      </w:pPr>
      <w:r>
        <w:rPr>
          <w:rFonts w:ascii="Amiri" w:hAnsi="Amiri" w:eastAsia="Amiri" w:cs="Amiri"/>
          <w:color w:val="111111"/>
          <w:sz w:val="28"/>
          <w:sz w:val="28"/>
          <w:szCs w:val="28"/>
          <w:rtl w:val="true"/>
          <w:lang w:bidi="ar-SA"/>
        </w:rPr>
        <w:t xml:space="preserve">دو دهستان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اطراف كوفه و نزديك مكان قصر ابن‌هبيره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بعدها بنا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دو سيب، جزء توابع شهر سورا بوده‌اند نه كوفه</w:t>
      </w:r>
      <w:r>
        <w:rPr>
          <w:rFonts w:eastAsia="Amiri" w:cs="Amiri" w:ascii="Amiri" w:hAnsi="Amiri"/>
          <w:color w:val="111111"/>
          <w:sz w:val="28"/>
          <w:szCs w:val="28"/>
          <w:rtl w:val="true"/>
          <w:lang w:bidi="ar-SA"/>
        </w:rPr>
        <w:t xml:space="preserve">. </w:t>
      </w:r>
      <w:r>
        <w:rPr>
          <w:rStyle w:val="FootnoteAnchor"/>
          <w:rtl w:val="true"/>
        </w:rPr>
        <w:footnoteReference w:id="250"/>
      </w:r>
    </w:p>
    <w:p>
      <w:pPr>
        <w:pStyle w:val="Heading4"/>
        <w:numPr>
          <w:ilvl w:val="3"/>
          <w:numId w:val="1"/>
        </w:numPr>
        <w:rPr/>
      </w:pPr>
      <w:bookmarkStart w:id="381" w:name="__RefHeading___Toc3584741_3650668749"/>
      <w:bookmarkStart w:id="382" w:name="_Toc167"/>
      <w:bookmarkEnd w:id="381"/>
      <w:r>
        <w:rPr>
          <w:rtl w:val="true"/>
        </w:rPr>
        <w:t xml:space="preserve">سى و چهار </w:t>
      </w:r>
      <w:r>
        <w:rPr>
          <w:rtl w:val="true"/>
        </w:rPr>
        <w:t xml:space="preserve">- </w:t>
      </w:r>
      <w:r>
        <w:rPr>
          <w:rtl w:val="true"/>
        </w:rPr>
        <w:t xml:space="preserve">سَيْلَحون </w:t>
      </w:r>
      <w:r>
        <w:rPr>
          <w:rtl w:val="true"/>
        </w:rPr>
        <w:t>(</w:t>
      </w:r>
      <w:r>
        <w:rPr>
          <w:rtl w:val="true"/>
        </w:rPr>
        <w:t>سَيْلَحين</w:t>
      </w:r>
      <w:r>
        <w:rPr>
          <w:rtl w:val="true"/>
        </w:rPr>
        <w:t>)</w:t>
      </w:r>
      <w:bookmarkEnd w:id="382"/>
    </w:p>
    <w:p>
      <w:pPr>
        <w:pStyle w:val="BookText"/>
        <w:rPr/>
      </w:pPr>
      <w:r>
        <w:rPr>
          <w:rFonts w:ascii="IRNazanin" w:hAnsi="IRNazanin" w:eastAsia="IRNazanin"/>
          <w:color w:val="111111"/>
          <w:sz w:val="28"/>
          <w:sz w:val="28"/>
          <w:szCs w:val="28"/>
          <w:rtl w:val="true"/>
          <w:lang w:bidi="fa-IR"/>
        </w:rPr>
        <w:t xml:space="preserve">مكانى بوده است واقع در جنوب شرقى كوفه و در كنار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شماره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مى‌شود يكى از محل‌هاى نگهدارى اسلحه ايرانيان بوده است</w:t>
      </w:r>
      <w:r>
        <w:rPr>
          <w:rFonts w:eastAsia="IRNazanin" w:cs="IRNazanin"/>
          <w:color w:val="111111"/>
          <w:sz w:val="28"/>
          <w:szCs w:val="28"/>
          <w:rtl w:val="true"/>
          <w:lang w:bidi="fa-IR"/>
        </w:rPr>
        <w:t xml:space="preserve">. </w:t>
      </w:r>
      <w:r>
        <w:rPr>
          <w:rStyle w:val="FootnoteAnchor"/>
          <w:rtl w:val="true"/>
        </w:rPr>
        <w:footnoteReference w:id="251"/>
      </w:r>
    </w:p>
    <w:p>
      <w:pPr>
        <w:pStyle w:val="Heading4"/>
        <w:numPr>
          <w:ilvl w:val="3"/>
          <w:numId w:val="1"/>
        </w:numPr>
        <w:rPr/>
      </w:pPr>
      <w:bookmarkStart w:id="383" w:name="__RefHeading___Toc3584743_3650668749"/>
      <w:bookmarkStart w:id="384" w:name="_Toc168"/>
      <w:bookmarkEnd w:id="383"/>
      <w:r>
        <w:rPr>
          <w:rtl w:val="true"/>
        </w:rPr>
        <w:t xml:space="preserve">سى و پنج </w:t>
      </w:r>
      <w:r>
        <w:rPr>
          <w:rtl w:val="true"/>
        </w:rPr>
        <w:t xml:space="preserve">- </w:t>
      </w:r>
      <w:r>
        <w:rPr>
          <w:rtl w:val="true"/>
        </w:rPr>
        <w:t>شانيا</w:t>
      </w:r>
      <w:bookmarkEnd w:id="384"/>
    </w:p>
    <w:p>
      <w:pPr>
        <w:pStyle w:val="BookText"/>
        <w:rPr/>
      </w:pPr>
      <w:r>
        <w:rPr>
          <w:rFonts w:ascii="Amiri" w:hAnsi="Amiri" w:eastAsia="Amiri" w:cs="Amiri"/>
          <w:color w:val="111111"/>
          <w:sz w:val="28"/>
          <w:sz w:val="28"/>
          <w:szCs w:val="28"/>
          <w:rtl w:val="true"/>
          <w:lang w:bidi="ar-SA"/>
        </w:rPr>
        <w:t xml:space="preserve">نام يكى از روستاهاى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Style w:val="FootnoteAnchor"/>
          <w:rtl w:val="true"/>
        </w:rPr>
        <w:footnoteReference w:id="252"/>
      </w:r>
    </w:p>
    <w:p>
      <w:pPr>
        <w:pStyle w:val="Heading4"/>
        <w:numPr>
          <w:ilvl w:val="3"/>
          <w:numId w:val="1"/>
        </w:numPr>
        <w:rPr/>
      </w:pPr>
      <w:bookmarkStart w:id="385" w:name="__RefHeading___Toc3584745_3650668749"/>
      <w:bookmarkStart w:id="386" w:name="_Toc169"/>
      <w:bookmarkEnd w:id="385"/>
      <w:r>
        <w:rPr>
          <w:rtl w:val="true"/>
        </w:rPr>
        <w:t xml:space="preserve">سى و شش </w:t>
      </w:r>
      <w:r>
        <w:rPr>
          <w:rtl w:val="true"/>
        </w:rPr>
        <w:t xml:space="preserve">- </w:t>
      </w:r>
      <w:r>
        <w:rPr>
          <w:rtl w:val="true"/>
        </w:rPr>
        <w:t>شيلي</w:t>
      </w:r>
      <w:bookmarkEnd w:id="386"/>
    </w:p>
    <w:p>
      <w:pPr>
        <w:pStyle w:val="BookText"/>
        <w:rPr/>
      </w:pPr>
      <w:r>
        <w:rPr>
          <w:rFonts w:ascii="Amiri" w:hAnsi="Amiri" w:eastAsia="Amiri" w:cs="Amiri"/>
          <w:color w:val="111111"/>
          <w:sz w:val="28"/>
          <w:sz w:val="28"/>
          <w:szCs w:val="28"/>
          <w:rtl w:val="true"/>
          <w:lang w:bidi="ar-SA"/>
        </w:rPr>
        <w:t>يكى از نواحى كوفه كه در آن نهرى به همين نام جارى بوده است كه بعدها به نام نهرزياد ناميده شد</w:t>
      </w:r>
      <w:r>
        <w:rPr>
          <w:rFonts w:eastAsia="Amiri" w:cs="Amiri" w:ascii="Amiri" w:hAnsi="Amiri"/>
          <w:color w:val="111111"/>
          <w:sz w:val="28"/>
          <w:szCs w:val="28"/>
          <w:rtl w:val="true"/>
          <w:lang w:bidi="ar-SA"/>
        </w:rPr>
        <w:t xml:space="preserve">. </w:t>
      </w:r>
      <w:r>
        <w:rPr>
          <w:rStyle w:val="FootnoteAnchor"/>
          <w:rtl w:val="true"/>
        </w:rPr>
        <w:footnoteReference w:id="253"/>
      </w:r>
    </w:p>
    <w:p>
      <w:pPr>
        <w:pStyle w:val="Heading4"/>
        <w:numPr>
          <w:ilvl w:val="3"/>
          <w:numId w:val="1"/>
        </w:numPr>
        <w:rPr/>
      </w:pPr>
      <w:bookmarkStart w:id="387" w:name="__RefHeading___Toc3584747_3650668749"/>
      <w:bookmarkStart w:id="388" w:name="_Toc170"/>
      <w:bookmarkEnd w:id="387"/>
      <w:r>
        <w:rPr>
          <w:rtl w:val="true"/>
        </w:rPr>
        <w:t xml:space="preserve">سى و هفت </w:t>
      </w:r>
      <w:r>
        <w:rPr>
          <w:rtl w:val="true"/>
        </w:rPr>
        <w:t xml:space="preserve">- </w:t>
      </w:r>
      <w:r>
        <w:rPr>
          <w:rtl w:val="true"/>
        </w:rPr>
        <w:t>صَريفين</w:t>
      </w:r>
      <w:bookmarkEnd w:id="388"/>
    </w:p>
    <w:p>
      <w:pPr>
        <w:pStyle w:val="BookText"/>
        <w:rPr/>
      </w:pPr>
      <w:r>
        <w:rPr>
          <w:rFonts w:ascii="Amiri" w:hAnsi="Amiri" w:eastAsia="Amiri" w:cs="Amiri"/>
          <w:color w:val="111111"/>
          <w:sz w:val="28"/>
          <w:sz w:val="28"/>
          <w:szCs w:val="28"/>
          <w:rtl w:val="true"/>
          <w:lang w:bidi="ar-SA"/>
        </w:rPr>
        <w:t>نام يكى از روستاهاى اطراف كوفه بوده است</w:t>
      </w:r>
      <w:r>
        <w:rPr>
          <w:rFonts w:eastAsia="Amiri" w:cs="Amiri" w:ascii="Amiri" w:hAnsi="Amiri"/>
          <w:color w:val="111111"/>
          <w:sz w:val="28"/>
          <w:szCs w:val="28"/>
          <w:rtl w:val="true"/>
          <w:lang w:bidi="ar-SA"/>
        </w:rPr>
        <w:t xml:space="preserve">. </w:t>
      </w:r>
      <w:r>
        <w:rPr>
          <w:rStyle w:val="FootnoteAnchor"/>
          <w:rtl w:val="true"/>
        </w:rPr>
        <w:footnoteReference w:id="254"/>
      </w:r>
    </w:p>
    <w:p>
      <w:pPr>
        <w:pStyle w:val="Heading4"/>
        <w:numPr>
          <w:ilvl w:val="3"/>
          <w:numId w:val="1"/>
        </w:numPr>
        <w:rPr/>
      </w:pPr>
      <w:bookmarkStart w:id="389" w:name="__RefHeading___Toc3584749_3650668749"/>
      <w:bookmarkStart w:id="390" w:name="_Toc171"/>
      <w:bookmarkEnd w:id="389"/>
      <w:r>
        <w:rPr>
          <w:rtl w:val="true"/>
        </w:rPr>
        <w:t xml:space="preserve">سى و هشت </w:t>
      </w:r>
      <w:r>
        <w:rPr>
          <w:rtl w:val="true"/>
        </w:rPr>
        <w:t xml:space="preserve">- </w:t>
      </w:r>
      <w:r>
        <w:rPr>
          <w:rtl w:val="true"/>
        </w:rPr>
        <w:t>صِنّين</w:t>
      </w:r>
      <w:bookmarkEnd w:id="39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شهركى بوده در جنوب كوفه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حيره قبل از اسلام گاهى در آن اقامت مى‌كردند و نهرها و كشتزارهاى فراوانى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اين شهرك</w:t>
      </w:r>
      <w:bookmarkStart w:id="391" w:name="pg1964_19508"/>
    </w:p>
    <w:p>
      <w:pPr>
        <w:pStyle w:val="BookText"/>
        <w:rPr/>
      </w:pPr>
      <w:bookmarkEnd w:id="391"/>
      <w:r>
        <w:rPr>
          <w:rFonts w:ascii="IRNazanin" w:hAnsi="IRNazanin" w:eastAsia="IRNazanin"/>
          <w:color w:val="111111"/>
          <w:sz w:val="28"/>
          <w:sz w:val="28"/>
          <w:szCs w:val="28"/>
          <w:rtl w:val="true"/>
          <w:lang w:bidi="fa-IR"/>
        </w:rPr>
        <w:t xml:space="preserve">در زمان اسلام، مدتى به ملك طلح بن عبيدالله از اصحاب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پس از مدتى عثمان آن را از او خريد</w:t>
      </w:r>
      <w:r>
        <w:rPr>
          <w:rFonts w:eastAsia="IRNazanin" w:cs="IRNazanin"/>
          <w:color w:val="111111"/>
          <w:sz w:val="28"/>
          <w:szCs w:val="28"/>
          <w:rtl w:val="true"/>
          <w:lang w:bidi="fa-IR"/>
        </w:rPr>
        <w:t xml:space="preserve">. </w:t>
      </w:r>
      <w:r>
        <w:rPr>
          <w:rStyle w:val="FootnoteAnchor"/>
          <w:rtl w:val="true"/>
        </w:rPr>
        <w:footnoteReference w:id="255"/>
      </w:r>
      <w:r>
        <w:rPr>
          <w:rFonts w:ascii="Amiri" w:hAnsi="Amiri" w:eastAsia="Amiri" w:cs="Amiri"/>
          <w:color w:val="111111"/>
          <w:sz w:val="28"/>
          <w:sz w:val="28"/>
          <w:szCs w:val="28"/>
          <w:rtl w:val="true"/>
          <w:lang w:bidi="ar-SA"/>
        </w:rPr>
        <w:t>اين مكان بين خَوَرْنق و طيزناباذ قرار داشته است</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3584751_3650668749"/>
      <w:bookmarkStart w:id="393" w:name="_Toc172"/>
      <w:bookmarkEnd w:id="392"/>
      <w:r>
        <w:rPr>
          <w:rtl w:val="true"/>
        </w:rPr>
        <w:t xml:space="preserve">سى و نه </w:t>
      </w:r>
      <w:r>
        <w:rPr>
          <w:rtl w:val="true"/>
        </w:rPr>
        <w:t xml:space="preserve">- </w:t>
      </w:r>
      <w:r>
        <w:rPr>
          <w:rtl w:val="true"/>
        </w:rPr>
        <w:t xml:space="preserve">طِيَزناباذ </w:t>
      </w:r>
      <w:r>
        <w:rPr>
          <w:rtl w:val="true"/>
        </w:rPr>
        <w:t>(</w:t>
      </w:r>
      <w:r>
        <w:rPr>
          <w:rtl w:val="true"/>
        </w:rPr>
        <w:t>ضَيزَناباذ</w:t>
      </w:r>
      <w:r>
        <w:rPr>
          <w:rtl w:val="true"/>
        </w:rPr>
        <w:t>)</w:t>
      </w:r>
      <w:bookmarkEnd w:id="393"/>
    </w:p>
    <w:p>
      <w:pPr>
        <w:pStyle w:val="BookText"/>
        <w:rPr/>
      </w:pPr>
      <w:r>
        <w:rPr>
          <w:rFonts w:ascii="IRNazanin" w:hAnsi="IRNazanin" w:eastAsia="IRNazanin"/>
          <w:color w:val="111111"/>
          <w:sz w:val="28"/>
          <w:sz w:val="28"/>
          <w:szCs w:val="28"/>
          <w:rtl w:val="true"/>
          <w:lang w:bidi="fa-IR"/>
        </w:rPr>
        <w:t xml:space="preserve">لغتى است فارسى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ضِيزن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ضيزن بن معاويه آن را بنا نمود به اين نام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اين منطقه، روستايى بوده در جنوب كوفه بين كوفه و قادسيه در سر راه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كه تا قادسيه يك ميل راه فاصله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شماره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روستا را عمر بن خطاب به اَشْعِث بن قِيس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يكى از خوش آب و هواترين مكان‌هاى عراق بوده است كه در آن باغ‌هاى انگور و ديگر باغستان‌هاى فراوان وجود داشت و به همين سبب به يكى از مواضع شراب‌سازى و خريد و فروش شراب تبديل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اين مكان به يكى از مكان‌هاى خوش‌گذرانى افراد خوش‌گذران و فاسد تبديل شد و در آن فسادهاى فراوانى صورت مى‌گرفت</w:t>
      </w:r>
      <w:r>
        <w:rPr>
          <w:rFonts w:eastAsia="IRNazanin" w:cs="IRNazanin"/>
          <w:color w:val="111111"/>
          <w:sz w:val="28"/>
          <w:szCs w:val="28"/>
          <w:rtl w:val="true"/>
          <w:lang w:bidi="fa-IR"/>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هم‌اكنون خرابه‌هاى اين روستا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طُعَير يزات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 كيلومترى شمال شرقى نجف قرار دارد</w:t>
      </w:r>
      <w:r>
        <w:rPr>
          <w:rFonts w:eastAsia="Amiri" w:cs="Amiri" w:ascii="Amiri" w:hAnsi="Amiri"/>
          <w:color w:val="111111"/>
          <w:sz w:val="28"/>
          <w:szCs w:val="28"/>
          <w:rtl w:val="true"/>
          <w:lang w:bidi="ar-SA"/>
        </w:rPr>
        <w:t xml:space="preserve">. </w:t>
      </w:r>
      <w:r>
        <w:rPr>
          <w:rStyle w:val="FootnoteAnchor"/>
          <w:rtl w:val="true"/>
        </w:rPr>
        <w:footnoteReference w:id="257"/>
      </w:r>
    </w:p>
    <w:p>
      <w:pPr>
        <w:pStyle w:val="Heading4"/>
        <w:numPr>
          <w:ilvl w:val="3"/>
          <w:numId w:val="1"/>
        </w:numPr>
        <w:rPr/>
      </w:pPr>
      <w:bookmarkStart w:id="394" w:name="__RefHeading___Toc3584753_3650668749"/>
      <w:bookmarkStart w:id="395" w:name="_Toc173"/>
      <w:bookmarkEnd w:id="394"/>
      <w:r>
        <w:rPr>
          <w:rtl w:val="true"/>
        </w:rPr>
        <w:t xml:space="preserve">چهل </w:t>
      </w:r>
      <w:r>
        <w:rPr>
          <w:rtl w:val="true"/>
        </w:rPr>
        <w:t xml:space="preserve">- </w:t>
      </w:r>
      <w:r>
        <w:rPr>
          <w:rtl w:val="true"/>
        </w:rPr>
        <w:t xml:space="preserve">عَقْر </w:t>
      </w:r>
      <w:r>
        <w:rPr>
          <w:rtl w:val="true"/>
        </w:rPr>
        <w:t>(</w:t>
      </w:r>
      <w:r>
        <w:rPr>
          <w:rtl w:val="true"/>
        </w:rPr>
        <w:t>عقر بابل</w:t>
      </w:r>
      <w:r>
        <w:rPr>
          <w:rtl w:val="true"/>
        </w:rPr>
        <w:t>)</w:t>
      </w:r>
      <w:bookmarkEnd w:id="395"/>
    </w:p>
    <w:p>
      <w:pPr>
        <w:pStyle w:val="BookText"/>
        <w:rPr/>
      </w:pPr>
      <w:r>
        <w:rPr>
          <w:rFonts w:ascii="Amiri" w:hAnsi="Amiri" w:eastAsia="Amiri" w:cs="Amiri"/>
          <w:color w:val="111111"/>
          <w:sz w:val="28"/>
          <w:sz w:val="28"/>
          <w:szCs w:val="28"/>
          <w:rtl w:val="true"/>
          <w:lang w:bidi="ar-SA"/>
        </w:rPr>
        <w:t xml:space="preserve">از آنجا كه اين روستا در مسير حركت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شده بود </w:t>
      </w:r>
      <w:r>
        <w:rPr>
          <w:rStyle w:val="FootnoteAnchor"/>
          <w:rtl w:val="true"/>
        </w:rPr>
        <w:footnoteReference w:id="258"/>
      </w:r>
      <w:r>
        <w:rPr>
          <w:rFonts w:ascii="Amiri" w:hAnsi="Amiri" w:eastAsia="Amiri" w:cs="Amiri"/>
          <w:color w:val="111111"/>
          <w:sz w:val="28"/>
          <w:sz w:val="28"/>
          <w:szCs w:val="28"/>
          <w:rtl w:val="true"/>
          <w:lang w:bidi="ar-SA"/>
        </w:rPr>
        <w:t xml:space="preserve">، در بخش بررسى مسير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مكه تا كربلا در باره آن بحث خواهد شد</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3584755_3650668749"/>
      <w:bookmarkStart w:id="397" w:name="_Toc174"/>
      <w:bookmarkEnd w:id="396"/>
      <w:r>
        <w:rPr>
          <w:rtl w:val="true"/>
        </w:rPr>
        <w:t xml:space="preserve">چهل و يك </w:t>
      </w:r>
      <w:r>
        <w:rPr>
          <w:rtl w:val="true"/>
        </w:rPr>
        <w:t xml:space="preserve">- </w:t>
      </w:r>
      <w:r>
        <w:rPr>
          <w:rtl w:val="true"/>
        </w:rPr>
        <w:t>عَين جَمَل</w:t>
      </w:r>
      <w:bookmarkEnd w:id="39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مكانى بود در ناحيه نجف، در اطراف كوفه و نزديك قُطْقُطانَه و در جاده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كه تا بصره سى ميل راه فاصله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اين منطقه، چشمه‌هاى ديگرى نيز جارى بود،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مى‌گفتند</w:t>
      </w:r>
      <w:r>
        <w:rPr>
          <w:rFonts w:eastAsia="IRNazanin" w:cs="IRNazanin"/>
          <w:color w:val="111111"/>
          <w:sz w:val="28"/>
          <w:szCs w:val="28"/>
          <w:rtl w:val="true"/>
          <w:lang w:bidi="fa-IR"/>
        </w:rPr>
        <w:t>.</w:t>
      </w:r>
      <w:bookmarkStart w:id="398" w:name="pg1964_19509"/>
    </w:p>
    <w:p>
      <w:pPr>
        <w:pStyle w:val="BookText"/>
        <w:rPr/>
      </w:pPr>
      <w:bookmarkEnd w:id="398"/>
      <w:r>
        <w:rPr>
          <w:rFonts w:ascii="IRNazanin" w:hAnsi="IRNazanin" w:eastAsia="IRNazanin"/>
          <w:color w:val="111111"/>
          <w:sz w:val="28"/>
          <w:sz w:val="28"/>
          <w:szCs w:val="28"/>
          <w:rtl w:val="true"/>
          <w:lang w:bidi="fa-IR"/>
        </w:rPr>
        <w:t xml:space="preserve">دليل نامگذارى آن به جمل نيز اين بوده است كه در كنار اين چشمه، شتر ماده‌اى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در باره دليل نامگذارى آن گفته‌اند كه جَمل نام شخصى بوده كه اين چشمه را استخراج كرده است</w:t>
      </w:r>
      <w:r>
        <w:rPr>
          <w:rFonts w:eastAsia="IRNazanin" w:cs="IRNazanin"/>
          <w:color w:val="111111"/>
          <w:sz w:val="28"/>
          <w:szCs w:val="28"/>
          <w:rtl w:val="true"/>
          <w:lang w:bidi="fa-IR"/>
        </w:rPr>
        <w:t xml:space="preserve">. </w:t>
      </w:r>
      <w:r>
        <w:rPr>
          <w:rStyle w:val="FootnoteAnchor"/>
          <w:rtl w:val="true"/>
        </w:rPr>
        <w:footnoteReference w:id="259"/>
      </w:r>
    </w:p>
    <w:p>
      <w:pPr>
        <w:pStyle w:val="Heading4"/>
        <w:numPr>
          <w:ilvl w:val="3"/>
          <w:numId w:val="1"/>
        </w:numPr>
        <w:rPr/>
      </w:pPr>
      <w:bookmarkStart w:id="399" w:name="__RefHeading___Toc3584757_3650668749"/>
      <w:bookmarkStart w:id="400" w:name="_Toc175"/>
      <w:bookmarkEnd w:id="399"/>
      <w:r>
        <w:rPr>
          <w:rtl w:val="true"/>
        </w:rPr>
        <w:t xml:space="preserve">چهل و دو </w:t>
      </w:r>
      <w:r>
        <w:rPr>
          <w:rtl w:val="true"/>
        </w:rPr>
        <w:t xml:space="preserve">- </w:t>
      </w:r>
      <w:r>
        <w:rPr>
          <w:rtl w:val="true"/>
        </w:rPr>
        <w:t>عين صَيد</w:t>
      </w:r>
      <w:bookmarkEnd w:id="400"/>
    </w:p>
    <w:p>
      <w:pPr>
        <w:pStyle w:val="BookText"/>
        <w:rPr/>
      </w:pPr>
      <w:r>
        <w:rPr>
          <w:rFonts w:ascii="IRNazanin" w:hAnsi="IRNazanin" w:eastAsia="IRNazanin"/>
          <w:color w:val="111111"/>
          <w:sz w:val="28"/>
          <w:sz w:val="28"/>
          <w:szCs w:val="28"/>
          <w:rtl w:val="true"/>
          <w:lang w:bidi="fa-IR"/>
        </w:rPr>
        <w:t xml:space="preserve">ناحيه‌اى بوده است در سر راه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و در سى ميلى عين جمل به طرف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ناحيه در كنار فرات يا نهرى از آن واقع بوده است؛ زيرا در علت نامگذارى آن گفته‌اند كه به سبب فراوانى صيد ماهى به اين نام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خَفّان در نزديكى اين مكان قرار داشته است</w:t>
      </w:r>
      <w:r>
        <w:rPr>
          <w:rFonts w:eastAsia="IRNazanin" w:cs="IRNazanin"/>
          <w:color w:val="111111"/>
          <w:sz w:val="28"/>
          <w:szCs w:val="28"/>
          <w:rtl w:val="true"/>
          <w:lang w:bidi="fa-IR"/>
        </w:rPr>
        <w:t xml:space="preserve">. </w:t>
      </w:r>
      <w:r>
        <w:rPr>
          <w:rStyle w:val="FootnoteAnchor"/>
          <w:rtl w:val="true"/>
        </w:rPr>
        <w:footnoteReference w:id="260"/>
      </w:r>
    </w:p>
    <w:p>
      <w:pPr>
        <w:pStyle w:val="Heading4"/>
        <w:numPr>
          <w:ilvl w:val="3"/>
          <w:numId w:val="1"/>
        </w:numPr>
        <w:rPr/>
      </w:pPr>
      <w:bookmarkStart w:id="401" w:name="__RefHeading___Toc3584759_3650668749"/>
      <w:bookmarkStart w:id="402" w:name="_Toc176"/>
      <w:bookmarkEnd w:id="401"/>
      <w:r>
        <w:rPr>
          <w:rtl w:val="true"/>
        </w:rPr>
        <w:t xml:space="preserve">چهل و سه </w:t>
      </w:r>
      <w:r>
        <w:rPr>
          <w:rtl w:val="true"/>
        </w:rPr>
        <w:t xml:space="preserve">- </w:t>
      </w:r>
      <w:r>
        <w:rPr>
          <w:rtl w:val="true"/>
        </w:rPr>
        <w:t>عين ظَبْي</w:t>
      </w:r>
      <w:bookmarkEnd w:id="402"/>
    </w:p>
    <w:p>
      <w:pPr>
        <w:pStyle w:val="BookText"/>
        <w:rPr/>
      </w:pPr>
      <w:r>
        <w:rPr>
          <w:rFonts w:ascii="Amiri" w:hAnsi="Amiri" w:eastAsia="Amiri" w:cs="Amiri"/>
          <w:color w:val="111111"/>
          <w:sz w:val="28"/>
          <w:sz w:val="28"/>
          <w:szCs w:val="28"/>
          <w:rtl w:val="true"/>
          <w:lang w:bidi="ar-SA"/>
        </w:rPr>
        <w:t>نام ناحيه‌اى بوده در بيابان سَماوه كه بين كوفه و شام واقع است</w:t>
      </w:r>
      <w:r>
        <w:rPr>
          <w:rFonts w:eastAsia="Amiri" w:cs="Amiri" w:ascii="Amiri" w:hAnsi="Amiri"/>
          <w:color w:val="111111"/>
          <w:sz w:val="28"/>
          <w:szCs w:val="28"/>
          <w:rtl w:val="true"/>
          <w:lang w:bidi="ar-SA"/>
        </w:rPr>
        <w:t xml:space="preserve">. </w:t>
      </w:r>
      <w:r>
        <w:rPr>
          <w:rStyle w:val="FootnoteAnchor"/>
          <w:rtl w:val="true"/>
        </w:rPr>
        <w:footnoteReference w:id="261"/>
      </w:r>
    </w:p>
    <w:p>
      <w:pPr>
        <w:pStyle w:val="Heading4"/>
        <w:numPr>
          <w:ilvl w:val="3"/>
          <w:numId w:val="1"/>
        </w:numPr>
        <w:rPr/>
      </w:pPr>
      <w:bookmarkStart w:id="403" w:name="__RefHeading___Toc3584761_3650668749"/>
      <w:bookmarkStart w:id="404" w:name="_Toc177"/>
      <w:bookmarkEnd w:id="403"/>
      <w:r>
        <w:rPr>
          <w:rtl w:val="true"/>
        </w:rPr>
        <w:t xml:space="preserve">چهل و چهار </w:t>
      </w:r>
      <w:r>
        <w:rPr>
          <w:rtl w:val="true"/>
        </w:rPr>
        <w:t xml:space="preserve">- </w:t>
      </w:r>
      <w:r>
        <w:rPr>
          <w:rtl w:val="true"/>
        </w:rPr>
        <w:t>غاضِريَّه</w:t>
      </w:r>
      <w:bookmarkEnd w:id="404"/>
    </w:p>
    <w:p>
      <w:pPr>
        <w:pStyle w:val="BookText"/>
        <w:rPr/>
      </w:pPr>
      <w:r>
        <w:rPr>
          <w:rFonts w:ascii="Amiri" w:hAnsi="Amiri" w:eastAsia="Amiri" w:cs="Amiri"/>
          <w:color w:val="111111"/>
          <w:sz w:val="28"/>
          <w:sz w:val="28"/>
          <w:szCs w:val="28"/>
          <w:rtl w:val="true"/>
          <w:lang w:bidi="ar-SA"/>
        </w:rPr>
        <w:t>روستايى بوده است نزديك كربلا و در شمال شرقى آن و منسوب به تيره غاضره از بنى‌اسد</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تفصيل بيشتر در باره اين روستا در بخش بررسى مسير امام‌حسين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آمد</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3584763_3650668749"/>
      <w:bookmarkStart w:id="406" w:name="_Toc178"/>
      <w:bookmarkEnd w:id="405"/>
      <w:r>
        <w:rPr>
          <w:rtl w:val="true"/>
        </w:rPr>
        <w:t xml:space="preserve">چهل و پنج </w:t>
      </w:r>
      <w:r>
        <w:rPr>
          <w:rtl w:val="true"/>
        </w:rPr>
        <w:t xml:space="preserve">- </w:t>
      </w:r>
      <w:r>
        <w:rPr>
          <w:rtl w:val="true"/>
        </w:rPr>
        <w:t>غَرِيّان</w:t>
      </w:r>
      <w:bookmarkEnd w:id="40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لغت، تثنيه غرى است، به معناى هر چيز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غرّيان، دو مناره مستطيل شكل بلند واقع در نزديكى نجف و در غرب كوفه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شماره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وسيله يكى از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بر حيره و به يادبود دو نديمى كه در حال مستى</w:t>
      </w:r>
      <w:bookmarkStart w:id="407" w:name="pg1964_19510"/>
    </w:p>
    <w:p>
      <w:pPr>
        <w:pStyle w:val="BookText"/>
        <w:rPr/>
      </w:pPr>
      <w:bookmarkEnd w:id="407"/>
      <w:r>
        <w:rPr>
          <w:rFonts w:ascii="IRNazanin" w:hAnsi="IRNazanin" w:eastAsia="IRNazanin"/>
          <w:color w:val="111111"/>
          <w:sz w:val="28"/>
          <w:sz w:val="28"/>
          <w:szCs w:val="28"/>
          <w:rtl w:val="true"/>
          <w:lang w:bidi="fa-IR"/>
        </w:rPr>
        <w:t>كشته بود، ساخته شده بود و وى پاسبانانى را در كنار آن قرار داده تا هر تازه‌واردى را مجبور به سجده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اتفاق افتادن داستان مشهور گازر و سجده نكردن او و شكستن گردن پادشاه، اين سنّت را باطل كرد</w:t>
      </w:r>
      <w:r>
        <w:rPr>
          <w:rFonts w:eastAsia="IRNazanin" w:cs="IRNazanin"/>
          <w:color w:val="111111"/>
          <w:sz w:val="28"/>
          <w:szCs w:val="28"/>
          <w:rtl w:val="true"/>
          <w:lang w:bidi="fa-IR"/>
        </w:rPr>
        <w:t xml:space="preserve">. </w:t>
      </w:r>
      <w:r>
        <w:rPr>
          <w:rStyle w:val="FootnoteAnchor"/>
          <w:rtl w:val="true"/>
        </w:rPr>
        <w:footnoteReference w:id="263"/>
      </w:r>
    </w:p>
    <w:p>
      <w:pPr>
        <w:pStyle w:val="Heading4"/>
        <w:numPr>
          <w:ilvl w:val="3"/>
          <w:numId w:val="1"/>
        </w:numPr>
        <w:rPr/>
      </w:pPr>
      <w:bookmarkStart w:id="408" w:name="__RefHeading___Toc3584765_3650668749"/>
      <w:bookmarkStart w:id="409" w:name="_Toc179"/>
      <w:bookmarkEnd w:id="408"/>
      <w:r>
        <w:rPr>
          <w:rtl w:val="true"/>
        </w:rPr>
        <w:t xml:space="preserve">چهل و شش </w:t>
      </w:r>
      <w:r>
        <w:rPr>
          <w:rtl w:val="true"/>
        </w:rPr>
        <w:t xml:space="preserve">- </w:t>
      </w:r>
      <w:r>
        <w:rPr>
          <w:rtl w:val="true"/>
        </w:rPr>
        <w:t>غَطَط</w:t>
      </w:r>
      <w:bookmarkEnd w:id="409"/>
    </w:p>
    <w:p>
      <w:pPr>
        <w:pStyle w:val="BookText"/>
        <w:rPr/>
      </w:pPr>
      <w:r>
        <w:rPr>
          <w:rFonts w:ascii="Amiri" w:hAnsi="Amiri" w:eastAsia="Amiri" w:cs="Amiri"/>
          <w:color w:val="111111"/>
          <w:sz w:val="28"/>
          <w:sz w:val="28"/>
          <w:szCs w:val="28"/>
          <w:rtl w:val="true"/>
          <w:lang w:bidi="ar-SA"/>
        </w:rPr>
        <w:t xml:space="preserve">يكى از روستاهاى كوفه كه جزء منطقه سيب اعلى و متصل به روستاى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بوده‌است</w:t>
      </w:r>
      <w:r>
        <w:rPr>
          <w:rFonts w:eastAsia="Amiri" w:cs="Amiri" w:ascii="Amiri" w:hAnsi="Amiri"/>
          <w:color w:val="111111"/>
          <w:sz w:val="28"/>
          <w:szCs w:val="28"/>
          <w:rtl w:val="true"/>
          <w:lang w:bidi="ar-SA"/>
        </w:rPr>
        <w:t xml:space="preserve">. </w:t>
      </w:r>
      <w:r>
        <w:rPr>
          <w:rStyle w:val="FootnoteAnchor"/>
          <w:rtl w:val="true"/>
        </w:rPr>
        <w:footnoteReference w:id="264"/>
      </w:r>
    </w:p>
    <w:p>
      <w:pPr>
        <w:pStyle w:val="Heading4"/>
        <w:numPr>
          <w:ilvl w:val="3"/>
          <w:numId w:val="1"/>
        </w:numPr>
        <w:rPr/>
      </w:pPr>
      <w:bookmarkStart w:id="410" w:name="__RefHeading___Toc3584767_3650668749"/>
      <w:bookmarkStart w:id="411" w:name="_Toc180"/>
      <w:bookmarkEnd w:id="410"/>
      <w:r>
        <w:rPr>
          <w:rtl w:val="true"/>
        </w:rPr>
        <w:t xml:space="preserve">چهل و هفت </w:t>
      </w:r>
      <w:r>
        <w:rPr>
          <w:rtl w:val="true"/>
        </w:rPr>
        <w:t xml:space="preserve">- </w:t>
      </w:r>
      <w:r>
        <w:rPr>
          <w:rtl w:val="true"/>
        </w:rPr>
        <w:t>قادسيه</w:t>
      </w:r>
      <w:bookmarkEnd w:id="411"/>
    </w:p>
    <w:p>
      <w:pPr>
        <w:pStyle w:val="BookText"/>
        <w:rPr/>
      </w:pPr>
      <w:r>
        <w:rPr>
          <w:rFonts w:ascii="IRNazanin" w:hAnsi="IRNazanin" w:eastAsia="IRNazanin"/>
          <w:color w:val="111111"/>
          <w:sz w:val="28"/>
          <w:sz w:val="28"/>
          <w:szCs w:val="28"/>
          <w:rtl w:val="true"/>
          <w:lang w:bidi="fa-IR"/>
        </w:rPr>
        <w:t xml:space="preserve">نام شهرى بوده است در فاصله پانزده فرسخى جنوب غربى كوفه كه در جنوب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چهار ميلى، در غرب آن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شمال شرقى آن و در فاصله يك‌ميلى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طيزناباذ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فاصله‌اى دور در شرق آن رودخانه فرات واقع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نقشه‌شماره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جغرافيايى اين شهر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عرض آن</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از اين شهر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 تا از قادسيه دجله كه در كنار اين رود واقع است، تمييز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تاريخى اين شهر نشئت گرفته از جنگ قادسيه است كه در سال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بين سعدبن وقاص و سپاه ايرانيان اتفاق افتاد و به شكست ايرانيان منجر شد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از اين رو در حوادث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جريان بستن راه‌هاى ورودى كوفه به وسيله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كه عبيدالله سواران خود را بين خفان، قادسيه، قطقطانه و لعلع جاى داده بود تا ورود و خروج افراد را كنترل كند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مكان، قيس بن مُسهَر صيداوى فرستاده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كوفيان توسط حُصَين‌بن‌نُمير دستگير شد</w:t>
      </w:r>
      <w:r>
        <w:rPr>
          <w:rFonts w:eastAsia="IRNazanin" w:cs="IRNazanin"/>
          <w:color w:val="111111"/>
          <w:sz w:val="28"/>
          <w:szCs w:val="28"/>
          <w:rtl w:val="true"/>
          <w:lang w:bidi="fa-IR"/>
        </w:rPr>
        <w:t xml:space="preserve">. </w:t>
      </w:r>
      <w:r>
        <w:rPr>
          <w:rStyle w:val="FootnoteAnchor"/>
          <w:rtl w:val="true"/>
        </w:rPr>
        <w:footnoteReference w:id="266"/>
      </w:r>
      <w:bookmarkStart w:id="412" w:name="pg1964_19511"/>
    </w:p>
    <w:p>
      <w:pPr>
        <w:pStyle w:val="Heading4"/>
        <w:numPr>
          <w:ilvl w:val="3"/>
          <w:numId w:val="1"/>
        </w:numPr>
        <w:rPr/>
      </w:pPr>
      <w:bookmarkStart w:id="413" w:name="__RefHeading___Toc3584769_3650668749"/>
      <w:bookmarkStart w:id="414" w:name="_Toc181"/>
      <w:bookmarkEnd w:id="412"/>
      <w:bookmarkEnd w:id="413"/>
      <w:r>
        <w:rPr>
          <w:rtl w:val="true"/>
        </w:rPr>
        <w:t xml:space="preserve">چهل و هشت </w:t>
      </w:r>
      <w:r>
        <w:rPr>
          <w:rtl w:val="true"/>
        </w:rPr>
        <w:t xml:space="preserve">- </w:t>
      </w:r>
      <w:r>
        <w:rPr>
          <w:rtl w:val="true"/>
        </w:rPr>
        <w:t>قَرْيَه اَبي صَلابَه</w:t>
      </w:r>
      <w:bookmarkEnd w:id="414"/>
    </w:p>
    <w:p>
      <w:pPr>
        <w:pStyle w:val="BookText"/>
        <w:rPr/>
      </w:pPr>
      <w:r>
        <w:rPr>
          <w:rFonts w:ascii="Amiri" w:hAnsi="Amiri" w:eastAsia="Amiri" w:cs="Amiri"/>
          <w:color w:val="111111"/>
          <w:sz w:val="28"/>
          <w:sz w:val="28"/>
          <w:szCs w:val="28"/>
          <w:rtl w:val="true"/>
          <w:lang w:bidi="ar-SA"/>
        </w:rPr>
        <w:t>اين روستا كه نزديك فرات بوده، منتسب به صَلابَةبن مالك بن‌طارق بن عَبْدى است</w:t>
      </w:r>
      <w:r>
        <w:rPr>
          <w:rFonts w:eastAsia="Amiri" w:cs="Amiri" w:ascii="Amiri" w:hAnsi="Amiri"/>
          <w:color w:val="111111"/>
          <w:sz w:val="28"/>
          <w:szCs w:val="28"/>
          <w:rtl w:val="true"/>
          <w:lang w:bidi="ar-SA"/>
        </w:rPr>
        <w:t xml:space="preserve">. </w:t>
      </w:r>
      <w:r>
        <w:rPr>
          <w:rStyle w:val="FootnoteAnchor"/>
          <w:rtl w:val="true"/>
        </w:rPr>
        <w:footnoteReference w:id="267"/>
      </w:r>
    </w:p>
    <w:p>
      <w:pPr>
        <w:pStyle w:val="Heading4"/>
        <w:numPr>
          <w:ilvl w:val="3"/>
          <w:numId w:val="1"/>
        </w:numPr>
        <w:rPr/>
      </w:pPr>
      <w:bookmarkStart w:id="415" w:name="__RefHeading___Toc3584771_3650668749"/>
      <w:bookmarkStart w:id="416" w:name="_Toc182"/>
      <w:bookmarkEnd w:id="415"/>
      <w:r>
        <w:rPr>
          <w:rtl w:val="true"/>
        </w:rPr>
        <w:t xml:space="preserve">چهل و نه </w:t>
      </w:r>
      <w:r>
        <w:rPr>
          <w:rtl w:val="true"/>
        </w:rPr>
        <w:t xml:space="preserve">- </w:t>
      </w:r>
      <w:r>
        <w:rPr>
          <w:rtl w:val="true"/>
        </w:rPr>
        <w:t>قريه ذي الكفل</w:t>
      </w:r>
      <w:bookmarkEnd w:id="416"/>
    </w:p>
    <w:p>
      <w:pPr>
        <w:pStyle w:val="BookText"/>
        <w:rPr/>
      </w:pPr>
      <w:r>
        <w:rPr>
          <w:rFonts w:ascii="Amiri" w:hAnsi="Amiri" w:eastAsia="Amiri" w:cs="Amiri"/>
          <w:color w:val="111111"/>
          <w:sz w:val="28"/>
          <w:sz w:val="28"/>
          <w:szCs w:val="28"/>
          <w:rtl w:val="true"/>
          <w:lang w:bidi="ar-SA"/>
        </w:rPr>
        <w:t>يكى از روستاهاى نزديك كوفه كه در شمال شرقى آن واقع است</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417" w:name="__RefHeading___Toc3584773_3650668749"/>
      <w:bookmarkStart w:id="418" w:name="_Toc183"/>
      <w:bookmarkEnd w:id="417"/>
      <w:r>
        <w:rPr>
          <w:rtl w:val="true"/>
        </w:rPr>
        <w:t xml:space="preserve">پنجاه </w:t>
      </w:r>
      <w:r>
        <w:rPr>
          <w:rtl w:val="true"/>
        </w:rPr>
        <w:t xml:space="preserve">- </w:t>
      </w:r>
      <w:r>
        <w:rPr>
          <w:rtl w:val="true"/>
        </w:rPr>
        <w:t>قَسّين</w:t>
      </w:r>
      <w:bookmarkEnd w:id="418"/>
    </w:p>
    <w:p>
      <w:pPr>
        <w:pStyle w:val="BookText"/>
        <w:rPr/>
      </w:pPr>
      <w:r>
        <w:rPr>
          <w:rFonts w:ascii="Amiri" w:hAnsi="Amiri" w:eastAsia="Amiri" w:cs="Amiri"/>
          <w:color w:val="111111"/>
          <w:sz w:val="28"/>
          <w:sz w:val="28"/>
          <w:szCs w:val="28"/>
          <w:rtl w:val="true"/>
          <w:lang w:bidi="ar-SA"/>
        </w:rPr>
        <w:t>يكى از نواحى اطراف كوفه بوده است</w:t>
      </w:r>
      <w:r>
        <w:rPr>
          <w:rFonts w:eastAsia="Amiri" w:cs="Amiri" w:ascii="Amiri" w:hAnsi="Amiri"/>
          <w:color w:val="111111"/>
          <w:sz w:val="28"/>
          <w:szCs w:val="28"/>
          <w:rtl w:val="true"/>
          <w:lang w:bidi="ar-SA"/>
        </w:rPr>
        <w:t xml:space="preserve">. </w:t>
      </w:r>
      <w:r>
        <w:rPr>
          <w:rStyle w:val="FootnoteAnchor"/>
          <w:rtl w:val="true"/>
        </w:rPr>
        <w:footnoteReference w:id="269"/>
      </w:r>
    </w:p>
    <w:p>
      <w:pPr>
        <w:pStyle w:val="Heading4"/>
        <w:numPr>
          <w:ilvl w:val="3"/>
          <w:numId w:val="1"/>
        </w:numPr>
        <w:rPr/>
      </w:pPr>
      <w:bookmarkStart w:id="419" w:name="__RefHeading___Toc3584775_3650668749"/>
      <w:bookmarkStart w:id="420" w:name="_Toc184"/>
      <w:bookmarkEnd w:id="419"/>
      <w:r>
        <w:rPr>
          <w:rtl w:val="true"/>
        </w:rPr>
        <w:t xml:space="preserve">پنجاه و يك </w:t>
      </w:r>
      <w:r>
        <w:rPr>
          <w:rtl w:val="true"/>
        </w:rPr>
        <w:t xml:space="preserve">- </w:t>
      </w:r>
      <w:r>
        <w:rPr>
          <w:rtl w:val="true"/>
        </w:rPr>
        <w:t>قصرالعَدَسيّين</w:t>
      </w:r>
      <w:bookmarkEnd w:id="420"/>
    </w:p>
    <w:p>
      <w:pPr>
        <w:pStyle w:val="BookText"/>
        <w:rPr/>
      </w:pPr>
      <w:r>
        <w:rPr>
          <w:rFonts w:ascii="IRNazanin" w:hAnsi="IRNazanin" w:eastAsia="IRNazanin"/>
          <w:color w:val="111111"/>
          <w:sz w:val="28"/>
          <w:sz w:val="28"/>
          <w:szCs w:val="28"/>
          <w:rtl w:val="true"/>
          <w:lang w:bidi="fa-IR"/>
        </w:rPr>
        <w:t xml:space="preserve">اين قصر در جنوب غربى كوفه و در سر راه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حيره واقع بوده و منسوب به بنى‌عمّار بن عبدالمسيح است كه به سبب نام مادرشان، عَدَسه به اين نام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قصر اولين نقطه آباد عراق بود كه به وسيله سپاهيان اسلام فتح شد</w:t>
      </w:r>
      <w:r>
        <w:rPr>
          <w:rFonts w:eastAsia="IRNazanin" w:cs="IRNazanin"/>
          <w:color w:val="111111"/>
          <w:sz w:val="28"/>
          <w:szCs w:val="28"/>
          <w:rtl w:val="true"/>
          <w:lang w:bidi="fa-IR"/>
        </w:rPr>
        <w:t xml:space="preserve">. </w:t>
      </w:r>
      <w:r>
        <w:rPr>
          <w:rStyle w:val="FootnoteAnchor"/>
          <w:rtl w:val="true"/>
        </w:rPr>
        <w:footnoteReference w:id="270"/>
      </w:r>
    </w:p>
    <w:p>
      <w:pPr>
        <w:pStyle w:val="Heading4"/>
        <w:numPr>
          <w:ilvl w:val="3"/>
          <w:numId w:val="1"/>
        </w:numPr>
        <w:rPr/>
      </w:pPr>
      <w:bookmarkStart w:id="421" w:name="__RefHeading___Toc3584777_3650668749"/>
      <w:bookmarkStart w:id="422" w:name="_Toc185"/>
      <w:bookmarkEnd w:id="421"/>
      <w:r>
        <w:rPr>
          <w:rtl w:val="true"/>
        </w:rPr>
        <w:t xml:space="preserve">پنجاه و دو </w:t>
      </w:r>
      <w:r>
        <w:rPr>
          <w:rtl w:val="true"/>
        </w:rPr>
        <w:t xml:space="preserve">- </w:t>
      </w:r>
      <w:r>
        <w:rPr>
          <w:rtl w:val="true"/>
        </w:rPr>
        <w:t>قُطْقُطانه</w:t>
      </w:r>
      <w:bookmarkEnd w:id="42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مكانى بوده است واقع در شرق كوفه و نجف و در جنوب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شماره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براى جلوگيرى از ورود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به وسيله عبيدالله بن زياد كنترل مى‌شد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گفته مى‌شود قبل از بنيان كوفه، زندان نُعْمان بن مَنْذَر، پادشاه حيره در اين مكان بوده‌است</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بيست و چند ميلى شرق قُطْقُطانه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منطقه هم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حيافييه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Style w:val="FootnoteAnchor"/>
          <w:rtl w:val="true"/>
        </w:rPr>
        <w:footnoteReference w:id="273"/>
      </w:r>
      <w:bookmarkStart w:id="423" w:name="pg1964_19512"/>
    </w:p>
    <w:p>
      <w:pPr>
        <w:pStyle w:val="Heading4"/>
        <w:numPr>
          <w:ilvl w:val="3"/>
          <w:numId w:val="1"/>
        </w:numPr>
        <w:rPr/>
      </w:pPr>
      <w:bookmarkStart w:id="424" w:name="__RefHeading___Toc3584779_3650668749"/>
      <w:bookmarkStart w:id="425" w:name="_Toc186"/>
      <w:bookmarkEnd w:id="423"/>
      <w:bookmarkEnd w:id="424"/>
      <w:r>
        <w:rPr>
          <w:rtl w:val="true"/>
        </w:rPr>
        <w:t xml:space="preserve">پنجاه و سه </w:t>
      </w:r>
      <w:r>
        <w:rPr>
          <w:rtl w:val="true"/>
        </w:rPr>
        <w:t xml:space="preserve">- </w:t>
      </w:r>
      <w:r>
        <w:rPr>
          <w:rtl w:val="true"/>
        </w:rPr>
        <w:t>قَوْرا</w:t>
      </w:r>
      <w:bookmarkEnd w:id="425"/>
    </w:p>
    <w:p>
      <w:pPr>
        <w:pStyle w:val="BookText"/>
        <w:rPr/>
      </w:pPr>
      <w:r>
        <w:rPr>
          <w:rFonts w:ascii="Amiri" w:hAnsi="Amiri" w:eastAsia="Amiri" w:cs="Amiri"/>
          <w:color w:val="111111"/>
          <w:sz w:val="28"/>
          <w:sz w:val="28"/>
          <w:szCs w:val="28"/>
          <w:rtl w:val="true"/>
          <w:lang w:bidi="ar-SA"/>
        </w:rPr>
        <w:t>يكى از دهستان‌هاى اطراف كوفه بود كه نهر سورا در آن جريان داشت</w:t>
      </w:r>
      <w:r>
        <w:rPr>
          <w:rFonts w:eastAsia="Amiri" w:cs="Amiri" w:ascii="Amiri" w:hAnsi="Amiri"/>
          <w:color w:val="111111"/>
          <w:sz w:val="28"/>
          <w:szCs w:val="28"/>
          <w:rtl w:val="true"/>
          <w:lang w:bidi="ar-SA"/>
        </w:rPr>
        <w:t xml:space="preserve">. </w:t>
      </w:r>
      <w:r>
        <w:rPr>
          <w:rStyle w:val="FootnoteAnchor"/>
          <w:rtl w:val="true"/>
        </w:rPr>
        <w:footnoteReference w:id="274"/>
      </w:r>
    </w:p>
    <w:p>
      <w:pPr>
        <w:pStyle w:val="Heading4"/>
        <w:numPr>
          <w:ilvl w:val="3"/>
          <w:numId w:val="1"/>
        </w:numPr>
        <w:rPr/>
      </w:pPr>
      <w:bookmarkStart w:id="426" w:name="__RefHeading___Toc3584781_3650668749"/>
      <w:bookmarkStart w:id="427" w:name="_Toc187"/>
      <w:bookmarkEnd w:id="426"/>
      <w:r>
        <w:rPr>
          <w:rtl w:val="true"/>
        </w:rPr>
        <w:t xml:space="preserve">پنجاه و چهار </w:t>
      </w:r>
      <w:r>
        <w:rPr>
          <w:rtl w:val="true"/>
        </w:rPr>
        <w:t xml:space="preserve">- </w:t>
      </w:r>
      <w:r>
        <w:rPr>
          <w:rtl w:val="true"/>
        </w:rPr>
        <w:t xml:space="preserve">كُوَيفه عمرو </w:t>
      </w:r>
      <w:r>
        <w:rPr>
          <w:rtl w:val="true"/>
        </w:rPr>
        <w:t>(</w:t>
      </w:r>
      <w:r>
        <w:rPr>
          <w:rtl w:val="true"/>
        </w:rPr>
        <w:t>كويفه ابن عُمَر</w:t>
      </w:r>
      <w:r>
        <w:rPr>
          <w:rtl w:val="true"/>
        </w:rPr>
        <w:t>)</w:t>
      </w:r>
      <w:bookmarkEnd w:id="427"/>
    </w:p>
    <w:p>
      <w:pPr>
        <w:pStyle w:val="BookText"/>
        <w:rPr/>
      </w:pPr>
      <w:r>
        <w:rPr>
          <w:rFonts w:ascii="IRNazanin" w:hAnsi="IRNazanin" w:eastAsia="IRNazanin"/>
          <w:color w:val="111111"/>
          <w:sz w:val="28"/>
          <w:sz w:val="28"/>
          <w:szCs w:val="28"/>
          <w:rtl w:val="true"/>
          <w:lang w:bidi="fa-IR"/>
        </w:rPr>
        <w:t>اين لغت، تصغير كوفه و به معناى تپه كوچك رملى است كه نزديك كوفه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منسوب به عمرو بن قيس از قبيله اَزْد مى‌دانند كه خسرو پرويز آن را در مقابل پذيرايى به وى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بعضى آن را منسوب به عبدالله بن عمربن خطاب مى‌دانند كه پس از كشتن دختر ابولؤلؤ وهرمزان به آن پناهنده شد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البته بدين ترتيب، صحيح آن است كه فرزند عمر را عبيدالله بدانيم نه عبدالله؛ زيرا عبيدالله بود كه در اثر خشمى كه از ضربت خوردن پدرش به او دست داده بود، اقدام به آن جنايات كرد</w:t>
      </w:r>
      <w:r>
        <w:rPr>
          <w:rFonts w:eastAsia="IRNazanin" w:cs="IRNazanin"/>
          <w:color w:val="111111"/>
          <w:sz w:val="28"/>
          <w:szCs w:val="28"/>
          <w:rtl w:val="true"/>
          <w:lang w:bidi="fa-IR"/>
        </w:rPr>
        <w:t>.</w:t>
      </w:r>
    </w:p>
    <w:p>
      <w:pPr>
        <w:pStyle w:val="Heading4"/>
        <w:numPr>
          <w:ilvl w:val="3"/>
          <w:numId w:val="1"/>
        </w:numPr>
        <w:rPr/>
      </w:pPr>
      <w:bookmarkStart w:id="428" w:name="__RefHeading___Toc3584783_3650668749"/>
      <w:bookmarkStart w:id="429" w:name="_Toc188"/>
      <w:bookmarkEnd w:id="428"/>
      <w:r>
        <w:rPr>
          <w:rtl w:val="true"/>
        </w:rPr>
        <w:t xml:space="preserve">پنجاه و پنج </w:t>
      </w:r>
      <w:r>
        <w:rPr>
          <w:rtl w:val="true"/>
        </w:rPr>
        <w:t xml:space="preserve">- </w:t>
      </w:r>
      <w:r>
        <w:rPr>
          <w:rtl w:val="true"/>
        </w:rPr>
        <w:t>لِسان</w:t>
      </w:r>
      <w:bookmarkEnd w:id="429"/>
    </w:p>
    <w:p>
      <w:pPr>
        <w:pStyle w:val="BookText"/>
        <w:rPr/>
      </w:pPr>
      <w:r>
        <w:rPr>
          <w:rFonts w:ascii="IRNazanin" w:hAnsi="IRNazanin" w:eastAsia="IRNazanin"/>
          <w:color w:val="111111"/>
          <w:sz w:val="28"/>
          <w:sz w:val="28"/>
          <w:szCs w:val="28"/>
          <w:rtl w:val="true"/>
          <w:lang w:bidi="fa-IR"/>
        </w:rPr>
        <w:t xml:space="preserve">لسان به معناى زبان، نام عمومى بخش وسيعى از بيابان‌هاى بين النهرين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همچون زبان، داخل در سبزه‌زارهاى اطراف فرات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كوفه در بخشى از اين ناحيه بنا شد و پس از آن، بخش جنوبى كوفه را لسان ناميدند</w:t>
      </w:r>
      <w:r>
        <w:rPr>
          <w:rFonts w:eastAsia="IRNazanin" w:cs="IRNazanin"/>
          <w:color w:val="111111"/>
          <w:sz w:val="28"/>
          <w:szCs w:val="28"/>
          <w:rtl w:val="true"/>
          <w:lang w:bidi="fa-IR"/>
        </w:rPr>
        <w:t xml:space="preserve">. </w:t>
      </w:r>
      <w:r>
        <w:rPr>
          <w:rStyle w:val="FootnoteAnchor"/>
          <w:rtl w:val="true"/>
        </w:rPr>
        <w:footnoteReference w:id="276"/>
      </w:r>
    </w:p>
    <w:p>
      <w:pPr>
        <w:pStyle w:val="Heading4"/>
        <w:numPr>
          <w:ilvl w:val="3"/>
          <w:numId w:val="1"/>
        </w:numPr>
        <w:rPr/>
      </w:pPr>
      <w:bookmarkStart w:id="430" w:name="__RefHeading___Toc3584785_3650668749"/>
      <w:bookmarkStart w:id="431" w:name="_Toc189"/>
      <w:bookmarkEnd w:id="430"/>
      <w:r>
        <w:rPr>
          <w:rtl w:val="true"/>
        </w:rPr>
        <w:t xml:space="preserve">پنجاه و شش </w:t>
      </w:r>
      <w:r>
        <w:rPr>
          <w:rtl w:val="true"/>
        </w:rPr>
        <w:t xml:space="preserve">- </w:t>
      </w:r>
      <w:r>
        <w:rPr>
          <w:rtl w:val="true"/>
        </w:rPr>
        <w:t>لَعْلَع</w:t>
      </w:r>
      <w:bookmarkEnd w:id="43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منازل بين كوفه و بصره و در جنوب كوفه كه تا بصره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تا كوفه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راه فاصله داشته است</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از اين ناحيه در جريان بسته شدن راه‌هاى ورودى كوفه به وسيله عبيدالله بن زياد، نام برده شده است</w:t>
      </w:r>
      <w:r>
        <w:rPr>
          <w:rFonts w:eastAsia="Amiri" w:cs="Amiri" w:ascii="Amiri" w:hAnsi="Amiri"/>
          <w:color w:val="111111"/>
          <w:sz w:val="28"/>
          <w:szCs w:val="28"/>
          <w:rtl w:val="true"/>
          <w:lang w:bidi="ar-SA"/>
        </w:rPr>
        <w:t xml:space="preserve">. </w:t>
      </w:r>
      <w:r>
        <w:rPr>
          <w:rStyle w:val="FootnoteAnchor"/>
          <w:rtl w:val="true"/>
        </w:rPr>
        <w:footnoteReference w:id="278"/>
      </w:r>
      <w:bookmarkStart w:id="432" w:name="pg1964_19513"/>
    </w:p>
    <w:p>
      <w:pPr>
        <w:pStyle w:val="Heading4"/>
        <w:numPr>
          <w:ilvl w:val="3"/>
          <w:numId w:val="1"/>
        </w:numPr>
        <w:rPr/>
      </w:pPr>
      <w:bookmarkStart w:id="433" w:name="__RefHeading___Toc3584787_3650668749"/>
      <w:bookmarkStart w:id="434" w:name="_Toc190"/>
      <w:bookmarkEnd w:id="432"/>
      <w:bookmarkEnd w:id="433"/>
      <w:r>
        <w:rPr>
          <w:rtl w:val="true"/>
        </w:rPr>
        <w:t xml:space="preserve">پنجاه و هفت </w:t>
      </w:r>
      <w:r>
        <w:rPr>
          <w:rtl w:val="true"/>
        </w:rPr>
        <w:t xml:space="preserve">- </w:t>
      </w:r>
      <w:r>
        <w:rPr>
          <w:rtl w:val="true"/>
        </w:rPr>
        <w:t>مَلَح</w:t>
      </w:r>
      <w:bookmarkEnd w:id="434"/>
    </w:p>
    <w:p>
      <w:pPr>
        <w:pStyle w:val="BookText"/>
        <w:rPr/>
      </w:pPr>
      <w:r>
        <w:rPr>
          <w:rFonts w:ascii="Amiri" w:hAnsi="Amiri" w:eastAsia="Amiri" w:cs="Amiri"/>
          <w:color w:val="111111"/>
          <w:sz w:val="28"/>
          <w:sz w:val="28"/>
          <w:szCs w:val="28"/>
          <w:rtl w:val="true"/>
          <w:lang w:bidi="ar-SA"/>
        </w:rPr>
        <w:t>يكى از نواحى اطراف كوفه بوده است</w:t>
      </w:r>
      <w:r>
        <w:rPr>
          <w:rFonts w:eastAsia="Amiri" w:cs="Amiri" w:ascii="Amiri" w:hAnsi="Amiri"/>
          <w:color w:val="111111"/>
          <w:sz w:val="28"/>
          <w:szCs w:val="28"/>
          <w:rtl w:val="true"/>
          <w:lang w:bidi="ar-SA"/>
        </w:rPr>
        <w:t xml:space="preserve">. </w:t>
      </w:r>
      <w:r>
        <w:rPr>
          <w:rStyle w:val="FootnoteAnchor"/>
          <w:rtl w:val="true"/>
        </w:rPr>
        <w:footnoteReference w:id="279"/>
      </w:r>
    </w:p>
    <w:p>
      <w:pPr>
        <w:pStyle w:val="Heading4"/>
        <w:numPr>
          <w:ilvl w:val="3"/>
          <w:numId w:val="1"/>
        </w:numPr>
        <w:rPr/>
      </w:pPr>
      <w:bookmarkStart w:id="435" w:name="__RefHeading___Toc3584789_3650668749"/>
      <w:bookmarkStart w:id="436" w:name="_Toc191"/>
      <w:bookmarkEnd w:id="435"/>
      <w:r>
        <w:rPr>
          <w:rtl w:val="true"/>
        </w:rPr>
        <w:t xml:space="preserve">پنجاه و هشت </w:t>
      </w:r>
      <w:r>
        <w:rPr>
          <w:rtl w:val="true"/>
        </w:rPr>
        <w:t xml:space="preserve">- </w:t>
      </w:r>
      <w:r>
        <w:rPr>
          <w:rtl w:val="true"/>
        </w:rPr>
        <w:t>مِلْطاط</w:t>
      </w:r>
      <w:bookmarkEnd w:id="436"/>
    </w:p>
    <w:p>
      <w:pPr>
        <w:pStyle w:val="BookText"/>
        <w:rPr/>
      </w:pPr>
      <w:r>
        <w:rPr>
          <w:rFonts w:ascii="Amiri" w:hAnsi="Amiri" w:eastAsia="Amiri" w:cs="Amiri"/>
          <w:color w:val="111111"/>
          <w:sz w:val="28"/>
          <w:sz w:val="28"/>
          <w:szCs w:val="28"/>
          <w:rtl w:val="true"/>
          <w:lang w:bidi="ar-SA"/>
        </w:rPr>
        <w:t>ملطاط در لغت به معناى راه كنار درياست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ملطاط كوفه بخشى از لسان بوده كه در جنوب كوفه واقع شده بود</w:t>
      </w:r>
      <w:r>
        <w:rPr>
          <w:rFonts w:eastAsia="Amiri" w:cs="Amiri" w:ascii="Amiri" w:hAnsi="Amiri"/>
          <w:color w:val="111111"/>
          <w:sz w:val="28"/>
          <w:szCs w:val="28"/>
          <w:rtl w:val="true"/>
          <w:lang w:bidi="ar-SA"/>
        </w:rPr>
        <w:t xml:space="preserve">. </w:t>
      </w:r>
      <w:r>
        <w:rPr>
          <w:rStyle w:val="FootnoteAnchor"/>
          <w:rtl w:val="true"/>
        </w:rPr>
        <w:footnoteReference w:id="280"/>
      </w:r>
    </w:p>
    <w:p>
      <w:pPr>
        <w:pStyle w:val="Heading4"/>
        <w:numPr>
          <w:ilvl w:val="3"/>
          <w:numId w:val="1"/>
        </w:numPr>
        <w:rPr/>
      </w:pPr>
      <w:bookmarkStart w:id="437" w:name="__RefHeading___Toc3584791_3650668749"/>
      <w:bookmarkStart w:id="438" w:name="_Toc192"/>
      <w:bookmarkEnd w:id="437"/>
      <w:r>
        <w:rPr>
          <w:rtl w:val="true"/>
        </w:rPr>
        <w:t xml:space="preserve">پنجاه و نه </w:t>
      </w:r>
      <w:r>
        <w:rPr>
          <w:rtl w:val="true"/>
        </w:rPr>
        <w:t xml:space="preserve">- </w:t>
      </w:r>
      <w:r>
        <w:rPr>
          <w:rtl w:val="true"/>
        </w:rPr>
        <w:t>نَجَف</w:t>
      </w:r>
      <w:bookmarkEnd w:id="438"/>
    </w:p>
    <w:p>
      <w:pPr>
        <w:pStyle w:val="BookText"/>
        <w:rPr/>
      </w:pPr>
      <w:r>
        <w:rPr>
          <w:rFonts w:ascii="IRNazanin" w:hAnsi="IRNazanin" w:eastAsia="IRNazanin"/>
          <w:color w:val="111111"/>
          <w:sz w:val="28"/>
          <w:sz w:val="28"/>
          <w:szCs w:val="28"/>
          <w:rtl w:val="true"/>
          <w:lang w:bidi="fa-IR"/>
        </w:rPr>
        <w:t xml:space="preserve">نجف در لغت به معناى مكانى بلند است كه آب به آن جارى نشود يا نرسد و اصطلاحاً به منطقه بيابانى واقع در غرب كوفه گفته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نقشه‌هاى شماره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سطح آن بلندتر از سطح كوفه بوده و براى كوفه،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ايفا مى‌كرد</w:t>
      </w:r>
      <w:r>
        <w:rPr>
          <w:rFonts w:eastAsia="IRNazanin" w:cs="IRNazanin"/>
          <w:color w:val="111111"/>
          <w:sz w:val="28"/>
          <w:szCs w:val="28"/>
          <w:rtl w:val="true"/>
          <w:lang w:bidi="fa-IR"/>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فاصله آن از كوفه بر اساس اقوال مختلف، شش كيلومتر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فرسخ</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 ده كيلومتر </w:t>
      </w:r>
      <w:r>
        <w:rPr>
          <w:rStyle w:val="FootnoteAnchor"/>
          <w:rtl w:val="true"/>
        </w:rPr>
        <w:footnoteReference w:id="283"/>
      </w:r>
      <w:r>
        <w:rPr>
          <w:rFonts w:ascii="Amiri" w:hAnsi="Amiri" w:eastAsia="Amiri" w:cs="Amiri"/>
          <w:color w:val="111111"/>
          <w:sz w:val="28"/>
          <w:sz w:val="28"/>
          <w:szCs w:val="28"/>
          <w:rtl w:val="true"/>
          <w:lang w:bidi="ar-SA"/>
        </w:rPr>
        <w:t xml:space="preserve">، دوازده كيلومتر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 ميل</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 و شانزده كيلومتر </w:t>
      </w:r>
      <w:r>
        <w:rPr>
          <w:rStyle w:val="FootnoteAnchor"/>
          <w:rtl w:val="true"/>
        </w:rPr>
        <w:footnoteReference w:id="285"/>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نجف در زمان هارون الرشيد و هنگام كشف قبر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شد و بعدها به شهرى تبديل شد و كوفه را تحت الشعاع خود قرار داد</w:t>
      </w:r>
      <w:r>
        <w:rPr>
          <w:rFonts w:eastAsia="IRNazanin" w:cs="IRNazanin"/>
          <w:color w:val="111111"/>
          <w:sz w:val="28"/>
          <w:szCs w:val="28"/>
          <w:rtl w:val="true"/>
          <w:lang w:bidi="fa-IR"/>
        </w:rPr>
        <w:t xml:space="preserve">. </w:t>
      </w:r>
      <w:r>
        <w:rPr>
          <w:rStyle w:val="FootnoteAnchor"/>
          <w:rtl w:val="true"/>
        </w:rPr>
        <w:footnoteReference w:id="286"/>
      </w:r>
    </w:p>
    <w:p>
      <w:pPr>
        <w:pStyle w:val="Heading4"/>
        <w:numPr>
          <w:ilvl w:val="3"/>
          <w:numId w:val="1"/>
        </w:numPr>
        <w:rPr/>
      </w:pPr>
      <w:bookmarkStart w:id="439" w:name="__RefHeading___Toc3584793_3650668749"/>
      <w:bookmarkStart w:id="440" w:name="_Toc193"/>
      <w:bookmarkEnd w:id="439"/>
      <w:r>
        <w:rPr>
          <w:rtl w:val="true"/>
        </w:rPr>
        <w:t xml:space="preserve">شصت </w:t>
      </w:r>
      <w:r>
        <w:rPr>
          <w:rtl w:val="true"/>
        </w:rPr>
        <w:t xml:space="preserve">- </w:t>
      </w:r>
      <w:r>
        <w:rPr>
          <w:rtl w:val="true"/>
        </w:rPr>
        <w:t>نُخَيْلَه</w:t>
      </w:r>
      <w:bookmarkEnd w:id="44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مكانى بوده است در شمال غربى كوفه در فاصله دو فرسخى آن و در سر راه كوفه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نقشه شماره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زمان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w:t>
      </w:r>
      <w:bookmarkStart w:id="441" w:name="pg1964_19514"/>
    </w:p>
    <w:p>
      <w:pPr>
        <w:pStyle w:val="BookText"/>
        <w:rPr/>
      </w:pPr>
      <w:bookmarkEnd w:id="441"/>
      <w:r>
        <w:rPr>
          <w:rFonts w:ascii="IRNazanin" w:hAnsi="IRNazanin" w:eastAsia="IRNazanin"/>
          <w:color w:val="111111"/>
          <w:sz w:val="28"/>
          <w:sz w:val="28"/>
          <w:szCs w:val="28"/>
          <w:rtl w:val="true"/>
          <w:lang w:bidi="fa-IR"/>
        </w:rPr>
        <w:t>آن به عنوان اردوگاه لشكر از آن استفاده مى‌شد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هم‌اكنون به آن عباسيه مى‌گويند</w:t>
      </w:r>
      <w:r>
        <w:rPr>
          <w:rFonts w:eastAsia="IRNazanin" w:cs="IRNazanin"/>
          <w:color w:val="111111"/>
          <w:sz w:val="28"/>
          <w:szCs w:val="28"/>
          <w:rtl w:val="true"/>
          <w:lang w:bidi="fa-IR"/>
        </w:rPr>
        <w:t xml:space="preserve">. </w:t>
      </w:r>
      <w:r>
        <w:rPr>
          <w:rStyle w:val="FootnoteAnchor"/>
          <w:rtl w:val="true"/>
        </w:rPr>
        <w:footnoteReference w:id="288"/>
      </w:r>
    </w:p>
    <w:p>
      <w:pPr>
        <w:pStyle w:val="Heading4"/>
        <w:numPr>
          <w:ilvl w:val="3"/>
          <w:numId w:val="1"/>
        </w:numPr>
        <w:rPr/>
      </w:pPr>
      <w:bookmarkStart w:id="442" w:name="__RefHeading___Toc3584795_3650668749"/>
      <w:bookmarkStart w:id="443" w:name="_Toc194"/>
      <w:bookmarkEnd w:id="442"/>
      <w:r>
        <w:rPr>
          <w:rtl w:val="true"/>
        </w:rPr>
        <w:t xml:space="preserve">شصت و يك </w:t>
      </w:r>
      <w:r>
        <w:rPr>
          <w:rtl w:val="true"/>
        </w:rPr>
        <w:t xml:space="preserve">- </w:t>
      </w:r>
      <w:r>
        <w:rPr>
          <w:rtl w:val="true"/>
        </w:rPr>
        <w:t>نَشاسْتَج</w:t>
      </w:r>
      <w:bookmarkEnd w:id="443"/>
    </w:p>
    <w:p>
      <w:pPr>
        <w:pStyle w:val="BookText"/>
        <w:rPr/>
      </w:pPr>
      <w:r>
        <w:rPr>
          <w:rFonts w:ascii="IRNazanin" w:hAnsi="IRNazanin" w:eastAsia="IRNazanin"/>
          <w:color w:val="111111"/>
          <w:sz w:val="28"/>
          <w:sz w:val="28"/>
          <w:szCs w:val="28"/>
          <w:rtl w:val="true"/>
          <w:lang w:bidi="fa-IR"/>
        </w:rPr>
        <w:t xml:space="preserve">نام يكى از نواحى و كشت‌زارهاى بزرگ اطراف كوفه كه طلحة بن عبيدالله، صحابى معروف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رؤساى ناكثين در جنگ جمل، مدتى مالكيت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منطقه را از اهل كوفه در مقابل زمين‌هايى كه در خيبر داشت، خريده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از اين منطقه، درآمد فراوانى به دست مى‌آورد و به سبب بذل و بخشش تعدادى از آن، به جود و سخاوت معروف شده‌بود</w:t>
      </w:r>
      <w:r>
        <w:rPr>
          <w:rFonts w:eastAsia="IRNazanin" w:cs="IRNazanin"/>
          <w:color w:val="111111"/>
          <w:sz w:val="28"/>
          <w:szCs w:val="28"/>
          <w:rtl w:val="true"/>
          <w:lang w:bidi="fa-IR"/>
        </w:rPr>
        <w:t xml:space="preserve">. </w:t>
      </w:r>
      <w:r>
        <w:rPr>
          <w:rStyle w:val="FootnoteAnchor"/>
          <w:rtl w:val="true"/>
        </w:rPr>
        <w:footnoteReference w:id="289"/>
      </w:r>
    </w:p>
    <w:p>
      <w:pPr>
        <w:pStyle w:val="Heading4"/>
        <w:numPr>
          <w:ilvl w:val="3"/>
          <w:numId w:val="1"/>
        </w:numPr>
        <w:rPr/>
      </w:pPr>
      <w:bookmarkStart w:id="444" w:name="__RefHeading___Toc3584797_3650668749"/>
      <w:bookmarkStart w:id="445" w:name="_Toc195"/>
      <w:bookmarkEnd w:id="444"/>
      <w:r>
        <w:rPr>
          <w:rtl w:val="true"/>
        </w:rPr>
        <w:t xml:space="preserve">شصت و دو </w:t>
      </w:r>
      <w:r>
        <w:rPr>
          <w:rtl w:val="true"/>
        </w:rPr>
        <w:t xml:space="preserve">- </w:t>
      </w:r>
      <w:r>
        <w:rPr>
          <w:rtl w:val="true"/>
        </w:rPr>
        <w:t>نُعْماباذ</w:t>
      </w:r>
      <w:bookmarkEnd w:id="445"/>
    </w:p>
    <w:p>
      <w:pPr>
        <w:pStyle w:val="BookText"/>
        <w:rPr/>
      </w:pPr>
      <w:r>
        <w:rPr>
          <w:rFonts w:ascii="IRNazanin" w:hAnsi="IRNazanin" w:eastAsia="IRNazanin"/>
          <w:color w:val="111111"/>
          <w:sz w:val="28"/>
          <w:sz w:val="28"/>
          <w:szCs w:val="28"/>
          <w:rtl w:val="true"/>
          <w:lang w:bidi="fa-IR"/>
        </w:rPr>
        <w:t>همان فارسى نُعْمَ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نام كنيزك نعمان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نام، نام روستايى در اطراف كوفه بوده است</w:t>
      </w:r>
      <w:r>
        <w:rPr>
          <w:rFonts w:eastAsia="IRNazanin" w:cs="IRNazanin"/>
          <w:color w:val="111111"/>
          <w:sz w:val="28"/>
          <w:szCs w:val="28"/>
          <w:rtl w:val="true"/>
          <w:lang w:bidi="fa-IR"/>
        </w:rPr>
        <w:t xml:space="preserve">. </w:t>
      </w:r>
      <w:r>
        <w:rPr>
          <w:rStyle w:val="FootnoteAnchor"/>
          <w:rtl w:val="true"/>
        </w:rPr>
        <w:footnoteReference w:id="290"/>
      </w:r>
    </w:p>
    <w:p>
      <w:pPr>
        <w:pStyle w:val="Heading4"/>
        <w:numPr>
          <w:ilvl w:val="3"/>
          <w:numId w:val="1"/>
        </w:numPr>
        <w:rPr/>
      </w:pPr>
      <w:bookmarkStart w:id="446" w:name="__RefHeading___Toc3584799_3650668749"/>
      <w:bookmarkStart w:id="447" w:name="_Toc196"/>
      <w:bookmarkEnd w:id="446"/>
      <w:r>
        <w:rPr>
          <w:rtl w:val="true"/>
        </w:rPr>
        <w:t xml:space="preserve">شصت و سه </w:t>
      </w:r>
      <w:r>
        <w:rPr>
          <w:rtl w:val="true"/>
        </w:rPr>
        <w:t xml:space="preserve">- </w:t>
      </w:r>
      <w:r>
        <w:rPr>
          <w:rtl w:val="true"/>
        </w:rPr>
        <w:t>وادِي السِّباع</w:t>
      </w:r>
      <w:bookmarkEnd w:id="447"/>
    </w:p>
    <w:p>
      <w:pPr>
        <w:pStyle w:val="BookText"/>
        <w:rPr/>
      </w:pPr>
      <w:r>
        <w:rPr>
          <w:rFonts w:ascii="IRNazanin" w:hAnsi="IRNazanin" w:eastAsia="IRNazanin"/>
          <w:color w:val="111111"/>
          <w:sz w:val="28"/>
          <w:sz w:val="28"/>
          <w:szCs w:val="28"/>
          <w:rtl w:val="true"/>
          <w:lang w:bidi="fa-IR"/>
        </w:rPr>
        <w:t>سباع به معناى درندگان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وادى دراطراف كوفه واقع بوده و دليل نامگذارى آن، اين بوده است كه زنى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زندگى مى‌كرد كه نام فرزندان پسر خود را به نام درندگانى، مانند گرگ، شير، ببر، روباه، كرگدن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گذاشته بود</w:t>
      </w:r>
      <w:r>
        <w:rPr>
          <w:rFonts w:eastAsia="IRNazanin" w:cs="IRNazanin"/>
          <w:color w:val="111111"/>
          <w:sz w:val="28"/>
          <w:szCs w:val="28"/>
          <w:rtl w:val="true"/>
          <w:lang w:bidi="fa-IR"/>
        </w:rPr>
        <w:t xml:space="preserve">. </w:t>
      </w:r>
      <w:r>
        <w:rPr>
          <w:rStyle w:val="FootnoteAnchor"/>
          <w:rtl w:val="true"/>
        </w:rPr>
        <w:footnoteReference w:id="291"/>
      </w:r>
    </w:p>
    <w:p>
      <w:pPr>
        <w:pStyle w:val="Heading3"/>
        <w:numPr>
          <w:ilvl w:val="2"/>
          <w:numId w:val="1"/>
        </w:numPr>
        <w:rPr/>
      </w:pPr>
      <w:bookmarkStart w:id="448" w:name="__RefHeading___Toc3584801_3650668749"/>
      <w:bookmarkStart w:id="449" w:name="_Toc197"/>
      <w:bookmarkEnd w:id="448"/>
      <w:r>
        <w:rPr/>
        <w:t>١٠</w:t>
      </w:r>
      <w:r>
        <w:rPr>
          <w:rtl w:val="true"/>
        </w:rPr>
        <w:t xml:space="preserve">. </w:t>
      </w:r>
      <w:r>
        <w:rPr>
          <w:rtl w:val="true"/>
        </w:rPr>
        <w:t>باغ‌ها‌ى كوفه</w:t>
      </w:r>
      <w:bookmarkEnd w:id="44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قبلاً يادآور شديم كه ناحيه شرقى كوفه به علت هم‌جوارى با رود فرات، باغ‌ها و نخلستان‌هاى فراوانى را در خود جاى داده بود و اين باغ‌ها از شرق تا شمال</w:t>
      </w:r>
    </w:p>
    <w:p>
      <w:pPr>
        <w:pStyle w:val="BookText"/>
        <w:rPr/>
      </w:pPr>
      <w:r>
        <w:rPr>
          <w:rFonts w:ascii="IRNazanin" w:hAnsi="IRNazanin" w:eastAsia="IRNazanin"/>
          <w:color w:val="111111"/>
          <w:sz w:val="28"/>
          <w:sz w:val="28"/>
          <w:szCs w:val="28"/>
          <w:rtl w:val="true"/>
          <w:lang w:bidi="fa-IR"/>
        </w:rPr>
        <w:t>شرقى كوفه را دربرگرفته بودند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به اين منطقه ممتد از شرق تا شمال،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الكوفه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مى‌شد </w:t>
      </w:r>
      <w:r>
        <w:rPr>
          <w:rStyle w:val="FootnoteAnchor"/>
          <w:rtl w:val="true"/>
        </w:rPr>
        <w:footnoteReference w:id="293"/>
      </w:r>
      <w:r>
        <w:rPr>
          <w:rFonts w:ascii="IRNazanin" w:hAnsi="IRNazanin" w:eastAsia="IRNazanin"/>
          <w:color w:val="111111"/>
          <w:sz w:val="28"/>
          <w:sz w:val="28"/>
          <w:szCs w:val="28"/>
          <w:rtl w:val="true"/>
          <w:lang w:bidi="fa-IR"/>
        </w:rPr>
        <w:t>زيرا به سبب فراوانى نخلستان‌ها، بوستان‌ها، باغ‌ها و كشت‌زارهاى اين منطقه، رنگ سبز اين منطقه از دور به شكل سياه به نظر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يادآور شد كه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الكوفه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متفاوت است؛ زيرا دومى محدوده بسيار وسيعى را كه كوفه و بصره جزئى از آن بود، شامل مى‌شد، چنان‌كه در بعضى از كتاب‌ها طول آن از موصل تا عَبّادان و عرض آن از عُذَيب در اطراف كوفه تا حُلوان كه مساحت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را شامل مى‌شد، تعيين شده است</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اَحنف بن قيس بصرى يكى از ياران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در زمان مورد بحث ما مى‌زيسته است، هنگام ذكر فضايل كوفه از باغ‌هاى در هم‌پيچيده شده نام مى‌برد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ديرهاى اطراف كوفه كه محل عبادت و زندگى راهبان مسيحى بود، باغ‌هاى فراوانى وجود داشت كه بعضى اوقات ميوه‌هاى آنها به كوفه صادر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شده كه بوستان‌هايى براى پرورش انواع گل‌ها در اين ديرها ايجاد شده بود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گفتنى است كه كثرت و فراوانى باغ‌هاى كوفه به قدرى بود كه در زمان حكومت مغيرة بن شعبه بر كوفه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مقدار محصولات كوفه از باغ‌هاى كوفه به مراتب بيشتر از غلات كوفه‌بود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آبيارى همه باغ‌ها به وسيله نهرها و جوى‌هاى منشعب شده از فرات صورت مى‌گرفت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اين اوصاف، تاريخ به جز يك مورد،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زائده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ديگر باغ‌هاى كوفه را در خود ضبط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زائده، متعلق به زائدة بن قدامة ثقفى از قبيله ثَقيف بود كه در محدوده سهم اين قبيله و در منتهى اليه شمال شرقى</w:t>
      </w:r>
      <w:bookmarkStart w:id="450" w:name="pg1964_19516"/>
    </w:p>
    <w:p>
      <w:pPr>
        <w:pStyle w:val="BookText"/>
        <w:rPr/>
      </w:pPr>
      <w:bookmarkEnd w:id="450"/>
      <w:r>
        <w:rPr>
          <w:rFonts w:ascii="IRNazanin" w:hAnsi="IRNazanin" w:eastAsia="IRNazanin"/>
          <w:color w:val="111111"/>
          <w:sz w:val="28"/>
          <w:sz w:val="28"/>
          <w:szCs w:val="28"/>
          <w:rtl w:val="true"/>
          <w:lang w:bidi="fa-IR"/>
        </w:rPr>
        <w:t>كوفه و در شمال غربى ناحيه سَبْخَه قرار داشت و با فرات فاصله چندانى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زائدة بن قدامه يكى از اشراف كوفه بود كه در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زمان نهضت مختار بدو پيوست</w:t>
      </w:r>
      <w:r>
        <w:rPr>
          <w:rFonts w:eastAsia="IRNazanin" w:cs="IRNazanin"/>
          <w:color w:val="111111"/>
          <w:sz w:val="28"/>
          <w:szCs w:val="28"/>
          <w:rtl w:val="true"/>
          <w:lang w:bidi="fa-IR"/>
        </w:rPr>
        <w:t xml:space="preserve">. </w:t>
      </w:r>
      <w:r>
        <w:rPr>
          <w:rStyle w:val="FootnoteAnchor"/>
          <w:rtl w:val="true"/>
        </w:rPr>
        <w:footnoteReference w:id="298"/>
      </w:r>
    </w:p>
    <w:p>
      <w:pPr>
        <w:pStyle w:val="Heading3"/>
        <w:numPr>
          <w:ilvl w:val="2"/>
          <w:numId w:val="1"/>
        </w:numPr>
        <w:rPr/>
      </w:pPr>
      <w:bookmarkStart w:id="451" w:name="__RefHeading___Toc3584803_3650668749"/>
      <w:bookmarkStart w:id="452" w:name="_Toc198"/>
      <w:bookmarkEnd w:id="451"/>
      <w:r>
        <w:rPr/>
        <w:t>١١</w:t>
      </w:r>
      <w:r>
        <w:rPr>
          <w:rtl w:val="true"/>
        </w:rPr>
        <w:t xml:space="preserve">. </w:t>
      </w:r>
      <w:r>
        <w:rPr>
          <w:rtl w:val="true"/>
        </w:rPr>
        <w:t>دروازه‌ها‌ى كوفه</w:t>
      </w:r>
      <w:bookmarkEnd w:id="452"/>
    </w:p>
    <w:p>
      <w:pPr>
        <w:pStyle w:val="BookText"/>
        <w:rPr/>
      </w:pPr>
      <w:r>
        <w:rPr>
          <w:rFonts w:ascii="IRNazanin" w:hAnsi="IRNazanin" w:eastAsia="IRNazanin"/>
          <w:color w:val="111111"/>
          <w:sz w:val="28"/>
          <w:sz w:val="28"/>
          <w:szCs w:val="28"/>
          <w:rtl w:val="true"/>
          <w:lang w:bidi="fa-IR"/>
        </w:rPr>
        <w:t>وجود دروازه در يك شهر، متفرّع بر وجود سور، قلعه و ديوار شهر است؛ بدين‌ترتيب كه هرگاه دور شهرى ديوار بنا كنند، ناگزير براى ورود و خروج، دروازه‌هايى تعبيه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كه كوفه در آغاز به عنوان يك شهر پادگانى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مركزى براى فرماندهى عمليات در ايران بنا شده بود و اصولاً دفاعى بودن شهر به مخيله طراحان اوليه شهر خطور نمى‌كرد، سور و ديوارى براى آن بنا ننمودند و بنابراين، دروازه‌اى نيز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نشان مى‌شود كه دروازه كوفه اولين بار در سال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زمان منصور خليفه عباسى ساخته شد</w:t>
      </w:r>
      <w:r>
        <w:rPr>
          <w:rFonts w:eastAsia="IRNazanin" w:cs="IRNazanin"/>
          <w:color w:val="111111"/>
          <w:sz w:val="28"/>
          <w:szCs w:val="28"/>
          <w:rtl w:val="true"/>
          <w:lang w:bidi="fa-IR"/>
        </w:rPr>
        <w:t>.</w:t>
      </w:r>
    </w:p>
    <w:p>
      <w:pPr>
        <w:pStyle w:val="Heading3"/>
        <w:numPr>
          <w:ilvl w:val="2"/>
          <w:numId w:val="1"/>
        </w:numPr>
        <w:rPr/>
      </w:pPr>
      <w:bookmarkStart w:id="453" w:name="__RefHeading___Toc3584805_3650668749"/>
      <w:bookmarkStart w:id="454" w:name="_Toc199"/>
      <w:bookmarkEnd w:id="453"/>
      <w:r>
        <w:rPr/>
        <w:t>١٢</w:t>
      </w:r>
      <w:r>
        <w:rPr>
          <w:rtl w:val="true"/>
        </w:rPr>
        <w:t xml:space="preserve">. </w:t>
      </w:r>
      <w:r>
        <w:rPr>
          <w:rtl w:val="true"/>
        </w:rPr>
        <w:t xml:space="preserve">ديرها‌ى كوفه </w:t>
      </w:r>
      <w:r>
        <w:rPr>
          <w:rtl w:val="true"/>
        </w:rPr>
        <w:t>(</w:t>
      </w:r>
      <w:r>
        <w:rPr>
          <w:rtl w:val="true"/>
        </w:rPr>
        <w:t>ديارات كوفه</w:t>
      </w:r>
      <w:r>
        <w:rPr>
          <w:rtl w:val="true"/>
        </w:rPr>
        <w:t>)</w:t>
      </w:r>
      <w:bookmarkEnd w:id="454"/>
    </w:p>
    <w:p>
      <w:pPr>
        <w:pStyle w:val="Heading4"/>
        <w:numPr>
          <w:ilvl w:val="3"/>
          <w:numId w:val="1"/>
        </w:numPr>
        <w:rPr/>
      </w:pPr>
      <w:bookmarkStart w:id="455" w:name="__RefHeading___Toc3584807_3650668749"/>
      <w:bookmarkStart w:id="456" w:name="_Toc200"/>
      <w:bookmarkEnd w:id="455"/>
      <w:r>
        <w:rPr>
          <w:rtl w:val="true"/>
        </w:rPr>
        <w:t>اشاره</w:t>
      </w:r>
      <w:bookmarkEnd w:id="45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خانه گرفته شده است و اصطلاحاً به صومعه‌هايى گفته مى‌شود كه در كوه‌ها و صحراها و دور از مردم بنا شده و راهبان مسيحى در آن به عبادت مى‌پردازند</w:t>
      </w:r>
      <w:r>
        <w:rPr>
          <w:rFonts w:eastAsia="IRNazanin" w:cs="IRNazanin"/>
          <w:color w:val="111111"/>
          <w:sz w:val="28"/>
          <w:szCs w:val="28"/>
          <w:rtl w:val="true"/>
          <w:lang w:bidi="fa-IR"/>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راهبان مرد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زن‌هاى راهبه به‌كار برده مى‌شد</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به سبب نفوذ مسيحيت در عراق قبل از اسلام در اين منطقه، ديرهاى فراوانى وجود داشت كه تعداد زيادى از آنها در اطراف شهر حيره بنا شده بود و بعدها كه شهر كوفه در كنار شهر حيره</w:t>
      </w:r>
    </w:p>
    <w:p>
      <w:pPr>
        <w:pStyle w:val="BookText"/>
        <w:rPr/>
      </w:pPr>
      <w:r>
        <w:rPr>
          <w:rFonts w:ascii="Amiri" w:hAnsi="Amiri" w:eastAsia="Amiri" w:cs="Amiri"/>
          <w:color w:val="111111"/>
          <w:sz w:val="28"/>
          <w:sz w:val="28"/>
          <w:szCs w:val="28"/>
          <w:rtl w:val="true"/>
          <w:lang w:bidi="ar-SA"/>
        </w:rPr>
        <w:t>بنا شد، اين ديرها در كنار آن واقع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دير و كليسا تفاوت‌هايى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مثال، دير در بيرون شهر بنا مى‌شود، اما كليسا معمولاً در داخل شهر ساخته مى‌شود</w:t>
      </w:r>
      <w:r>
        <w:rPr>
          <w:rFonts w:eastAsia="Amiri" w:cs="Amiri" w:ascii="Amiri" w:hAnsi="Amiri"/>
          <w:color w:val="111111"/>
          <w:sz w:val="28"/>
          <w:szCs w:val="28"/>
          <w:rtl w:val="true"/>
          <w:lang w:bidi="ar-SA"/>
        </w:rPr>
        <w:t xml:space="preserve">. </w:t>
      </w:r>
      <w:r>
        <w:rPr>
          <w:rStyle w:val="FootnoteAnchor"/>
          <w:rtl w:val="true"/>
        </w:rPr>
        <w:footnoteReference w:id="301"/>
      </w:r>
      <w:r>
        <w:rPr>
          <w:rFonts w:ascii="IRNazanin" w:hAnsi="IRNazanin" w:eastAsia="IRNazanin"/>
          <w:color w:val="111111"/>
          <w:sz w:val="28"/>
          <w:sz w:val="28"/>
          <w:szCs w:val="28"/>
          <w:rtl w:val="true"/>
          <w:lang w:bidi="fa-IR"/>
        </w:rPr>
        <w:t>همچنين كليسا محل برگزارى نيايش همه مسيحيان است، اما دير براى عبادت راهبان و عابدان مسيحى ساخته مى‌شود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اولين چيزى كه براى افراد بيرون از دير جلب توجه مى‌كند، قبّه و گنبد و بارگاهى است كه بر فراز دير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ديرهاى حيره به سبب گنبد و بارگاه‌هاى زيبايى كه براى آنها ساخته مى‌شد، مشهور بود و از مسافت دور، نظر ناظران را جلب مى‌كرد و هنگامى كه نزديك‌تر مى‌شدند و به كنار دير مى‌رسيدند، ديوارهاى بلند دير كه گاهى به صد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پنجاه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 شگفتى آنها را بيشتر برمى‌انگيخت؛ ديوارهايى كه به منظور محفوظ ماندن دير از شر دزدها وغارت‌گران بنا شده بود و وسيله دفاعى مناسبى براى جلوگيرى از حمله بيگانگان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درهاى دير از آهن ساخته و به وسيله مأموران باز و بسته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عادى، درِ دير براى همگان و به خصوص مسافران بيابان‌ها باز بود و مسافران احياناً به داخل دير رفته و از آنها پذيرايى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ديرها مكانى خاص براى پذيرايى از ميهمانان و مسافران مهيا شده بود كه در آنجا با انواع ميوه‌ها، غذاها و شراب‌هاى مست‌كننده از آنان پذيرايى مى‌كردند</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تأسيس كوفه، مسيحيان از ديرهاى اطراف كوفه به عنوان وسيله‌اى مناسب براى تهاجم فرهنگى عليه مسلمانان استفاده مى‌نمودند؛ بدين ترتيب كه از جوانان عياش بى‌بندوبار و خوش‌گذران كوفه در اين ديرها به بهترين وجه پذيرايى مى‌نمودند و بدين وسيله افراد سست ايمان مسلمان را به سوى خود جذب</w:t>
      </w:r>
    </w:p>
    <w:p>
      <w:pPr>
        <w:pStyle w:val="BookText"/>
        <w:rPr/>
      </w:pPr>
      <w:r>
        <w:rPr>
          <w:rFonts w:ascii="IRNazanin" w:hAnsi="IRNazanin" w:eastAsia="IRNazanin"/>
          <w:color w:val="111111"/>
          <w:sz w:val="28"/>
          <w:sz w:val="28"/>
          <w:szCs w:val="28"/>
          <w:rtl w:val="true"/>
          <w:lang w:bidi="fa-IR"/>
        </w:rPr>
        <w:t>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كوفه شد و از اين ماجرا آگاه گرديد، دستور به آتش كشيدن بعضى از اين مكان‌ها را داد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در قرن‌هاى بعدى بسيار اتفاق مى‌افتاد كه بعضى از مسلمانان سست عقيده كه از شهر و ديار خود به قصد انجام اعمال حج خارج شده بودند، در سر راه خود به يكى از ديرهاى خارج كوفه برخورد نموده و پس از پذيرايى مفصلى كه از آنها مى‌شد، از قصد خود منصرف شده و تا پايان مراسم حج و رجوع قافله در آنجا مانده و سپس با قافله باز گشته از حج، به ديار خود باز مى‌گشتند، حتى بعضى از آنها به اين عمل خود افتخار نموده و اشعارى در اين باره مى‌سرودند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ساختمان داخلى دير اتاق‌هايى مخصوص عبادت راهبان داشت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اتاق‌هاى غذاخورى، اتاق‌هاى حفظ امانات و هدايا و اتاق‌هايى كه به عنوان كتابخانه از آنها استفاده مى‌شد و در آن كتاب‌هاى مذهبى، فلسفى، زندگى‌نامه شهيدان مسيحيت و قديسين، ادبى، شعر و كتاب‌هايى در باره چگونگى سير و سلوك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نگهدارى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ديرها اتاق‌هايى براى شراب‌سازى پيش‌بينى شده بود كه در مقايسه با كوچكى و بزرگى اتاق‌هاى داخل آن از تعداد ده تا صد اتاق در نوسان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ديرها معمولاً در جايى بنا مى‌شد كه دسترسى به آب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ديرى در بالاى كوه‌ها بنا مى‌كردند به وسيله ساختن حوض‌هاى بزرگ و نيز جارى ساختن چشمه‌ها، آب مورد نياز خود را تأمين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ديرهاى صحرايى نيز معمولاً به وسيله حفر چاه به آب دسترسى پيدا مى‌كردند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اما ديرهاى اطراف كوفه از آنجا كه به رودخانه فرات نزديك بوده آب مورد نياز آنها را به وسيله جارى ساختن نهرهايى از كوفه به داخل دير تأمين مى‌نمودند و در پرتو همين نهرها بود</w:t>
      </w:r>
      <w:bookmarkStart w:id="457" w:name="pg1964_19519"/>
    </w:p>
    <w:p>
      <w:pPr>
        <w:pStyle w:val="BookText"/>
        <w:rPr/>
      </w:pPr>
      <w:bookmarkEnd w:id="457"/>
      <w:r>
        <w:rPr>
          <w:rFonts w:ascii="IRNazanin" w:hAnsi="IRNazanin" w:eastAsia="IRNazanin"/>
          <w:color w:val="111111"/>
          <w:sz w:val="28"/>
          <w:sz w:val="28"/>
          <w:szCs w:val="28"/>
          <w:rtl w:val="true"/>
          <w:lang w:bidi="fa-IR"/>
        </w:rPr>
        <w:t>كه باغ‌هاى انگور و بوستان‌ها و سبزه‌زارهايى در داخل دير به وجود آوردند كه ضمن بخشيدن منظره‌اى زيبا به دير، بخشى از مايحتاج دير را تأمين نموده و در مواردى كه ثمرات آن مازاد بر مصرف ساكنان دير بود براى تهيه بقيه مايحتاج خود از آن بهره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كتاب‌هاى مختلف جغرافيايى و نيز منابعى كه در باره ديارات نوشته شده، از بسيارى از ديرهاى واقع در اطراف و اكناف عراق ياد شده است كه در اينجا فقط به برخى از آنها پرداخته مى‌شود كه نزديك كوفه واقع شده بود و از ذكر ديرهاى اطراف حيره كه ربطى به كوفه نداشته، خوددارى مى‌شود</w:t>
      </w:r>
      <w:r>
        <w:rPr>
          <w:rFonts w:eastAsia="IRNazanin" w:cs="IRNazanin"/>
          <w:color w:val="111111"/>
          <w:sz w:val="28"/>
          <w:szCs w:val="28"/>
          <w:rtl w:val="true"/>
          <w:lang w:bidi="fa-IR"/>
        </w:rPr>
        <w:t>.</w:t>
      </w:r>
    </w:p>
    <w:p>
      <w:pPr>
        <w:pStyle w:val="Heading4"/>
        <w:numPr>
          <w:ilvl w:val="3"/>
          <w:numId w:val="1"/>
        </w:numPr>
        <w:rPr/>
      </w:pPr>
      <w:bookmarkStart w:id="458" w:name="__RefHeading___Toc3584809_3650668749"/>
      <w:bookmarkStart w:id="459" w:name="_Toc201"/>
      <w:bookmarkEnd w:id="458"/>
      <w:r>
        <w:rPr>
          <w:rtl w:val="true"/>
        </w:rPr>
        <w:t>الف</w:t>
      </w:r>
      <w:r>
        <w:rPr>
          <w:rtl w:val="true"/>
        </w:rPr>
        <w:t xml:space="preserve">) </w:t>
      </w:r>
      <w:r>
        <w:rPr>
          <w:rtl w:val="true"/>
        </w:rPr>
        <w:t>ديارات الأساقف</w:t>
      </w:r>
      <w:bookmarkEnd w:id="459"/>
    </w:p>
    <w:p>
      <w:pPr>
        <w:pStyle w:val="BookText"/>
        <w:rPr/>
      </w:pPr>
      <w:r>
        <w:rPr>
          <w:rFonts w:ascii="Amiri" w:hAnsi="Amiri" w:eastAsia="Amiri" w:cs="Amiri"/>
          <w:color w:val="111111"/>
          <w:sz w:val="28"/>
          <w:sz w:val="28"/>
          <w:szCs w:val="28"/>
          <w:rtl w:val="true"/>
          <w:lang w:bidi="ar-SA"/>
        </w:rPr>
        <w:t>اساقف جمع اُسْقف به معناى كشيش مسيحى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ديارات الأساقف </w:t>
      </w:r>
      <w:r>
        <w:rPr>
          <w:rStyle w:val="FootnoteAnchor"/>
          <w:rtl w:val="true"/>
        </w:rPr>
        <w:footnoteReference w:id="307"/>
      </w:r>
      <w:r>
        <w:rPr>
          <w:rFonts w:ascii="IRNazanin" w:hAnsi="IRNazanin" w:eastAsia="IRNazanin"/>
          <w:color w:val="111111"/>
          <w:sz w:val="28"/>
          <w:sz w:val="28"/>
          <w:szCs w:val="28"/>
          <w:rtl w:val="true"/>
          <w:lang w:bidi="fa-IR"/>
        </w:rPr>
        <w:t>مجموعه چند دير بوده كه در غرب كوفه در منطقه نجف و نزديك حيره قرار داشته و از قبّه‌ها و صخرهايى تشكيل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نهرى به نام نهر غدير از ميان اين ديرها عبور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اين ديارات، قصر ابى‌الخصيب و در طرف چپ آن، منطقه سدير قرار داشت</w:t>
      </w:r>
      <w:r>
        <w:rPr>
          <w:rFonts w:eastAsia="IRNazanin" w:cs="IRNazanin"/>
          <w:color w:val="111111"/>
          <w:sz w:val="28"/>
          <w:szCs w:val="28"/>
          <w:rtl w:val="true"/>
          <w:lang w:bidi="fa-IR"/>
        </w:rPr>
        <w:t xml:space="preserve">. </w:t>
      </w:r>
      <w:r>
        <w:rPr>
          <w:rStyle w:val="FootnoteAnchor"/>
          <w:rtl w:val="true"/>
        </w:rPr>
        <w:footnoteReference w:id="308"/>
      </w:r>
    </w:p>
    <w:p>
      <w:pPr>
        <w:pStyle w:val="Heading4"/>
        <w:numPr>
          <w:ilvl w:val="3"/>
          <w:numId w:val="1"/>
        </w:numPr>
        <w:rPr/>
      </w:pPr>
      <w:bookmarkStart w:id="460" w:name="__RefHeading___Toc3584811_3650668749"/>
      <w:bookmarkStart w:id="461" w:name="_Toc202"/>
      <w:bookmarkEnd w:id="460"/>
      <w:r>
        <w:rPr>
          <w:rtl w:val="true"/>
        </w:rPr>
        <w:t>ب</w:t>
      </w:r>
      <w:r>
        <w:rPr>
          <w:rtl w:val="true"/>
        </w:rPr>
        <w:t xml:space="preserve">) </w:t>
      </w:r>
      <w:r>
        <w:rPr>
          <w:rtl w:val="true"/>
        </w:rPr>
        <w:t>دير اَعْوَر</w:t>
      </w:r>
      <w:bookmarkEnd w:id="461"/>
    </w:p>
    <w:p>
      <w:pPr>
        <w:pStyle w:val="BookText"/>
        <w:rPr/>
      </w:pPr>
      <w:r>
        <w:rPr>
          <w:rFonts w:ascii="Amiri" w:hAnsi="Amiri" w:eastAsia="Amiri" w:cs="Amiri"/>
          <w:color w:val="111111"/>
          <w:sz w:val="28"/>
          <w:sz w:val="28"/>
          <w:szCs w:val="28"/>
          <w:rtl w:val="true"/>
          <w:lang w:bidi="ar-SA"/>
        </w:rPr>
        <w:t xml:space="preserve">اين دير در غرب كوفه قرار داشته و منسوب به مردى از قبيله اياد به نام اعور از تيره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بنى‌حُذافَه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Style w:val="FootnoteAnchor"/>
          <w:rtl w:val="true"/>
        </w:rPr>
        <w:footnoteReference w:id="309"/>
      </w:r>
    </w:p>
    <w:p>
      <w:pPr>
        <w:pStyle w:val="Heading4"/>
        <w:numPr>
          <w:ilvl w:val="3"/>
          <w:numId w:val="1"/>
        </w:numPr>
        <w:rPr/>
      </w:pPr>
      <w:bookmarkStart w:id="462" w:name="__RefHeading___Toc3584813_3650668749"/>
      <w:bookmarkStart w:id="463" w:name="_Toc203"/>
      <w:bookmarkEnd w:id="462"/>
      <w:r>
        <w:rPr>
          <w:rtl w:val="true"/>
        </w:rPr>
        <w:t>ج</w:t>
      </w:r>
      <w:r>
        <w:rPr>
          <w:rtl w:val="true"/>
        </w:rPr>
        <w:t xml:space="preserve">) </w:t>
      </w:r>
      <w:r>
        <w:rPr>
          <w:rtl w:val="true"/>
        </w:rPr>
        <w:t>دير الجَماجِم</w:t>
      </w:r>
      <w:bookmarkEnd w:id="46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دير در فاصله هفت فرسخى غرب و جنوب غربى كوفه و در سر راه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وجه تسميه آن دلايل زير گفته شده است</w:t>
      </w:r>
      <w:r>
        <w:rPr>
          <w:rFonts w:eastAsia="IRNazanin" w:cs="IRNazanin"/>
          <w:color w:val="111111"/>
          <w:sz w:val="28"/>
          <w:szCs w:val="28"/>
          <w:rtl w:val="true"/>
          <w:lang w:bidi="fa-IR"/>
        </w:rPr>
        <w:t>:</w:t>
      </w:r>
      <w:bookmarkStart w:id="464" w:name="pg1964_19520"/>
    </w:p>
    <w:p>
      <w:pPr>
        <w:pStyle w:val="BookText"/>
        <w:rPr/>
      </w:pPr>
      <w:bookmarkEnd w:id="464"/>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جماجم جمع جُمْجَمه به معناى كاسه‌هاى چوبى است و چون در اين منطقه، كاسه‌هاى چوبى مى‌ساختند،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جماجم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جُمجمه به معناى چاهى است كه در شوره‌زار حفر مى‌شود و چون در اين مكان شوره‌زار، چاه‌هايى حفر شده بود، به اين اسم موصوف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جُمجمه به معناى جمجمه انسان است و چون در اين مكان، جمجمه انسان‌هايى نصب يا دفن شده‌بود، با اين نام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اين جمجمه‌ها را از آن ايرانيانى مى‌دانند كه به وسيله گروهى از قبيله اياد كشته شده و سرهايشان در اين دير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بعضى گفته‌اند كه شاه ايران بعد از ديدن سرهاى كشتگان ايرانى دستور بناى ديرى در اين مكان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نيز گفته‌اند كه اين كشتگان مربوط به كسانى است كه در جنگ بين قبيله اياد و بنى‌فهد كشته شده و در اين مكان دفن شدند، آن‌گاه بعدها هرگاه مردم قطعه‌اى از زمين را در اين منطقه حفر مى‌كردند، جمجمه‌اى بيرون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اين مكان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جماجم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حكومت امويان جنگ سختى در اين منطقه بين حجاج بن يوسف ثقفى و عبدالرحمان بن محمد بن اشعث در سال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درگرفت كه به شكست و فرار عبدالرحمان انجاميد</w:t>
      </w:r>
      <w:r>
        <w:rPr>
          <w:rFonts w:eastAsia="IRNazanin" w:cs="IRNazanin"/>
          <w:color w:val="111111"/>
          <w:sz w:val="28"/>
          <w:szCs w:val="28"/>
          <w:rtl w:val="true"/>
          <w:lang w:bidi="fa-IR"/>
        </w:rPr>
        <w:t xml:space="preserve">. </w:t>
      </w:r>
      <w:r>
        <w:rPr>
          <w:rStyle w:val="FootnoteAnchor"/>
          <w:rtl w:val="true"/>
        </w:rPr>
        <w:footnoteReference w:id="310"/>
      </w:r>
    </w:p>
    <w:p>
      <w:pPr>
        <w:pStyle w:val="Heading4"/>
        <w:numPr>
          <w:ilvl w:val="3"/>
          <w:numId w:val="1"/>
        </w:numPr>
        <w:rPr/>
      </w:pPr>
      <w:bookmarkStart w:id="465" w:name="__RefHeading___Toc3584815_3650668749"/>
      <w:bookmarkStart w:id="466" w:name="_Toc204"/>
      <w:bookmarkEnd w:id="465"/>
      <w:r>
        <w:rPr>
          <w:rtl w:val="true"/>
        </w:rPr>
        <w:t>د</w:t>
      </w:r>
      <w:r>
        <w:rPr>
          <w:rtl w:val="true"/>
        </w:rPr>
        <w:t xml:space="preserve">) </w:t>
      </w:r>
      <w:r>
        <w:rPr>
          <w:rtl w:val="true"/>
        </w:rPr>
        <w:t>دير حُرْمه</w:t>
      </w:r>
      <w:bookmarkEnd w:id="466"/>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دير حُرْمه </w:t>
      </w:r>
      <w:r>
        <w:rPr>
          <w:rStyle w:val="FootnoteAnchor"/>
          <w:rtl w:val="true"/>
        </w:rPr>
        <w:footnoteReference w:id="311"/>
      </w:r>
    </w:p>
    <w:p>
      <w:pPr>
        <w:pStyle w:val="Heading4"/>
        <w:numPr>
          <w:ilvl w:val="3"/>
          <w:numId w:val="1"/>
        </w:numPr>
        <w:rPr/>
      </w:pPr>
      <w:bookmarkStart w:id="467" w:name="__RefHeading___Toc3584817_3650668749"/>
      <w:bookmarkStart w:id="468" w:name="_Toc205"/>
      <w:bookmarkEnd w:id="467"/>
      <w:r>
        <w:rPr>
          <w:rtl w:val="true"/>
        </w:rPr>
        <w:t>ه</w:t>
      </w:r>
      <w:r>
        <w:rPr>
          <w:rtl w:val="true"/>
        </w:rPr>
        <w:t xml:space="preserve">) </w:t>
      </w:r>
      <w:r>
        <w:rPr>
          <w:rtl w:val="true"/>
        </w:rPr>
        <w:t>دير حِنَّه</w:t>
      </w:r>
      <w:bookmarkEnd w:id="46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دير كه در غرب كوفه، در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اُكَيراح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كوفه و حيره قرار داشت، در زمان پادشاهى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حيره به وسيله قومى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w:t>
      </w:r>
      <w:bookmarkStart w:id="469" w:name="pg1964_19521"/>
    </w:p>
    <w:p>
      <w:pPr>
        <w:pStyle w:val="BookText"/>
        <w:rPr/>
      </w:pPr>
      <w:bookmarkEnd w:id="469"/>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ابوالفرج اصفهانى از دو دير با اين نام ياد مى‌كند و دومى را در حيره دانسته و ساختمان آن را به بنوساطع نسبت مى‌دهد</w:t>
      </w:r>
      <w:r>
        <w:rPr>
          <w:rFonts w:eastAsia="Amiri" w:cs="Amiri" w:ascii="Amiri" w:hAnsi="Amiri"/>
          <w:color w:val="111111"/>
          <w:sz w:val="28"/>
          <w:szCs w:val="28"/>
          <w:rtl w:val="true"/>
          <w:lang w:bidi="ar-SA"/>
        </w:rPr>
        <w:t xml:space="preserve">. </w:t>
      </w:r>
      <w:r>
        <w:rPr>
          <w:rStyle w:val="FootnoteAnchor"/>
          <w:rtl w:val="true"/>
        </w:rPr>
        <w:footnoteReference w:id="312"/>
      </w:r>
    </w:p>
    <w:p>
      <w:pPr>
        <w:pStyle w:val="Heading4"/>
        <w:numPr>
          <w:ilvl w:val="3"/>
          <w:numId w:val="1"/>
        </w:numPr>
        <w:rPr/>
      </w:pPr>
      <w:bookmarkStart w:id="470" w:name="__RefHeading___Toc3584819_3650668749"/>
      <w:bookmarkStart w:id="471" w:name="_Toc206"/>
      <w:bookmarkEnd w:id="470"/>
      <w:r>
        <w:rPr>
          <w:rtl w:val="true"/>
        </w:rPr>
        <w:t>و</w:t>
      </w:r>
      <w:r>
        <w:rPr>
          <w:rtl w:val="true"/>
        </w:rPr>
        <w:t xml:space="preserve">) </w:t>
      </w:r>
      <w:r>
        <w:rPr>
          <w:rtl w:val="true"/>
        </w:rPr>
        <w:t>دير زُراره</w:t>
      </w:r>
      <w:bookmarkEnd w:id="471"/>
    </w:p>
    <w:p>
      <w:pPr>
        <w:pStyle w:val="BookText"/>
        <w:rPr/>
      </w:pPr>
      <w:r>
        <w:rPr>
          <w:rFonts w:ascii="IRNazanin" w:hAnsi="IRNazanin" w:eastAsia="IRNazanin"/>
          <w:color w:val="111111"/>
          <w:sz w:val="28"/>
          <w:sz w:val="28"/>
          <w:szCs w:val="28"/>
          <w:rtl w:val="true"/>
          <w:lang w:bidi="fa-IR"/>
        </w:rPr>
        <w:t xml:space="preserve">ظاهراً اين دير نزديك روستاى زراره و بين 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و حمام اعين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دير مكانى خوش آب و هوا بود و شراب فراوانى در آن به عمل مى‌آمد، از اين رو، جوانان خوش‌گذران كوفه را به خود جذب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آتش‌زدن روستاى زراره به وسيله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بوده است</w:t>
      </w:r>
      <w:r>
        <w:rPr>
          <w:rFonts w:eastAsia="IRNazanin" w:cs="IRNazanin"/>
          <w:color w:val="111111"/>
          <w:sz w:val="28"/>
          <w:szCs w:val="28"/>
          <w:rtl w:val="true"/>
          <w:lang w:bidi="fa-IR"/>
        </w:rPr>
        <w:t xml:space="preserve">. </w:t>
      </w:r>
      <w:r>
        <w:rPr>
          <w:rStyle w:val="FootnoteAnchor"/>
          <w:rtl w:val="true"/>
        </w:rPr>
        <w:footnoteReference w:id="313"/>
      </w:r>
    </w:p>
    <w:p>
      <w:pPr>
        <w:pStyle w:val="Heading4"/>
        <w:numPr>
          <w:ilvl w:val="3"/>
          <w:numId w:val="1"/>
        </w:numPr>
        <w:rPr/>
      </w:pPr>
      <w:bookmarkStart w:id="472" w:name="__RefHeading___Toc3584821_3650668749"/>
      <w:bookmarkStart w:id="473" w:name="_Toc207"/>
      <w:bookmarkEnd w:id="472"/>
      <w:r>
        <w:rPr>
          <w:rtl w:val="true"/>
        </w:rPr>
        <w:t>ز</w:t>
      </w:r>
      <w:r>
        <w:rPr>
          <w:rtl w:val="true"/>
        </w:rPr>
        <w:t xml:space="preserve">) </w:t>
      </w:r>
      <w:r>
        <w:rPr>
          <w:rtl w:val="true"/>
        </w:rPr>
        <w:t xml:space="preserve">دير سِرجِس </w:t>
      </w:r>
      <w:r>
        <w:rPr>
          <w:rtl w:val="true"/>
        </w:rPr>
        <w:t>(</w:t>
      </w:r>
      <w:r>
        <w:rPr>
          <w:rtl w:val="true"/>
        </w:rPr>
        <w:t>سرجيس</w:t>
      </w:r>
      <w:r>
        <w:rPr>
          <w:rtl w:val="true"/>
        </w:rPr>
        <w:t>)</w:t>
      </w:r>
      <w:bookmarkEnd w:id="473"/>
    </w:p>
    <w:p>
      <w:pPr>
        <w:pStyle w:val="BookText"/>
        <w:rPr/>
      </w:pPr>
      <w:r>
        <w:rPr>
          <w:rFonts w:ascii="IRNazanin" w:hAnsi="IRNazanin" w:eastAsia="IRNazanin"/>
          <w:color w:val="111111"/>
          <w:sz w:val="28"/>
          <w:sz w:val="28"/>
          <w:szCs w:val="28"/>
          <w:rtl w:val="true"/>
          <w:lang w:bidi="fa-IR"/>
        </w:rPr>
        <w:t xml:space="preserve">اين دير در طيزناباذ در مكانى خوش آب و هوا و در سر راه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قرار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شماره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نخلستان‌ها، باغ‌ها، انگورستان‌هاى فراوانى داشته و در آن مكان شراب نابى به عمل 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نكته باعث جذب كوفيان و مردم ديگر به اين مكان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اين دير به معمرة بن نُواس مشهور شد</w:t>
      </w:r>
      <w:r>
        <w:rPr>
          <w:rFonts w:eastAsia="IRNazanin" w:cs="IRNazanin"/>
          <w:color w:val="111111"/>
          <w:sz w:val="28"/>
          <w:szCs w:val="28"/>
          <w:rtl w:val="true"/>
          <w:lang w:bidi="fa-IR"/>
        </w:rPr>
        <w:t xml:space="preserve">. </w:t>
      </w:r>
      <w:r>
        <w:rPr>
          <w:rStyle w:val="FootnoteAnchor"/>
          <w:rtl w:val="true"/>
        </w:rPr>
        <w:footnoteReference w:id="314"/>
      </w:r>
    </w:p>
    <w:p>
      <w:pPr>
        <w:pStyle w:val="Heading4"/>
        <w:numPr>
          <w:ilvl w:val="3"/>
          <w:numId w:val="1"/>
        </w:numPr>
        <w:rPr/>
      </w:pPr>
      <w:bookmarkStart w:id="474" w:name="__RefHeading___Toc3584823_3650668749"/>
      <w:bookmarkStart w:id="475" w:name="_Toc208"/>
      <w:bookmarkEnd w:id="474"/>
      <w:r>
        <w:rPr>
          <w:rtl w:val="true"/>
        </w:rPr>
        <w:t>ح</w:t>
      </w:r>
      <w:r>
        <w:rPr>
          <w:rtl w:val="true"/>
        </w:rPr>
        <w:t xml:space="preserve">) </w:t>
      </w:r>
      <w:r>
        <w:rPr>
          <w:rtl w:val="true"/>
        </w:rPr>
        <w:t>دير سلسله</w:t>
      </w:r>
      <w:bookmarkEnd w:id="475"/>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دير سلسله </w:t>
      </w:r>
      <w:r>
        <w:rPr>
          <w:rStyle w:val="FootnoteAnchor"/>
          <w:rtl w:val="true"/>
        </w:rPr>
        <w:footnoteReference w:id="315"/>
      </w:r>
    </w:p>
    <w:p>
      <w:pPr>
        <w:pStyle w:val="Heading4"/>
        <w:numPr>
          <w:ilvl w:val="3"/>
          <w:numId w:val="1"/>
        </w:numPr>
        <w:rPr/>
      </w:pPr>
      <w:bookmarkStart w:id="476" w:name="__RefHeading___Toc3584825_3650668749"/>
      <w:bookmarkStart w:id="477" w:name="_Toc209"/>
      <w:bookmarkEnd w:id="476"/>
      <w:r>
        <w:rPr>
          <w:rtl w:val="true"/>
        </w:rPr>
        <w:t>ط</w:t>
      </w:r>
      <w:r>
        <w:rPr>
          <w:rtl w:val="true"/>
        </w:rPr>
        <w:t xml:space="preserve">) </w:t>
      </w:r>
      <w:r>
        <w:rPr>
          <w:rtl w:val="true"/>
        </w:rPr>
        <w:t>دير السَّوا</w:t>
      </w:r>
      <w:bookmarkEnd w:id="47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 نام زنى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بنى‌حذيفه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كه دير را بنا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دير بين كوفه و حيره و در غرب كوفه قرار داشت</w:t>
      </w:r>
      <w:r>
        <w:rPr>
          <w:rFonts w:eastAsia="Amiri" w:cs="Amiri" w:ascii="Amiri" w:hAnsi="Amiri"/>
          <w:color w:val="111111"/>
          <w:sz w:val="28"/>
          <w:szCs w:val="28"/>
          <w:rtl w:val="true"/>
          <w:lang w:bidi="ar-SA"/>
        </w:rPr>
        <w:t xml:space="preserve">. </w:t>
      </w:r>
      <w:r>
        <w:rPr>
          <w:rStyle w:val="FootnoteAnchor"/>
          <w:rtl w:val="true"/>
        </w:rPr>
        <w:footnoteReference w:id="316"/>
      </w:r>
      <w:bookmarkStart w:id="478" w:name="pg1964_19522"/>
    </w:p>
    <w:p>
      <w:pPr>
        <w:pStyle w:val="Heading4"/>
        <w:numPr>
          <w:ilvl w:val="3"/>
          <w:numId w:val="1"/>
        </w:numPr>
        <w:rPr/>
      </w:pPr>
      <w:bookmarkStart w:id="479" w:name="__RefHeading___Toc3584827_3650668749"/>
      <w:bookmarkStart w:id="480" w:name="_Toc210"/>
      <w:bookmarkEnd w:id="478"/>
      <w:bookmarkEnd w:id="479"/>
      <w:r>
        <w:rPr>
          <w:rtl w:val="true"/>
        </w:rPr>
        <w:t>ي</w:t>
      </w:r>
      <w:r>
        <w:rPr>
          <w:rtl w:val="true"/>
        </w:rPr>
        <w:t xml:space="preserve">) </w:t>
      </w:r>
      <w:r>
        <w:rPr>
          <w:rtl w:val="true"/>
        </w:rPr>
        <w:t>دير الشّاء</w:t>
      </w:r>
      <w:bookmarkEnd w:id="480"/>
    </w:p>
    <w:p>
      <w:pPr>
        <w:pStyle w:val="BookText"/>
        <w:rPr/>
      </w:pPr>
      <w:r>
        <w:rPr>
          <w:rFonts w:ascii="IRNazanin" w:hAnsi="IRNazanin" w:eastAsia="IRNazanin"/>
          <w:color w:val="111111"/>
          <w:sz w:val="28"/>
          <w:sz w:val="28"/>
          <w:szCs w:val="28"/>
          <w:rtl w:val="true"/>
          <w:lang w:bidi="fa-IR"/>
        </w:rPr>
        <w:t xml:space="preserve">اين دير در شمال كوفه و در فاصله چهار ميلى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است</w:t>
      </w:r>
      <w:r>
        <w:rPr>
          <w:rFonts w:eastAsia="IRNazanin" w:cs="IRNazanin"/>
          <w:color w:val="111111"/>
          <w:sz w:val="28"/>
          <w:szCs w:val="28"/>
          <w:rtl w:val="true"/>
          <w:lang w:bidi="fa-IR"/>
        </w:rPr>
        <w:t xml:space="preserve">. </w:t>
      </w:r>
      <w:r>
        <w:rPr>
          <w:rStyle w:val="FootnoteAnchor"/>
          <w:rtl w:val="true"/>
        </w:rPr>
        <w:footnoteReference w:id="317"/>
      </w:r>
    </w:p>
    <w:p>
      <w:pPr>
        <w:pStyle w:val="Heading4"/>
        <w:numPr>
          <w:ilvl w:val="3"/>
          <w:numId w:val="1"/>
        </w:numPr>
        <w:rPr/>
      </w:pPr>
      <w:bookmarkStart w:id="481" w:name="__RefHeading___Toc3584829_3650668749"/>
      <w:bookmarkStart w:id="482" w:name="_Toc211"/>
      <w:bookmarkEnd w:id="481"/>
      <w:r>
        <w:rPr>
          <w:rtl w:val="true"/>
        </w:rPr>
        <w:t>ك</w:t>
      </w:r>
      <w:r>
        <w:rPr>
          <w:rtl w:val="true"/>
        </w:rPr>
        <w:t xml:space="preserve">) </w:t>
      </w:r>
      <w:r>
        <w:rPr>
          <w:rtl w:val="true"/>
        </w:rPr>
        <w:t>دير قُرَّه</w:t>
      </w:r>
      <w:bookmarkEnd w:id="482"/>
    </w:p>
    <w:p>
      <w:pPr>
        <w:pStyle w:val="BookText"/>
        <w:rPr/>
      </w:pPr>
      <w:r>
        <w:rPr>
          <w:rFonts w:ascii="IRNazanin" w:hAnsi="IRNazanin" w:eastAsia="IRNazanin"/>
          <w:color w:val="111111"/>
          <w:sz w:val="28"/>
          <w:sz w:val="28"/>
          <w:szCs w:val="28"/>
          <w:rtl w:val="true"/>
          <w:lang w:bidi="fa-IR"/>
        </w:rPr>
        <w:t>اين دير روبه‌روى ديرالجماجم و دورتر از كوفه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جنگى كه در سال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بين حجاج و عبدالرحمان بن محمد بن اشعث رخ داد، عبدالرحمان در ديرالجماجم موضع گرفته و حجاج سنگر خود را دير قُرَّه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دير به وسيله شخصى به نام قُرّه از قبيله لَخم در زمان پادشاهى مُنْذَر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جماجم بين اين دير و كوفه فاصله مى‌انداخت</w:t>
      </w:r>
      <w:r>
        <w:rPr>
          <w:rFonts w:eastAsia="IRNazanin" w:cs="IRNazanin"/>
          <w:color w:val="111111"/>
          <w:sz w:val="28"/>
          <w:szCs w:val="28"/>
          <w:rtl w:val="true"/>
          <w:lang w:bidi="fa-IR"/>
        </w:rPr>
        <w:t xml:space="preserve">. </w:t>
      </w:r>
      <w:r>
        <w:rPr>
          <w:rStyle w:val="FootnoteAnchor"/>
          <w:rtl w:val="true"/>
        </w:rPr>
        <w:footnoteReference w:id="318"/>
      </w:r>
    </w:p>
    <w:p>
      <w:pPr>
        <w:pStyle w:val="Heading4"/>
        <w:numPr>
          <w:ilvl w:val="3"/>
          <w:numId w:val="1"/>
        </w:numPr>
        <w:rPr/>
      </w:pPr>
      <w:bookmarkStart w:id="483" w:name="__RefHeading___Toc3584831_3650668749"/>
      <w:bookmarkStart w:id="484" w:name="_Toc212"/>
      <w:bookmarkEnd w:id="483"/>
      <w:r>
        <w:rPr>
          <w:rtl w:val="true"/>
        </w:rPr>
        <w:t>ل</w:t>
      </w:r>
      <w:r>
        <w:rPr>
          <w:rtl w:val="true"/>
        </w:rPr>
        <w:t xml:space="preserve">) </w:t>
      </w:r>
      <w:r>
        <w:rPr>
          <w:rtl w:val="true"/>
        </w:rPr>
        <w:t>دير كعب</w:t>
      </w:r>
      <w:bookmarkEnd w:id="484"/>
    </w:p>
    <w:p>
      <w:pPr>
        <w:pStyle w:val="BookText"/>
        <w:rPr/>
      </w:pPr>
      <w:r>
        <w:rPr>
          <w:rFonts w:ascii="Amiri" w:hAnsi="Amiri" w:eastAsia="Amiri" w:cs="Amiri"/>
          <w:color w:val="111111"/>
          <w:sz w:val="28"/>
          <w:sz w:val="28"/>
          <w:szCs w:val="28"/>
          <w:rtl w:val="true"/>
          <w:lang w:bidi="ar-SA"/>
        </w:rPr>
        <w:t>اين دير از آنِ كعب نامى از قبيله اياد بوده است</w:t>
      </w:r>
      <w:r>
        <w:rPr>
          <w:rFonts w:eastAsia="Amiri" w:cs="Amiri" w:ascii="Amiri" w:hAnsi="Amiri"/>
          <w:color w:val="111111"/>
          <w:sz w:val="28"/>
          <w:szCs w:val="28"/>
          <w:rtl w:val="true"/>
          <w:lang w:bidi="ar-SA"/>
        </w:rPr>
        <w:t xml:space="preserve">. </w:t>
      </w:r>
      <w:r>
        <w:rPr>
          <w:rStyle w:val="FootnoteAnchor"/>
          <w:rtl w:val="true"/>
        </w:rPr>
        <w:footnoteReference w:id="319"/>
      </w:r>
    </w:p>
    <w:p>
      <w:pPr>
        <w:pStyle w:val="Heading4"/>
        <w:numPr>
          <w:ilvl w:val="3"/>
          <w:numId w:val="1"/>
        </w:numPr>
        <w:rPr/>
      </w:pPr>
      <w:bookmarkStart w:id="485" w:name="__RefHeading___Toc3584833_3650668749"/>
      <w:bookmarkStart w:id="486" w:name="_Toc213"/>
      <w:bookmarkEnd w:id="485"/>
      <w:r>
        <w:rPr>
          <w:rtl w:val="true"/>
        </w:rPr>
        <w:t>م</w:t>
      </w:r>
      <w:r>
        <w:rPr>
          <w:rtl w:val="true"/>
        </w:rPr>
        <w:t xml:space="preserve">) </w:t>
      </w:r>
      <w:r>
        <w:rPr>
          <w:rtl w:val="true"/>
        </w:rPr>
        <w:t>دير مَرْعَبْدا</w:t>
      </w:r>
      <w:bookmarkEnd w:id="486"/>
    </w:p>
    <w:p>
      <w:pPr>
        <w:pStyle w:val="BookText"/>
        <w:rPr/>
      </w:pPr>
      <w:r>
        <w:rPr>
          <w:rFonts w:ascii="IRNazanin" w:hAnsi="IRNazanin" w:eastAsia="IRNazanin"/>
          <w:color w:val="111111"/>
          <w:sz w:val="28"/>
          <w:sz w:val="28"/>
          <w:szCs w:val="28"/>
          <w:rtl w:val="true"/>
          <w:lang w:bidi="fa-IR"/>
        </w:rPr>
        <w:t xml:space="preserve">اين دير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اُكَيراح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و منسوب به يكى از نزديكان پادشاه حيره به نام مَرْ عَبدا بن حنيف بن وَضّاح لخيانى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اين 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ابن‌وَضّاح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20"/>
      </w:r>
    </w:p>
    <w:p>
      <w:pPr>
        <w:pStyle w:val="Heading4"/>
        <w:numPr>
          <w:ilvl w:val="3"/>
          <w:numId w:val="1"/>
        </w:numPr>
        <w:rPr/>
      </w:pPr>
      <w:bookmarkStart w:id="487" w:name="__RefHeading___Toc3584835_3650668749"/>
      <w:bookmarkStart w:id="488" w:name="_Toc214"/>
      <w:bookmarkEnd w:id="487"/>
      <w:r>
        <w:rPr>
          <w:rtl w:val="true"/>
        </w:rPr>
        <w:t>ن</w:t>
      </w:r>
      <w:r>
        <w:rPr>
          <w:rtl w:val="true"/>
        </w:rPr>
        <w:t xml:space="preserve">) </w:t>
      </w:r>
      <w:r>
        <w:rPr>
          <w:rtl w:val="true"/>
        </w:rPr>
        <w:t>دير هند الصغري</w:t>
      </w:r>
      <w:bookmarkEnd w:id="488"/>
    </w:p>
    <w:p>
      <w:pPr>
        <w:pStyle w:val="BookText"/>
        <w:rPr/>
      </w:pPr>
      <w:r>
        <w:rPr>
          <w:rFonts w:ascii="Amiri" w:hAnsi="Amiri" w:eastAsia="Amiri" w:cs="Amiri"/>
          <w:color w:val="111111"/>
          <w:sz w:val="28"/>
          <w:sz w:val="28"/>
          <w:szCs w:val="28"/>
          <w:rtl w:val="true"/>
          <w:lang w:bidi="ar-SA"/>
        </w:rPr>
        <w:t>اين دير بين كوفه و حيره در مكانى خوش آب و هوا قرار داشته و به وسيله هند صغرا، دختر نعمان بن منذر بنا شده است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بناى اين دير از اين قرار بود كه پادشاه ايران بر نعمان غضب كرد و او را زندانى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هندصغرا، نذر نمود كه اگر اين غضب برطرف شود، ديرى بنا كند</w:t>
      </w:r>
      <w:bookmarkStart w:id="489" w:name="pg1964_19523"/>
    </w:p>
    <w:p>
      <w:pPr>
        <w:pStyle w:val="BookText"/>
        <w:rPr/>
      </w:pPr>
      <w:bookmarkEnd w:id="489"/>
      <w:r>
        <w:rPr>
          <w:rFonts w:ascii="IRNazanin" w:hAnsi="IRNazanin" w:eastAsia="IRNazanin"/>
          <w:color w:val="111111"/>
          <w:sz w:val="28"/>
          <w:sz w:val="28"/>
          <w:szCs w:val="28"/>
          <w:rtl w:val="true"/>
          <w:lang w:bidi="fa-IR"/>
        </w:rPr>
        <w:t>و تا آخر عمر در آن به عبادت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بر آورده شد و او به نذر خود وفا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هنگام فتح حيره در اين دير با هند صغرا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مغيرةبن شعبه در سال‌هاى آخر عمر خود از هند خواستگارى نمود تا به همسرى دختر نعمان افتخار نمايد، اما هند او را ردنمود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جوانان كوفه براى تفريح به اين دير رفته و به خوش‌گذرانى و نوشيدن شراب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كه به دستور نُعمان بن مُنْذَر پدر هند، پانصد قنديل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چراغدان، شمعدان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در سقف ساختمان اين دير آويخته بودند و هنگام اعياد مسيحى فضاى آن را به وسيله گل سوسن، عود هندى، عنبر، گل‌هاى خوشبو و خوشبوكننده‌هاى ديگر خوشبو مى‌نمودند</w:t>
      </w:r>
      <w:r>
        <w:rPr>
          <w:rFonts w:eastAsia="IRNazanin" w:cs="IRNazanin"/>
          <w:color w:val="111111"/>
          <w:sz w:val="28"/>
          <w:szCs w:val="28"/>
          <w:rtl w:val="true"/>
          <w:lang w:bidi="fa-IR"/>
        </w:rPr>
        <w:t xml:space="preserve">. </w:t>
      </w:r>
      <w:r>
        <w:rPr>
          <w:rStyle w:val="FootnoteAnchor"/>
          <w:rtl w:val="true"/>
        </w:rPr>
        <w:footnoteReference w:id="321"/>
      </w:r>
      <w:r>
        <w:rPr>
          <w:rFonts w:ascii="Amiri" w:hAnsi="Amiri" w:eastAsia="Amiri" w:cs="Amiri"/>
          <w:color w:val="111111"/>
          <w:sz w:val="28"/>
          <w:sz w:val="28"/>
          <w:szCs w:val="28"/>
          <w:rtl w:val="true"/>
          <w:lang w:bidi="ar-SA"/>
        </w:rPr>
        <w:t>اين دير بعدها در ناحيه شمال شرقى كوفه واقع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نقشه شماره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3584837_3650668749"/>
      <w:bookmarkStart w:id="491" w:name="_Toc215"/>
      <w:bookmarkEnd w:id="490"/>
      <w:r>
        <w:rPr>
          <w:rtl w:val="true"/>
        </w:rPr>
        <w:t>س</w:t>
      </w:r>
      <w:r>
        <w:rPr>
          <w:rtl w:val="true"/>
        </w:rPr>
        <w:t xml:space="preserve">) </w:t>
      </w:r>
      <w:r>
        <w:rPr>
          <w:rtl w:val="true"/>
        </w:rPr>
        <w:t>دير هند الكبري</w:t>
      </w:r>
      <w:bookmarkEnd w:id="49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دير در غرب كوفه و نزديك نجف قرار داشت و آن را هند با كنيه اُم‌عمرو، دختر حارث بن عمرو كِندى بنا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سردر اين دير كتيبه‌اى نصب شده بود كه تاريخ ساخت و مشخصات ديگر دير در آن درج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بناى اين دير زمان پادشاهى خسرو انوشيروان بوده است</w:t>
      </w:r>
      <w:r>
        <w:rPr>
          <w:rFonts w:eastAsia="IRNazanin" w:cs="IRNazanin"/>
          <w:color w:val="111111"/>
          <w:sz w:val="28"/>
          <w:szCs w:val="28"/>
          <w:rtl w:val="true"/>
          <w:lang w:bidi="fa-IR"/>
        </w:rPr>
        <w:t xml:space="preserve">. </w:t>
      </w:r>
      <w:r>
        <w:rPr>
          <w:rStyle w:val="FootnoteAnchor"/>
          <w:rtl w:val="true"/>
        </w:rPr>
        <w:footnoteReference w:id="322"/>
      </w:r>
      <w:bookmarkStart w:id="492" w:name="pg1964_19525"/>
    </w:p>
    <w:p>
      <w:pPr>
        <w:pStyle w:val="Heading2"/>
        <w:numPr>
          <w:ilvl w:val="1"/>
          <w:numId w:val="1"/>
        </w:numPr>
        <w:rPr/>
      </w:pPr>
      <w:bookmarkStart w:id="493" w:name="__RefHeading___Toc3584839_3650668749"/>
      <w:bookmarkStart w:id="494" w:name="_Toc216"/>
      <w:bookmarkEnd w:id="492"/>
      <w:bookmarkEnd w:id="493"/>
      <w:r>
        <w:rPr>
          <w:rtl w:val="true"/>
        </w:rPr>
        <w:t>فصل دوم</w:t>
      </w:r>
      <w:r>
        <w:rPr>
          <w:rtl w:val="true"/>
        </w:rPr>
        <w:t xml:space="preserve">: </w:t>
      </w:r>
      <w:r>
        <w:rPr>
          <w:rtl w:val="true"/>
        </w:rPr>
        <w:t>شهرساز‌ى و معمار‌ى كوفه</w:t>
      </w:r>
      <w:bookmarkEnd w:id="49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5" w:name="__RefHeading___Toc3584841_3650668749"/>
      <w:bookmarkStart w:id="496" w:name="_Toc217"/>
      <w:bookmarkEnd w:id="495"/>
      <w:r>
        <w:rPr>
          <w:rtl w:val="true"/>
        </w:rPr>
        <w:t>اشاره</w:t>
      </w:r>
      <w:bookmarkStart w:id="497" w:name="pg1964_19527"/>
      <w:bookmarkEnd w:id="496"/>
    </w:p>
    <w:p>
      <w:pPr>
        <w:pStyle w:val="Heading3"/>
        <w:numPr>
          <w:ilvl w:val="2"/>
          <w:numId w:val="1"/>
        </w:numPr>
        <w:rPr/>
      </w:pPr>
      <w:bookmarkStart w:id="498" w:name="__RefHeading___Toc3584843_3650668749"/>
      <w:bookmarkStart w:id="499" w:name="_Toc218"/>
      <w:bookmarkEnd w:id="497"/>
      <w:bookmarkEnd w:id="498"/>
      <w:r>
        <w:rPr>
          <w:rtl w:val="true"/>
        </w:rPr>
        <w:t>مقدمه</w:t>
      </w:r>
      <w:bookmarkEnd w:id="499"/>
    </w:p>
    <w:p>
      <w:pPr>
        <w:pStyle w:val="BookText"/>
        <w:rPr/>
      </w:pPr>
      <w:r>
        <w:rPr>
          <w:rFonts w:ascii="IRNazanin" w:hAnsi="IRNazanin" w:eastAsia="IRNazanin"/>
          <w:color w:val="111111"/>
          <w:sz w:val="28"/>
          <w:sz w:val="28"/>
          <w:szCs w:val="28"/>
          <w:rtl w:val="true"/>
          <w:lang w:bidi="fa-IR"/>
        </w:rPr>
        <w:t xml:space="preserve">كوفه دومين شهر اسلامى است كه پس از بنيان بصره در سال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شالوده آن پى‌ريزى‌شد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نقشه‌كشى اين شهر پس از كوچ قبايل مختلف عربِ پيروز در جنگ و نيز ايرانيان پيوسته به آنها، از مدائن، در سال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انجام گرفت</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اين كوچ به سبب ناسازگارى آب و هواى مدائن با طبع اعراب صورت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قبايل ساكن كوفه به دو گروه بزرگ قبايل قحطانى و عدنانى تقسيم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قبايل قحطانى متشكل از قبايل ساكن در يمن بودند كه اصطلاحاً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 عدنانى، قبايل مختلف سرزمين حجاز و نيز بعضى از قبايل، مانند تغلب را كه قبل از ظهور اسلام در سرزمين عراق مستقر شده بودند، شامل مى‌شد</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ايرانيان ملحق شده به اعراب نيز گروه چهار هزار نفرى بودند كه در آستانه جنگ قادسيه سال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سپاه سعد بن ابى‌وقاص پيوسته و همراه آن سپاه به نبرد با سپاه يزدگرد مشغول شده بودند و به آنها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زيرا نام رئيس آنان ديلم بود</w:t>
      </w:r>
      <w:r>
        <w:rPr>
          <w:rFonts w:eastAsia="IRNazanin" w:cs="IRNazanin"/>
          <w:color w:val="111111"/>
          <w:sz w:val="28"/>
          <w:szCs w:val="28"/>
          <w:rtl w:val="true"/>
          <w:lang w:bidi="fa-IR"/>
        </w:rPr>
        <w:t xml:space="preserve">. </w:t>
      </w:r>
      <w:r>
        <w:rPr>
          <w:rStyle w:val="FootnoteAnchor"/>
          <w:rtl w:val="true"/>
        </w:rPr>
        <w:footnoteReference w:id="326"/>
      </w:r>
      <w:bookmarkStart w:id="500" w:name="pg1964_19528"/>
    </w:p>
    <w:p>
      <w:pPr>
        <w:pStyle w:val="BookText"/>
        <w:rPr/>
      </w:pPr>
      <w:bookmarkEnd w:id="500"/>
      <w:r>
        <w:rPr>
          <w:rFonts w:ascii="IRNazanin" w:hAnsi="IRNazanin" w:eastAsia="IRNazanin"/>
          <w:color w:val="111111"/>
          <w:sz w:val="28"/>
          <w:sz w:val="28"/>
          <w:szCs w:val="28"/>
          <w:rtl w:val="true"/>
          <w:lang w:bidi="fa-IR"/>
        </w:rPr>
        <w:t>پس از تأسيس كوفه و رشد آن، سيل مهاجرت از نقاط مختلف مملكت اسلامى به آن سرازير شد و در تركيب جمعيت و نيز سهم قبايل و گروه‌هاى مختلف از شهر كوفه، تغييراتى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نقشه‌كشى و تقسيم شهر كوفه كه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از مركز شهر آغاز و سپس شامل اطراف شد؛ بدين ترتيب كه ابتدا نقشه مسجد جامع در مركز شهر طرح گرديد و سپس ميدان شهر ترسيم شد كه قصر، مسجد، بازارها و مكان‌هاى ديگر در آن قرار داشت و پس از آن، زمين‌هاى اطراف، ميان قبايل و گروه‌هاى مختلف تقسيم شد</w:t>
      </w:r>
      <w:r>
        <w:rPr>
          <w:rFonts w:eastAsia="IRNazanin" w:cs="IRNazanin"/>
          <w:color w:val="111111"/>
          <w:sz w:val="28"/>
          <w:szCs w:val="28"/>
          <w:rtl w:val="true"/>
          <w:lang w:bidi="fa-IR"/>
        </w:rPr>
        <w:t xml:space="preserve">. </w:t>
      </w:r>
      <w:r>
        <w:rPr>
          <w:rStyle w:val="FootnoteAnchor"/>
          <w:rtl w:val="true"/>
        </w:rPr>
        <w:footnoteReference w:id="327"/>
      </w:r>
    </w:p>
    <w:p>
      <w:pPr>
        <w:pStyle w:val="Heading3"/>
        <w:numPr>
          <w:ilvl w:val="2"/>
          <w:numId w:val="1"/>
        </w:numPr>
        <w:rPr/>
      </w:pPr>
      <w:bookmarkStart w:id="501" w:name="__RefHeading___Toc3584845_3650668749"/>
      <w:bookmarkStart w:id="502" w:name="_Toc219"/>
      <w:bookmarkEnd w:id="501"/>
      <w:r>
        <w:rPr/>
        <w:t>١</w:t>
      </w:r>
      <w:r>
        <w:rPr>
          <w:rtl w:val="true"/>
        </w:rPr>
        <w:t xml:space="preserve">. </w:t>
      </w:r>
      <w:r>
        <w:rPr>
          <w:rtl w:val="true"/>
        </w:rPr>
        <w:t>خانه‌ها</w:t>
      </w:r>
      <w:bookmarkEnd w:id="502"/>
    </w:p>
    <w:p>
      <w:pPr>
        <w:pStyle w:val="Heading4"/>
        <w:numPr>
          <w:ilvl w:val="3"/>
          <w:numId w:val="1"/>
        </w:numPr>
        <w:rPr/>
      </w:pPr>
      <w:bookmarkStart w:id="503" w:name="__RefHeading___Toc3584847_3650668749"/>
      <w:bookmarkStart w:id="504" w:name="_Toc220"/>
      <w:bookmarkEnd w:id="503"/>
      <w:r>
        <w:rPr>
          <w:rtl w:val="true"/>
        </w:rPr>
        <w:t>الف</w:t>
      </w:r>
      <w:r>
        <w:rPr>
          <w:rtl w:val="true"/>
        </w:rPr>
        <w:t xml:space="preserve">) </w:t>
      </w:r>
      <w:r>
        <w:rPr>
          <w:rtl w:val="true"/>
        </w:rPr>
        <w:t>سبك و سياق خانه‌ساز‌ى</w:t>
      </w:r>
      <w:bookmarkEnd w:id="504"/>
    </w:p>
    <w:p>
      <w:pPr>
        <w:pStyle w:val="Heading5"/>
        <w:numPr>
          <w:ilvl w:val="4"/>
          <w:numId w:val="1"/>
        </w:numPr>
        <w:rPr/>
      </w:pPr>
      <w:bookmarkStart w:id="505" w:name="__RefHeading___Toc3584849_3650668749"/>
      <w:bookmarkStart w:id="506" w:name="_Toc221"/>
      <w:bookmarkEnd w:id="505"/>
      <w:r>
        <w:rPr>
          <w:rtl w:val="true"/>
        </w:rPr>
        <w:t xml:space="preserve">يك </w:t>
      </w:r>
      <w:r>
        <w:rPr>
          <w:rtl w:val="true"/>
        </w:rPr>
        <w:t xml:space="preserve">- </w:t>
      </w:r>
      <w:r>
        <w:rPr>
          <w:rtl w:val="true"/>
        </w:rPr>
        <w:t>شكل ظاهر‌ى، تعداد اتاق‌ها و وضعيت داخلى خانه‌ها</w:t>
      </w:r>
      <w:bookmarkEnd w:id="506"/>
    </w:p>
    <w:p>
      <w:pPr>
        <w:pStyle w:val="BookText"/>
        <w:rPr/>
      </w:pPr>
      <w:r>
        <w:rPr>
          <w:rFonts w:ascii="IRNazanin" w:hAnsi="IRNazanin" w:eastAsia="IRNazanin"/>
          <w:color w:val="111111"/>
          <w:sz w:val="28"/>
          <w:sz w:val="28"/>
          <w:szCs w:val="28"/>
          <w:rtl w:val="true"/>
          <w:lang w:bidi="fa-IR"/>
        </w:rPr>
        <w:t xml:space="preserve">شكل ظاهرى خانه‌هاى كوفه در زمان مورد بحث ما، يعنى از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مراحل مختلفى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هنگام تخطيط، افراد قبايل مختلف كه عمدتاً از قبايل چادرنشين بودند، چادرهاى خود را كه هميشه همراه خود داشتند، در محل سهم خود برپا نمودند و بدين ترتيب، شهرى مملو از چادرها تشكيل شد</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 كردن چادر در صحرا و بيابان وسيع با برپا نمودن آن در قطعه زمينى محدود كه در اثر تراكم جمعيت، چادرهاى متعددى را در خود جاى داده بود، بسيار متفاوت مى‌نمود، ازاين‌رو اعراب كه مرحله تازه‌اى از حيات اجتماعى خود را تجربه مى‌كردند و قصد داشتند از كوچ‌روى و صحراگردى، به</w:t>
      </w:r>
    </w:p>
    <w:p>
      <w:pPr>
        <w:pStyle w:val="BookText"/>
        <w:rPr/>
      </w:pPr>
      <w:r>
        <w:rPr>
          <w:rFonts w:ascii="Amiri" w:hAnsi="Amiri" w:eastAsia="Amiri" w:cs="Amiri"/>
          <w:color w:val="111111"/>
          <w:sz w:val="28"/>
          <w:sz w:val="28"/>
          <w:szCs w:val="28"/>
          <w:rtl w:val="true"/>
          <w:lang w:bidi="ar-SA"/>
        </w:rPr>
        <w:t>شهرنشينى روى آورند، از عُمر بن خطّاب خواستند تا به آنها اجازه دهد براى خود خانه بنا كنند</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عمر كه از يك سو شهرنشينى اعراب و دلبستگى آنها را به زمين، مخالف روحيه جنگى مى‌دانست و از سوى ديگر، قصد آماده نگه‌داشتن لشكر براى ادامه فتوحات داشت، ابتدا با اين امر مخالف بود، اما بالاخره با اكراه و بى‌ميلى و به سبب مخالفت نكردن با كوفيان، به آنها اجازه داد كه خانه‌هاى خود را با نى‌هاى اطراف فرات بنا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اولين خانه‌ها در كوفه بنا شد و به اين خانه‌هاى از نى ساخته شده،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 كوتاهى، آتش‌سوزى مهيبى در كوفه رخ داد و به علت قابل اشتعال بودن نى‌ها، آتش خيلى زود منطقه وسيعى را فراگرفت و تعداد هشتاد خانه در اين آتش‌سوزى به كلى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آتش‌سوزى، مردم كوفه از عمر خواستند تا اجازه دهد كه خانه‌هاى خود را با خشت بنا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شرط آنكه هر خانه بيشتر از سه اتاق نداشته باشد و مردم خانه‌هاى خود را مرتفع و چند طبقه نسازند </w:t>
      </w:r>
      <w:r>
        <w:rPr>
          <w:rStyle w:val="FootnoteAnchor"/>
          <w:rtl w:val="true"/>
        </w:rPr>
        <w:footnoteReference w:id="330"/>
      </w:r>
      <w:r>
        <w:rPr>
          <w:rFonts w:ascii="IRNazanin" w:hAnsi="IRNazanin" w:eastAsia="IRNazanin"/>
          <w:color w:val="111111"/>
          <w:sz w:val="28"/>
          <w:sz w:val="28"/>
          <w:szCs w:val="28"/>
          <w:rtl w:val="true"/>
          <w:lang w:bidi="fa-IR"/>
        </w:rPr>
        <w:t>، به آنها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مى‌توانيم چنين تصور كنيم كه خانه‌هاى اوليه مردم كوفه، خانه‌هاى يك طبقه با سه اتاق بوده و اين‌گونه خانه‌سازى در طول مدت خلافت عمر، يعنى تا سال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رايج بوده‌است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آغاز زمامدارى عثمان و برداشته شدن تضييقات و محدوديت‌هاى زمان عمر و روى آوردن مردم به تجملات، شكل خانه‌ها مى‌بايست تفاوت فراوانى با خانه‌هاى زمان عمر مى‌كرد، به خصوص كه مردم كوفه ثروت‌هاى فراوانى از راه عطاء </w:t>
      </w:r>
      <w:r>
        <w:rPr>
          <w:rStyle w:val="FootnoteAnchor"/>
          <w:rtl w:val="true"/>
        </w:rPr>
        <w:footnoteReference w:id="331"/>
      </w:r>
      <w:r>
        <w:rPr>
          <w:rFonts w:ascii="Amiri" w:hAnsi="Amiri" w:eastAsia="Amiri" w:cs="Amiri"/>
          <w:color w:val="111111"/>
          <w:sz w:val="28"/>
          <w:sz w:val="28"/>
          <w:szCs w:val="28"/>
          <w:rtl w:val="true"/>
          <w:lang w:bidi="ar-SA"/>
        </w:rPr>
        <w:t>و سهم خود در فتوحات به دست آورده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شكل خانه‌ها در اين زمان، تغيير عمده‌اى نكرد؛ زيرا اين خانه‌ها در زمينى محدود بنا شده و امكان تغيير</w:t>
      </w:r>
    </w:p>
    <w:p>
      <w:pPr>
        <w:pStyle w:val="BookText"/>
        <w:rPr/>
      </w:pPr>
      <w:r>
        <w:rPr>
          <w:rFonts w:ascii="IRNazanin" w:hAnsi="IRNazanin" w:eastAsia="IRNazanin"/>
          <w:color w:val="111111"/>
          <w:sz w:val="28"/>
          <w:sz w:val="28"/>
          <w:szCs w:val="28"/>
          <w:rtl w:val="true"/>
          <w:lang w:bidi="fa-IR"/>
        </w:rPr>
        <w:t>كلى در آن نبود، مگر اينكه چنين تصور نماييم كه مردم طبقه‌هايى بر خانه‌هاى خود افزوده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خانه‌هاى تازه بنا شده در خارج از محدوده تخطيط، يعنى در اطراف شهر و در مركز و ميدان شهر كه جزء تخطيط اوليه به حساب ميدان آمده بود، مى‌توان چنين تصوّر كرد كه اين خانه‌ها، وسيع‌تر و زيباتر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روايتى تاريخى، فاصله بين دو خانه در زمان تخطيط، پنج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البته بعدها با بيشتر شدن تراكم جمعيت، ممكن بود، قسمتى از اين مقدار يا همه آن، جزء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همين روايت، خانه‌هاى عدنانى‌ها وسيع‌تر از خانه‌هاى قحطانى‌ها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گفته شده‌است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عدنانى‌هاى بداخلاق، حاضر نبودند خويشان خود را كه به كوفه مهاجرت مى‌كردند، در ميان خود و سهم خود و خانه خود جاى دهند، ازاين‌رو تقريباً همان سهمى را كه در تخطيط اوليه به دست آورده بودند،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يمنى‌ها خويشان مهاجر خود را در ميان خانه‌هاى خود جاى مى‌دادند، بلكه بخشى از خانه يا زمين خود را به آنها واگذار مى‌نمودند، ازاين‌رو خانه‌هاى آنان كوچك‌تر بود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در ميان روايات تاريخى و جغرافيايى، كمتر روايتى مى‌توان يافت كه خصوصيات خانه‌هاى كوفيان را در زمان مورد بحث ما بيان كرده باشد، با اين حال مى‌توان از لابه‌لاى روايات تاريخى مطالب زير را استنباط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بيان حوادث شب نوزدهم رمضان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يعنى شب ضربت خوردن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آمده است كه تكه آهنى كه در ساخت درِ خانه به‌كار رفته بود، گوشه‌اى از پيراهن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هنگام خروج از خانه گرفت و باعث معطل شدن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روايت چند نكته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خانه‌هاى كوفه در آن زمان در داشته است و مانند خانه‌هاى مكه در صدر اسلام و پس از آن تا زمان عمر نبوده كه بدون 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درِ خانه‌ها از آهن نبوده است؛ زيرا تكه‌اى از آهن چنان برجسته بوده كه در روايت ذكر شده است و اگر همه در از آهن بود، ديگر اشاره به تكه آهن لزومى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با توجه به معمول بودن استفاده از چوب در آن زمان كه در درهاى دارالاماره و مساجد به كار مى‌رفت، به نظر مى‌رسد كه جنس درِ خانه‌ها نيز از چوب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جنس درها از تنه درخت خرما بود</w:t>
      </w:r>
      <w:r>
        <w:rPr>
          <w:rFonts w:eastAsia="IRNazanin" w:cs="IRNazanin"/>
          <w:color w:val="111111"/>
          <w:sz w:val="28"/>
          <w:szCs w:val="28"/>
          <w:rtl w:val="true"/>
          <w:lang w:bidi="fa-IR"/>
        </w:rPr>
        <w:t xml:space="preserve">» .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تكه آهن در جايى از در واقع شده بود كه پيراهن خارج شونده به آن گير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نتيجه‌گيرى مى‌شود كه محل وقوع آن، مانند دستگيره‌هاى امروزى در وسط و در كنار آن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 بتوان چنين نتيجه گرفت كه اين تكه آهن يا خود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مى‌گرفته و يا در قسمتى از كوبه در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روايت مسعودى چنين آمده است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رها كردن پيراهن خود، در را كنده و در گوشه‌اى نهاد و آن‌گاه پيراهن خود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مى‌توان نتيجه گرفت كه درِ خانه‌ها به راحتى كنده مى‌شد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بعضى از نقل‌هايى كه شرح حال شريح قاضى در آنها آمده، از ناودان خانه شريح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كليدهاى درِ خانه او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نتيجه‌گيرى كرد كه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كوفه همگى ناودان داشته و آب ناودان آنها به كوچه مى‌ريخته است؛ زيرا اين نقل كه در صدد بيان يك استثناست مى‌گويد، شريح ناودان خانه‌اش را طورى ساخته بود كه آب آن به داخل خانه بريزد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خانه‌هاى مردم كوفه قفل و كليد داشته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يكى از روايات مربوط به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در مورد ناودان چنين آمده است كه كودك خردسالى از راه پشت‌بام، خود را به ناودان رساند و روى آن نشست و مادرش بسيار بى‌تابى مى‌نمود و مردم در كوچه جمع شده و تماشا مى‌كردند و كارى از دست آنان برنمى‌آمد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 دادن كودك خردسالى به او، او را از ناودان به پشت‌بام كشاند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اين روايت، مطالب زير به دست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 آن‌قدر عريض بوده كه كودك خردسالى روى آن جاى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ناودان به كوچه مى‌ريخته است؛ زيرا مردم در كوچه تماشا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پشت‌بام خانه متصل به كوچه بوده است، حال يا زير اين پشت‌بام اتاقى بنا شده بود و يا زير آن، دالان خانه واقع شده بود، چنان‌كه در بعضى از نقل‌هاى تاريخى سخن از دالان به ميان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بيان اعمال قُطامه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زنى كه مشوق ابن ملجم براى قتل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دهليز و دالان خانه او به ميان آمده است</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بعضى از كتاب‌هاى تاريخى آمده است كه هانى بن عُرْوَه خانه‌اى براى زنان خود داشت</w:t>
      </w:r>
      <w:r>
        <w:rPr>
          <w:rFonts w:eastAsia="Amiri" w:cs="Amiri" w:ascii="Amiri" w:hAnsi="Amiri"/>
          <w:color w:val="111111"/>
          <w:sz w:val="28"/>
          <w:szCs w:val="28"/>
          <w:rtl w:val="true"/>
          <w:lang w:bidi="ar-SA"/>
        </w:rPr>
        <w:t xml:space="preserve">. </w:t>
      </w:r>
      <w:r>
        <w:rPr>
          <w:rStyle w:val="FootnoteAnchor"/>
          <w:rtl w:val="true"/>
        </w:rPr>
        <w:footnoteReference w:id="336"/>
      </w:r>
      <w:r>
        <w:rPr>
          <w:rFonts w:ascii="IRNazanin" w:hAnsi="IRNazanin" w:eastAsia="IRNazanin"/>
          <w:color w:val="111111"/>
          <w:sz w:val="28"/>
          <w:sz w:val="28"/>
          <w:szCs w:val="28"/>
          <w:rtl w:val="true"/>
          <w:lang w:bidi="fa-IR"/>
        </w:rPr>
        <w:t>حال اين خانه، اندرونى و بيرونى بوده يا جداگانه ساخته شده بود، روشن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نقل‌هاى تاريخى چنين آمده است كه مسلم بن عقيل هنگام عيادت عبيدالله بن زياد از شَريك بن اَعْوَر در خانه هانى، در خزانه اتاق هانى مخفى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مى‌توان اين خزانه را چيزى شبيه صندوق‌خانه و پستو تصور كرد</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در گزارشى ديگر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آب نموده و كنيزكى كه</w:t>
      </w:r>
    </w:p>
    <w:p>
      <w:pPr>
        <w:pStyle w:val="BookText"/>
        <w:rPr/>
      </w:pPr>
      <w:r>
        <w:rPr>
          <w:rFonts w:ascii="IRNazanin" w:hAnsi="IRNazanin" w:eastAsia="IRNazanin"/>
          <w:color w:val="111111"/>
          <w:sz w:val="28"/>
          <w:sz w:val="28"/>
          <w:szCs w:val="28"/>
          <w:rtl w:val="true"/>
          <w:lang w:bidi="fa-IR"/>
        </w:rPr>
        <w:t>قصد رساندن آب به او داشت، هنگام عبور، مسلم را مشاهده كرد كه مخفى شده است</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بنابراين، چنين نتيجه مى‌گيريم كه پستوى اين اتاق به اتاق ديگر راه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ذكر حوادث مربوط به مسلم چنين آمده است كه مردم كوفه او را از روى پشت‌بام‌ها سنگ‌باران مى‌نمودند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از اينجا چنين نتيجه‌گيرى مى‌شود كه خانه‌هاى كوفيان به اصطلاح امروزى، شمالى كه درِ آن به حياط باز مى‌شده نبوده است، بلكه اين پشت‌بام‌ها يا روى اتاق يا روى دالان خانه و يا روى هر دو بنا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مستراح و محل وقوع آن، گزارشى كه چگونگى آن و محل وقوع آن را توضيح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 داخل خانه بوده يا خارج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قبايل عربِ چادرنشين به سبب زندگى در بيابان گسترده، نياز چندانى به تهيه مكانى به نام مستراح نمى‌ديدند، اما با شهرنشين‌شدن آنان و تراكم جمعيت، قطعاً بايد مكانى در داخل خانه يا خارج از آن براى قضاى حاجت تهيه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روايتى در وسائل‌الشيعه نقل شده است كه سيره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رفتن به مستراح بيان مى‌كند كه به احتمال زياد دوران زندگى آن حضرت را در كوفه نيز دربرمى‌گيرد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اراده قضاى حاجت داشت، بر درِ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مى‌ايستاد و به طرف راست و چپ خود، رو به دو فرشته مراقب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شويد، به شما قول مى‌دهم تا هنگام خروج از اين مكان، كارى كه احتياج به نوشتن شما داشته باشد، انجام ندهم</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از اين روايت امور زير استفاده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الفاظ رايج براى مستراح، لفظ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رفتن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ساختن مستراح در آن زمان رايج بوده است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مستراح، در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ديگرى كه براى مستراح در روايات به‌كار رفته،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گودال پست وسيع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لفظ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به‌كار مى‌رفته </w:t>
      </w:r>
      <w:r>
        <w:rPr>
          <w:rStyle w:val="FootnoteAnchor"/>
          <w:rtl w:val="true"/>
        </w:rPr>
        <w:footnoteReference w:id="341"/>
      </w:r>
      <w:r>
        <w:rPr>
          <w:rFonts w:ascii="Amiri" w:hAnsi="Amiri" w:eastAsia="Amiri" w:cs="Amiri"/>
          <w:color w:val="111111"/>
          <w:sz w:val="28"/>
          <w:sz w:val="28"/>
          <w:szCs w:val="28"/>
          <w:rtl w:val="true"/>
          <w:lang w:bidi="ar-SA"/>
        </w:rPr>
        <w:t>و در قرآن نيز به همين معنا استعمال شده است</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وضو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لفظ در مورد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تخليه‌گاه</w:t>
      </w:r>
      <w:r>
        <w:rPr>
          <w:rFonts w:eastAsia="IRNazanin" w:cs="IRNazanin"/>
          <w:color w:val="111111"/>
          <w:sz w:val="28"/>
          <w:szCs w:val="28"/>
          <w:rtl w:val="true"/>
          <w:lang w:bidi="fa-IR"/>
        </w:rPr>
        <w:t xml:space="preserve">) .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حَشّ</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خروج</w:t>
      </w:r>
      <w:r>
        <w:rPr>
          <w:rFonts w:eastAsia="Amiri" w:cs="Amiri" w:ascii="Amiri" w:hAnsi="Amiri"/>
          <w:color w:val="111111"/>
          <w:sz w:val="28"/>
          <w:szCs w:val="28"/>
          <w:rtl w:val="true"/>
          <w:lang w:bidi="ar-SA"/>
        </w:rPr>
        <w:t xml:space="preserve">) . </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نهانخانه</w:t>
      </w:r>
      <w:r>
        <w:rPr>
          <w:rFonts w:eastAsia="Amiri" w:cs="Amiri" w:ascii="Amiri" w:hAnsi="Amiri"/>
          <w:color w:val="111111"/>
          <w:sz w:val="28"/>
          <w:szCs w:val="28"/>
          <w:rtl w:val="true"/>
          <w:lang w:bidi="ar-SA"/>
        </w:rPr>
        <w:t xml:space="preserve">) . </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مِبْرَز</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در حفارى‌هايى كه در نيمه اول قرن بيستم در قصر كوفه صورت گرفته، آبراه‌ها و چاه‌هاى فاضلابى مشاهده شده </w:t>
      </w:r>
      <w:r>
        <w:rPr>
          <w:rStyle w:val="FootnoteAnchor"/>
          <w:rtl w:val="true"/>
        </w:rPr>
        <w:footnoteReference w:id="349"/>
      </w:r>
      <w:r>
        <w:rPr>
          <w:rFonts w:ascii="IRNazanin" w:hAnsi="IRNazanin" w:eastAsia="IRNazanin"/>
          <w:color w:val="111111"/>
          <w:sz w:val="28"/>
          <w:sz w:val="28"/>
          <w:szCs w:val="28"/>
          <w:rtl w:val="true"/>
          <w:lang w:bidi="fa-IR"/>
        </w:rPr>
        <w:t>كه اگر ساختمان قصر را الگويى براى خانه‌ها بگيريم، مى‌توان به وجود اين چاه‌ها در خانه‌ها نيز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مكان‌هايى برخورد مى‌كنيم كه آنها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كرده‌اند كه به معناى مستراح و دستشويى و به‌طور خلاصه سرويس خانه مى‌باشد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وسيله شستن در آن زمان، ظرفى بوده كه از دو قطعه پوست روى هم دوخته شده تشكيل مى‌گرديد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نهروان از اين وسيله هنگام قضاى حاجت استفاده كرده است</w:t>
      </w:r>
      <w:r>
        <w:rPr>
          <w:rFonts w:eastAsia="IRNazanin" w:cs="IRNazanin"/>
          <w:color w:val="111111"/>
          <w:sz w:val="28"/>
          <w:szCs w:val="28"/>
          <w:rtl w:val="true"/>
          <w:lang w:bidi="fa-IR"/>
        </w:rPr>
        <w:t xml:space="preserve">. </w:t>
      </w:r>
      <w:r>
        <w:rPr>
          <w:rStyle w:val="FootnoteAnchor"/>
          <w:rtl w:val="true"/>
        </w:rPr>
        <w:footnoteReference w:id="351"/>
      </w:r>
      <w:bookmarkStart w:id="507" w:name="pg1964_19535"/>
    </w:p>
    <w:p>
      <w:pPr>
        <w:pStyle w:val="BookText"/>
        <w:rPr/>
      </w:pPr>
      <w:bookmarkEnd w:id="507"/>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بالاخره از بعضى از گزارش‌هاى تاريخى چنين برمى‌آيد كه خانه‌هاى دو طبقه در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محله‌هاى كوفه وجود داشته است، چنان‌كه زيد بن ارقم كه در محله كِنْده واقع در جنوب كوفه مى‌زيسته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اتاق بالايى منزل خودم بودم كه اسيران كربلا را وارد كوفه كردند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08" w:name="__RefHeading___Toc3584851_3650668749"/>
      <w:bookmarkStart w:id="509" w:name="_Toc222"/>
      <w:bookmarkEnd w:id="508"/>
      <w:r>
        <w:rPr>
          <w:rtl w:val="true"/>
        </w:rPr>
        <w:t xml:space="preserve">دو </w:t>
      </w:r>
      <w:r>
        <w:rPr>
          <w:rtl w:val="true"/>
        </w:rPr>
        <w:t xml:space="preserve">- </w:t>
      </w:r>
      <w:r>
        <w:rPr>
          <w:rtl w:val="true"/>
        </w:rPr>
        <w:t>نورگيرها</w:t>
      </w:r>
      <w:bookmarkEnd w:id="509"/>
    </w:p>
    <w:p>
      <w:pPr>
        <w:pStyle w:val="BookText"/>
        <w:rPr/>
      </w:pPr>
      <w:r>
        <w:rPr>
          <w:rFonts w:ascii="IRNazanin" w:hAnsi="IRNazanin" w:eastAsia="IRNazanin"/>
          <w:color w:val="111111"/>
          <w:sz w:val="28"/>
          <w:sz w:val="28"/>
          <w:szCs w:val="28"/>
          <w:rtl w:val="true"/>
          <w:lang w:bidi="fa-IR"/>
        </w:rPr>
        <w:t>در مورد نورگيرها به روايتى دست يافتيم كه از وجود نورگير و پنجره در طبقه بالاى خانه‌هاى كوفه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كه از قول زيد بن ارقم نقل شده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اتاق طبقه بالايى خانه خود بودم كه در آن، پنجره‌اى مشرف بر خيابان وجود داشت كه ناگاه اسراى كربلا را همراه با سرهاى شهدا مشاهده كردم و شنيدم كه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تلاوت مى‌كرد</w:t>
      </w:r>
      <w:r>
        <w:rPr>
          <w:rFonts w:eastAsia="IRNazanin" w:cs="IRNazanin"/>
          <w:color w:val="111111"/>
          <w:sz w:val="28"/>
          <w:szCs w:val="28"/>
          <w:rtl w:val="true"/>
          <w:lang w:bidi="fa-IR"/>
        </w:rPr>
        <w:t xml:space="preserve">. </w:t>
      </w:r>
      <w:r>
        <w:rPr>
          <w:rStyle w:val="FootnoteAnchor"/>
          <w:rtl w:val="true"/>
        </w:rPr>
        <w:footnoteReference w:id="352"/>
      </w:r>
    </w:p>
    <w:p>
      <w:pPr>
        <w:pStyle w:val="Heading4"/>
        <w:numPr>
          <w:ilvl w:val="3"/>
          <w:numId w:val="1"/>
        </w:numPr>
        <w:rPr/>
      </w:pPr>
      <w:bookmarkStart w:id="510" w:name="__RefHeading___Toc3584853_3650668749"/>
      <w:bookmarkStart w:id="511" w:name="_Toc223"/>
      <w:bookmarkEnd w:id="510"/>
      <w:r>
        <w:rPr>
          <w:rtl w:val="true"/>
        </w:rPr>
        <w:t>ب</w:t>
      </w:r>
      <w:r>
        <w:rPr>
          <w:rtl w:val="true"/>
        </w:rPr>
        <w:t xml:space="preserve">) </w:t>
      </w:r>
      <w:r>
        <w:rPr>
          <w:rtl w:val="true"/>
        </w:rPr>
        <w:t>مصالح ساختمانى</w:t>
      </w:r>
      <w:bookmarkEnd w:id="51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بخش قبل يادآور شديم، اولين مساكن كوفه خيمه‌ها و چادرهاى كوچك و بزرگ بود كه ساكنان كوفه در سهم خود برپا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چادرها از مو، كرك و پشم حيوانات اهلى به دست مى‌آمد و در بعضى مواقع و در زمان‌هاى بعد ثروتمندان چادرهايى از پوست حيوانات تهيه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چادرها نيز از پنبه به عمل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چادرها با توجه به ماده به‌كار رفته در آن و حجم آن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به چادر تهيه شده از پشم،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و چادر به عمل آمده از مو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مى‌ناميدند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چادرى كه از كرك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مى‌شد، انتخاب كرده بودند و به چادر تهيه شده از پنبه،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سُرادِق</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مى‌گفتند و به چادرى كه از پوست حيوانات تهيه مى‌شد و فقط ثروتمندان قدرت تهيه آن را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نوع ديگر مسكن در كوفه، خانه‌هايى بود كه از نى و حصير درست شده و پوشش سقف آنها از برگ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گزارشى كه از ابن عباس نقل شده، آمده است كه ساكنان كوفه در آغاز، خانه‌هاى خود را از نى مى‌ساختند و هرگاه قصد رفتن به جنگ مى‌نمودند، خانه‌هاى خود را تخريب كرده و صدقه مى‌دادند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به‌هرحال پس از آتش‌سوزى كوفه و سوختن خانه‌هايى كه از نى درست شده بود و اجازه عمر مبنى بر ساختن خانه‌ها از خشت‌خام، ساختن خانه‌هاى خشتى آغاز گرديد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خشت اين خانه‌ها در خود شهر كوفه و در صحراها و جبانات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آن ساخته مى‌شد، چنان‌كه در باره جبانه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منتسب به شخصى از تيره بنى‌فهد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 كه در آن خشت مى‌زد و خشت‌هايش نامرغوب بود؛ زيرا خاك آن مخلوط با نى و سفال بود و هرگاه آتش‌سوزى رخ مى‌داد، ديوارهاى خشتى اين چنينى در آتش مى‌سوخت</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همچنين نقل شده است كه بعضى از بزرگان كوفه وصيت كرده بودند كه خشت عَزْرَمى در قبر به‌كار نبرند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از اين نقل تاريخى چنين نتيجه گرفته مى‌شود كه خشت‌هاى ديگر، مرغوب بوده و خشت عَزْرمى به دليل نامرغوبيت، در ميان آنها مشهور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سپرى شدن دوران عمر و شروع دوران زمامدارى عثمان از سال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ساختن خانه‌هاى آجرى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 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اولين كسانى كه خانه‌هاى خود را با آجر بنا كردند، دو تن از صحابه مشهور، يعنى خَبّاب‌بن اَرت و عبدالله بن مسعود بودند كه خانه آنان در مركز شهر قرار داشت</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بنابراين مى‌توان چنين تصور كرد كه در زمان خلافت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خانه‌هاى كوفه از خشت و تعداد اندكى از آجر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نيز از وجود كلبه‌هاى نى در زمان آن حضرت خبر داده‌اند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در زمان حكومت معاويه و در دوران امارت زياد بر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آجرى به سرعت افزايش يافت؛ چنان‌كه نقل شده است كه بيشترين خانه‌هاى آجرى را قبيله مُراد و خَزْرَجيان كوفه به خود اختصاص داده بودند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درباره ساختمان مسجد در زمان زياد، گفته شده است كه وى در دوران امارت خود دست به بازسازى اساسى مسجد زد و آجر و ستون‌هاى آن را از اهواز آورد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بنابراين، مى‌توان نتيجه گرفت كه در آن زمان هنوز آجرپزى در كوفه صورت نمى‌گرفت و مردم ناچار بودند كه آجر خانه‌هاى خود را از نقاط ديگر، مانند حيره و اهواز 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توجه به اهميت روز افزون كوفه و كاهش اهميت حيره و سيل مهاجرت از حيره به كوفه مى‌توان چنين نتيجه‌گيرى كرد كه بعضى از مردم حيره آجر خانه‌هاى متروك خود را از حيره به كوفه انتقال داده و از آنها براى ساختن خانه‌هاى خود در كوفه استفاده مى‌كردند يا آن را به كوفيان ديگر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كتاب‌هاى نيز از آجر بين‌النهرين سخن به ميان آمده است</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مربوط به مسجد و دارالاماره كيفيت ساخت آجرهاى اين دو مكان را بيان خواهيم كرد كه از آن چنين نتيجه‌گيرى خواهد شد كه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خانه‌هاى آجرى در كوفه بسيار فراوان بوده به حدى كه با خانه‌هاى خشتى رقابت مى‌نموده است</w:t>
      </w:r>
      <w:r>
        <w:rPr>
          <w:rFonts w:eastAsia="IRNazanin" w:cs="IRNazanin"/>
          <w:color w:val="111111"/>
          <w:sz w:val="28"/>
          <w:szCs w:val="28"/>
          <w:rtl w:val="true"/>
          <w:lang w:bidi="fa-IR"/>
        </w:rPr>
        <w:t>.</w:t>
      </w:r>
      <w:bookmarkStart w:id="512" w:name="pg1964_19538"/>
    </w:p>
    <w:p>
      <w:pPr>
        <w:pStyle w:val="Heading4"/>
        <w:numPr>
          <w:ilvl w:val="3"/>
          <w:numId w:val="1"/>
        </w:numPr>
        <w:rPr/>
      </w:pPr>
      <w:bookmarkStart w:id="513" w:name="__RefHeading___Toc3584855_3650668749"/>
      <w:bookmarkStart w:id="514" w:name="_Toc224"/>
      <w:bookmarkEnd w:id="512"/>
      <w:bookmarkEnd w:id="513"/>
      <w:r>
        <w:rPr>
          <w:rtl w:val="true"/>
        </w:rPr>
        <w:t>ج</w:t>
      </w:r>
      <w:r>
        <w:rPr>
          <w:rtl w:val="true"/>
        </w:rPr>
        <w:t xml:space="preserve">) </w:t>
      </w:r>
      <w:r>
        <w:rPr>
          <w:rtl w:val="true"/>
        </w:rPr>
        <w:t>خانه‌ها‌ى افراد مشهور و معروف</w:t>
      </w:r>
      <w:bookmarkEnd w:id="514"/>
    </w:p>
    <w:p>
      <w:pPr>
        <w:pStyle w:val="Heading5"/>
        <w:numPr>
          <w:ilvl w:val="4"/>
          <w:numId w:val="1"/>
        </w:numPr>
        <w:rPr/>
      </w:pPr>
      <w:bookmarkStart w:id="515" w:name="__RefHeading___Toc3584857_3650668749"/>
      <w:bookmarkStart w:id="516" w:name="_Toc225"/>
      <w:bookmarkEnd w:id="515"/>
      <w:r>
        <w:rPr>
          <w:rtl w:val="true"/>
        </w:rPr>
        <w:t>اشاره</w:t>
      </w:r>
      <w:bookmarkEnd w:id="516"/>
    </w:p>
    <w:p>
      <w:pPr>
        <w:pStyle w:val="BookText"/>
        <w:rPr/>
      </w:pPr>
      <w:r>
        <w:rPr>
          <w:rFonts w:ascii="Amiri" w:hAnsi="Amiri" w:eastAsia="Amiri" w:cs="Amiri"/>
          <w:color w:val="111111"/>
          <w:sz w:val="28"/>
          <w:sz w:val="28"/>
          <w:szCs w:val="28"/>
          <w:rtl w:val="true"/>
          <w:lang w:bidi="ar-SA"/>
        </w:rPr>
        <w:t>خانه‌هاى افراد مشهور را كه نام آنها در كتاب‌هاى تاريخ و جغرافيا آمده است، مى‌توان به دو بخش خانه‌هاى واقع در مركز شهر و خانه‌هاى واقع در محلات شهر تقسيم كرد</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3584859_3650668749"/>
      <w:bookmarkStart w:id="518" w:name="_Toc226"/>
      <w:bookmarkEnd w:id="517"/>
      <w:r>
        <w:rPr>
          <w:rtl w:val="true"/>
        </w:rPr>
        <w:t xml:space="preserve">يك </w:t>
      </w:r>
      <w:r>
        <w:rPr>
          <w:rtl w:val="true"/>
        </w:rPr>
        <w:t xml:space="preserve">- </w:t>
      </w:r>
      <w:r>
        <w:rPr>
          <w:rtl w:val="true"/>
        </w:rPr>
        <w:t>خانه‌ها‌ى واقع در مركز شهر</w:t>
      </w:r>
      <w:bookmarkEnd w:id="518"/>
    </w:p>
    <w:p>
      <w:pPr>
        <w:pStyle w:val="Heading6"/>
        <w:numPr>
          <w:ilvl w:val="5"/>
          <w:numId w:val="1"/>
        </w:numPr>
        <w:rPr/>
      </w:pPr>
      <w:bookmarkStart w:id="519" w:name="__RefHeading___Toc3584861_3650668749"/>
      <w:bookmarkStart w:id="520" w:name="_Toc227"/>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 xml:space="preserve">هنگام تخطيط و نقشه‌كشى شهر، فضايى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هكتار مربع در مركز شهر براى ساختن مسجد، دارالاماره، ميدان اصلى شهر و بازارها اختصاص يافت و دور آن خندقى كشيده شد و به دستور عمر هيچ كس حق نداشت در اين محدوده خانه‌اى بنا كند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اما به مرور زمان و در دوره عمر بخش‌هايى از مركز كه هنوز ساخته نشده بود به افراد مختلف واگذار شد؛ افرادى كه عمدتاً از مهاجران تازه‌وارد و از شخصيت‌هاى بزرگ اسلامى در آن زمان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اين محدوده، حدود سى خانه بنا شد </w:t>
      </w:r>
      <w:r>
        <w:rPr>
          <w:rStyle w:val="FootnoteAnchor"/>
          <w:rtl w:val="true"/>
        </w:rPr>
        <w:footnoteReference w:id="365"/>
      </w:r>
      <w:r>
        <w:rPr>
          <w:rFonts w:ascii="IRNazanin" w:hAnsi="IRNazanin" w:eastAsia="IRNazanin"/>
          <w:color w:val="111111"/>
          <w:sz w:val="28"/>
          <w:sz w:val="28"/>
          <w:szCs w:val="28"/>
          <w:rtl w:val="true"/>
          <w:lang w:bidi="fa-IR"/>
        </w:rPr>
        <w:t>كه در اينجا به ذكر بعضى از آنها پرداخته مى‌شود</w:t>
      </w:r>
      <w:r>
        <w:rPr>
          <w:rFonts w:eastAsia="IRNazanin" w:cs="IRNazanin"/>
          <w:color w:val="111111"/>
          <w:sz w:val="28"/>
          <w:szCs w:val="28"/>
          <w:rtl w:val="true"/>
          <w:lang w:bidi="fa-IR"/>
        </w:rPr>
        <w:t>:</w:t>
      </w:r>
    </w:p>
    <w:p>
      <w:pPr>
        <w:pStyle w:val="Heading6"/>
        <w:numPr>
          <w:ilvl w:val="5"/>
          <w:numId w:val="1"/>
        </w:numPr>
        <w:rPr/>
      </w:pPr>
      <w:bookmarkStart w:id="521" w:name="__RefHeading___Toc3584863_3650668749"/>
      <w:bookmarkStart w:id="522" w:name="_Toc228"/>
      <w:bookmarkEnd w:id="521"/>
      <w:r>
        <w:rPr>
          <w:rtl w:val="true"/>
        </w:rPr>
        <w:t xml:space="preserve">اول </w:t>
      </w:r>
      <w:r>
        <w:rPr>
          <w:rtl w:val="true"/>
        </w:rPr>
        <w:t xml:space="preserve">- </w:t>
      </w:r>
      <w:r>
        <w:rPr>
          <w:rtl w:val="true"/>
        </w:rPr>
        <w:t xml:space="preserve">خانه حضرت على </w:t>
      </w:r>
      <w:r>
        <w:rPr>
          <w:rtl w:val="true"/>
        </w:rPr>
        <w:t>(</w:t>
      </w:r>
      <w:r>
        <w:rPr>
          <w:rtl w:val="true"/>
        </w:rPr>
        <w:t>عليه السلام</w:t>
      </w:r>
      <w:r>
        <w:rPr>
          <w:rtl w:val="true"/>
        </w:rPr>
        <w:t>)</w:t>
      </w:r>
      <w:bookmarkEnd w:id="52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پس از فراغت از جنگ جمل وارد كوفه و با استقبال كوفيان روبه‌رو شد و از او خواستند كه در قصر دارالاماره سكونت گزيند، اما ايشان امتناع نموده و موقتاً در خانه خواهرزاده خود، يعنى جُعْدَه فرزند ام هانى سكونت گزيده و پس از آماده شدن خانه‌اش در رحبه به آن مكان منتقل شدند</w:t>
      </w:r>
      <w:r>
        <w:rPr>
          <w:rFonts w:eastAsia="IRNazanin" w:cs="IRNazanin"/>
          <w:color w:val="111111"/>
          <w:sz w:val="28"/>
          <w:szCs w:val="28"/>
          <w:rtl w:val="true"/>
          <w:lang w:bidi="fa-IR"/>
        </w:rPr>
        <w:t xml:space="preserve">. </w:t>
      </w:r>
      <w:r>
        <w:rPr>
          <w:rStyle w:val="FootnoteAnchor"/>
          <w:rtl w:val="true"/>
        </w:rPr>
        <w:footnoteReference w:id="366"/>
      </w:r>
      <w:r>
        <w:rPr>
          <w:rFonts w:ascii="Amiri" w:hAnsi="Amiri" w:eastAsia="Amiri" w:cs="Amiri"/>
          <w:color w:val="111111"/>
          <w:sz w:val="28"/>
          <w:sz w:val="28"/>
          <w:szCs w:val="28"/>
          <w:rtl w:val="true"/>
          <w:lang w:bidi="ar-SA"/>
        </w:rPr>
        <w:t>رحبه، شامل ميدان شهر مى‌شد و در سمت غربى قصر واقع شده بود</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خانه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فاصله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مترى جنوب غربى مسجد جامع كوفه قرار داشت </w:t>
      </w:r>
      <w:r>
        <w:rPr>
          <w:rStyle w:val="FootnoteAnchor"/>
          <w:rtl w:val="true"/>
        </w:rPr>
        <w:footnoteReference w:id="368"/>
      </w:r>
      <w:r>
        <w:rPr>
          <w:rFonts w:ascii="Amiri" w:hAnsi="Amiri" w:eastAsia="Amiri" w:cs="Amiri"/>
          <w:color w:val="111111"/>
          <w:sz w:val="28"/>
          <w:sz w:val="28"/>
          <w:szCs w:val="28"/>
          <w:rtl w:val="true"/>
          <w:lang w:bidi="ar-SA"/>
        </w:rPr>
        <w:t>، به همين دليل ابن‌جُبير و ابن‌بطوطه محل اين خانه را در آخر فضاى مسجد ذكر كرده‌اند</w:t>
      </w:r>
      <w:r>
        <w:rPr>
          <w:rFonts w:eastAsia="Amiri" w:cs="Amiri" w:ascii="Amiri" w:hAnsi="Amiri"/>
          <w:color w:val="111111"/>
          <w:sz w:val="28"/>
          <w:szCs w:val="28"/>
          <w:rtl w:val="true"/>
          <w:lang w:bidi="ar-SA"/>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پس از سكونت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رحبه، اين مكان كه قبلاً با نام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ياد مى‌شد،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طبق گزارش بعضى از كتاب‌هاى تاريخى،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مكانى با عنوان مسجد كه شايد يكى از اتاق‌هاى خانه بوده است، بنا نموده بود</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همچنين چاه حفر شده به وسيله آن حضرت 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شد و هنوز نيز وجود دارد، در اين خانه واقع شده‌بود</w:t>
      </w:r>
      <w:r>
        <w:rPr>
          <w:rFonts w:eastAsia="IRNazanin" w:cs="IRNazanin"/>
          <w:color w:val="111111"/>
          <w:sz w:val="28"/>
          <w:szCs w:val="28"/>
          <w:rtl w:val="true"/>
          <w:lang w:bidi="fa-IR"/>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خانه از دنيا رفت و در همين خانه، مراسم تغسيل و تكفين آن حضرت انجام شد</w:t>
      </w:r>
      <w:r>
        <w:rPr>
          <w:rFonts w:eastAsia="Amiri" w:cs="Amiri" w:ascii="Amiri" w:hAnsi="Amiri"/>
          <w:color w:val="111111"/>
          <w:sz w:val="28"/>
          <w:szCs w:val="28"/>
          <w:rtl w:val="true"/>
          <w:lang w:bidi="ar-SA"/>
        </w:rPr>
        <w:t xml:space="preserve">. </w:t>
      </w:r>
      <w:r>
        <w:rPr>
          <w:rStyle w:val="FootnoteAnchor"/>
          <w:rtl w:val="true"/>
        </w:rPr>
        <w:footnoteReference w:id="37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احاديث چنين آمده است كه اين خانه، خانه عبدالله بن هُبَيره مخزومى پسر خواهر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ايشان به عنوان مهمان وارد آن خانه شده بود</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البته بعيد مى‌نمايد كه حضرت تمام مدت اقامت خود را در اين خانه به عنوان مهمان سپرى كرده باشد، مگر اينكه بگوييم كه عبدالله آن خانه را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كرده يا 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توصيفات كه از وضعيت داخلى خانه حضرت شده است، فرش ايشان را حصيرى كوچك ذكر كرده‌اند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از بعضى گزارش‌ها چنين برمى‌آيد كه در كنار درِ خانه آن حضرت سكويى ساخته شده بود</w:t>
      </w:r>
      <w:r>
        <w:rPr>
          <w:rFonts w:eastAsia="IRNazanin" w:cs="IRNazanin"/>
          <w:color w:val="111111"/>
          <w:sz w:val="28"/>
          <w:szCs w:val="28"/>
          <w:rtl w:val="true"/>
          <w:lang w:bidi="fa-IR"/>
        </w:rPr>
        <w:t xml:space="preserve">. </w:t>
      </w:r>
      <w:r>
        <w:rPr>
          <w:rStyle w:val="FootnoteAnchor"/>
          <w:rtl w:val="true"/>
        </w:rPr>
        <w:footnoteReference w:id="376"/>
      </w:r>
      <w:bookmarkStart w:id="523" w:name="pg1964_19540"/>
    </w:p>
    <w:p>
      <w:pPr>
        <w:pStyle w:val="Heading6"/>
        <w:numPr>
          <w:ilvl w:val="5"/>
          <w:numId w:val="1"/>
        </w:numPr>
        <w:rPr/>
      </w:pPr>
      <w:bookmarkStart w:id="524" w:name="__RefHeading___Toc3584865_3650668749"/>
      <w:bookmarkStart w:id="525" w:name="_Toc229"/>
      <w:bookmarkEnd w:id="523"/>
      <w:bookmarkEnd w:id="524"/>
      <w:r>
        <w:rPr>
          <w:rtl w:val="true"/>
        </w:rPr>
        <w:t xml:space="preserve">دوم </w:t>
      </w:r>
      <w:r>
        <w:rPr>
          <w:rtl w:val="true"/>
        </w:rPr>
        <w:t xml:space="preserve">- </w:t>
      </w:r>
      <w:r>
        <w:rPr>
          <w:rtl w:val="true"/>
        </w:rPr>
        <w:t>خانه جُعْدَه بن هبيره مخزومي</w:t>
      </w:r>
      <w:bookmarkEnd w:id="525"/>
    </w:p>
    <w:p>
      <w:pPr>
        <w:pStyle w:val="BookText"/>
        <w:rPr/>
      </w:pPr>
      <w:r>
        <w:rPr>
          <w:rFonts w:ascii="IRNazanin" w:hAnsi="IRNazanin" w:eastAsia="IRNazanin"/>
          <w:color w:val="111111"/>
          <w:sz w:val="28"/>
          <w:sz w:val="28"/>
          <w:szCs w:val="28"/>
          <w:rtl w:val="true"/>
          <w:lang w:bidi="fa-IR"/>
        </w:rPr>
        <w:t>ظاهراً اين خانه نيز در رحبه واقع شده بود؛ زيرا حضرت در بدو ورود فرمود كه من در رحبه سكنا مى‌گزينم، و سپس به اين خانه آمد</w:t>
      </w:r>
      <w:r>
        <w:rPr>
          <w:rFonts w:eastAsia="IRNazanin" w:cs="IRNazanin"/>
          <w:color w:val="111111"/>
          <w:sz w:val="28"/>
          <w:szCs w:val="28"/>
          <w:rtl w:val="true"/>
          <w:lang w:bidi="fa-IR"/>
        </w:rPr>
        <w:t xml:space="preserve">. </w:t>
      </w:r>
      <w:r>
        <w:rPr>
          <w:rStyle w:val="FootnoteAnchor"/>
          <w:rtl w:val="true"/>
        </w:rPr>
        <w:footnoteReference w:id="377"/>
      </w:r>
    </w:p>
    <w:p>
      <w:pPr>
        <w:pStyle w:val="Heading6"/>
        <w:numPr>
          <w:ilvl w:val="5"/>
          <w:numId w:val="1"/>
        </w:numPr>
        <w:rPr/>
      </w:pPr>
      <w:bookmarkStart w:id="526" w:name="__RefHeading___Toc3584867_3650668749"/>
      <w:bookmarkStart w:id="527" w:name="_Toc230"/>
      <w:bookmarkEnd w:id="526"/>
      <w:r>
        <w:rPr>
          <w:rtl w:val="true"/>
        </w:rPr>
        <w:t xml:space="preserve">سوم </w:t>
      </w:r>
      <w:r>
        <w:rPr>
          <w:rtl w:val="true"/>
        </w:rPr>
        <w:t xml:space="preserve">- </w:t>
      </w:r>
      <w:r>
        <w:rPr>
          <w:rtl w:val="true"/>
        </w:rPr>
        <w:t>خانه عبدالله بن مسعود</w:t>
      </w:r>
      <w:bookmarkEnd w:id="527"/>
    </w:p>
    <w:p>
      <w:pPr>
        <w:pStyle w:val="BookText"/>
        <w:rPr/>
      </w:pPr>
      <w:r>
        <w:rPr>
          <w:rFonts w:ascii="IRNazanin" w:hAnsi="IRNazanin" w:eastAsia="IRNazanin"/>
          <w:color w:val="111111"/>
          <w:sz w:val="28"/>
          <w:sz w:val="28"/>
          <w:szCs w:val="28"/>
          <w:rtl w:val="true"/>
          <w:lang w:bidi="fa-IR"/>
        </w:rPr>
        <w:t xml:space="preserve">اين خانه نيز در رحبه واقع شده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اولين خانه‌هايى بود كه تمام آن يا بخشى از آن با آجر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اين خانه را عمر به ابن‌مسعود بخشيد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در بعضى از منابع تاريخى چنين آمده است كه اين خانه در قسمت ديوار پشتى مسجد، يعنى در شمال آن واقع شده بود</w:t>
      </w:r>
      <w:r>
        <w:rPr>
          <w:rFonts w:eastAsia="IRNazanin" w:cs="IRNazanin"/>
          <w:color w:val="111111"/>
          <w:sz w:val="28"/>
          <w:szCs w:val="28"/>
          <w:rtl w:val="true"/>
          <w:lang w:bidi="fa-IR"/>
        </w:rPr>
        <w:t xml:space="preserve">. </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6"/>
        <w:numPr>
          <w:ilvl w:val="5"/>
          <w:numId w:val="1"/>
        </w:numPr>
        <w:rPr/>
      </w:pPr>
      <w:bookmarkStart w:id="528" w:name="__RefHeading___Toc3584869_3650668749"/>
      <w:bookmarkStart w:id="529" w:name="_Toc231"/>
      <w:bookmarkEnd w:id="528"/>
      <w:r>
        <w:rPr>
          <w:rtl w:val="true"/>
        </w:rPr>
        <w:t xml:space="preserve">چهارم </w:t>
      </w:r>
      <w:r>
        <w:rPr>
          <w:rtl w:val="true"/>
        </w:rPr>
        <w:t xml:space="preserve">- </w:t>
      </w:r>
      <w:r>
        <w:rPr>
          <w:rtl w:val="true"/>
        </w:rPr>
        <w:t>خانه وليد بن عُقْبه</w:t>
      </w:r>
      <w:bookmarkEnd w:id="529"/>
    </w:p>
    <w:p>
      <w:pPr>
        <w:pStyle w:val="BookText"/>
        <w:rPr/>
      </w:pPr>
      <w:r>
        <w:rPr>
          <w:rFonts w:ascii="Amiri" w:hAnsi="Amiri" w:eastAsia="Amiri" w:cs="Amiri"/>
          <w:color w:val="111111"/>
          <w:sz w:val="28"/>
          <w:sz w:val="28"/>
          <w:szCs w:val="28"/>
          <w:rtl w:val="true"/>
          <w:lang w:bidi="ar-SA"/>
        </w:rPr>
        <w:t xml:space="preserve">وليد بن عقبه از سال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زمان عثمان عهده‌دار حكومت كوفه بود </w:t>
      </w:r>
      <w:r>
        <w:rPr>
          <w:rStyle w:val="FootnoteAnchor"/>
          <w:rtl w:val="true"/>
        </w:rPr>
        <w:footnoteReference w:id="380"/>
      </w:r>
      <w:r>
        <w:rPr>
          <w:rFonts w:ascii="IRNazanin" w:hAnsi="IRNazanin" w:eastAsia="IRNazanin"/>
          <w:color w:val="111111"/>
          <w:sz w:val="28"/>
          <w:sz w:val="28"/>
          <w:szCs w:val="28"/>
          <w:rtl w:val="true"/>
          <w:lang w:bidi="fa-IR"/>
        </w:rPr>
        <w:t>، خانه او كه خانه‌اى اشرافى بود، در سمت شرق مسجد و قصر، نزديك محل بازار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كوفه شد، از ايشان سؤال شد كه شما در كدام‌يك از دو قصر اقامت مى‌گزينيد؟ </w:t>
      </w:r>
      <w:r>
        <w:rPr>
          <w:rStyle w:val="FootnoteAnchor"/>
          <w:rtl w:val="true"/>
        </w:rPr>
        <w:footnoteReference w:id="381"/>
      </w:r>
      <w:r>
        <w:rPr>
          <w:rFonts w:ascii="Amiri" w:hAnsi="Amiri" w:eastAsia="Amiri" w:cs="Amiri"/>
          <w:color w:val="111111"/>
          <w:sz w:val="28"/>
          <w:sz w:val="28"/>
          <w:szCs w:val="28"/>
          <w:rtl w:val="true"/>
          <w:lang w:bidi="ar-SA"/>
        </w:rPr>
        <w:t>حال با توجه به اينكه در منابع جز از يك قصر، آن هم قصر دارالاماره سخن به ميان نيامده است، به نظر مى‌رسد كه قصر دوم همين خانه وليد باشد</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3584871_3650668749"/>
      <w:bookmarkStart w:id="531" w:name="_Toc232"/>
      <w:bookmarkEnd w:id="530"/>
      <w:r>
        <w:rPr>
          <w:rtl w:val="true"/>
        </w:rPr>
        <w:t xml:space="preserve">پنجم </w:t>
      </w:r>
      <w:r>
        <w:rPr>
          <w:rtl w:val="true"/>
        </w:rPr>
        <w:t xml:space="preserve">- </w:t>
      </w:r>
      <w:r>
        <w:rPr>
          <w:rtl w:val="true"/>
        </w:rPr>
        <w:t>خانه عُماره بن عُقْبَه</w:t>
      </w:r>
      <w:bookmarkEnd w:id="53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عماره برادر وليد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او نزديك قصر قرار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روايات تاريخى وارد شده است كه طرفداران مختار در سال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ديوار قصر كه نزديك خانه عماره واقع شده بود، به وسيله طناب بالا رفتند</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eastAsia="IRNazanin" w:cs="IRNazanin"/>
          <w:color w:val="111111"/>
          <w:sz w:val="28"/>
          <w:szCs w:val="28"/>
          <w:rtl w:val="true"/>
          <w:lang w:bidi="fa-IR"/>
        </w:rPr>
        <w:t>)</w:t>
      </w:r>
      <w:bookmarkStart w:id="532" w:name="pg1964_19541"/>
    </w:p>
    <w:p>
      <w:pPr>
        <w:pStyle w:val="Heading6"/>
        <w:numPr>
          <w:ilvl w:val="5"/>
          <w:numId w:val="1"/>
        </w:numPr>
        <w:rPr/>
      </w:pPr>
      <w:bookmarkStart w:id="533" w:name="__RefHeading___Toc3584873_3650668749"/>
      <w:bookmarkStart w:id="534" w:name="_Toc233"/>
      <w:bookmarkEnd w:id="532"/>
      <w:bookmarkEnd w:id="533"/>
      <w:r>
        <w:rPr>
          <w:rtl w:val="true"/>
        </w:rPr>
        <w:t xml:space="preserve">ششم </w:t>
      </w:r>
      <w:r>
        <w:rPr>
          <w:rtl w:val="true"/>
        </w:rPr>
        <w:t xml:space="preserve">- </w:t>
      </w:r>
      <w:r>
        <w:rPr>
          <w:rtl w:val="true"/>
        </w:rPr>
        <w:t>خانه ابوموسى اشعري</w:t>
      </w:r>
      <w:bookmarkEnd w:id="534"/>
    </w:p>
    <w:p>
      <w:pPr>
        <w:pStyle w:val="BookText"/>
        <w:rPr/>
      </w:pPr>
      <w:r>
        <w:rPr>
          <w:rFonts w:ascii="IRNazanin" w:hAnsi="IRNazanin" w:eastAsia="IRNazanin"/>
          <w:color w:val="111111"/>
          <w:sz w:val="28"/>
          <w:sz w:val="28"/>
          <w:szCs w:val="28"/>
          <w:rtl w:val="true"/>
          <w:lang w:bidi="fa-IR"/>
        </w:rPr>
        <w:t xml:space="preserve">در بعضى از كتاب‌هاى جغرافيايى چنين آمده است كه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ابوموسى‌اشعرى بخشيد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آرى، محدوده‌اى وسيع در جنوب شرقى مسجد و دارالاماره در مركز شهر و قبل از شروع تخطيطها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نقشه‌هاى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اسب‌هاى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چهار هزار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نگهدارى مى‌شد</w:t>
      </w:r>
      <w:r>
        <w:rPr>
          <w:rFonts w:eastAsia="IRNazanin" w:cs="IRNazanin"/>
          <w:color w:val="111111"/>
          <w:sz w:val="28"/>
          <w:szCs w:val="28"/>
          <w:rtl w:val="true"/>
          <w:lang w:bidi="fa-IR"/>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خانه ابوموسى نزديك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 الروميين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واقع شده بود</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نصف آرّى، مكان وسيعى بود، عمر كسان ديگرى را نيز با او شريك كرد</w:t>
      </w:r>
      <w:r>
        <w:rPr>
          <w:rFonts w:eastAsia="IRNazanin" w:cs="IRNazanin"/>
          <w:color w:val="111111"/>
          <w:sz w:val="28"/>
          <w:szCs w:val="28"/>
          <w:rtl w:val="true"/>
          <w:lang w:bidi="fa-IR"/>
        </w:rPr>
        <w:t>.</w:t>
      </w:r>
    </w:p>
    <w:p>
      <w:pPr>
        <w:pStyle w:val="Heading6"/>
        <w:numPr>
          <w:ilvl w:val="5"/>
          <w:numId w:val="1"/>
        </w:numPr>
        <w:rPr/>
      </w:pPr>
      <w:bookmarkStart w:id="535" w:name="__RefHeading___Toc3584875_3650668749"/>
      <w:bookmarkStart w:id="536" w:name="_Toc234"/>
      <w:bookmarkEnd w:id="535"/>
      <w:r>
        <w:rPr>
          <w:rtl w:val="true"/>
        </w:rPr>
        <w:t xml:space="preserve">هفتم </w:t>
      </w:r>
      <w:r>
        <w:rPr>
          <w:rtl w:val="true"/>
        </w:rPr>
        <w:t xml:space="preserve">- </w:t>
      </w:r>
      <w:r>
        <w:rPr>
          <w:rtl w:val="true"/>
        </w:rPr>
        <w:t>خانه حُذَيفة بن يَمان</w:t>
      </w:r>
      <w:bookmarkEnd w:id="536"/>
    </w:p>
    <w:p>
      <w:pPr>
        <w:pStyle w:val="BookText"/>
        <w:rPr/>
      </w:pPr>
      <w:r>
        <w:rPr>
          <w:rFonts w:ascii="IRNazanin" w:hAnsi="IRNazanin" w:eastAsia="IRNazanin"/>
          <w:color w:val="111111"/>
          <w:sz w:val="28"/>
          <w:sz w:val="28"/>
          <w:szCs w:val="28"/>
          <w:rtl w:val="true"/>
          <w:lang w:bidi="fa-IR"/>
        </w:rPr>
        <w:t xml:space="preserve">عمر نصف ديگر آرّى را به حذيفة بن يمان و افرادى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w:t>
      </w:r>
      <w:r>
        <w:rPr>
          <w:rFonts w:eastAsia="IRNazanin" w:cs="IRNazanin"/>
          <w:color w:val="111111"/>
          <w:sz w:val="28"/>
          <w:szCs w:val="28"/>
          <w:rtl w:val="true"/>
          <w:lang w:bidi="fa-IR"/>
        </w:rPr>
        <w:t xml:space="preserve">. </w:t>
      </w:r>
      <w:r>
        <w:rPr>
          <w:rStyle w:val="FootnoteAnchor"/>
          <w:rtl w:val="true"/>
        </w:rPr>
        <w:footnoteReference w:id="386"/>
      </w:r>
    </w:p>
    <w:p>
      <w:pPr>
        <w:pStyle w:val="Heading6"/>
        <w:numPr>
          <w:ilvl w:val="5"/>
          <w:numId w:val="1"/>
        </w:numPr>
        <w:rPr/>
      </w:pPr>
      <w:bookmarkStart w:id="537" w:name="__RefHeading___Toc3584877_3650668749"/>
      <w:bookmarkStart w:id="538" w:name="_Toc235"/>
      <w:bookmarkEnd w:id="537"/>
      <w:r>
        <w:rPr>
          <w:rtl w:val="true"/>
        </w:rPr>
        <w:t xml:space="preserve">هشتم و نهم </w:t>
      </w:r>
      <w:r>
        <w:rPr>
          <w:rtl w:val="true"/>
        </w:rPr>
        <w:t xml:space="preserve">- </w:t>
      </w:r>
      <w:r>
        <w:rPr>
          <w:rtl w:val="true"/>
        </w:rPr>
        <w:t>خانه سلمان بن ربيعه باهلي و مُسَيّب بن نَجْبَه فَزاريّ</w:t>
      </w:r>
      <w:bookmarkEnd w:id="538"/>
    </w:p>
    <w:p>
      <w:pPr>
        <w:pStyle w:val="BookText"/>
        <w:rPr/>
      </w:pPr>
      <w:r>
        <w:rPr>
          <w:rFonts w:ascii="IRNazanin" w:hAnsi="IRNazanin" w:eastAsia="IRNazanin"/>
          <w:color w:val="111111"/>
          <w:sz w:val="28"/>
          <w:sz w:val="28"/>
          <w:szCs w:val="28"/>
          <w:rtl w:val="true"/>
          <w:lang w:bidi="fa-IR"/>
        </w:rPr>
        <w:t xml:space="preserve">اين دو خانه كه از اقطاعى‌هاى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بود، در همسايگى خانه ابن‌مسعود قرار داشت</w:t>
      </w:r>
      <w:r>
        <w:rPr>
          <w:rFonts w:eastAsia="IRNazanin" w:cs="IRNazanin"/>
          <w:color w:val="111111"/>
          <w:sz w:val="28"/>
          <w:szCs w:val="28"/>
          <w:rtl w:val="true"/>
          <w:lang w:bidi="fa-IR"/>
        </w:rPr>
        <w:t xml:space="preserve">. </w:t>
      </w:r>
      <w:r>
        <w:rPr>
          <w:rStyle w:val="FootnoteAnchor"/>
          <w:rtl w:val="true"/>
        </w:rPr>
        <w:footnoteReference w:id="387"/>
      </w:r>
    </w:p>
    <w:p>
      <w:pPr>
        <w:pStyle w:val="Heading6"/>
        <w:numPr>
          <w:ilvl w:val="5"/>
          <w:numId w:val="1"/>
        </w:numPr>
        <w:rPr/>
      </w:pPr>
      <w:bookmarkStart w:id="539" w:name="__RefHeading___Toc3584879_3650668749"/>
      <w:bookmarkStart w:id="540" w:name="_Toc236"/>
      <w:bookmarkEnd w:id="539"/>
      <w:r>
        <w:rPr>
          <w:rtl w:val="true"/>
        </w:rPr>
        <w:t xml:space="preserve">دهم </w:t>
      </w:r>
      <w:r>
        <w:rPr>
          <w:rtl w:val="true"/>
        </w:rPr>
        <w:t xml:space="preserve">- </w:t>
      </w:r>
      <w:r>
        <w:rPr>
          <w:rtl w:val="true"/>
        </w:rPr>
        <w:t>خانه عمرو بن حُرَيث</w:t>
      </w:r>
      <w:bookmarkEnd w:id="54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خانه در سمت شرق ديوار مسجد و در همسايگى خانه ابن‌مسعود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زمين آن را به او بخشيده بود</w:t>
      </w:r>
      <w:r>
        <w:rPr>
          <w:rFonts w:eastAsia="IRNazanin" w:cs="IRNazanin"/>
          <w:color w:val="111111"/>
          <w:sz w:val="28"/>
          <w:szCs w:val="28"/>
          <w:rtl w:val="true"/>
          <w:lang w:bidi="fa-IR"/>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وى بين سال‌هاى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حكومت زياد و بين سال‌هاى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حكومت عبيدالله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هر دو</w:t>
      </w:r>
      <w:bookmarkStart w:id="541" w:name="pg1964_19542"/>
    </w:p>
    <w:p>
      <w:pPr>
        <w:pStyle w:val="BookText"/>
        <w:rPr/>
      </w:pPr>
      <w:bookmarkEnd w:id="541"/>
      <w:r>
        <w:rPr>
          <w:rFonts w:ascii="IRNazanin" w:hAnsi="IRNazanin" w:eastAsia="IRNazanin"/>
          <w:color w:val="111111"/>
          <w:sz w:val="28"/>
          <w:sz w:val="28"/>
          <w:szCs w:val="28"/>
          <w:rtl w:val="true"/>
          <w:lang w:bidi="fa-IR"/>
        </w:rPr>
        <w:t>به‌طور هم‌زمان حكومت بصره و كوفه را در اختيار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آنها هر سال به مدت شش ماه حكومت كوفه را در اختيار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تمّار يكى از باوفاترين ياران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نزديك اين خانه به دار آويخته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اين مطلب را پيش‌گويى كرده و به اوگفته بود</w:t>
      </w:r>
      <w:r>
        <w:rPr>
          <w:rFonts w:eastAsia="IRNazanin" w:cs="IRNazanin"/>
          <w:color w:val="111111"/>
          <w:sz w:val="28"/>
          <w:szCs w:val="28"/>
          <w:rtl w:val="true"/>
          <w:lang w:bidi="fa-IR"/>
        </w:rPr>
        <w:t xml:space="preserve">.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6"/>
        <w:numPr>
          <w:ilvl w:val="5"/>
          <w:numId w:val="1"/>
        </w:numPr>
        <w:rPr/>
      </w:pPr>
      <w:bookmarkStart w:id="542" w:name="__RefHeading___Toc3584881_3650668749"/>
      <w:bookmarkStart w:id="543" w:name="_Toc237"/>
      <w:bookmarkEnd w:id="542"/>
      <w:r>
        <w:rPr>
          <w:rtl w:val="true"/>
        </w:rPr>
        <w:t xml:space="preserve">يازدهم </w:t>
      </w:r>
      <w:r>
        <w:rPr>
          <w:rtl w:val="true"/>
        </w:rPr>
        <w:t xml:space="preserve">- </w:t>
      </w:r>
      <w:r>
        <w:rPr>
          <w:rtl w:val="true"/>
        </w:rPr>
        <w:t>خانه طَلْحة بن عبيدالله</w:t>
      </w:r>
      <w:bookmarkEnd w:id="543"/>
    </w:p>
    <w:p>
      <w:pPr>
        <w:pStyle w:val="BookText"/>
        <w:rPr/>
      </w:pPr>
      <w:r>
        <w:rPr>
          <w:rFonts w:ascii="Amiri" w:hAnsi="Amiri" w:eastAsia="Amiri" w:cs="Amiri"/>
          <w:color w:val="111111"/>
          <w:sz w:val="28"/>
          <w:sz w:val="28"/>
          <w:szCs w:val="28"/>
          <w:rtl w:val="true"/>
          <w:lang w:bidi="ar-SA"/>
        </w:rPr>
        <w:t>اين خانه نزديك خانه عمرو بن حُرَيث و ابن‌مسعود و كنار مسجد بود كه عمر زمين آن را به طلحه بخشيده بود</w:t>
      </w:r>
      <w:r>
        <w:rPr>
          <w:rFonts w:eastAsia="Amiri" w:cs="Amiri" w:ascii="Amiri" w:hAnsi="Amiri"/>
          <w:color w:val="111111"/>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خاطر نشان مى‌شود طلحه همان كسى است كه يكى از سران اصلى لشكر بصره در جنگ جمل بود</w:t>
      </w:r>
      <w:r>
        <w:rPr>
          <w:rFonts w:eastAsia="IRNazanin" w:cs="IRNazanin"/>
          <w:color w:val="111111"/>
          <w:sz w:val="28"/>
          <w:szCs w:val="28"/>
          <w:rtl w:val="true"/>
          <w:lang w:bidi="fa-IR"/>
        </w:rPr>
        <w:t>.</w:t>
      </w:r>
    </w:p>
    <w:p>
      <w:pPr>
        <w:pStyle w:val="Heading6"/>
        <w:numPr>
          <w:ilvl w:val="5"/>
          <w:numId w:val="1"/>
        </w:numPr>
        <w:rPr/>
      </w:pPr>
      <w:bookmarkStart w:id="544" w:name="__RefHeading___Toc3584883_3650668749"/>
      <w:bookmarkStart w:id="545" w:name="_Toc238"/>
      <w:bookmarkEnd w:id="544"/>
      <w:r>
        <w:rPr>
          <w:rtl w:val="true"/>
        </w:rPr>
        <w:t xml:space="preserve">دوازدهم </w:t>
      </w:r>
      <w:r>
        <w:rPr>
          <w:rtl w:val="true"/>
        </w:rPr>
        <w:t xml:space="preserve">- </w:t>
      </w:r>
      <w:r>
        <w:rPr>
          <w:rtl w:val="true"/>
        </w:rPr>
        <w:t>خانه خالد بن عرفطه</w:t>
      </w:r>
      <w:bookmarkEnd w:id="545"/>
    </w:p>
    <w:p>
      <w:pPr>
        <w:pStyle w:val="BookText"/>
        <w:rPr/>
      </w:pPr>
      <w:r>
        <w:rPr>
          <w:rFonts w:ascii="IRNazanin" w:hAnsi="IRNazanin" w:eastAsia="IRNazanin"/>
          <w:color w:val="111111"/>
          <w:sz w:val="28"/>
          <w:sz w:val="28"/>
          <w:szCs w:val="28"/>
          <w:rtl w:val="true"/>
          <w:lang w:bidi="fa-IR"/>
        </w:rPr>
        <w:t>عُمَر قطعه زمينى در مركز شهر و در شمال مسجد و قصر به خالد بخشيد و او خانه خود را در آن بنانمود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يكى از سرداران سپاه سعد بن ابى‌وقاص بود</w:t>
      </w:r>
      <w:r>
        <w:rPr>
          <w:rFonts w:eastAsia="IRNazanin" w:cs="IRNazanin"/>
          <w:color w:val="111111"/>
          <w:sz w:val="28"/>
          <w:szCs w:val="28"/>
          <w:rtl w:val="true"/>
          <w:lang w:bidi="fa-IR"/>
        </w:rPr>
        <w:t xml:space="preserve">.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شماره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6"/>
        <w:numPr>
          <w:ilvl w:val="5"/>
          <w:numId w:val="1"/>
        </w:numPr>
        <w:rPr/>
      </w:pPr>
      <w:bookmarkStart w:id="546" w:name="__RefHeading___Toc3584885_3650668749"/>
      <w:bookmarkStart w:id="547" w:name="_Toc239"/>
      <w:bookmarkEnd w:id="546"/>
      <w:r>
        <w:rPr>
          <w:rtl w:val="true"/>
        </w:rPr>
        <w:t xml:space="preserve">سيزدهم </w:t>
      </w:r>
      <w:r>
        <w:rPr>
          <w:rtl w:val="true"/>
        </w:rPr>
        <w:t xml:space="preserve">- </w:t>
      </w:r>
      <w:r>
        <w:rPr>
          <w:rtl w:val="true"/>
        </w:rPr>
        <w:t>خانه سَعد بن قيس</w:t>
      </w:r>
      <w:bookmarkEnd w:id="547"/>
    </w:p>
    <w:p>
      <w:pPr>
        <w:pStyle w:val="BookText"/>
        <w:rPr/>
      </w:pPr>
      <w:r>
        <w:rPr>
          <w:rFonts w:ascii="IRNazanin" w:hAnsi="IRNazanin" w:eastAsia="IRNazanin"/>
          <w:color w:val="111111"/>
          <w:sz w:val="28"/>
          <w:sz w:val="28"/>
          <w:szCs w:val="28"/>
          <w:rtl w:val="true"/>
          <w:lang w:bidi="fa-IR"/>
        </w:rPr>
        <w:t>خانه سعد كه زمين آن اقطاعى از سوى عمر بود، نزديك خانه سلمان بن ربيعه قرار داشت و كوچه كوچكى بين آنها فاصله انداخته بود</w:t>
      </w:r>
      <w:r>
        <w:rPr>
          <w:rFonts w:eastAsia="IRNazanin" w:cs="IRNazanin"/>
          <w:color w:val="111111"/>
          <w:sz w:val="28"/>
          <w:szCs w:val="28"/>
          <w:rtl w:val="true"/>
          <w:lang w:bidi="fa-IR"/>
        </w:rPr>
        <w:t xml:space="preserve">. </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نقشه‌شماره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6"/>
        <w:numPr>
          <w:ilvl w:val="5"/>
          <w:numId w:val="1"/>
        </w:numPr>
        <w:rPr/>
      </w:pPr>
      <w:bookmarkStart w:id="548" w:name="__RefHeading___Toc3584887_3650668749"/>
      <w:bookmarkStart w:id="549" w:name="_Toc240"/>
      <w:bookmarkEnd w:id="548"/>
      <w:r>
        <w:rPr>
          <w:rtl w:val="true"/>
        </w:rPr>
        <w:t xml:space="preserve">چهاردهم </w:t>
      </w:r>
      <w:r>
        <w:rPr>
          <w:rtl w:val="true"/>
        </w:rPr>
        <w:t xml:space="preserve">- </w:t>
      </w:r>
      <w:r>
        <w:rPr>
          <w:rtl w:val="true"/>
        </w:rPr>
        <w:t>خانه ابن‌حكيم</w:t>
      </w:r>
      <w:bookmarkEnd w:id="54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خانه در همسايگى خانه عمرو بن حريث قرار داشت</w:t>
      </w:r>
      <w:r>
        <w:rPr>
          <w:rFonts w:eastAsia="IRNazanin" w:cs="IRNazanin"/>
          <w:color w:val="111111"/>
          <w:sz w:val="28"/>
          <w:szCs w:val="28"/>
          <w:rtl w:val="true"/>
          <w:lang w:bidi="fa-IR"/>
        </w:rPr>
        <w:t xml:space="preserve">. </w:t>
      </w:r>
      <w:r>
        <w:rPr>
          <w:rStyle w:val="FootnoteAnchor"/>
          <w:rtl w:val="true"/>
        </w:rPr>
        <w:footnoteReference w:id="393"/>
      </w:r>
      <w:bookmarkStart w:id="550" w:name="pg1964_19543"/>
    </w:p>
    <w:p>
      <w:pPr>
        <w:pStyle w:val="Heading6"/>
        <w:numPr>
          <w:ilvl w:val="5"/>
          <w:numId w:val="1"/>
        </w:numPr>
        <w:rPr/>
      </w:pPr>
      <w:bookmarkStart w:id="551" w:name="__RefHeading___Toc3584889_3650668749"/>
      <w:bookmarkStart w:id="552" w:name="_Toc241"/>
      <w:bookmarkEnd w:id="550"/>
      <w:bookmarkEnd w:id="551"/>
      <w:r>
        <w:rPr>
          <w:rtl w:val="true"/>
        </w:rPr>
        <w:t xml:space="preserve">پانزدهم </w:t>
      </w:r>
      <w:r>
        <w:rPr>
          <w:rtl w:val="true"/>
        </w:rPr>
        <w:t xml:space="preserve">- </w:t>
      </w:r>
      <w:r>
        <w:rPr>
          <w:rtl w:val="true"/>
        </w:rPr>
        <w:t>خانه مختار بن ابي‌عُبَيده ثَقَفي</w:t>
      </w:r>
      <w:bookmarkEnd w:id="552"/>
    </w:p>
    <w:p>
      <w:pPr>
        <w:pStyle w:val="BookText"/>
        <w:rPr/>
      </w:pPr>
      <w:r>
        <w:rPr>
          <w:rFonts w:ascii="IRNazanin" w:hAnsi="IRNazanin" w:eastAsia="IRNazanin"/>
          <w:color w:val="111111"/>
          <w:sz w:val="28"/>
          <w:sz w:val="28"/>
          <w:szCs w:val="28"/>
          <w:rtl w:val="true"/>
          <w:lang w:bidi="fa-IR"/>
        </w:rPr>
        <w:t>اين خانه در شمال مسجد و نزديك ديوار شمالى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هنگام ورود به كوفه در اين منزل سكنا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بعدها به خانه مُسَيب معروف شد</w:t>
      </w:r>
      <w:r>
        <w:rPr>
          <w:rFonts w:eastAsia="IRNazanin" w:cs="IRNazanin"/>
          <w:color w:val="111111"/>
          <w:sz w:val="28"/>
          <w:szCs w:val="28"/>
          <w:rtl w:val="true"/>
          <w:lang w:bidi="fa-IR"/>
        </w:rPr>
        <w:t xml:space="preserve">. </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553" w:name="__RefHeading___Toc3584891_3650668749"/>
      <w:bookmarkStart w:id="554" w:name="_Toc242"/>
      <w:bookmarkEnd w:id="553"/>
      <w:r>
        <w:rPr>
          <w:rtl w:val="true"/>
        </w:rPr>
        <w:t xml:space="preserve">دو </w:t>
      </w:r>
      <w:r>
        <w:rPr>
          <w:rtl w:val="true"/>
        </w:rPr>
        <w:t xml:space="preserve">- </w:t>
      </w:r>
      <w:r>
        <w:rPr>
          <w:rtl w:val="true"/>
        </w:rPr>
        <w:t>خانه‌ها‌ى واقع در محله‌ها‌ى شهر</w:t>
      </w:r>
      <w:bookmarkEnd w:id="554"/>
    </w:p>
    <w:p>
      <w:pPr>
        <w:pStyle w:val="Heading6"/>
        <w:numPr>
          <w:ilvl w:val="5"/>
          <w:numId w:val="1"/>
        </w:numPr>
        <w:rPr/>
      </w:pPr>
      <w:bookmarkStart w:id="555" w:name="__RefHeading___Toc3584893_3650668749"/>
      <w:bookmarkStart w:id="556" w:name="_Toc243"/>
      <w:bookmarkEnd w:id="555"/>
      <w:r>
        <w:rPr>
          <w:rtl w:val="true"/>
        </w:rPr>
        <w:t xml:space="preserve">اول </w:t>
      </w:r>
      <w:r>
        <w:rPr>
          <w:rtl w:val="true"/>
        </w:rPr>
        <w:t xml:space="preserve">- </w:t>
      </w:r>
      <w:r>
        <w:rPr>
          <w:rtl w:val="true"/>
        </w:rPr>
        <w:t>خانه خَبّاب بن اَرَت</w:t>
      </w:r>
      <w:bookmarkEnd w:id="556"/>
    </w:p>
    <w:p>
      <w:pPr>
        <w:pStyle w:val="BookText"/>
        <w:rPr/>
      </w:pPr>
      <w:r>
        <w:rPr>
          <w:rFonts w:ascii="IRNazanin" w:hAnsi="IRNazanin" w:eastAsia="IRNazanin"/>
          <w:color w:val="111111"/>
          <w:sz w:val="28"/>
          <w:sz w:val="28"/>
          <w:szCs w:val="28"/>
          <w:rtl w:val="true"/>
          <w:lang w:bidi="fa-IR"/>
        </w:rPr>
        <w:t xml:space="preserve">اين خانه كه زمين آن از اقطاعى‌هاى عمر به شمار مى‌رفت،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سوق خُنَيس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شهارسوج‌خنيس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w:t>
      </w:r>
      <w:r>
        <w:rPr>
          <w:rStyle w:val="FootnoteAnchor"/>
          <w:rtl w:val="true"/>
        </w:rPr>
        <w:footnoteReference w:id="3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اولين خانه‌هايى بود كه ورودى يا تمام آن با آجر بنا شده بود</w:t>
      </w:r>
      <w:r>
        <w:rPr>
          <w:rFonts w:eastAsia="IRNazanin" w:cs="IRNazanin"/>
          <w:color w:val="111111"/>
          <w:sz w:val="28"/>
          <w:szCs w:val="28"/>
          <w:rtl w:val="true"/>
          <w:lang w:bidi="fa-IR"/>
        </w:rPr>
        <w:t xml:space="preserve">. </w:t>
      </w:r>
      <w:r>
        <w:rPr>
          <w:rStyle w:val="FootnoteAnchor"/>
          <w:rtl w:val="true"/>
        </w:rPr>
        <w:footnoteReference w:id="396"/>
      </w:r>
    </w:p>
    <w:p>
      <w:pPr>
        <w:pStyle w:val="Heading6"/>
        <w:numPr>
          <w:ilvl w:val="5"/>
          <w:numId w:val="1"/>
        </w:numPr>
        <w:rPr/>
      </w:pPr>
      <w:bookmarkStart w:id="557" w:name="__RefHeading___Toc3584895_3650668749"/>
      <w:bookmarkStart w:id="558" w:name="_Toc244"/>
      <w:bookmarkEnd w:id="557"/>
      <w:r>
        <w:rPr>
          <w:rtl w:val="true"/>
        </w:rPr>
        <w:t xml:space="preserve">دوم </w:t>
      </w:r>
      <w:r>
        <w:rPr>
          <w:rtl w:val="true"/>
        </w:rPr>
        <w:t xml:space="preserve">- </w:t>
      </w:r>
      <w:r>
        <w:rPr>
          <w:rtl w:val="true"/>
        </w:rPr>
        <w:t>خانه زيد بن ارْقَم انصاري</w:t>
      </w:r>
      <w:bookmarkEnd w:id="558"/>
    </w:p>
    <w:p>
      <w:pPr>
        <w:pStyle w:val="BookText"/>
        <w:rPr/>
      </w:pPr>
      <w:r>
        <w:rPr>
          <w:rFonts w:ascii="Amiri" w:hAnsi="Amiri" w:eastAsia="Amiri" w:cs="Amiri"/>
          <w:color w:val="111111"/>
          <w:sz w:val="28"/>
          <w:sz w:val="28"/>
          <w:szCs w:val="28"/>
          <w:rtl w:val="true"/>
          <w:lang w:bidi="ar-SA"/>
        </w:rPr>
        <w:t>اين خانه در محله كِنْده، واقع در جنوب كوفه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زيد دو طبقه بود و بالكن آن بر خيابان اشراف داشت</w:t>
      </w:r>
      <w:r>
        <w:rPr>
          <w:rFonts w:eastAsia="Amiri" w:cs="Amiri" w:ascii="Amiri" w:hAnsi="Amiri"/>
          <w:color w:val="111111"/>
          <w:sz w:val="28"/>
          <w:szCs w:val="28"/>
          <w:rtl w:val="true"/>
          <w:lang w:bidi="ar-SA"/>
        </w:rPr>
        <w:t xml:space="preserve">. </w:t>
      </w:r>
      <w:r>
        <w:rPr>
          <w:rStyle w:val="FootnoteAnchor"/>
          <w:rtl w:val="true"/>
        </w:rPr>
        <w:footnoteReference w:id="397"/>
      </w:r>
    </w:p>
    <w:p>
      <w:pPr>
        <w:pStyle w:val="Heading6"/>
        <w:numPr>
          <w:ilvl w:val="5"/>
          <w:numId w:val="1"/>
        </w:numPr>
        <w:rPr/>
      </w:pPr>
      <w:bookmarkStart w:id="559" w:name="__RefHeading___Toc3584897_3650668749"/>
      <w:bookmarkStart w:id="560" w:name="_Toc245"/>
      <w:bookmarkEnd w:id="559"/>
      <w:r>
        <w:rPr>
          <w:rtl w:val="true"/>
        </w:rPr>
        <w:t xml:space="preserve">سوم </w:t>
      </w:r>
      <w:r>
        <w:rPr>
          <w:rtl w:val="true"/>
        </w:rPr>
        <w:t xml:space="preserve">- </w:t>
      </w:r>
      <w:r>
        <w:rPr>
          <w:rtl w:val="true"/>
        </w:rPr>
        <w:t>خانه جَرير بن عبدالله بجلي</w:t>
      </w:r>
      <w:bookmarkEnd w:id="560"/>
    </w:p>
    <w:p>
      <w:pPr>
        <w:pStyle w:val="BookText"/>
        <w:rPr/>
      </w:pPr>
      <w:r>
        <w:rPr>
          <w:rFonts w:ascii="Amiri" w:hAnsi="Amiri" w:eastAsia="Amiri" w:cs="Amiri"/>
          <w:color w:val="111111"/>
          <w:sz w:val="28"/>
          <w:sz w:val="28"/>
          <w:szCs w:val="28"/>
          <w:rtl w:val="true"/>
          <w:lang w:bidi="ar-SA"/>
        </w:rPr>
        <w:t xml:space="preserve">خانه جرير در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در غرب كوفه بود</w:t>
      </w:r>
      <w:r>
        <w:rPr>
          <w:rFonts w:eastAsia="Amiri" w:cs="Amiri" w:ascii="Amiri" w:hAnsi="Amiri"/>
          <w:color w:val="111111"/>
          <w:sz w:val="28"/>
          <w:szCs w:val="28"/>
          <w:rtl w:val="true"/>
          <w:lang w:bidi="ar-SA"/>
        </w:rPr>
        <w:t xml:space="preserve">. </w:t>
      </w:r>
      <w:r>
        <w:rPr>
          <w:rStyle w:val="FootnoteAnchor"/>
          <w:rtl w:val="true"/>
        </w:rPr>
        <w:footnoteReference w:id="398"/>
      </w:r>
    </w:p>
    <w:p>
      <w:pPr>
        <w:pStyle w:val="Heading6"/>
        <w:numPr>
          <w:ilvl w:val="5"/>
          <w:numId w:val="1"/>
        </w:numPr>
        <w:rPr/>
      </w:pPr>
      <w:bookmarkStart w:id="561" w:name="__RefHeading___Toc3584899_3650668749"/>
      <w:bookmarkStart w:id="562" w:name="_Toc246"/>
      <w:bookmarkEnd w:id="561"/>
      <w:r>
        <w:rPr>
          <w:rtl w:val="true"/>
        </w:rPr>
        <w:t xml:space="preserve">چهارم </w:t>
      </w:r>
      <w:r>
        <w:rPr>
          <w:rtl w:val="true"/>
        </w:rPr>
        <w:t xml:space="preserve">- </w:t>
      </w:r>
      <w:r>
        <w:rPr>
          <w:rtl w:val="true"/>
        </w:rPr>
        <w:t>خانه عدي بن حاتم طائي</w:t>
      </w:r>
      <w:bookmarkEnd w:id="56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خانه او در محله طى واقع در شمال كوفه بود</w:t>
      </w:r>
      <w:r>
        <w:rPr>
          <w:rFonts w:eastAsia="Amiri" w:cs="Amiri" w:ascii="Amiri" w:hAnsi="Amiri"/>
          <w:color w:val="111111"/>
          <w:sz w:val="28"/>
          <w:szCs w:val="28"/>
          <w:rtl w:val="true"/>
          <w:lang w:bidi="ar-SA"/>
        </w:rPr>
        <w:t xml:space="preserve">. </w:t>
      </w:r>
      <w:r>
        <w:rPr>
          <w:rStyle w:val="FootnoteAnchor"/>
          <w:rtl w:val="true"/>
        </w:rPr>
        <w:footnoteReference w:id="399"/>
      </w:r>
      <w:bookmarkStart w:id="563" w:name="pg1964_19544"/>
    </w:p>
    <w:p>
      <w:pPr>
        <w:pStyle w:val="Heading6"/>
        <w:numPr>
          <w:ilvl w:val="5"/>
          <w:numId w:val="1"/>
        </w:numPr>
        <w:rPr/>
      </w:pPr>
      <w:bookmarkStart w:id="564" w:name="__RefHeading___Toc3584901_3650668749"/>
      <w:bookmarkStart w:id="565" w:name="_Toc247"/>
      <w:bookmarkEnd w:id="563"/>
      <w:bookmarkEnd w:id="564"/>
      <w:r>
        <w:rPr>
          <w:rtl w:val="true"/>
        </w:rPr>
        <w:t xml:space="preserve">پنجم </w:t>
      </w:r>
      <w:r>
        <w:rPr>
          <w:rtl w:val="true"/>
        </w:rPr>
        <w:t xml:space="preserve">- </w:t>
      </w:r>
      <w:r>
        <w:rPr>
          <w:rtl w:val="true"/>
        </w:rPr>
        <w:t>خانه خُنَيْس بن سَعد</w:t>
      </w:r>
      <w:bookmarkEnd w:id="565"/>
    </w:p>
    <w:p>
      <w:pPr>
        <w:pStyle w:val="BookText"/>
        <w:rPr/>
      </w:pPr>
      <w:r>
        <w:rPr>
          <w:rFonts w:ascii="IRNazanin" w:hAnsi="IRNazanin" w:eastAsia="IRNazanin"/>
          <w:color w:val="111111"/>
          <w:sz w:val="28"/>
          <w:sz w:val="28"/>
          <w:szCs w:val="28"/>
          <w:rtl w:val="true"/>
          <w:lang w:bidi="fa-IR"/>
        </w:rPr>
        <w:t>خانه او نزديك چهار سوق خنيس واقع شده بود و نامگذارى چهار سوق به خنيس به سبب خانه او بوده است</w:t>
      </w:r>
      <w:r>
        <w:rPr>
          <w:rFonts w:eastAsia="IRNazanin" w:cs="IRNazanin"/>
          <w:color w:val="111111"/>
          <w:sz w:val="28"/>
          <w:szCs w:val="28"/>
          <w:rtl w:val="true"/>
          <w:lang w:bidi="fa-IR"/>
        </w:rPr>
        <w:t xml:space="preserve">. </w:t>
      </w:r>
      <w:r>
        <w:rPr>
          <w:rStyle w:val="FootnoteAnchor"/>
          <w:rtl w:val="true"/>
        </w:rPr>
        <w:footnoteReference w:id="400"/>
      </w:r>
    </w:p>
    <w:p>
      <w:pPr>
        <w:pStyle w:val="Heading6"/>
        <w:numPr>
          <w:ilvl w:val="5"/>
          <w:numId w:val="1"/>
        </w:numPr>
        <w:rPr/>
      </w:pPr>
      <w:bookmarkStart w:id="566" w:name="__RefHeading___Toc3584903_3650668749"/>
      <w:bookmarkStart w:id="567" w:name="_Toc248"/>
      <w:bookmarkEnd w:id="566"/>
      <w:r>
        <w:rPr>
          <w:rtl w:val="true"/>
        </w:rPr>
        <w:t xml:space="preserve">ششم </w:t>
      </w:r>
      <w:r>
        <w:rPr>
          <w:rtl w:val="true"/>
        </w:rPr>
        <w:t xml:space="preserve">- </w:t>
      </w:r>
      <w:r>
        <w:rPr>
          <w:rtl w:val="true"/>
        </w:rPr>
        <w:t>خانه هاني بن عُرْوه</w:t>
      </w:r>
      <w:bookmarkEnd w:id="567"/>
    </w:p>
    <w:p>
      <w:pPr>
        <w:pStyle w:val="BookText"/>
        <w:rPr/>
      </w:pPr>
      <w:r>
        <w:rPr>
          <w:rFonts w:ascii="IRNazanin" w:hAnsi="IRNazanin" w:eastAsia="IRNazanin"/>
          <w:color w:val="111111"/>
          <w:sz w:val="28"/>
          <w:sz w:val="28"/>
          <w:szCs w:val="28"/>
          <w:rtl w:val="true"/>
          <w:lang w:bidi="fa-IR"/>
        </w:rPr>
        <w:t>او كه از شيوخ و بزرگان قبيله مِذْحَج بود خانه‌اى در ميان زمين‌هاى تيره اَسْلَم، در جنوب غربى كوفه بنا نمود</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در بخش شكل ظاهرى خانه‌ها يادآور شديم كه هانى خانه‌اى نيز براى زنانش داشت و نيز بعضى از خصوصيات خانه او را شمرديم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از مسلم بن عقيل در اين خانه پذيرايى كرد</w:t>
      </w:r>
      <w:r>
        <w:rPr>
          <w:rFonts w:eastAsia="IRNazanin" w:cs="IRNazanin"/>
          <w:color w:val="111111"/>
          <w:sz w:val="28"/>
          <w:szCs w:val="28"/>
          <w:rtl w:val="true"/>
          <w:lang w:bidi="fa-IR"/>
        </w:rPr>
        <w:t>.</w:t>
      </w:r>
    </w:p>
    <w:p>
      <w:pPr>
        <w:pStyle w:val="Heading6"/>
        <w:numPr>
          <w:ilvl w:val="5"/>
          <w:numId w:val="1"/>
        </w:numPr>
        <w:rPr/>
      </w:pPr>
      <w:bookmarkStart w:id="568" w:name="__RefHeading___Toc3584905_3650668749"/>
      <w:bookmarkStart w:id="569" w:name="_Toc249"/>
      <w:bookmarkEnd w:id="568"/>
      <w:r>
        <w:rPr>
          <w:rtl w:val="true"/>
        </w:rPr>
        <w:t xml:space="preserve">هفتم </w:t>
      </w:r>
      <w:r>
        <w:rPr>
          <w:rtl w:val="true"/>
        </w:rPr>
        <w:t xml:space="preserve">- </w:t>
      </w:r>
      <w:r>
        <w:rPr>
          <w:rtl w:val="true"/>
        </w:rPr>
        <w:t>خانه اَشْعث بن قيس</w:t>
      </w:r>
      <w:bookmarkEnd w:id="569"/>
    </w:p>
    <w:p>
      <w:pPr>
        <w:pStyle w:val="BookText"/>
        <w:rPr/>
      </w:pPr>
      <w:r>
        <w:rPr>
          <w:rFonts w:ascii="Amiri" w:hAnsi="Amiri" w:eastAsia="Amiri" w:cs="Amiri"/>
          <w:color w:val="111111"/>
          <w:sz w:val="28"/>
          <w:sz w:val="28"/>
          <w:szCs w:val="28"/>
          <w:rtl w:val="true"/>
          <w:lang w:bidi="ar-SA"/>
        </w:rPr>
        <w:t>او يكى از رؤساى قبيله كِنْده و يكى از ثروتمندترين افراد كوفه بود كه خانه اشرافى خود را در محله كنده، در جنوب كوفه بنا نموده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سال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دنيا رفت و در خانه‌اش دفن‌شد</w:t>
      </w:r>
      <w:r>
        <w:rPr>
          <w:rFonts w:eastAsia="Amiri" w:cs="Amiri" w:ascii="Amiri" w:hAnsi="Amiri"/>
          <w:color w:val="111111"/>
          <w:sz w:val="28"/>
          <w:szCs w:val="28"/>
          <w:rtl w:val="true"/>
          <w:lang w:bidi="ar-SA"/>
        </w:rPr>
        <w:t xml:space="preserve">. </w:t>
      </w:r>
      <w:r>
        <w:rPr>
          <w:rStyle w:val="FootnoteAnchor"/>
          <w:rtl w:val="true"/>
        </w:rPr>
        <w:footnoteReference w:id="402"/>
      </w:r>
    </w:p>
    <w:p>
      <w:pPr>
        <w:pStyle w:val="Heading6"/>
        <w:numPr>
          <w:ilvl w:val="5"/>
          <w:numId w:val="1"/>
        </w:numPr>
        <w:rPr/>
      </w:pPr>
      <w:bookmarkStart w:id="570" w:name="__RefHeading___Toc3584907_3650668749"/>
      <w:bookmarkStart w:id="571" w:name="_Toc250"/>
      <w:bookmarkEnd w:id="570"/>
      <w:r>
        <w:rPr>
          <w:rtl w:val="true"/>
        </w:rPr>
        <w:t xml:space="preserve">هشتم </w:t>
      </w:r>
      <w:r>
        <w:rPr>
          <w:rtl w:val="true"/>
        </w:rPr>
        <w:t xml:space="preserve">- </w:t>
      </w:r>
      <w:r>
        <w:rPr>
          <w:rtl w:val="true"/>
        </w:rPr>
        <w:t>خانه قُرظَة بن كَعْب انصاري</w:t>
      </w:r>
      <w:bookmarkEnd w:id="57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خانه او در محله انصار كوفه قرار داشت</w:t>
      </w:r>
      <w:r>
        <w:rPr>
          <w:rFonts w:eastAsia="Amiri" w:cs="Amiri" w:ascii="Amiri" w:hAnsi="Amiri"/>
          <w:color w:val="111111"/>
          <w:sz w:val="28"/>
          <w:szCs w:val="28"/>
          <w:rtl w:val="true"/>
          <w:lang w:bidi="ar-SA"/>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قرظه يكى از اصحاب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جنگ احد و جنگ‌هاى ديگر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ده نفرى بود كه عمر آنها را همراه عمّار ياسر به كوفه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فاتح رى در سال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حركت به سوى بصره براى جنگ جمل او را جانشين خود در كوفه قرار داد</w:t>
      </w:r>
      <w:r>
        <w:rPr>
          <w:rFonts w:eastAsia="IRNazanin" w:cs="IRNazanin"/>
          <w:color w:val="111111"/>
          <w:sz w:val="28"/>
          <w:szCs w:val="28"/>
          <w:rtl w:val="true"/>
          <w:lang w:bidi="fa-IR"/>
        </w:rPr>
        <w:t>.</w:t>
      </w:r>
      <w:bookmarkStart w:id="572" w:name="pg1964_19545"/>
    </w:p>
    <w:p>
      <w:pPr>
        <w:pStyle w:val="Heading3"/>
        <w:numPr>
          <w:ilvl w:val="2"/>
          <w:numId w:val="1"/>
        </w:numPr>
        <w:rPr/>
      </w:pPr>
      <w:bookmarkStart w:id="573" w:name="__RefHeading___Toc3584909_3650668749"/>
      <w:bookmarkStart w:id="574" w:name="_Toc251"/>
      <w:bookmarkEnd w:id="572"/>
      <w:bookmarkEnd w:id="573"/>
      <w:r>
        <w:rPr/>
        <w:t>٢</w:t>
      </w:r>
      <w:r>
        <w:rPr>
          <w:rtl w:val="true"/>
        </w:rPr>
        <w:t xml:space="preserve">. </w:t>
      </w:r>
      <w:r>
        <w:rPr>
          <w:rtl w:val="true"/>
        </w:rPr>
        <w:t>بازارها</w:t>
      </w:r>
      <w:bookmarkEnd w:id="574"/>
    </w:p>
    <w:p>
      <w:pPr>
        <w:pStyle w:val="Heading4"/>
        <w:numPr>
          <w:ilvl w:val="3"/>
          <w:numId w:val="1"/>
        </w:numPr>
        <w:rPr/>
      </w:pPr>
      <w:bookmarkStart w:id="575" w:name="__RefHeading___Toc3584911_3650668749"/>
      <w:bookmarkStart w:id="576" w:name="_Toc252"/>
      <w:bookmarkEnd w:id="575"/>
      <w:r>
        <w:rPr>
          <w:rtl w:val="true"/>
        </w:rPr>
        <w:t>الف</w:t>
      </w:r>
      <w:r>
        <w:rPr>
          <w:rtl w:val="true"/>
        </w:rPr>
        <w:t xml:space="preserve">) </w:t>
      </w:r>
      <w:r>
        <w:rPr>
          <w:rtl w:val="true"/>
        </w:rPr>
        <w:t>موقعيت بازارها</w:t>
      </w:r>
      <w:bookmarkEnd w:id="576"/>
    </w:p>
    <w:p>
      <w:pPr>
        <w:pStyle w:val="BookText"/>
        <w:rPr/>
      </w:pPr>
      <w:r>
        <w:rPr>
          <w:rFonts w:ascii="IRNazanin" w:hAnsi="IRNazanin" w:eastAsia="IRNazanin"/>
          <w:color w:val="111111"/>
          <w:sz w:val="28"/>
          <w:sz w:val="28"/>
          <w:szCs w:val="28"/>
          <w:rtl w:val="true"/>
          <w:lang w:bidi="fa-IR"/>
        </w:rPr>
        <w:t>هنگام تخطيط اوليه كوفه، در محدوده سه هكتارى مركز شهر كه دور آن خندق كشيده شد، محل بازارها نيز تعبيه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يعقوبى اين محل كه نزديك قصر و مسجد جامع بود، تا خانه وليد و سپس بازار كباب‌پزها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به سوى محله ثقيف و اشجع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پيدا مى‌كرد</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بنابراين اگر بخواهيم آن را بر جهات جغرافيايى تطبيق نماييم بايد بگوييم كه اين محدوده از شرق مسجد جامع و قصر تا شمال اين دو مكان امتداد داشته است </w:t>
      </w:r>
      <w:r>
        <w:rPr>
          <w:rStyle w:val="FootnoteAnchor"/>
          <w:rtl w:val="true"/>
        </w:rPr>
        <w:footnoteReference w:id="405"/>
      </w:r>
      <w:r>
        <w:rPr>
          <w:rFonts w:ascii="IRNazanin" w:hAnsi="IRNazanin" w:eastAsia="IRNazanin"/>
          <w:color w:val="111111"/>
          <w:sz w:val="28"/>
          <w:sz w:val="28"/>
          <w:szCs w:val="28"/>
          <w:rtl w:val="true"/>
          <w:lang w:bidi="fa-IR"/>
        </w:rPr>
        <w:t xml:space="preserve">به عبارت دقيق‌تر، اسواق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شمالى مسجد را احاطه مى‌كرده و به جبهه شرقى مسجد با فاصله كمى از گوشه شمالى قصر مى‌رسيده است</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در روايات تاريخى چنين آمده است كه سعد بن ابى‌وقاص در قصر از سر و صداى مردم اذيت مى‌شد</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البته آنچه گفته شد بازار بزرگ و اصلى شهر بود و بعدها بازارهاى ديگرى در گوشه و كنار كوفه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بازارهايى كه در كنار شهر واقع شده بود، كُناسه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از اين بازار به عنوان محل عمومى نيز استفاده مى‌شد، در بخش اماكن عمومى مورد بحث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كه در مركز شهر به عنوان بازار ناميده مى‌شد، خود، بازارچه‌هاى كوچك تخصصى را در برمى‌گرفت كه پيشه‌وران هر شغل، در بازار مخصوص به خود مشغول كار مى‌شدند</w:t>
      </w:r>
      <w:r>
        <w:rPr>
          <w:rFonts w:eastAsia="IRNazanin" w:cs="IRNazanin"/>
          <w:color w:val="111111"/>
          <w:sz w:val="28"/>
          <w:szCs w:val="28"/>
          <w:rtl w:val="true"/>
          <w:lang w:bidi="fa-IR"/>
        </w:rPr>
        <w:t>.</w:t>
      </w:r>
    </w:p>
    <w:p>
      <w:pPr>
        <w:pStyle w:val="Heading4"/>
        <w:numPr>
          <w:ilvl w:val="3"/>
          <w:numId w:val="1"/>
        </w:numPr>
        <w:rPr/>
      </w:pPr>
      <w:bookmarkStart w:id="577" w:name="__RefHeading___Toc3584913_3650668749"/>
      <w:bookmarkStart w:id="578" w:name="_Toc253"/>
      <w:bookmarkEnd w:id="577"/>
      <w:r>
        <w:rPr>
          <w:rtl w:val="true"/>
        </w:rPr>
        <w:t>ب</w:t>
      </w:r>
      <w:r>
        <w:rPr>
          <w:rtl w:val="true"/>
        </w:rPr>
        <w:t xml:space="preserve">) </w:t>
      </w:r>
      <w:r>
        <w:rPr>
          <w:rtl w:val="true"/>
        </w:rPr>
        <w:t>وضعيت ظاهر‌ى دكان‌ها</w:t>
      </w:r>
      <w:bookmarkEnd w:id="57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تخطيط كوفه و پياده كردن نقشه بازارها، عمر بن خطاب فرمانى صادر كرد مبنى بر اينكه زمين بازار نيز مانند زمين مسجد در مالكيت هيچ‌كس قرار</w:t>
      </w:r>
      <w:bookmarkStart w:id="579" w:name="pg1964_19546"/>
    </w:p>
    <w:p>
      <w:pPr>
        <w:pStyle w:val="BookText"/>
        <w:rPr/>
      </w:pPr>
      <w:bookmarkEnd w:id="579"/>
      <w:r>
        <w:rPr>
          <w:rFonts w:ascii="IRNazanin" w:hAnsi="IRNazanin" w:eastAsia="IRNazanin"/>
          <w:color w:val="111111"/>
          <w:sz w:val="28"/>
          <w:sz w:val="28"/>
          <w:szCs w:val="28"/>
          <w:rtl w:val="true"/>
          <w:lang w:bidi="fa-IR"/>
        </w:rPr>
        <w:t>نمى‌گيرد، بلكه هر كس زودتر مكانى را اشغال كرد، نسبت به آن مكان، اولويت دارد تا اينكه از خريد و فروش خود فارغ شده و به خانه خودبرود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به نظر مى‌رسد اين سنت تا زمان امارت خالد بن عبدالله قَسْرى كه از طرف سليمان بن عبدالملك حكومت عراق را بر عهده داشت، ادامه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خالد براى بازاريان دكان‌هايى ساخت و اهل هر حرفه را در بازارى مخصوص به خود جاى داد و درآمد بازار را براى سپاه ده هزار نفرى خود در نظر گرفت</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در زمان تأسيس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آن، مكانى مخصوص براى توقف شتران در نظر گرفته بودند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تاجران و مشتريان و بازاريان شتران خود را در اين مكان پارك مى‌نمودند</w:t>
      </w:r>
      <w:r>
        <w:rPr>
          <w:rFonts w:eastAsia="IRNazanin" w:cs="IRNazanin"/>
          <w:color w:val="111111"/>
          <w:sz w:val="28"/>
          <w:szCs w:val="28"/>
          <w:rtl w:val="true"/>
          <w:lang w:bidi="fa-IR"/>
        </w:rPr>
        <w:t xml:space="preserve">! !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در زمان مورد بحث ما، يعنى از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سقف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آنكه تقسيم به دكان‌هاى مختلف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يكپارچه به وسيله حصير و بوريا پوشيده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دكان‌ها در زمان خالد بن عبدالله و به دستور او ساخته شد</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در بعضى از گزارش‌هاى تاريخى از ستون‌ها و پايه‌هاى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مورد بحث ما سخن به ميان آمده است</w:t>
      </w:r>
      <w:r>
        <w:rPr>
          <w:rFonts w:eastAsia="IRNazanin" w:cs="IRNazanin"/>
          <w:color w:val="111111"/>
          <w:sz w:val="28"/>
          <w:szCs w:val="28"/>
          <w:rtl w:val="true"/>
          <w:lang w:bidi="fa-IR"/>
        </w:rPr>
        <w:t xml:space="preserve">. </w:t>
      </w:r>
      <w:r>
        <w:rPr>
          <w:rStyle w:val="FootnoteAnchor"/>
          <w:rtl w:val="true"/>
        </w:rPr>
        <w:footnoteReference w:id="412"/>
      </w:r>
    </w:p>
    <w:p>
      <w:pPr>
        <w:pStyle w:val="Heading4"/>
        <w:numPr>
          <w:ilvl w:val="3"/>
          <w:numId w:val="1"/>
        </w:numPr>
        <w:rPr/>
      </w:pPr>
      <w:bookmarkStart w:id="580" w:name="__RefHeading___Toc3584915_3650668749"/>
      <w:bookmarkStart w:id="581" w:name="_Toc254"/>
      <w:bookmarkEnd w:id="580"/>
      <w:r>
        <w:rPr>
          <w:rtl w:val="true"/>
        </w:rPr>
        <w:t>ج</w:t>
      </w:r>
      <w:r>
        <w:rPr>
          <w:rtl w:val="true"/>
        </w:rPr>
        <w:t xml:space="preserve">) </w:t>
      </w:r>
      <w:r>
        <w:rPr>
          <w:rtl w:val="true"/>
        </w:rPr>
        <w:t>بازارها‌ى تخصصى</w:t>
      </w:r>
      <w:bookmarkEnd w:id="581"/>
    </w:p>
    <w:p>
      <w:pPr>
        <w:pStyle w:val="Heading5"/>
        <w:numPr>
          <w:ilvl w:val="4"/>
          <w:numId w:val="1"/>
        </w:numPr>
        <w:rPr/>
      </w:pPr>
      <w:bookmarkStart w:id="582" w:name="__RefHeading___Toc3584917_3650668749"/>
      <w:bookmarkStart w:id="583" w:name="_Toc255"/>
      <w:bookmarkEnd w:id="582"/>
      <w:r>
        <w:rPr>
          <w:rtl w:val="true"/>
        </w:rPr>
        <w:t>اشاره</w:t>
      </w:r>
      <w:bookmarkEnd w:id="58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بر اين باورند كه بازارهاى تخصصى در زمان خالد بن عبدالله پديد آمد </w:t>
      </w:r>
      <w:r>
        <w:rPr>
          <w:rStyle w:val="FootnoteAnchor"/>
          <w:rtl w:val="true"/>
        </w:rPr>
        <w:footnoteReference w:id="413"/>
      </w:r>
      <w:r>
        <w:rPr>
          <w:rFonts w:ascii="IRNazanin" w:hAnsi="IRNazanin" w:eastAsia="IRNazanin"/>
          <w:color w:val="111111"/>
          <w:sz w:val="28"/>
          <w:sz w:val="28"/>
          <w:szCs w:val="28"/>
          <w:rtl w:val="true"/>
          <w:lang w:bidi="fa-IR"/>
        </w:rPr>
        <w:t>، اما با مراجعه به روايات تاريخى در مى‌يابيم كه بسيارى از اين بازارها در زمان مورد بحث ما هرچند به صورت اجتماع چند نفر معدود،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w:t>
      </w:r>
      <w:bookmarkStart w:id="584" w:name="pg1964_19547"/>
    </w:p>
    <w:p>
      <w:pPr>
        <w:pStyle w:val="BookText"/>
        <w:rPr/>
      </w:pPr>
      <w:bookmarkEnd w:id="584"/>
      <w:r>
        <w:rPr>
          <w:rFonts w:ascii="IRNazanin" w:hAnsi="IRNazanin" w:eastAsia="IRNazanin"/>
          <w:color w:val="111111"/>
          <w:sz w:val="28"/>
          <w:sz w:val="28"/>
          <w:szCs w:val="28"/>
          <w:rtl w:val="true"/>
          <w:lang w:bidi="fa-IR"/>
        </w:rPr>
        <w:t xml:space="preserve">مثال در بعضى از روايات چنين آمده‌است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 مى‌گشت و بازاريان را ارشاد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يك روز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بازار شتر فروشان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بفروشيد و سوگند نخوريد، زيرا سوگند كالا را رواج مى‌دهد، اما بركت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بازار خرمافروشان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خرما فروشان، فقرا را غذا دهيد تا كسب و كارتان پيشرفت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حالى‌كه مسلمانان او را همراهى مى‌كردند، به بازار ماهى‌فروشان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در اين بازار، ماهى كه در آب مرده است، 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بازار كرباسى فروشان رفت و پيراهنى به قيمت سه درهم خريدارى كرد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در اينجا بازارهاى تخصصى در زمان مورد بحث را با توجه به روايات تاريخى معرفى مى‌نماييم</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3584919_3650668749"/>
      <w:bookmarkStart w:id="586" w:name="_Toc256"/>
      <w:bookmarkEnd w:id="585"/>
      <w:r>
        <w:rPr>
          <w:rtl w:val="true"/>
        </w:rPr>
        <w:t xml:space="preserve">يك </w:t>
      </w:r>
      <w:r>
        <w:rPr>
          <w:rtl w:val="true"/>
        </w:rPr>
        <w:t xml:space="preserve">- </w:t>
      </w:r>
      <w:r>
        <w:rPr>
          <w:rtl w:val="true"/>
        </w:rPr>
        <w:t xml:space="preserve">بازار شترفروشان </w:t>
      </w:r>
      <w:r>
        <w:rPr>
          <w:rtl w:val="true"/>
        </w:rPr>
        <w:t>(</w:t>
      </w:r>
      <w:r>
        <w:rPr>
          <w:rtl w:val="true"/>
        </w:rPr>
        <w:t>سوق الابِلْ</w:t>
      </w:r>
      <w:r>
        <w:rPr>
          <w:rtl w:val="true"/>
        </w:rPr>
        <w:t>)</w:t>
      </w:r>
      <w:bookmarkEnd w:id="586"/>
    </w:p>
    <w:p>
      <w:pPr>
        <w:pStyle w:val="BookText"/>
        <w:rPr/>
      </w:pPr>
      <w:r>
        <w:rPr>
          <w:rFonts w:ascii="IRNazanin" w:hAnsi="IRNazanin" w:eastAsia="IRNazanin"/>
          <w:color w:val="111111"/>
          <w:sz w:val="28"/>
          <w:sz w:val="28"/>
          <w:szCs w:val="28"/>
          <w:rtl w:val="true"/>
          <w:lang w:bidi="fa-IR"/>
        </w:rPr>
        <w:t xml:space="preserve">طبق گزارش‌هاى موجود، محل اين بازار نزديك خانه پسران ابى‌مُعيط بوده است </w:t>
      </w:r>
      <w:r>
        <w:rPr>
          <w:rStyle w:val="FootnoteAnchor"/>
          <w:rtl w:val="true"/>
        </w:rPr>
        <w:footnoteReference w:id="415"/>
      </w:r>
      <w:r>
        <w:rPr>
          <w:rFonts w:ascii="IRNazanin" w:hAnsi="IRNazanin" w:eastAsia="IRNazanin"/>
          <w:color w:val="111111"/>
          <w:sz w:val="28"/>
          <w:sz w:val="28"/>
          <w:szCs w:val="28"/>
          <w:rtl w:val="true"/>
          <w:lang w:bidi="fa-IR"/>
        </w:rPr>
        <w:t>كه به نظر مى‌رسد منظور خانه وليد و برادرش عُماره پسران عقبة بن ابى‌معيط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همين بازار بوده كه در زمان طبرى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الجزارين؛ بازار شتركشانسلاّخان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ياد شده است و به عنوان محل قتل مسلم مشخص گرديده است</w:t>
      </w:r>
      <w:r>
        <w:rPr>
          <w:rFonts w:eastAsia="IRNazanin" w:cs="IRNazanin"/>
          <w:color w:val="111111"/>
          <w:sz w:val="28"/>
          <w:szCs w:val="28"/>
          <w:rtl w:val="true"/>
          <w:lang w:bidi="fa-IR"/>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با توجه به اينكه محل قتل مسلم نزديك قصر بوده </w:t>
      </w:r>
      <w:r>
        <w:rPr>
          <w:rStyle w:val="FootnoteAnchor"/>
          <w:rtl w:val="true"/>
        </w:rPr>
        <w:footnoteReference w:id="417"/>
      </w:r>
      <w:r>
        <w:rPr>
          <w:rFonts w:ascii="IRNazanin" w:hAnsi="IRNazanin" w:eastAsia="IRNazanin"/>
          <w:color w:val="111111"/>
          <w:sz w:val="28"/>
          <w:sz w:val="28"/>
          <w:szCs w:val="28"/>
          <w:rtl w:val="true"/>
          <w:lang w:bidi="fa-IR"/>
        </w:rPr>
        <w:t>، مى‌توان نتيجه گرفت كه اين بازار نزديك قصر بوده است</w:t>
      </w:r>
      <w:r>
        <w:rPr>
          <w:rFonts w:eastAsia="IRNazanin" w:cs="IRNazanin"/>
          <w:color w:val="111111"/>
          <w:sz w:val="28"/>
          <w:szCs w:val="28"/>
          <w:rtl w:val="true"/>
          <w:lang w:bidi="fa-IR"/>
        </w:rPr>
        <w:t>.</w:t>
      </w:r>
    </w:p>
    <w:p>
      <w:pPr>
        <w:pStyle w:val="Heading5"/>
        <w:numPr>
          <w:ilvl w:val="4"/>
          <w:numId w:val="1"/>
        </w:numPr>
        <w:rPr/>
      </w:pPr>
      <w:bookmarkStart w:id="587" w:name="__RefHeading___Toc3584921_3650668749"/>
      <w:bookmarkStart w:id="588" w:name="_Toc257"/>
      <w:bookmarkEnd w:id="587"/>
      <w:r>
        <w:rPr>
          <w:rtl w:val="true"/>
        </w:rPr>
        <w:t xml:space="preserve">دو </w:t>
      </w:r>
      <w:r>
        <w:rPr>
          <w:rtl w:val="true"/>
        </w:rPr>
        <w:t xml:space="preserve">- </w:t>
      </w:r>
      <w:r>
        <w:rPr>
          <w:rtl w:val="true"/>
        </w:rPr>
        <w:t xml:space="preserve">بازار خرمافروشان </w:t>
      </w:r>
      <w:r>
        <w:rPr>
          <w:rtl w:val="true"/>
        </w:rPr>
        <w:t>(</w:t>
      </w:r>
      <w:r>
        <w:rPr>
          <w:rtl w:val="true"/>
        </w:rPr>
        <w:t>سوق التّمارين</w:t>
      </w:r>
      <w:r>
        <w:rPr>
          <w:rtl w:val="true"/>
        </w:rPr>
        <w:t>)</w:t>
      </w:r>
      <w:bookmarkEnd w:id="58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بازار در روايت تاريخى گذشته ذكر شد، و در روايت تاريخى ديگرى موقعيت آن نزديك مسجد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چنين آمده است كه</w:t>
      </w:r>
      <w:bookmarkStart w:id="589" w:name="pg1964_19548"/>
    </w:p>
    <w:p>
      <w:pPr>
        <w:pStyle w:val="BookText"/>
        <w:rPr/>
      </w:pPr>
      <w:bookmarkEnd w:id="589"/>
      <w:r>
        <w:rPr>
          <w:rFonts w:ascii="IRNazanin" w:hAnsi="IRNazanin" w:eastAsia="IRNazanin"/>
          <w:color w:val="111111"/>
          <w:sz w:val="28"/>
          <w:sz w:val="28"/>
          <w:szCs w:val="28"/>
          <w:rtl w:val="true"/>
          <w:lang w:bidi="fa-IR"/>
        </w:rPr>
        <w:t xml:space="preserve">هنگام شعله‌ور شدن قيام مسلم در كوفه، ديده‌بانان عبيدالله از سمت بازار خرمافروشان وارد مسجد شده و فرياد بر آوردند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اين روايت نشان مى‌دهد كه بازار خرمافروشان چسبيده به مسجد و احتمالاً مكانى بين مسجد و قصر بوده است</w:t>
      </w:r>
      <w:r>
        <w:rPr>
          <w:rFonts w:eastAsia="IRNazanin" w:cs="IRNazanin"/>
          <w:color w:val="111111"/>
          <w:sz w:val="28"/>
          <w:szCs w:val="28"/>
          <w:rtl w:val="true"/>
          <w:lang w:bidi="fa-IR"/>
        </w:rPr>
        <w:t>.</w:t>
      </w:r>
    </w:p>
    <w:p>
      <w:pPr>
        <w:pStyle w:val="Heading5"/>
        <w:numPr>
          <w:ilvl w:val="4"/>
          <w:numId w:val="1"/>
        </w:numPr>
        <w:rPr/>
      </w:pPr>
      <w:bookmarkStart w:id="590" w:name="__RefHeading___Toc3584923_3650668749"/>
      <w:bookmarkStart w:id="591" w:name="_Toc258"/>
      <w:bookmarkEnd w:id="590"/>
      <w:r>
        <w:rPr>
          <w:rtl w:val="true"/>
        </w:rPr>
        <w:t xml:space="preserve">سه </w:t>
      </w:r>
      <w:r>
        <w:rPr>
          <w:rtl w:val="true"/>
        </w:rPr>
        <w:t xml:space="preserve">- </w:t>
      </w:r>
      <w:r>
        <w:rPr>
          <w:rtl w:val="true"/>
        </w:rPr>
        <w:t>بازار ماهى‌فروشان</w:t>
      </w:r>
      <w:bookmarkEnd w:id="591"/>
    </w:p>
    <w:p>
      <w:pPr>
        <w:pStyle w:val="BookText"/>
        <w:rPr/>
      </w:pPr>
      <w:r>
        <w:rPr>
          <w:rFonts w:ascii="IRNazanin" w:hAnsi="IRNazanin" w:eastAsia="IRNazanin"/>
          <w:color w:val="111111"/>
          <w:sz w:val="28"/>
          <w:sz w:val="28"/>
          <w:szCs w:val="28"/>
          <w:rtl w:val="true"/>
          <w:lang w:bidi="fa-IR"/>
        </w:rPr>
        <w:t xml:space="preserve">از اين بازار در روايت پيشين و نيز در كتاب‌هاى روايى شيعه، در زمان حضرت‌على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w:t>
      </w:r>
      <w:r>
        <w:rPr>
          <w:rStyle w:val="FootnoteAnchor"/>
          <w:rtl w:val="true"/>
        </w:rPr>
        <w:footnoteReference w:id="419"/>
      </w:r>
      <w:r>
        <w:rPr>
          <w:rFonts w:ascii="Amiri" w:hAnsi="Amiri" w:eastAsia="Amiri" w:cs="Amiri"/>
          <w:color w:val="111111"/>
          <w:sz w:val="28"/>
          <w:sz w:val="28"/>
          <w:szCs w:val="28"/>
          <w:rtl w:val="true"/>
          <w:lang w:bidi="ar-SA"/>
        </w:rPr>
        <w:t>و مكان آن احتمالاً در مركز شهر بوده است</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3584925_3650668749"/>
      <w:bookmarkStart w:id="593" w:name="_Toc259"/>
      <w:bookmarkEnd w:id="592"/>
      <w:r>
        <w:rPr>
          <w:rtl w:val="true"/>
        </w:rPr>
        <w:t xml:space="preserve">چهار </w:t>
      </w:r>
      <w:r>
        <w:rPr>
          <w:rtl w:val="true"/>
        </w:rPr>
        <w:t xml:space="preserve">- </w:t>
      </w:r>
      <w:r>
        <w:rPr>
          <w:rtl w:val="true"/>
        </w:rPr>
        <w:t>بازار كرباس‌فروشان</w:t>
      </w:r>
      <w:bookmarkEnd w:id="593"/>
    </w:p>
    <w:p>
      <w:pPr>
        <w:pStyle w:val="BookText"/>
        <w:rPr/>
      </w:pPr>
      <w:r>
        <w:rPr>
          <w:rFonts w:ascii="IRNazanin" w:hAnsi="IRNazanin" w:eastAsia="IRNazanin"/>
          <w:color w:val="111111"/>
          <w:sz w:val="28"/>
          <w:sz w:val="28"/>
          <w:szCs w:val="28"/>
          <w:rtl w:val="true"/>
          <w:lang w:bidi="fa-IR"/>
        </w:rPr>
        <w:t>چنان‌كه از روايت فوق به دست آمد، در اين بازار انواع لباس خريد و فروش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آن نيز احتمالاً در مركز شهر بوده است</w:t>
      </w:r>
      <w:r>
        <w:rPr>
          <w:rFonts w:eastAsia="IRNazanin" w:cs="IRNazanin"/>
          <w:color w:val="111111"/>
          <w:sz w:val="28"/>
          <w:szCs w:val="28"/>
          <w:rtl w:val="true"/>
          <w:lang w:bidi="fa-IR"/>
        </w:rPr>
        <w:t>.</w:t>
      </w:r>
    </w:p>
    <w:p>
      <w:pPr>
        <w:pStyle w:val="Heading5"/>
        <w:numPr>
          <w:ilvl w:val="4"/>
          <w:numId w:val="1"/>
        </w:numPr>
        <w:rPr/>
      </w:pPr>
      <w:bookmarkStart w:id="594" w:name="__RefHeading___Toc3584927_3650668749"/>
      <w:bookmarkStart w:id="595" w:name="_Toc260"/>
      <w:bookmarkEnd w:id="594"/>
      <w:r>
        <w:rPr>
          <w:rtl w:val="true"/>
        </w:rPr>
        <w:t xml:space="preserve">پنج </w:t>
      </w:r>
      <w:r>
        <w:rPr>
          <w:rtl w:val="true"/>
        </w:rPr>
        <w:t xml:space="preserve">- </w:t>
      </w:r>
      <w:r>
        <w:rPr>
          <w:rtl w:val="true"/>
        </w:rPr>
        <w:t xml:space="preserve">بازار كفش‌فروشان </w:t>
      </w:r>
      <w:r>
        <w:rPr>
          <w:rtl w:val="true"/>
        </w:rPr>
        <w:t>(</w:t>
      </w:r>
      <w:r>
        <w:rPr>
          <w:rtl w:val="true"/>
        </w:rPr>
        <w:t>سوق الحَذّائين</w:t>
      </w:r>
      <w:r>
        <w:rPr>
          <w:rtl w:val="true"/>
        </w:rPr>
        <w:t>)</w:t>
      </w:r>
      <w:bookmarkEnd w:id="595"/>
    </w:p>
    <w:p>
      <w:pPr>
        <w:pStyle w:val="BookText"/>
        <w:rPr/>
      </w:pPr>
      <w:r>
        <w:rPr>
          <w:rFonts w:ascii="Amiri" w:hAnsi="Amiri" w:eastAsia="Amiri" w:cs="Amiri"/>
          <w:color w:val="111111"/>
          <w:sz w:val="28"/>
          <w:sz w:val="28"/>
          <w:szCs w:val="28"/>
          <w:rtl w:val="true"/>
          <w:lang w:bidi="ar-SA"/>
        </w:rPr>
        <w:t xml:space="preserve">صاحب كتاب تجارب‌الامم اين بازار را با بازار شتركُشان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الجذّارين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مى‌داند و اين دو را به صورت ترديد، محل قتل مسلم ذكر مى‌كند</w:t>
      </w:r>
      <w:r>
        <w:rPr>
          <w:rFonts w:eastAsia="Amiri" w:cs="Amiri" w:ascii="Amiri" w:hAnsi="Amiri"/>
          <w:color w:val="111111"/>
          <w:sz w:val="28"/>
          <w:szCs w:val="28"/>
          <w:rtl w:val="true"/>
          <w:lang w:bidi="ar-SA"/>
        </w:rPr>
        <w:t xml:space="preserve">. </w:t>
      </w:r>
      <w:r>
        <w:rPr>
          <w:rStyle w:val="FootnoteAnchor"/>
          <w:rtl w:val="true"/>
        </w:rPr>
        <w:footnoteReference w:id="420"/>
      </w:r>
      <w:r>
        <w:rPr>
          <w:rFonts w:ascii="IRNazanin" w:hAnsi="IRNazanin" w:eastAsia="IRNazanin"/>
          <w:color w:val="111111"/>
          <w:sz w:val="28"/>
          <w:sz w:val="28"/>
          <w:szCs w:val="28"/>
          <w:rtl w:val="true"/>
          <w:lang w:bidi="fa-IR"/>
        </w:rPr>
        <w:t>احتمالاً اين دو عمل، يعنى فروش گوشت شتر و تهيه و فروش كفش در همين بازار صورت مى‌گرفته يا شايد بعدها بازار شتركُشان به بازار كفش‌فروشان تبديل شده است</w:t>
      </w:r>
      <w:r>
        <w:rPr>
          <w:rFonts w:eastAsia="IRNazanin" w:cs="IRNazanin"/>
          <w:color w:val="111111"/>
          <w:sz w:val="28"/>
          <w:szCs w:val="28"/>
          <w:rtl w:val="true"/>
          <w:lang w:bidi="fa-IR"/>
        </w:rPr>
        <w:t>.</w:t>
      </w:r>
    </w:p>
    <w:p>
      <w:pPr>
        <w:pStyle w:val="Heading5"/>
        <w:numPr>
          <w:ilvl w:val="4"/>
          <w:numId w:val="1"/>
        </w:numPr>
        <w:rPr/>
      </w:pPr>
      <w:bookmarkStart w:id="596" w:name="__RefHeading___Toc3584929_3650668749"/>
      <w:bookmarkStart w:id="597" w:name="_Toc261"/>
      <w:bookmarkEnd w:id="596"/>
      <w:r>
        <w:rPr>
          <w:rtl w:val="true"/>
        </w:rPr>
        <w:t xml:space="preserve">شش </w:t>
      </w:r>
      <w:r>
        <w:rPr>
          <w:rtl w:val="true"/>
        </w:rPr>
        <w:t xml:space="preserve">- </w:t>
      </w:r>
      <w:r>
        <w:rPr>
          <w:rtl w:val="true"/>
        </w:rPr>
        <w:t xml:space="preserve">بازار اسب‌فروشان </w:t>
      </w:r>
      <w:r>
        <w:rPr>
          <w:rtl w:val="true"/>
        </w:rPr>
        <w:t>(</w:t>
      </w:r>
      <w:r>
        <w:rPr>
          <w:rtl w:val="true"/>
        </w:rPr>
        <w:t>سوق البَراذين</w:t>
      </w:r>
      <w:r>
        <w:rPr>
          <w:rtl w:val="true"/>
        </w:rPr>
        <w:t>)</w:t>
      </w:r>
      <w:bookmarkEnd w:id="59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بازار نوعى از اسب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روايت تاريخى چنين آمده است كه شخصى از تيره فَزار قبل از جنگ صفين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كرد و از ترس مردم فرار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مكانى از بازار</w:t>
      </w:r>
      <w:bookmarkStart w:id="598" w:name="pg1964_19549"/>
    </w:p>
    <w:p>
      <w:pPr>
        <w:pStyle w:val="BookText"/>
        <w:rPr/>
      </w:pPr>
      <w:bookmarkEnd w:id="598"/>
      <w:r>
        <w:rPr>
          <w:rFonts w:ascii="Amiri" w:hAnsi="Amiri" w:eastAsia="Amiri" w:cs="Amiri"/>
          <w:color w:val="111111"/>
          <w:sz w:val="28"/>
          <w:sz w:val="28"/>
          <w:szCs w:val="28"/>
          <w:rtl w:val="true"/>
          <w:lang w:bidi="ar-SA"/>
        </w:rPr>
        <w:t xml:space="preserve">كه در آن برذون خريد و فروش مى‌شد، به او رسيده و او را كشتند و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ديه او را از بيت المال قرار داد</w:t>
      </w:r>
      <w:r>
        <w:rPr>
          <w:rFonts w:eastAsia="Amiri" w:cs="Amiri" w:ascii="Amiri" w:hAnsi="Amiri"/>
          <w:color w:val="111111"/>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از اين روايت چنين به دست مى‌آيد كه اين قسمت از بازار، نزديك مسجد واقع بوده است؛ زيرا به احتمال زياد، اعتراض در مسجد و هنگام سخنرانى حضرت بوده است</w:t>
      </w:r>
      <w:r>
        <w:rPr>
          <w:rFonts w:eastAsia="IRNazanin" w:cs="IRNazanin"/>
          <w:color w:val="111111"/>
          <w:sz w:val="28"/>
          <w:szCs w:val="28"/>
          <w:rtl w:val="true"/>
          <w:lang w:bidi="fa-IR"/>
        </w:rPr>
        <w:t>.</w:t>
      </w:r>
    </w:p>
    <w:p>
      <w:pPr>
        <w:pStyle w:val="Heading5"/>
        <w:numPr>
          <w:ilvl w:val="4"/>
          <w:numId w:val="1"/>
        </w:numPr>
        <w:rPr/>
      </w:pPr>
      <w:bookmarkStart w:id="599" w:name="__RefHeading___Toc3584931_3650668749"/>
      <w:bookmarkStart w:id="600" w:name="_Toc262"/>
      <w:bookmarkEnd w:id="599"/>
      <w:r>
        <w:rPr>
          <w:rtl w:val="true"/>
        </w:rPr>
        <w:t xml:space="preserve">هفت </w:t>
      </w:r>
      <w:r>
        <w:rPr>
          <w:rtl w:val="true"/>
        </w:rPr>
        <w:t xml:space="preserve">- </w:t>
      </w:r>
      <w:r>
        <w:rPr>
          <w:rtl w:val="true"/>
        </w:rPr>
        <w:t xml:space="preserve">بازار صيرفى‌ها </w:t>
      </w:r>
      <w:r>
        <w:rPr>
          <w:rtl w:val="true"/>
        </w:rPr>
        <w:t>(</w:t>
      </w:r>
      <w:r>
        <w:rPr>
          <w:rtl w:val="true"/>
        </w:rPr>
        <w:t>رَحْبَةُ الصيارف</w:t>
      </w:r>
      <w:r>
        <w:rPr>
          <w:rtl w:val="true"/>
        </w:rPr>
        <w:t>)</w:t>
      </w:r>
      <w:bookmarkEnd w:id="600"/>
    </w:p>
    <w:p>
      <w:pPr>
        <w:pStyle w:val="BookText"/>
        <w:rPr/>
      </w:pPr>
      <w:r>
        <w:rPr>
          <w:rFonts w:ascii="IRNazanin" w:hAnsi="IRNazanin" w:eastAsia="IRNazanin"/>
          <w:color w:val="111111"/>
          <w:sz w:val="28"/>
          <w:sz w:val="28"/>
          <w:szCs w:val="28"/>
          <w:rtl w:val="true"/>
          <w:lang w:bidi="fa-IR"/>
        </w:rPr>
        <w:t xml:space="preserve">صيرفى‌ها كسانى بودند كه به‌كار تبديل پول‌هاى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شناسايى انواع نقود و تشخيص نقود تقلّبى از نقود سالم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تاريخى چنين آمده است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تمّار را به اين مكان آورده و موضع شهادت او را به وى نشان داده است</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با توجه به اينكه محل به دار آويخته‌شدن و سپس شهادت ميثم، در همسايگى خانه عمرو بن حُرَيث بوده است، مى‌توان محل تقريبى اين بازار را سمت شرق مسجد دانست</w:t>
      </w:r>
      <w:r>
        <w:rPr>
          <w:rFonts w:eastAsia="IRNazanin" w:cs="IRNazanin"/>
          <w:color w:val="111111"/>
          <w:sz w:val="28"/>
          <w:szCs w:val="28"/>
          <w:rtl w:val="true"/>
          <w:lang w:bidi="fa-IR"/>
        </w:rPr>
        <w:t>.</w:t>
      </w:r>
    </w:p>
    <w:p>
      <w:pPr>
        <w:pStyle w:val="Heading5"/>
        <w:numPr>
          <w:ilvl w:val="4"/>
          <w:numId w:val="1"/>
        </w:numPr>
        <w:rPr/>
      </w:pPr>
      <w:bookmarkStart w:id="601" w:name="__RefHeading___Toc3584933_3650668749"/>
      <w:bookmarkStart w:id="602" w:name="_Toc263"/>
      <w:bookmarkEnd w:id="601"/>
      <w:r>
        <w:rPr>
          <w:rtl w:val="true"/>
        </w:rPr>
        <w:t xml:space="preserve">هشت </w:t>
      </w:r>
      <w:r>
        <w:rPr>
          <w:rtl w:val="true"/>
        </w:rPr>
        <w:t xml:space="preserve">- </w:t>
      </w:r>
      <w:r>
        <w:rPr>
          <w:rtl w:val="true"/>
        </w:rPr>
        <w:t xml:space="preserve">بازار شمشيرفروشان </w:t>
      </w:r>
      <w:r>
        <w:rPr>
          <w:rtl w:val="true"/>
        </w:rPr>
        <w:t>(</w:t>
      </w:r>
      <w:r>
        <w:rPr>
          <w:rtl w:val="true"/>
        </w:rPr>
        <w:t>صَياقله</w:t>
      </w:r>
      <w:r>
        <w:rPr>
          <w:rtl w:val="true"/>
        </w:rPr>
        <w:t>)</w:t>
      </w:r>
      <w:bookmarkEnd w:id="602"/>
    </w:p>
    <w:p>
      <w:pPr>
        <w:pStyle w:val="BookText"/>
        <w:rPr/>
      </w:pPr>
      <w:r>
        <w:rPr>
          <w:rFonts w:ascii="Amiri" w:hAnsi="Amiri" w:eastAsia="Amiri" w:cs="Amiri"/>
          <w:color w:val="111111"/>
          <w:sz w:val="28"/>
          <w:sz w:val="28"/>
          <w:szCs w:val="28"/>
          <w:rtl w:val="true"/>
          <w:lang w:bidi="ar-SA"/>
        </w:rPr>
        <w:t xml:space="preserve">از اين عنوان در يك روايت تاريخى در زمان امارت وليد بن 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شده است كه در آن،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الصَياقله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Style w:val="FootnoteAnchor"/>
          <w:rtl w:val="true"/>
        </w:rPr>
        <w:footnoteReference w:id="423"/>
      </w:r>
      <w:r>
        <w:rPr>
          <w:rFonts w:ascii="IRNazanin" w:hAnsi="IRNazanin" w:eastAsia="IRNazanin"/>
          <w:color w:val="111111"/>
          <w:sz w:val="28"/>
          <w:sz w:val="28"/>
          <w:szCs w:val="28"/>
          <w:rtl w:val="true"/>
          <w:lang w:bidi="fa-IR"/>
        </w:rPr>
        <w:t>صياقله جمع صيقلى و به معناى تيزكنندگان شمشير مى‌باشد كه احياناً به خريد و فروش شمشير نيز مشغول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اين روايت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نشده است، 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بعض‌الصياقله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اجتماع چند صيقلى در يك مكان، حكايت مى‌كند</w:t>
      </w:r>
      <w:r>
        <w:rPr>
          <w:rFonts w:eastAsia="IRNazanin" w:cs="IRNazanin"/>
          <w:color w:val="111111"/>
          <w:sz w:val="28"/>
          <w:szCs w:val="28"/>
          <w:rtl w:val="true"/>
          <w:lang w:bidi="fa-IR"/>
        </w:rPr>
        <w:t>.</w:t>
      </w:r>
    </w:p>
    <w:p>
      <w:pPr>
        <w:pStyle w:val="Heading5"/>
        <w:numPr>
          <w:ilvl w:val="4"/>
          <w:numId w:val="1"/>
        </w:numPr>
        <w:rPr/>
      </w:pPr>
      <w:bookmarkStart w:id="603" w:name="__RefHeading___Toc3584935_3650668749"/>
      <w:bookmarkStart w:id="604" w:name="_Toc264"/>
      <w:bookmarkEnd w:id="603"/>
      <w:r>
        <w:rPr>
          <w:rtl w:val="true"/>
        </w:rPr>
        <w:t xml:space="preserve">نه </w:t>
      </w:r>
      <w:r>
        <w:rPr>
          <w:rtl w:val="true"/>
        </w:rPr>
        <w:t xml:space="preserve">- </w:t>
      </w:r>
      <w:r>
        <w:rPr>
          <w:rtl w:val="true"/>
        </w:rPr>
        <w:t xml:space="preserve">بازار روغن‌فروشان </w:t>
      </w:r>
      <w:r>
        <w:rPr>
          <w:rtl w:val="true"/>
        </w:rPr>
        <w:t>(</w:t>
      </w:r>
      <w:r>
        <w:rPr>
          <w:rtl w:val="true"/>
        </w:rPr>
        <w:t>سوق الزيّاتين</w:t>
      </w:r>
      <w:r>
        <w:rPr>
          <w:rtl w:val="true"/>
        </w:rPr>
        <w:t>)</w:t>
      </w:r>
      <w:bookmarkEnd w:id="60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روايت تاريخى چنين آمده است كه مختار ثقفى در اين بازار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محل قتل مختار نزديك قصر بوده </w:t>
      </w:r>
      <w:r>
        <w:rPr>
          <w:rStyle w:val="FootnoteAnchor"/>
          <w:rtl w:val="true"/>
        </w:rPr>
        <w:footnoteReference w:id="424"/>
      </w:r>
      <w:r>
        <w:rPr>
          <w:rFonts w:ascii="Amiri" w:hAnsi="Amiri" w:eastAsia="Amiri" w:cs="Amiri"/>
          <w:color w:val="111111"/>
          <w:sz w:val="28"/>
          <w:sz w:val="28"/>
          <w:szCs w:val="28"/>
          <w:rtl w:val="true"/>
          <w:lang w:bidi="ar-SA"/>
        </w:rPr>
        <w:t>، درمى‌يابيم كه اين مكان</w:t>
      </w:r>
      <w:bookmarkStart w:id="605" w:name="pg1964_19550"/>
    </w:p>
    <w:p>
      <w:pPr>
        <w:pStyle w:val="BookText"/>
        <w:rPr/>
      </w:pPr>
      <w:bookmarkEnd w:id="605"/>
      <w:r>
        <w:rPr>
          <w:rFonts w:ascii="IRNazanin" w:hAnsi="IRNazanin" w:eastAsia="IRNazanin"/>
          <w:color w:val="111111"/>
          <w:sz w:val="28"/>
          <w:sz w:val="28"/>
          <w:szCs w:val="28"/>
          <w:rtl w:val="true"/>
          <w:lang w:bidi="fa-IR"/>
        </w:rPr>
        <w:t>نيز در كنار قصر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عبارت طبرى به گونه‌اى است كه دلالت دارد اين مكان در زمان خود او به اين نام معروف بوده است نه در زمان قتل مختار؛ يعنى در سال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نويسندگان معاصر اين بازار را مكان فروختن روغن كنجد، غوز پنبه و كتان معرفى نموده و مكان آن را نزديك دارالاماره تعيين كرده‌اند</w:t>
      </w:r>
      <w:r>
        <w:rPr>
          <w:rFonts w:eastAsia="IRNazanin" w:cs="IRNazanin"/>
          <w:color w:val="111111"/>
          <w:sz w:val="28"/>
          <w:szCs w:val="28"/>
          <w:rtl w:val="true"/>
          <w:lang w:bidi="fa-IR"/>
        </w:rPr>
        <w:t xml:space="preserve">. </w:t>
      </w:r>
      <w:r>
        <w:rPr>
          <w:rStyle w:val="FootnoteAnchor"/>
          <w:rtl w:val="true"/>
        </w:rPr>
        <w:footnoteReference w:id="425"/>
      </w:r>
    </w:p>
    <w:p>
      <w:pPr>
        <w:pStyle w:val="Heading5"/>
        <w:numPr>
          <w:ilvl w:val="4"/>
          <w:numId w:val="1"/>
        </w:numPr>
        <w:rPr/>
      </w:pPr>
      <w:bookmarkStart w:id="606" w:name="__RefHeading___Toc3584937_3650668749"/>
      <w:bookmarkStart w:id="607" w:name="_Toc265"/>
      <w:bookmarkEnd w:id="606"/>
      <w:r>
        <w:rPr>
          <w:rtl w:val="true"/>
        </w:rPr>
        <w:t xml:space="preserve">ده </w:t>
      </w:r>
      <w:r>
        <w:rPr>
          <w:rtl w:val="true"/>
        </w:rPr>
        <w:t xml:space="preserve">- </w:t>
      </w:r>
      <w:r>
        <w:rPr>
          <w:rtl w:val="true"/>
        </w:rPr>
        <w:t xml:space="preserve">بازار صابون‌سازان </w:t>
      </w:r>
      <w:r>
        <w:rPr>
          <w:rtl w:val="true"/>
        </w:rPr>
        <w:t>(</w:t>
      </w:r>
      <w:r>
        <w:rPr>
          <w:rtl w:val="true"/>
        </w:rPr>
        <w:t>اصحاب الصابون</w:t>
      </w:r>
      <w:r>
        <w:rPr>
          <w:rtl w:val="true"/>
        </w:rPr>
        <w:t>)</w:t>
      </w:r>
      <w:bookmarkEnd w:id="607"/>
    </w:p>
    <w:p>
      <w:pPr>
        <w:pStyle w:val="BookText"/>
        <w:rPr/>
      </w:pPr>
      <w:r>
        <w:rPr>
          <w:rFonts w:ascii="Amiri" w:hAnsi="Amiri" w:eastAsia="Amiri" w:cs="Amiri"/>
          <w:color w:val="111111"/>
          <w:sz w:val="28"/>
          <w:sz w:val="28"/>
          <w:szCs w:val="28"/>
          <w:rtl w:val="true"/>
          <w:lang w:bidi="ar-SA"/>
        </w:rPr>
        <w:t xml:space="preserve">اين بازار كنار بازار خرما فروشان قرار داشته است </w:t>
      </w:r>
      <w:r>
        <w:rPr>
          <w:rStyle w:val="FootnoteAnchor"/>
          <w:rtl w:val="true"/>
        </w:rPr>
        <w:footnoteReference w:id="426"/>
      </w:r>
      <w:r>
        <w:rPr>
          <w:rFonts w:ascii="Amiri" w:hAnsi="Amiri" w:eastAsia="Amiri" w:cs="Amiri"/>
          <w:color w:val="111111"/>
          <w:sz w:val="28"/>
          <w:sz w:val="28"/>
          <w:szCs w:val="28"/>
          <w:rtl w:val="true"/>
          <w:lang w:bidi="ar-SA"/>
        </w:rPr>
        <w:t>، اما مطمئناً نمى‌توان وجود آن را در زمان مورد بحث ثابت كرد</w:t>
      </w:r>
      <w:r>
        <w:rPr>
          <w:rFonts w:eastAsia="Amiri" w:cs="Amiri" w:ascii="Amiri" w:hAnsi="Amiri"/>
          <w:color w:val="111111"/>
          <w:sz w:val="28"/>
          <w:szCs w:val="28"/>
          <w:rtl w:val="true"/>
          <w:lang w:bidi="ar-SA"/>
        </w:rPr>
        <w:t xml:space="preserve">. </w:t>
      </w:r>
      <w:r>
        <w:rPr>
          <w:rStyle w:val="FootnoteAnchor"/>
          <w:rtl w:val="true"/>
        </w:rPr>
        <w:footnoteReference w:id="427"/>
      </w:r>
    </w:p>
    <w:p>
      <w:pPr>
        <w:pStyle w:val="Heading5"/>
        <w:numPr>
          <w:ilvl w:val="4"/>
          <w:numId w:val="1"/>
        </w:numPr>
        <w:rPr/>
      </w:pPr>
      <w:bookmarkStart w:id="608" w:name="__RefHeading___Toc3584939_3650668749"/>
      <w:bookmarkStart w:id="609" w:name="_Toc266"/>
      <w:bookmarkEnd w:id="608"/>
      <w:r>
        <w:rPr>
          <w:rtl w:val="true"/>
        </w:rPr>
        <w:t xml:space="preserve">يازده </w:t>
      </w:r>
      <w:r>
        <w:rPr>
          <w:rtl w:val="true"/>
        </w:rPr>
        <w:t xml:space="preserve">- </w:t>
      </w:r>
      <w:r>
        <w:rPr>
          <w:rtl w:val="true"/>
        </w:rPr>
        <w:t xml:space="preserve">بازار گوسفند </w:t>
      </w:r>
      <w:r>
        <w:rPr>
          <w:rtl w:val="true"/>
        </w:rPr>
        <w:t>(</w:t>
      </w:r>
      <w:r>
        <w:rPr>
          <w:rtl w:val="true"/>
        </w:rPr>
        <w:t>سَوْق الغَنَم</w:t>
      </w:r>
      <w:r>
        <w:rPr>
          <w:rtl w:val="true"/>
        </w:rPr>
        <w:t>)</w:t>
      </w:r>
      <w:bookmarkEnd w:id="609"/>
    </w:p>
    <w:p>
      <w:pPr>
        <w:pStyle w:val="BookText"/>
        <w:rPr/>
      </w:pPr>
      <w:r>
        <w:rPr>
          <w:rFonts w:ascii="Amiri" w:hAnsi="Amiri" w:eastAsia="Amiri" w:cs="Amiri"/>
          <w:color w:val="111111"/>
          <w:sz w:val="28"/>
          <w:sz w:val="28"/>
          <w:szCs w:val="28"/>
          <w:rtl w:val="true"/>
          <w:lang w:bidi="ar-SA"/>
        </w:rPr>
        <w:t>از اين بازار در ماجراى كشته شدن هانى بن عروه به دستور عبيدالله ياد شده است</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البته سينيون مكان آن را در منتهى‌اليه سهم مِذْحَج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جنوب غربى 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كرده است</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بنابراين، اين بازار از مركز شهر، دور بوده است</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3584941_3650668749"/>
      <w:bookmarkStart w:id="611" w:name="_Toc267"/>
      <w:bookmarkEnd w:id="610"/>
      <w:r>
        <w:rPr>
          <w:rtl w:val="true"/>
        </w:rPr>
        <w:t xml:space="preserve">دوازده </w:t>
      </w:r>
      <w:r>
        <w:rPr>
          <w:rtl w:val="true"/>
        </w:rPr>
        <w:t xml:space="preserve">- </w:t>
      </w:r>
      <w:r>
        <w:rPr>
          <w:rtl w:val="true"/>
        </w:rPr>
        <w:t>بازار گربه‌فروشان</w:t>
      </w:r>
      <w:bookmarkEnd w:id="611"/>
    </w:p>
    <w:p>
      <w:pPr>
        <w:pStyle w:val="Heading5"/>
        <w:numPr>
          <w:ilvl w:val="4"/>
          <w:numId w:val="1"/>
        </w:numPr>
        <w:rPr/>
      </w:pPr>
      <w:bookmarkStart w:id="612" w:name="__RefHeading___Toc3584943_3650668749"/>
      <w:bookmarkStart w:id="613" w:name="_Toc268"/>
      <w:bookmarkEnd w:id="612"/>
      <w:r>
        <w:rPr>
          <w:rtl w:val="true"/>
        </w:rPr>
        <w:t xml:space="preserve">سيزده </w:t>
      </w:r>
      <w:r>
        <w:rPr>
          <w:rtl w:val="true"/>
        </w:rPr>
        <w:t xml:space="preserve">- </w:t>
      </w:r>
      <w:r>
        <w:rPr>
          <w:rtl w:val="true"/>
        </w:rPr>
        <w:t>بازار خريد و فروش مرغ</w:t>
      </w:r>
      <w:bookmarkEnd w:id="613"/>
    </w:p>
    <w:p>
      <w:pPr>
        <w:pStyle w:val="BookText"/>
        <w:rPr/>
      </w:pPr>
      <w:r>
        <w:rPr>
          <w:rFonts w:ascii="IRNazanin" w:hAnsi="IRNazanin" w:eastAsia="IRNazanin"/>
          <w:color w:val="111111"/>
          <w:sz w:val="28"/>
          <w:sz w:val="28"/>
          <w:szCs w:val="28"/>
          <w:rtl w:val="true"/>
          <w:lang w:bidi="fa-IR"/>
        </w:rPr>
        <w:t>از اين دو بازار در روايتى تاريخى ياد شده است كه در بخش بعد به آن پرداخته خواهد شد</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بسيارى از كتاب‌هاى تاريخى و جغرافيايى به نام بسيارى از بازارهاى تخصصى اشاره شده است كه به نظر مى‌رسد بيشتر يا تمام آنها در زمان خالد بن</w:t>
      </w:r>
      <w:bookmarkStart w:id="614" w:name="pg1964_19551"/>
    </w:p>
    <w:p>
      <w:pPr>
        <w:pStyle w:val="BookText"/>
        <w:rPr/>
      </w:pPr>
      <w:bookmarkEnd w:id="614"/>
      <w:r>
        <w:rPr>
          <w:rFonts w:ascii="IRNazanin" w:hAnsi="IRNazanin" w:eastAsia="IRNazanin"/>
          <w:color w:val="111111"/>
          <w:sz w:val="28"/>
          <w:sz w:val="28"/>
          <w:szCs w:val="28"/>
          <w:rtl w:val="true"/>
          <w:lang w:bidi="fa-IR"/>
        </w:rPr>
        <w:t>عبدالله قسرى و بعد از آن به‌وجود آمده باشد و در زمان مورد بحث ما وجود خارجى نداشته باشد، همچنان‌كه احتمال دارد بعضى از بازارهاى ياد شده نيز چنين‌باشد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براى تكميل بحث، به اين بازارها اشاره مى‌شود</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3584945_3650668749"/>
      <w:bookmarkStart w:id="616" w:name="_Toc269"/>
      <w:bookmarkEnd w:id="615"/>
      <w:r>
        <w:rPr>
          <w:rtl w:val="true"/>
        </w:rPr>
        <w:t xml:space="preserve">چهارده </w:t>
      </w:r>
      <w:r>
        <w:rPr>
          <w:rtl w:val="true"/>
        </w:rPr>
        <w:t xml:space="preserve">- </w:t>
      </w:r>
      <w:r>
        <w:rPr>
          <w:rtl w:val="true"/>
        </w:rPr>
        <w:t xml:space="preserve">بازار زين‌سازان يا زين‌فروشان </w:t>
      </w:r>
      <w:r>
        <w:rPr>
          <w:rtl w:val="true"/>
        </w:rPr>
        <w:t>(</w:t>
      </w:r>
      <w:r>
        <w:rPr>
          <w:rtl w:val="true"/>
        </w:rPr>
        <w:t>سوق السَرّاجين</w:t>
      </w:r>
      <w:r>
        <w:rPr>
          <w:rtl w:val="true"/>
        </w:rPr>
        <w:t>)</w:t>
      </w:r>
      <w:bookmarkEnd w:id="616"/>
    </w:p>
    <w:p>
      <w:pPr>
        <w:pStyle w:val="BookText"/>
        <w:rPr/>
      </w:pPr>
      <w:r>
        <w:rPr>
          <w:rFonts w:ascii="IRNazanin" w:hAnsi="IRNazanin" w:eastAsia="IRNazanin"/>
          <w:color w:val="111111"/>
          <w:sz w:val="28"/>
          <w:sz w:val="28"/>
          <w:szCs w:val="28"/>
          <w:rtl w:val="true"/>
          <w:lang w:bidi="fa-IR"/>
        </w:rPr>
        <w:t xml:space="preserve">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زين‌سازان يا زين‌فروشان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السَرّاجين</w:t>
      </w:r>
      <w:r>
        <w:rPr>
          <w:rFonts w:eastAsia="IRNazanin" w:cs="IRNazanin"/>
          <w:color w:val="111111"/>
          <w:sz w:val="28"/>
          <w:szCs w:val="28"/>
          <w:rtl w:val="true"/>
          <w:lang w:bidi="fa-IR"/>
        </w:rPr>
        <w:t xml:space="preserve">) </w:t>
      </w:r>
      <w:r>
        <w:rPr>
          <w:rStyle w:val="FootnoteAnchor"/>
          <w:rtl w:val="true"/>
        </w:rPr>
        <w:footnoteReference w:id="431"/>
      </w:r>
    </w:p>
    <w:p>
      <w:pPr>
        <w:pStyle w:val="Heading5"/>
        <w:numPr>
          <w:ilvl w:val="4"/>
          <w:numId w:val="1"/>
        </w:numPr>
        <w:rPr/>
      </w:pPr>
      <w:bookmarkStart w:id="617" w:name="__RefHeading___Toc3584947_3650668749"/>
      <w:bookmarkStart w:id="618" w:name="_Toc270"/>
      <w:bookmarkEnd w:id="617"/>
      <w:r>
        <w:rPr>
          <w:rtl w:val="true"/>
        </w:rPr>
        <w:t xml:space="preserve">پانزده </w:t>
      </w:r>
      <w:r>
        <w:rPr>
          <w:rtl w:val="true"/>
        </w:rPr>
        <w:t xml:space="preserve">- </w:t>
      </w:r>
      <w:r>
        <w:rPr>
          <w:rtl w:val="true"/>
        </w:rPr>
        <w:t xml:space="preserve">بازار رفوگرها </w:t>
      </w:r>
      <w:r>
        <w:rPr>
          <w:rtl w:val="true"/>
        </w:rPr>
        <w:t>(</w:t>
      </w:r>
      <w:r>
        <w:rPr>
          <w:rtl w:val="true"/>
        </w:rPr>
        <w:t>سوق الرفّاثين</w:t>
      </w:r>
      <w:r>
        <w:rPr>
          <w:rtl w:val="true"/>
        </w:rPr>
        <w:t>)</w:t>
      </w:r>
      <w:bookmarkEnd w:id="618"/>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به نام اين دو بازار اشاره كرده و از حديث چنين ظاهر مى‌شود كه اين دو بازار نزديك مسجد جامع قرار داشته است</w:t>
      </w:r>
      <w:r>
        <w:rPr>
          <w:rFonts w:eastAsia="IRNazanin" w:cs="IRNazanin"/>
          <w:color w:val="111111"/>
          <w:sz w:val="28"/>
          <w:szCs w:val="28"/>
          <w:rtl w:val="true"/>
          <w:lang w:bidi="fa-IR"/>
        </w:rPr>
        <w:t xml:space="preserve">. </w:t>
      </w:r>
      <w:r>
        <w:rPr>
          <w:rStyle w:val="FootnoteAnchor"/>
          <w:rtl w:val="true"/>
        </w:rPr>
        <w:footnoteReference w:id="432"/>
      </w:r>
    </w:p>
    <w:p>
      <w:pPr>
        <w:pStyle w:val="Heading5"/>
        <w:numPr>
          <w:ilvl w:val="4"/>
          <w:numId w:val="1"/>
        </w:numPr>
        <w:rPr/>
      </w:pPr>
      <w:bookmarkStart w:id="619" w:name="__RefHeading___Toc3584949_3650668749"/>
      <w:bookmarkStart w:id="620" w:name="_Toc271"/>
      <w:bookmarkEnd w:id="619"/>
      <w:r>
        <w:rPr>
          <w:rtl w:val="true"/>
        </w:rPr>
        <w:t xml:space="preserve">شانزده </w:t>
      </w:r>
      <w:r>
        <w:rPr>
          <w:rtl w:val="true"/>
        </w:rPr>
        <w:t xml:space="preserve">- </w:t>
      </w:r>
      <w:r>
        <w:rPr>
          <w:rtl w:val="true"/>
        </w:rPr>
        <w:t>بازار انواع گستردنى‌ها مانند فرش، گليم و</w:t>
      </w:r>
      <w:r>
        <w:rPr>
          <w:rtl w:val="true"/>
        </w:rPr>
        <w:t>. . . (</w:t>
      </w:r>
      <w:r>
        <w:rPr>
          <w:rtl w:val="true"/>
        </w:rPr>
        <w:t>اصحاب الأنماط</w:t>
      </w:r>
      <w:r>
        <w:rPr>
          <w:rtl w:val="true"/>
        </w:rPr>
        <w:t>)</w:t>
      </w:r>
      <w:bookmarkEnd w:id="620"/>
    </w:p>
    <w:p>
      <w:pPr>
        <w:pStyle w:val="BookText"/>
        <w:rPr/>
      </w:pPr>
      <w:r>
        <w:rPr>
          <w:rFonts w:ascii="Amiri" w:hAnsi="Amiri" w:eastAsia="Amiri" w:cs="Amiri"/>
          <w:color w:val="111111"/>
          <w:sz w:val="28"/>
          <w:sz w:val="28"/>
          <w:szCs w:val="28"/>
          <w:rtl w:val="true"/>
          <w:lang w:bidi="ar-SA"/>
        </w:rPr>
        <w:t>اين بازار نزديك خانه وليد در مركز شهر قرار داشته است</w:t>
      </w:r>
      <w:r>
        <w:rPr>
          <w:rFonts w:eastAsia="Amiri" w:cs="Amiri" w:ascii="Amiri" w:hAnsi="Amiri"/>
          <w:color w:val="111111"/>
          <w:sz w:val="28"/>
          <w:szCs w:val="28"/>
          <w:rtl w:val="true"/>
          <w:lang w:bidi="ar-SA"/>
        </w:rPr>
        <w:t xml:space="preserve">. </w:t>
      </w:r>
      <w:r>
        <w:rPr>
          <w:rStyle w:val="FootnoteAnchor"/>
          <w:rtl w:val="true"/>
        </w:rPr>
        <w:footnoteReference w:id="433"/>
      </w:r>
    </w:p>
    <w:p>
      <w:pPr>
        <w:pStyle w:val="Heading5"/>
        <w:numPr>
          <w:ilvl w:val="4"/>
          <w:numId w:val="1"/>
        </w:numPr>
        <w:rPr/>
      </w:pPr>
      <w:bookmarkStart w:id="621" w:name="__RefHeading___Toc3584951_3650668749"/>
      <w:bookmarkStart w:id="622" w:name="_Toc272"/>
      <w:bookmarkEnd w:id="621"/>
      <w:r>
        <w:rPr>
          <w:rtl w:val="true"/>
        </w:rPr>
        <w:t xml:space="preserve">هفده </w:t>
      </w:r>
      <w:r>
        <w:rPr>
          <w:rtl w:val="true"/>
        </w:rPr>
        <w:t xml:space="preserve">- </w:t>
      </w:r>
      <w:r>
        <w:rPr>
          <w:rtl w:val="true"/>
        </w:rPr>
        <w:t xml:space="preserve">بازار خَزّفروشان </w:t>
      </w:r>
      <w:r>
        <w:rPr>
          <w:rtl w:val="true"/>
        </w:rPr>
        <w:t>(</w:t>
      </w:r>
      <w:r>
        <w:rPr>
          <w:rtl w:val="true"/>
        </w:rPr>
        <w:t>اصحاب الخزّ</w:t>
      </w:r>
      <w:r>
        <w:rPr>
          <w:rtl w:val="true"/>
        </w:rPr>
        <w:t>)</w:t>
      </w:r>
      <w:bookmarkEnd w:id="622"/>
    </w:p>
    <w:p>
      <w:pPr>
        <w:pStyle w:val="BookText"/>
        <w:rPr/>
      </w:pPr>
      <w:r>
        <w:rPr>
          <w:rFonts w:ascii="Amiri" w:hAnsi="Amiri" w:eastAsia="Amiri" w:cs="Amiri"/>
          <w:color w:val="111111"/>
          <w:sz w:val="28"/>
          <w:sz w:val="28"/>
          <w:szCs w:val="28"/>
          <w:rtl w:val="true"/>
          <w:lang w:bidi="ar-SA"/>
        </w:rPr>
        <w:t>اين بازار نيز نزديك مسجد بوده است</w:t>
      </w:r>
      <w:r>
        <w:rPr>
          <w:rFonts w:eastAsia="Amiri" w:cs="Amiri" w:ascii="Amiri" w:hAnsi="Amiri"/>
          <w:color w:val="111111"/>
          <w:sz w:val="28"/>
          <w:szCs w:val="28"/>
          <w:rtl w:val="true"/>
          <w:lang w:bidi="ar-SA"/>
        </w:rPr>
        <w:t xml:space="preserve">. </w:t>
      </w:r>
      <w:r>
        <w:rPr>
          <w:rStyle w:val="FootnoteAnchor"/>
          <w:rtl w:val="true"/>
        </w:rPr>
        <w:footnoteReference w:id="434"/>
      </w:r>
    </w:p>
    <w:p>
      <w:pPr>
        <w:pStyle w:val="Heading5"/>
        <w:numPr>
          <w:ilvl w:val="4"/>
          <w:numId w:val="1"/>
        </w:numPr>
        <w:rPr/>
      </w:pPr>
      <w:bookmarkStart w:id="623" w:name="__RefHeading___Toc3584953_3650668749"/>
      <w:bookmarkStart w:id="624" w:name="_Toc273"/>
      <w:bookmarkEnd w:id="623"/>
      <w:r>
        <w:rPr>
          <w:rtl w:val="true"/>
        </w:rPr>
        <w:t xml:space="preserve">هيجده </w:t>
      </w:r>
      <w:r>
        <w:rPr>
          <w:rtl w:val="true"/>
        </w:rPr>
        <w:t xml:space="preserve">- </w:t>
      </w:r>
      <w:r>
        <w:rPr>
          <w:rtl w:val="true"/>
        </w:rPr>
        <w:t xml:space="preserve">بازار سويق‌فروشان </w:t>
      </w:r>
      <w:r>
        <w:rPr>
          <w:rtl w:val="true"/>
        </w:rPr>
        <w:t>(</w:t>
      </w:r>
      <w:r>
        <w:rPr>
          <w:rtl w:val="true"/>
        </w:rPr>
        <w:t>قاووت‌فروشان</w:t>
      </w:r>
      <w:r>
        <w:rPr>
          <w:rtl w:val="true"/>
        </w:rPr>
        <w:t>) (</w:t>
      </w:r>
      <w:r>
        <w:rPr>
          <w:rtl w:val="true"/>
        </w:rPr>
        <w:t>سوق السوّاقين</w:t>
      </w:r>
      <w:r>
        <w:rPr>
          <w:rtl w:val="true"/>
        </w:rPr>
        <w:t>)</w:t>
      </w:r>
      <w:bookmarkEnd w:id="624"/>
    </w:p>
    <w:p>
      <w:pPr>
        <w:pStyle w:val="BookText"/>
        <w:rPr/>
      </w:pPr>
      <w:r>
        <w:rPr>
          <w:rFonts w:ascii="Amiri" w:hAnsi="Amiri" w:eastAsia="Amiri" w:cs="Amiri"/>
          <w:color w:val="111111"/>
          <w:sz w:val="28"/>
          <w:sz w:val="28"/>
          <w:szCs w:val="28"/>
          <w:rtl w:val="true"/>
          <w:lang w:bidi="ar-SA"/>
        </w:rPr>
        <w:t xml:space="preserve">در فصل هفتم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سويق و معناى آن بحث خواهد شد</w:t>
      </w:r>
      <w:r>
        <w:rPr>
          <w:rFonts w:eastAsia="Amiri" w:cs="Amiri" w:ascii="Amiri" w:hAnsi="Amiri"/>
          <w:color w:val="111111"/>
          <w:sz w:val="28"/>
          <w:szCs w:val="28"/>
          <w:rtl w:val="true"/>
          <w:lang w:bidi="ar-SA"/>
        </w:rPr>
        <w:t xml:space="preserve">. </w:t>
      </w:r>
      <w:r>
        <w:rPr>
          <w:rStyle w:val="FootnoteAnchor"/>
          <w:rtl w:val="true"/>
        </w:rPr>
        <w:footnoteReference w:id="435"/>
      </w:r>
    </w:p>
    <w:p>
      <w:pPr>
        <w:pStyle w:val="Heading5"/>
        <w:numPr>
          <w:ilvl w:val="4"/>
          <w:numId w:val="1"/>
        </w:numPr>
        <w:rPr/>
      </w:pPr>
      <w:bookmarkStart w:id="625" w:name="__RefHeading___Toc3584955_3650668749"/>
      <w:bookmarkStart w:id="626" w:name="_Toc274"/>
      <w:bookmarkEnd w:id="625"/>
      <w:r>
        <w:rPr>
          <w:rtl w:val="true"/>
        </w:rPr>
        <w:t xml:space="preserve">نوزده </w:t>
      </w:r>
      <w:r>
        <w:rPr>
          <w:rtl w:val="true"/>
        </w:rPr>
        <w:t xml:space="preserve">- </w:t>
      </w:r>
      <w:r>
        <w:rPr>
          <w:rtl w:val="true"/>
        </w:rPr>
        <w:t xml:space="preserve">بازار سركه‌فروش‌ها </w:t>
      </w:r>
      <w:r>
        <w:rPr>
          <w:rtl w:val="true"/>
        </w:rPr>
        <w:t>(</w:t>
      </w:r>
      <w:r>
        <w:rPr>
          <w:rtl w:val="true"/>
        </w:rPr>
        <w:t>سوق الخلاّلين</w:t>
      </w:r>
      <w:r>
        <w:rPr>
          <w:rtl w:val="true"/>
        </w:rPr>
        <w:t>)</w:t>
      </w:r>
      <w:bookmarkEnd w:id="62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بازار سركه‌فروش‌ها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الخلاّلين</w:t>
      </w:r>
      <w:r>
        <w:rPr>
          <w:rFonts w:eastAsia="Amiri" w:cs="Amiri" w:ascii="Amiri" w:hAnsi="Amiri"/>
          <w:color w:val="111111"/>
          <w:sz w:val="28"/>
          <w:szCs w:val="28"/>
          <w:rtl w:val="true"/>
          <w:lang w:bidi="ar-SA"/>
        </w:rPr>
        <w:t xml:space="preserve">) </w:t>
      </w:r>
      <w:r>
        <w:rPr>
          <w:rStyle w:val="FootnoteAnchor"/>
          <w:rtl w:val="true"/>
        </w:rPr>
        <w:footnoteReference w:id="436"/>
      </w:r>
      <w:bookmarkStart w:id="627" w:name="pg1964_19552"/>
    </w:p>
    <w:p>
      <w:pPr>
        <w:pStyle w:val="Heading5"/>
        <w:numPr>
          <w:ilvl w:val="4"/>
          <w:numId w:val="1"/>
        </w:numPr>
        <w:rPr/>
      </w:pPr>
      <w:bookmarkStart w:id="628" w:name="__RefHeading___Toc3584957_3650668749"/>
      <w:bookmarkStart w:id="629" w:name="_Toc275"/>
      <w:bookmarkEnd w:id="627"/>
      <w:bookmarkEnd w:id="628"/>
      <w:r>
        <w:rPr>
          <w:rtl w:val="true"/>
        </w:rPr>
        <w:t xml:space="preserve">بيست </w:t>
      </w:r>
      <w:r>
        <w:rPr>
          <w:rtl w:val="true"/>
        </w:rPr>
        <w:t xml:space="preserve">- </w:t>
      </w:r>
      <w:r>
        <w:rPr>
          <w:rtl w:val="true"/>
        </w:rPr>
        <w:t xml:space="preserve">بازار زرگرها </w:t>
      </w:r>
      <w:r>
        <w:rPr>
          <w:rtl w:val="true"/>
        </w:rPr>
        <w:t>(</w:t>
      </w:r>
      <w:r>
        <w:rPr>
          <w:rtl w:val="true"/>
        </w:rPr>
        <w:t>سوق الصاغه</w:t>
      </w:r>
      <w:r>
        <w:rPr>
          <w:rtl w:val="true"/>
        </w:rPr>
        <w:t>)</w:t>
      </w:r>
      <w:bookmarkEnd w:id="629"/>
    </w:p>
    <w:p>
      <w:pPr>
        <w:pStyle w:val="BookText"/>
        <w:rPr/>
      </w:pPr>
      <w:r>
        <w:rPr>
          <w:rFonts w:ascii="IRNazanin" w:hAnsi="IRNazanin" w:eastAsia="IRNazanin"/>
          <w:color w:val="111111"/>
          <w:sz w:val="28"/>
          <w:sz w:val="28"/>
          <w:szCs w:val="28"/>
          <w:rtl w:val="true"/>
          <w:lang w:bidi="fa-IR"/>
        </w:rPr>
        <w:t xml:space="preserve">بيست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زرگرها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الصاغه</w:t>
      </w:r>
      <w:r>
        <w:rPr>
          <w:rFonts w:eastAsia="IRNazanin" w:cs="IRNazanin"/>
          <w:color w:val="111111"/>
          <w:sz w:val="28"/>
          <w:szCs w:val="28"/>
          <w:rtl w:val="true"/>
          <w:lang w:bidi="fa-IR"/>
        </w:rPr>
        <w:t xml:space="preserve">) </w:t>
      </w:r>
      <w:r>
        <w:rPr>
          <w:rStyle w:val="FootnoteAnchor"/>
          <w:rtl w:val="true"/>
        </w:rPr>
        <w:footnoteReference w:id="437"/>
      </w:r>
    </w:p>
    <w:p>
      <w:pPr>
        <w:pStyle w:val="Heading5"/>
        <w:numPr>
          <w:ilvl w:val="4"/>
          <w:numId w:val="1"/>
        </w:numPr>
        <w:rPr/>
      </w:pPr>
      <w:bookmarkStart w:id="630" w:name="__RefHeading___Toc3584959_3650668749"/>
      <w:bookmarkStart w:id="631" w:name="_Toc276"/>
      <w:bookmarkEnd w:id="630"/>
      <w:r>
        <w:rPr>
          <w:rtl w:val="true"/>
        </w:rPr>
        <w:t xml:space="preserve">بيست و يك </w:t>
      </w:r>
      <w:r>
        <w:rPr>
          <w:rtl w:val="true"/>
        </w:rPr>
        <w:t xml:space="preserve">- </w:t>
      </w:r>
      <w:r>
        <w:rPr>
          <w:rtl w:val="true"/>
        </w:rPr>
        <w:t xml:space="preserve">بازار عطرفروشان </w:t>
      </w:r>
      <w:r>
        <w:rPr>
          <w:rtl w:val="true"/>
        </w:rPr>
        <w:t>(</w:t>
      </w:r>
      <w:r>
        <w:rPr>
          <w:rtl w:val="true"/>
        </w:rPr>
        <w:t>سوق الحَنّاطين</w:t>
      </w:r>
      <w:r>
        <w:rPr>
          <w:rtl w:val="true"/>
        </w:rPr>
        <w:t>)</w:t>
      </w:r>
      <w:bookmarkEnd w:id="631"/>
    </w:p>
    <w:p>
      <w:pPr>
        <w:pStyle w:val="BookText"/>
        <w:rPr/>
      </w:pPr>
      <w:r>
        <w:rPr>
          <w:rFonts w:ascii="Amiri" w:hAnsi="Amiri" w:eastAsia="Amiri" w:cs="Amiri"/>
          <w:color w:val="111111"/>
          <w:sz w:val="28"/>
          <w:sz w:val="28"/>
          <w:szCs w:val="28"/>
          <w:rtl w:val="true"/>
          <w:lang w:bidi="ar-SA"/>
        </w:rPr>
        <w:t xml:space="preserve">بيست و 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بازار عطرفروشان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الحَنّاطين</w:t>
      </w:r>
      <w:r>
        <w:rPr>
          <w:rFonts w:eastAsia="Amiri" w:cs="Amiri" w:ascii="Amiri" w:hAnsi="Amiri"/>
          <w:color w:val="111111"/>
          <w:sz w:val="28"/>
          <w:szCs w:val="28"/>
          <w:rtl w:val="true"/>
          <w:lang w:bidi="ar-SA"/>
        </w:rPr>
        <w:t xml:space="preserve">) </w:t>
      </w:r>
      <w:r>
        <w:rPr>
          <w:rStyle w:val="FootnoteAnchor"/>
          <w:rtl w:val="true"/>
        </w:rPr>
        <w:footnoteReference w:id="438"/>
      </w:r>
    </w:p>
    <w:p>
      <w:pPr>
        <w:pStyle w:val="Heading5"/>
        <w:numPr>
          <w:ilvl w:val="4"/>
          <w:numId w:val="1"/>
        </w:numPr>
        <w:rPr/>
      </w:pPr>
      <w:bookmarkStart w:id="632" w:name="__RefHeading___Toc3584961_3650668749"/>
      <w:bookmarkStart w:id="633" w:name="_Toc277"/>
      <w:bookmarkEnd w:id="632"/>
      <w:r>
        <w:rPr>
          <w:rtl w:val="true"/>
        </w:rPr>
        <w:t>بيست و دو</w:t>
      </w:r>
      <w:r>
        <w:rPr>
          <w:rtl w:val="true"/>
        </w:rPr>
        <w:t xml:space="preserve">- </w:t>
      </w:r>
      <w:r>
        <w:rPr>
          <w:rtl w:val="true"/>
        </w:rPr>
        <w:t xml:space="preserve">بازار آهنگران </w:t>
      </w:r>
      <w:r>
        <w:rPr>
          <w:rtl w:val="true"/>
        </w:rPr>
        <w:t>(</w:t>
      </w:r>
      <w:r>
        <w:rPr>
          <w:rtl w:val="true"/>
        </w:rPr>
        <w:t>سوق الحدّادين</w:t>
      </w:r>
      <w:r>
        <w:rPr>
          <w:rtl w:val="true"/>
        </w:rPr>
        <w:t>)</w:t>
      </w:r>
      <w:bookmarkEnd w:id="633"/>
    </w:p>
    <w:p>
      <w:pPr>
        <w:pStyle w:val="BookText"/>
        <w:rPr/>
      </w:pPr>
      <w:r>
        <w:rPr>
          <w:rFonts w:ascii="Amiri" w:hAnsi="Amiri" w:eastAsia="Amiri" w:cs="Amiri"/>
          <w:color w:val="111111"/>
          <w:sz w:val="28"/>
          <w:sz w:val="28"/>
          <w:szCs w:val="28"/>
          <w:rtl w:val="true"/>
          <w:lang w:bidi="ar-SA"/>
        </w:rPr>
        <w:t>اين بازار در منتهى‌اليه غرب كوفه قرار داشته است</w:t>
      </w:r>
      <w:r>
        <w:rPr>
          <w:rFonts w:eastAsia="Amiri" w:cs="Amiri" w:ascii="Amiri" w:hAnsi="Amiri"/>
          <w:color w:val="111111"/>
          <w:sz w:val="28"/>
          <w:szCs w:val="28"/>
          <w:rtl w:val="true"/>
          <w:lang w:bidi="ar-SA"/>
        </w:rPr>
        <w:t xml:space="preserve">. </w:t>
      </w:r>
      <w:r>
        <w:rPr>
          <w:rStyle w:val="FootnoteAnchor"/>
          <w:rtl w:val="true"/>
        </w:rPr>
        <w:footnoteReference w:id="439"/>
      </w:r>
    </w:p>
    <w:p>
      <w:pPr>
        <w:pStyle w:val="Heading5"/>
        <w:numPr>
          <w:ilvl w:val="4"/>
          <w:numId w:val="1"/>
        </w:numPr>
        <w:rPr/>
      </w:pPr>
      <w:bookmarkStart w:id="634" w:name="__RefHeading___Toc3584963_3650668749"/>
      <w:bookmarkStart w:id="635" w:name="_Toc278"/>
      <w:bookmarkEnd w:id="634"/>
      <w:r>
        <w:rPr>
          <w:rtl w:val="true"/>
        </w:rPr>
        <w:t xml:space="preserve">بيست و سه </w:t>
      </w:r>
      <w:r>
        <w:rPr>
          <w:rtl w:val="true"/>
        </w:rPr>
        <w:t xml:space="preserve">- </w:t>
      </w:r>
      <w:r>
        <w:rPr>
          <w:rtl w:val="true"/>
        </w:rPr>
        <w:t xml:space="preserve">بازار گل‌فروشان </w:t>
      </w:r>
      <w:r>
        <w:rPr>
          <w:rtl w:val="true"/>
        </w:rPr>
        <w:t>(</w:t>
      </w:r>
      <w:r>
        <w:rPr>
          <w:rtl w:val="true"/>
        </w:rPr>
        <w:t>باعَة الأزْهار</w:t>
      </w:r>
      <w:r>
        <w:rPr>
          <w:rtl w:val="true"/>
        </w:rPr>
        <w:t>)</w:t>
      </w:r>
      <w:bookmarkEnd w:id="635"/>
    </w:p>
    <w:p>
      <w:pPr>
        <w:pStyle w:val="BookText"/>
        <w:rPr/>
      </w:pPr>
      <w:r>
        <w:rPr>
          <w:rFonts w:ascii="IRNazanin" w:hAnsi="IRNazanin" w:eastAsia="IRNazanin"/>
          <w:color w:val="111111"/>
          <w:sz w:val="28"/>
          <w:sz w:val="28"/>
          <w:szCs w:val="28"/>
          <w:rtl w:val="true"/>
          <w:lang w:bidi="fa-IR"/>
        </w:rPr>
        <w:t xml:space="preserve">بيست و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گل‌فروشان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باعَة الأزْهار</w:t>
      </w:r>
      <w:r>
        <w:rPr>
          <w:rFonts w:eastAsia="IRNazanin" w:cs="IRNazanin"/>
          <w:color w:val="111111"/>
          <w:sz w:val="28"/>
          <w:szCs w:val="28"/>
          <w:rtl w:val="true"/>
          <w:lang w:bidi="fa-IR"/>
        </w:rPr>
        <w:t xml:space="preserve">) </w:t>
      </w:r>
      <w:r>
        <w:rPr>
          <w:rStyle w:val="FootnoteAnchor"/>
          <w:rtl w:val="true"/>
        </w:rPr>
        <w:footnoteReference w:id="440"/>
      </w:r>
    </w:p>
    <w:p>
      <w:pPr>
        <w:pStyle w:val="Heading5"/>
        <w:numPr>
          <w:ilvl w:val="4"/>
          <w:numId w:val="1"/>
        </w:numPr>
        <w:rPr/>
      </w:pPr>
      <w:bookmarkStart w:id="636" w:name="__RefHeading___Toc3584965_3650668749"/>
      <w:bookmarkStart w:id="637" w:name="_Toc279"/>
      <w:bookmarkEnd w:id="636"/>
      <w:r>
        <w:rPr>
          <w:rtl w:val="true"/>
        </w:rPr>
        <w:t xml:space="preserve">بيست و چهار </w:t>
      </w:r>
      <w:r>
        <w:rPr>
          <w:rtl w:val="true"/>
        </w:rPr>
        <w:t xml:space="preserve">- </w:t>
      </w:r>
      <w:r>
        <w:rPr>
          <w:rtl w:val="true"/>
        </w:rPr>
        <w:t xml:space="preserve">بازار خياطها </w:t>
      </w:r>
      <w:r>
        <w:rPr>
          <w:rtl w:val="true"/>
        </w:rPr>
        <w:t>(</w:t>
      </w:r>
      <w:r>
        <w:rPr>
          <w:rtl w:val="true"/>
        </w:rPr>
        <w:t>سوق الخياطين</w:t>
      </w:r>
      <w:r>
        <w:rPr>
          <w:rtl w:val="true"/>
        </w:rPr>
        <w:t>)</w:t>
      </w:r>
      <w:bookmarkEnd w:id="637"/>
    </w:p>
    <w:p>
      <w:pPr>
        <w:pStyle w:val="BookText"/>
        <w:rPr/>
      </w:pPr>
      <w:r>
        <w:rPr>
          <w:rFonts w:ascii="Amiri" w:hAnsi="Amiri" w:eastAsia="Amiri" w:cs="Amiri"/>
          <w:color w:val="111111"/>
          <w:sz w:val="28"/>
          <w:sz w:val="28"/>
          <w:szCs w:val="28"/>
          <w:rtl w:val="true"/>
          <w:lang w:bidi="ar-SA"/>
        </w:rPr>
        <w:t>اين بازار نزديك خانه وليد بوده است</w:t>
      </w:r>
      <w:r>
        <w:rPr>
          <w:rFonts w:eastAsia="Amiri" w:cs="Amiri" w:ascii="Amiri" w:hAnsi="Amiri"/>
          <w:color w:val="111111"/>
          <w:sz w:val="28"/>
          <w:szCs w:val="28"/>
          <w:rtl w:val="true"/>
          <w:lang w:bidi="ar-SA"/>
        </w:rPr>
        <w:t xml:space="preserve">. </w:t>
      </w:r>
      <w:r>
        <w:rPr>
          <w:rStyle w:val="FootnoteAnchor"/>
          <w:rtl w:val="true"/>
        </w:rPr>
        <w:footnoteReference w:id="441"/>
      </w:r>
    </w:p>
    <w:p>
      <w:pPr>
        <w:pStyle w:val="Heading5"/>
        <w:numPr>
          <w:ilvl w:val="4"/>
          <w:numId w:val="1"/>
        </w:numPr>
        <w:rPr/>
      </w:pPr>
      <w:bookmarkStart w:id="638" w:name="__RefHeading___Toc3584967_3650668749"/>
      <w:bookmarkStart w:id="639" w:name="_Toc280"/>
      <w:bookmarkEnd w:id="638"/>
      <w:r>
        <w:rPr>
          <w:rtl w:val="true"/>
        </w:rPr>
        <w:t xml:space="preserve">بيست و پنج </w:t>
      </w:r>
      <w:r>
        <w:rPr>
          <w:rtl w:val="true"/>
        </w:rPr>
        <w:t xml:space="preserve">- </w:t>
      </w:r>
      <w:r>
        <w:rPr>
          <w:rtl w:val="true"/>
        </w:rPr>
        <w:t xml:space="preserve">بازار صحّاف‌ها </w:t>
      </w:r>
      <w:r>
        <w:rPr>
          <w:rtl w:val="true"/>
        </w:rPr>
        <w:t xml:space="preserve">( </w:t>
      </w:r>
      <w:r>
        <w:rPr>
          <w:rtl w:val="true"/>
        </w:rPr>
        <w:t>سوق الورّاقين</w:t>
      </w:r>
      <w:r>
        <w:rPr>
          <w:rtl w:val="true"/>
        </w:rPr>
        <w:t>)</w:t>
      </w:r>
      <w:bookmarkEnd w:id="639"/>
    </w:p>
    <w:p>
      <w:pPr>
        <w:pStyle w:val="BookText"/>
        <w:rPr/>
      </w:pPr>
      <w:r>
        <w:rPr>
          <w:rFonts w:ascii="Amiri" w:hAnsi="Amiri" w:eastAsia="Amiri" w:cs="Amiri"/>
          <w:color w:val="111111"/>
          <w:sz w:val="28"/>
          <w:sz w:val="28"/>
          <w:szCs w:val="28"/>
          <w:rtl w:val="true"/>
          <w:lang w:bidi="ar-SA"/>
        </w:rPr>
        <w:t>اين بازار در شمال مسجد جامع واقع بوده است</w:t>
      </w:r>
      <w:r>
        <w:rPr>
          <w:rFonts w:eastAsia="Amiri" w:cs="Amiri" w:ascii="Amiri" w:hAnsi="Amiri"/>
          <w:color w:val="111111"/>
          <w:sz w:val="28"/>
          <w:szCs w:val="28"/>
          <w:rtl w:val="true"/>
          <w:lang w:bidi="ar-SA"/>
        </w:rPr>
        <w:t xml:space="preserve">. </w:t>
      </w:r>
      <w:r>
        <w:rPr>
          <w:rStyle w:val="FootnoteAnchor"/>
          <w:rtl w:val="true"/>
        </w:rPr>
        <w:footnoteReference w:id="442"/>
      </w:r>
    </w:p>
    <w:p>
      <w:pPr>
        <w:pStyle w:val="Heading5"/>
        <w:numPr>
          <w:ilvl w:val="4"/>
          <w:numId w:val="1"/>
        </w:numPr>
        <w:rPr/>
      </w:pPr>
      <w:bookmarkStart w:id="640" w:name="__RefHeading___Toc3584969_3650668749"/>
      <w:bookmarkStart w:id="641" w:name="_Toc281"/>
      <w:bookmarkEnd w:id="640"/>
      <w:r>
        <w:rPr>
          <w:rtl w:val="true"/>
        </w:rPr>
        <w:t xml:space="preserve">بيست و شش </w:t>
      </w:r>
      <w:r>
        <w:rPr>
          <w:rtl w:val="true"/>
        </w:rPr>
        <w:t xml:space="preserve">- </w:t>
      </w:r>
      <w:r>
        <w:rPr>
          <w:rtl w:val="true"/>
        </w:rPr>
        <w:t xml:space="preserve">بازار گازران يا رخت‌شويان </w:t>
      </w:r>
      <w:r>
        <w:rPr>
          <w:rtl w:val="true"/>
        </w:rPr>
        <w:t>(</w:t>
      </w:r>
      <w:r>
        <w:rPr>
          <w:rtl w:val="true"/>
        </w:rPr>
        <w:t>سوق القَصّارين</w:t>
      </w:r>
      <w:r>
        <w:rPr>
          <w:rtl w:val="true"/>
        </w:rPr>
        <w:t>)</w:t>
      </w:r>
      <w:bookmarkEnd w:id="641"/>
    </w:p>
    <w:p>
      <w:pPr>
        <w:pStyle w:val="BookText"/>
        <w:rPr/>
      </w:pPr>
      <w:r>
        <w:rPr>
          <w:rFonts w:ascii="Amiri" w:hAnsi="Amiri" w:eastAsia="Amiri" w:cs="Amiri"/>
          <w:color w:val="111111"/>
          <w:sz w:val="28"/>
          <w:sz w:val="28"/>
          <w:szCs w:val="28"/>
          <w:rtl w:val="true"/>
          <w:lang w:bidi="ar-SA"/>
        </w:rPr>
        <w:t>اين بازار احتمالاً در جوار بازار خزفروشان يا درون آن قرار داشته است</w:t>
      </w:r>
      <w:r>
        <w:rPr>
          <w:rFonts w:eastAsia="Amiri" w:cs="Amiri" w:ascii="Amiri" w:hAnsi="Amiri"/>
          <w:color w:val="111111"/>
          <w:sz w:val="28"/>
          <w:szCs w:val="28"/>
          <w:rtl w:val="true"/>
          <w:lang w:bidi="ar-SA"/>
        </w:rPr>
        <w:t xml:space="preserve">. </w:t>
      </w:r>
      <w:r>
        <w:rPr>
          <w:rStyle w:val="FootnoteAnchor"/>
          <w:rtl w:val="true"/>
        </w:rPr>
        <w:footnoteReference w:id="443"/>
      </w:r>
    </w:p>
    <w:p>
      <w:pPr>
        <w:pStyle w:val="Heading4"/>
        <w:numPr>
          <w:ilvl w:val="3"/>
          <w:numId w:val="1"/>
        </w:numPr>
        <w:rPr/>
      </w:pPr>
      <w:bookmarkStart w:id="642" w:name="__RefHeading___Toc3584971_3650668749"/>
      <w:bookmarkStart w:id="643" w:name="_Toc282"/>
      <w:bookmarkEnd w:id="642"/>
      <w:r>
        <w:rPr>
          <w:rtl w:val="true"/>
        </w:rPr>
        <w:t>د</w:t>
      </w:r>
      <w:r>
        <w:rPr>
          <w:rtl w:val="true"/>
        </w:rPr>
        <w:t xml:space="preserve">) </w:t>
      </w:r>
      <w:r>
        <w:rPr>
          <w:rtl w:val="true"/>
        </w:rPr>
        <w:t>نظارت بر بازار</w:t>
      </w:r>
      <w:bookmarkEnd w:id="64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نظارت بر بازار و دقت در رعايت حلال و حرام در بازار و مراقبت دائم از مقياس‌هاى توزين آن زمان كه احتمال كم يا زياد شدن در آن مى‌رفت و نيز مواظبت بر نقود و سكّه‌هاى رايج از جهت مغشوش بودن و خالص بودن، يكى از</w:t>
      </w:r>
    </w:p>
    <w:p>
      <w:pPr>
        <w:pStyle w:val="BookText"/>
        <w:rPr/>
      </w:pPr>
      <w:r>
        <w:rPr>
          <w:rFonts w:ascii="Amiri" w:hAnsi="Amiri" w:eastAsia="Amiri" w:cs="Amiri"/>
          <w:color w:val="111111"/>
          <w:sz w:val="28"/>
          <w:sz w:val="28"/>
          <w:szCs w:val="28"/>
          <w:rtl w:val="true"/>
          <w:lang w:bidi="ar-SA"/>
        </w:rPr>
        <w:t>وظايف حكومت اسلامى از صدر اسلام به حساب مى‌آمده‌است</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گزارش‌هاى تاريخى چندى نيز اين نظارت را در دوران محل بحث ما اثبات مى‌نمايد كه در ذيل به برخى از آنها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قبل، روايتى كه بيانگر نظارت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بازارهاى مختلف كوفه بود،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نام ابوسعيد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قاطر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حالى‌كه من او را همراهى مى‌كردم به محل ماهى‌فروشان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دور خود جمع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مى‌دانيد براى چه شما را جمع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شما را جمع نمودم كه به شما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خريد و فروش جِرّيث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نوعى‌مارماهى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مارماهى و ماهى كه در آب مرده باشد، خوددارى كنيد</w:t>
      </w:r>
      <w:r>
        <w:rPr>
          <w:rFonts w:eastAsia="IRNazanin" w:cs="IRNazanin"/>
          <w:color w:val="111111"/>
          <w:sz w:val="28"/>
          <w:szCs w:val="28"/>
          <w:rtl w:val="true"/>
          <w:lang w:bidi="fa-IR"/>
        </w:rPr>
        <w:t xml:space="preserve">» .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روايتى ديگر نزديك به اين مضمون، نقل شده است كه در آن همراهان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شرطةالخميس؛ نيروهاى انتظامى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شده‌اند، در حالى‌كه در دست آن حضرت تازيانه‌اى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از تنبيه فروشندگان ماهى‌هاى حرام توسط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آمده است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والى بود، به تنهايى در ميان بازار راه مى‌رفت و اشياى پيدا شده را معرفى مى‌نمود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صاحبانش را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به فروشنده و بقال برخورد مى‌كرد، قرآن را باز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 نصيحت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تلاوت مى‌فرمود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سراى آخرت را براى كسانى قرار مى‌دهيم كه اراده برترى‌طلبى و فساد در روى زمين را نداشته باشند</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نقلى ديگر،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 مى‌گشت و مردم را به تقواى الهى و نيكو معامله كردن سفارش مى‌فرمود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پيمانه و ميزان را استيفا 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ندهيد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به قصابان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درون گوشت ندميد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وزن آن زياد شود</w:t>
      </w:r>
      <w:r>
        <w:rPr>
          <w:rFonts w:eastAsia="IRNazanin" w:cs="IRNazanin"/>
          <w:color w:val="111111"/>
          <w:sz w:val="28"/>
          <w:szCs w:val="28"/>
          <w:rtl w:val="true"/>
          <w:lang w:bidi="fa-IR"/>
        </w:rPr>
        <w:t xml:space="preserve">]» .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شريح، قاضى كوفه چنين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همراه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تازيانه‌اش را در دست داشت، در بازار مى‌گشتم و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تاجران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بگيريد و به حق بدهيد تا سالم بمانيد و از اينكه كالاى خود را به سود كم بفروشيد، ابا ننماييد تا از سود زياد نيز محروم‌نشويد</w:t>
      </w:r>
      <w:r>
        <w:rPr>
          <w:rFonts w:eastAsia="IRNazanin" w:cs="IRNazanin"/>
          <w:color w:val="111111"/>
          <w:sz w:val="28"/>
          <w:szCs w:val="28"/>
          <w:rtl w:val="true"/>
          <w:lang w:bidi="fa-IR"/>
        </w:rPr>
        <w:t xml:space="preserve">» .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زياد بن ابيه، حاكم كوفه نيز نقل شده است كه گاه‌گاهى خود براى سركشى و نيز تفتيش قيمت‌ها و بررسى پيمانه‌ها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بازارها مى‌رفت و در مواقع ديگر از عاملانى كه براى اين منظورها در بازارها گذاشته بود، پرسش مى‌كرد</w:t>
      </w:r>
      <w:r>
        <w:rPr>
          <w:rFonts w:eastAsia="IRNazanin" w:cs="IRNazanin"/>
          <w:color w:val="111111"/>
          <w:sz w:val="28"/>
          <w:szCs w:val="28"/>
          <w:rtl w:val="true"/>
          <w:lang w:bidi="fa-IR"/>
        </w:rPr>
        <w:t xml:space="preserve">. </w:t>
      </w:r>
      <w:r>
        <w:rPr>
          <w:rStyle w:val="FootnoteAnchor"/>
          <w:rtl w:val="true"/>
        </w:rPr>
        <w:footnoteReference w:id="45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كم‌كم اين نظارت در دهه‌هاى بعد موجب تأسيس نهاد حسبه در بازار گرديد و وظيفه نظارت بر بازار به عهده محتسب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بعضى از گزارش‌هاى تاريخى كه احتمال دارد مربوط به زمان مورد بحث ما باشد، از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عريف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w:t>
      </w:r>
      <w:r>
        <w:rPr>
          <w:rStyle w:val="FootnoteAnchor"/>
          <w:rtl w:val="true"/>
        </w:rPr>
        <w:footnoteReference w:id="451"/>
      </w:r>
      <w:r>
        <w:rPr>
          <w:rFonts w:ascii="IRNazanin" w:hAnsi="IRNazanin" w:eastAsia="IRNazanin"/>
          <w:color w:val="111111"/>
          <w:sz w:val="28"/>
          <w:sz w:val="28"/>
          <w:szCs w:val="28"/>
          <w:rtl w:val="true"/>
          <w:lang w:bidi="fa-IR"/>
        </w:rPr>
        <w:t>كه وظيفه حلّ اختلافات بين فروشندگان يا بين فروشنده و خريدار را به عهده داشت و نصب اين مقام در بازار به عهده قاضى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اين روايات كه مربوط به دوران قضاوت شريح</w:t>
      </w:r>
      <w:bookmarkStart w:id="644" w:name="pg1964_19555"/>
    </w:p>
    <w:p>
      <w:pPr>
        <w:pStyle w:val="BookText"/>
        <w:rPr/>
      </w:pPr>
      <w:bookmarkEnd w:id="644"/>
      <w:r>
        <w:rPr>
          <w:rFonts w:ascii="Amiri" w:hAnsi="Amiri" w:eastAsia="Amiri" w:cs="Amiri"/>
          <w:color w:val="111111"/>
          <w:sz w:val="28"/>
          <w:sz w:val="28"/>
          <w:szCs w:val="28"/>
          <w:rtl w:val="true"/>
          <w:lang w:bidi="ar-SA"/>
        </w:rPr>
        <w:t>در كوفه مى‌باشد،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ماجرايى در بازار گربه و ماجرايى در بازار مرغ اتفاق افتاد، در اين ميان، عريف هر دو بازار قضاوت كردند، اما فقط قضاوت عريف بازار گربه درست بود و بدين سبب، شريح قاضى، منصب عرافت هر دو بازار را بدو واگذار كرد</w:t>
      </w:r>
      <w:r>
        <w:rPr>
          <w:rFonts w:eastAsia="IRNazanin" w:cs="IRNazanin"/>
          <w:color w:val="111111"/>
          <w:sz w:val="28"/>
          <w:szCs w:val="28"/>
          <w:rtl w:val="true"/>
          <w:lang w:bidi="fa-IR"/>
        </w:rPr>
        <w:t xml:space="preserve">. </w:t>
      </w:r>
      <w:r>
        <w:rPr>
          <w:rStyle w:val="FootnoteAnchor"/>
          <w:rtl w:val="true"/>
        </w:rPr>
        <w:footnoteReference w:id="452"/>
      </w:r>
    </w:p>
    <w:p>
      <w:pPr>
        <w:pStyle w:val="Heading3"/>
        <w:numPr>
          <w:ilvl w:val="2"/>
          <w:numId w:val="1"/>
        </w:numPr>
        <w:rPr/>
      </w:pPr>
      <w:bookmarkStart w:id="645" w:name="__RefHeading___Toc3584973_3650668749"/>
      <w:bookmarkStart w:id="646" w:name="_Toc283"/>
      <w:bookmarkEnd w:id="645"/>
      <w:r>
        <w:rPr/>
        <w:t>٣</w:t>
      </w:r>
      <w:r>
        <w:rPr>
          <w:rtl w:val="true"/>
        </w:rPr>
        <w:t xml:space="preserve">. </w:t>
      </w:r>
      <w:r>
        <w:rPr>
          <w:rtl w:val="true"/>
        </w:rPr>
        <w:t>مساجدكوفه</w:t>
      </w:r>
      <w:bookmarkEnd w:id="646"/>
    </w:p>
    <w:p>
      <w:pPr>
        <w:pStyle w:val="Heading4"/>
        <w:numPr>
          <w:ilvl w:val="3"/>
          <w:numId w:val="1"/>
        </w:numPr>
        <w:rPr/>
      </w:pPr>
      <w:bookmarkStart w:id="647" w:name="__RefHeading___Toc3584975_3650668749"/>
      <w:bookmarkStart w:id="648" w:name="_Toc284"/>
      <w:bookmarkEnd w:id="647"/>
      <w:r>
        <w:rPr>
          <w:rtl w:val="true"/>
        </w:rPr>
        <w:t>اشاره</w:t>
      </w:r>
      <w:bookmarkEnd w:id="648"/>
    </w:p>
    <w:p>
      <w:pPr>
        <w:pStyle w:val="BookText"/>
        <w:rPr/>
      </w:pPr>
      <w:r>
        <w:rPr>
          <w:rFonts w:ascii="IRNazanin" w:hAnsi="IRNazanin" w:eastAsia="IRNazanin"/>
          <w:color w:val="111111"/>
          <w:sz w:val="28"/>
          <w:sz w:val="28"/>
          <w:szCs w:val="28"/>
          <w:rtl w:val="true"/>
          <w:lang w:bidi="fa-IR"/>
        </w:rPr>
        <w:t>به‌طور كلى مساجد كوفه همچون ساير مساجد بنا شده در صدر اسلام مانند مسجد مدينه و مسجد قبا بسيار ساده بنا شد و به مرور زمان، پيرايه‌ها و زينت‌ها به آنها ملحق شده، سادگى اوليه خود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عمومى اوليه مساجد كوفه را مى‌توان به صورت يك چهار ديوارى تصور نمود كه قسمت قبله آن، به صورت مسقّف در آمده بود و با عنوان مُصَلّى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ظِلَّه؛ سايبان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تشكيل صفوف نمازگزاران آماده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غربى كوفه قرار داشته، مى‌توان اين فضاى مسقف را در قسمت جنوبى مساجد كوفه تصوّر نمود و متقابلاً درِ ورودى مسجد را در سمت شمال يا شرق و غرب فرض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مساجد در آغاز از حصير و برگ خرما و تنه درختان پوشيده مى‌شد و بعدها به مرور زمان به خشت يا آجر تبديل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مسجد طبق سنّت اصلى، مقدارى پايين‌تر از سطح مسجد بنا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مساجدى كه فضاى مسقف آنها وسيع بود به ستون‌هايى براى نگاه داشتن سقف نياز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ستون‌ها ابتدا از تنه درختان و سپس از ستون‌هاى سنگى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اين ستون‌ها نسبت مستقيم با وسعت فضاى مسجد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پشت‌بام مسجد، مأذنه‌اى براى اذان گفتن و اعلام وقت نماز وجود داشت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سنگ‌فرش قسمت غير مسقّف مسجد كه با عنوان صحن يا مؤخره از آن ياد مى‌شد، خاك يا ريگ و شن بود</w:t>
      </w:r>
      <w:r>
        <w:rPr>
          <w:rFonts w:eastAsia="IRNazanin" w:cs="IRNazanin"/>
          <w:color w:val="111111"/>
          <w:sz w:val="28"/>
          <w:szCs w:val="28"/>
          <w:rtl w:val="true"/>
          <w:lang w:bidi="fa-IR"/>
        </w:rPr>
        <w:t xml:space="preserve">. </w:t>
      </w:r>
      <w:r>
        <w:rPr>
          <w:rStyle w:val="FootnoteAnchor"/>
          <w:rtl w:val="true"/>
        </w:rPr>
        <w:footnoteReference w:id="453"/>
      </w:r>
      <w:bookmarkStart w:id="649" w:name="pg1964_19556"/>
    </w:p>
    <w:p>
      <w:pPr>
        <w:pStyle w:val="BookText"/>
        <w:rPr/>
      </w:pPr>
      <w:bookmarkEnd w:id="649"/>
      <w:r>
        <w:rPr>
          <w:rFonts w:ascii="IRNazanin" w:hAnsi="IRNazanin" w:eastAsia="IRNazanin"/>
          <w:color w:val="111111"/>
          <w:sz w:val="28"/>
          <w:sz w:val="28"/>
          <w:szCs w:val="28"/>
          <w:rtl w:val="true"/>
          <w:lang w:bidi="fa-IR"/>
        </w:rPr>
        <w:t xml:space="preserve">بعضى بر اين باورند كه چون قبله به سمت جنوب بود و نظام صفوف نماز اين اقتضا را داشته كه تعداد نفراتى در طرف راست و چب امام جماعت در پشت‌سر امام باشند، پس طول مصلّى، شرقى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غربى و عرض آن جنوبى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شمالى بوده است</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البته اثبات اين مطلب به تأمل بيشترى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مى‌توان ساختمان مسجد جامع كوفه را الگويى براى ديگر مساجد آن، هرچند در ابعاد كوچك‌تر، تصور كرد و تحولاتى را كه در طول زمان بر اين مسجد جارى شده است به مساجد ديگر سرايت داد</w:t>
      </w:r>
      <w:r>
        <w:rPr>
          <w:rFonts w:eastAsia="IRNazanin" w:cs="IRNazanin"/>
          <w:color w:val="111111"/>
          <w:sz w:val="28"/>
          <w:szCs w:val="28"/>
          <w:rtl w:val="true"/>
          <w:lang w:bidi="fa-IR"/>
        </w:rPr>
        <w:t>.</w:t>
      </w:r>
    </w:p>
    <w:p>
      <w:pPr>
        <w:pStyle w:val="Heading4"/>
        <w:numPr>
          <w:ilvl w:val="3"/>
          <w:numId w:val="1"/>
        </w:numPr>
        <w:rPr/>
      </w:pPr>
      <w:bookmarkStart w:id="650" w:name="__RefHeading___Toc3584977_3650668749"/>
      <w:bookmarkStart w:id="651" w:name="_Toc285"/>
      <w:bookmarkEnd w:id="650"/>
      <w:r>
        <w:rPr>
          <w:rtl w:val="true"/>
        </w:rPr>
        <w:t>الف</w:t>
      </w:r>
      <w:r>
        <w:rPr>
          <w:rtl w:val="true"/>
        </w:rPr>
        <w:t xml:space="preserve">) </w:t>
      </w:r>
      <w:r>
        <w:rPr>
          <w:rtl w:val="true"/>
        </w:rPr>
        <w:t xml:space="preserve">مسجد جامع كوفه </w:t>
      </w:r>
      <w:r>
        <w:rPr>
          <w:rtl w:val="true"/>
        </w:rPr>
        <w:t>(</w:t>
      </w:r>
      <w:r>
        <w:rPr>
          <w:rtl w:val="true"/>
        </w:rPr>
        <w:t xml:space="preserve">تصويرهاي شماره </w:t>
      </w:r>
      <w:r>
        <w:rPr/>
        <w:t>۵</w:t>
      </w:r>
      <w:r>
        <w:rPr>
          <w:rtl w:val="true"/>
        </w:rPr>
        <w:t xml:space="preserve"> </w:t>
      </w:r>
      <w:r>
        <w:rPr>
          <w:rtl w:val="true"/>
        </w:rPr>
        <w:t xml:space="preserve">- </w:t>
      </w:r>
      <w:r>
        <w:rPr/>
        <w:t>١</w:t>
      </w:r>
      <w:r>
        <w:rPr>
          <w:rtl w:val="true"/>
        </w:rPr>
        <w:t>)</w:t>
      </w:r>
      <w:bookmarkEnd w:id="651"/>
    </w:p>
    <w:p>
      <w:pPr>
        <w:pStyle w:val="Heading5"/>
        <w:numPr>
          <w:ilvl w:val="4"/>
          <w:numId w:val="1"/>
        </w:numPr>
        <w:rPr/>
      </w:pPr>
      <w:bookmarkStart w:id="652" w:name="__RefHeading___Toc3584979_3650668749"/>
      <w:bookmarkStart w:id="653" w:name="_Toc286"/>
      <w:bookmarkEnd w:id="652"/>
      <w:r>
        <w:rPr>
          <w:rtl w:val="true"/>
        </w:rPr>
        <w:t>يك</w:t>
      </w:r>
      <w:r>
        <w:rPr>
          <w:rtl w:val="true"/>
        </w:rPr>
        <w:t xml:space="preserve">- </w:t>
      </w:r>
      <w:r>
        <w:rPr>
          <w:rtl w:val="true"/>
        </w:rPr>
        <w:t>مسجد جامع كوفه در گذر تاريخ</w:t>
      </w:r>
      <w:bookmarkEnd w:id="653"/>
    </w:p>
    <w:p>
      <w:pPr>
        <w:pStyle w:val="Heading6"/>
        <w:numPr>
          <w:ilvl w:val="5"/>
          <w:numId w:val="1"/>
        </w:numPr>
        <w:rPr/>
      </w:pPr>
      <w:bookmarkStart w:id="654" w:name="__RefHeading___Toc3584981_3650668749"/>
      <w:bookmarkStart w:id="655" w:name="_Toc287"/>
      <w:bookmarkEnd w:id="654"/>
      <w:r>
        <w:rPr>
          <w:rtl w:val="true"/>
        </w:rPr>
        <w:t>اشاره</w:t>
      </w:r>
      <w:bookmarkEnd w:id="655"/>
    </w:p>
    <w:p>
      <w:pPr>
        <w:pStyle w:val="BookText"/>
        <w:rPr/>
      </w:pPr>
      <w:r>
        <w:rPr>
          <w:rFonts w:ascii="IRNazanin" w:hAnsi="IRNazanin" w:eastAsia="IRNazanin"/>
          <w:color w:val="111111"/>
          <w:sz w:val="28"/>
          <w:sz w:val="28"/>
          <w:szCs w:val="28"/>
          <w:rtl w:val="true"/>
          <w:lang w:bidi="fa-IR"/>
        </w:rPr>
        <w:t>آنچه از تاريخچه مسجد جامع در محدوده كار ما قرار مى‌گيرد، به سه بخش مسجد قبل از اسلام، مسجد در زمان سعد بن ابى‌وقاص و مسجد در زمان زياد بن ابيه تقسيم مى‌شود</w:t>
      </w:r>
      <w:r>
        <w:rPr>
          <w:rFonts w:eastAsia="IRNazanin" w:cs="IRNazanin"/>
          <w:color w:val="111111"/>
          <w:sz w:val="28"/>
          <w:szCs w:val="28"/>
          <w:rtl w:val="true"/>
          <w:lang w:bidi="fa-IR"/>
        </w:rPr>
        <w:t>.</w:t>
      </w:r>
    </w:p>
    <w:p>
      <w:pPr>
        <w:pStyle w:val="Heading6"/>
        <w:numPr>
          <w:ilvl w:val="5"/>
          <w:numId w:val="1"/>
        </w:numPr>
        <w:rPr/>
      </w:pPr>
      <w:bookmarkStart w:id="656" w:name="__RefHeading___Toc3584983_3650668749"/>
      <w:bookmarkStart w:id="657" w:name="_Toc288"/>
      <w:bookmarkEnd w:id="656"/>
      <w:r>
        <w:rPr>
          <w:rtl w:val="true"/>
        </w:rPr>
        <w:t xml:space="preserve">اول </w:t>
      </w:r>
      <w:r>
        <w:rPr>
          <w:rtl w:val="true"/>
        </w:rPr>
        <w:t xml:space="preserve">- </w:t>
      </w:r>
      <w:r>
        <w:rPr>
          <w:rtl w:val="true"/>
        </w:rPr>
        <w:t>مسجد جامع كوفه قبل از اسلام</w:t>
      </w:r>
      <w:bookmarkEnd w:id="65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نويسندگان اهل‌سنت و نيز مستشرقان، پيشينه تاريخى براى مسجد قبل از اسلام تصور ننموده‌اند، زيرا به نظر آنان شهر كوفه و به تبع آن مسجد كوفه، قبل از اسلام وجود خارجى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روايات شيعه، اين شهر و مسجد آن پيشينه و قدمت چند هزار ساله دارد و آثار اين قدمت به صورت نمادهايى در داخل مسجد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نظرگاه اين روايات، بنيان اين مسجد در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پى‌ريزى شده و وسعت آن بسيار بيشتر از وسعت و گنجايش آن بعد از اسلام بوده است</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در زمان‌هاى بعد، خانه نوح و نمازگاه او،</w:t>
      </w:r>
      <w:bookmarkStart w:id="658" w:name="pg1964_19557"/>
    </w:p>
    <w:p>
      <w:pPr>
        <w:pStyle w:val="BookText"/>
        <w:rPr/>
      </w:pPr>
      <w:bookmarkEnd w:id="658"/>
      <w:r>
        <w:rPr>
          <w:rFonts w:ascii="Amiri" w:hAnsi="Amiri" w:eastAsia="Amiri" w:cs="Amiri"/>
          <w:color w:val="111111"/>
          <w:sz w:val="28"/>
          <w:sz w:val="28"/>
          <w:szCs w:val="28"/>
          <w:rtl w:val="true"/>
          <w:lang w:bidi="ar-SA"/>
        </w:rPr>
        <w:t xml:space="preserve">محل كشتى ساختن وى و بالاخره تنورى كه آب از آن فوران نمود و وقوع طوفان نوح را اعلان نمود، در اين مسجد قرار داشت كه هم اكنون نيز مكانى در مسجد با عنوان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مشخص است</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طوفان نوح اين مسجد را به كلى ويران كرد</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اما باز در روايات از اين مسجد به عنوان مصلاّى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 كه بر آباد بودن اين مسجد در زمان آن حضرت دلالت مى‌كند</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در زمان‌هاى بعدى روييدن‌گاه بوته كدو كه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پوشانيد و نيز جايگاه و مخفيگاه عصاى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انگشتر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ذكر شده است</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همچنين مصلاّى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حضرت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مسجد تعيين نموده‌اند</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و بالاخره در روايتى، اين مسجد به عنوان مصلاى</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معرفى شده است</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بعضى از مطالب فوق در كتاب‌هاى اهل سنت نيز راه يافته است </w:t>
      </w:r>
      <w:r>
        <w:rPr>
          <w:rStyle w:val="FootnoteAnchor"/>
          <w:rtl w:val="true"/>
        </w:rPr>
        <w:footnoteReference w:id="462"/>
      </w:r>
      <w:r>
        <w:rPr>
          <w:rFonts w:ascii="Amiri" w:hAnsi="Amiri" w:eastAsia="Amiri" w:cs="Amiri"/>
          <w:color w:val="111111"/>
          <w:sz w:val="28"/>
          <w:sz w:val="28"/>
          <w:szCs w:val="28"/>
          <w:rtl w:val="true"/>
          <w:lang w:bidi="ar-SA"/>
        </w:rPr>
        <w:t>كه به نظر مى‌رسد مستند آنها روايات شيعه در اين باب باشد</w:t>
      </w:r>
      <w:r>
        <w:rPr>
          <w:rFonts w:eastAsia="Amiri" w:cs="Amiri" w:ascii="Amiri" w:hAnsi="Amiri"/>
          <w:color w:val="111111"/>
          <w:sz w:val="28"/>
          <w:szCs w:val="28"/>
          <w:rtl w:val="true"/>
          <w:lang w:bidi="ar-SA"/>
        </w:rPr>
        <w:t>.</w:t>
      </w:r>
    </w:p>
    <w:p>
      <w:pPr>
        <w:pStyle w:val="Heading6"/>
        <w:numPr>
          <w:ilvl w:val="5"/>
          <w:numId w:val="1"/>
        </w:numPr>
        <w:rPr/>
      </w:pPr>
      <w:bookmarkStart w:id="659" w:name="__RefHeading___Toc3584985_3650668749"/>
      <w:bookmarkStart w:id="660" w:name="_Toc289"/>
      <w:bookmarkEnd w:id="659"/>
      <w:r>
        <w:rPr>
          <w:rtl w:val="true"/>
        </w:rPr>
        <w:t>دوم</w:t>
      </w:r>
      <w:r>
        <w:rPr>
          <w:rtl w:val="true"/>
        </w:rPr>
        <w:t xml:space="preserve">- </w:t>
      </w:r>
      <w:r>
        <w:rPr>
          <w:rtl w:val="true"/>
        </w:rPr>
        <w:t>مسجد در زمان سعد بن ابي‌وقاص</w:t>
      </w:r>
      <w:bookmarkEnd w:id="66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هنگامى كه سعد و مشاورانش قصد پى‌ريزى نقشه شهر كوفه را نمودند، اولين مكانى كه در اين نقشه‌كشى مشخص شد، مسجد جامع كوفه بود</w:t>
      </w:r>
      <w:r>
        <w:rPr>
          <w:rFonts w:eastAsia="IRNazanin" w:cs="IRNazanin"/>
          <w:color w:val="111111"/>
          <w:sz w:val="28"/>
          <w:szCs w:val="28"/>
          <w:rtl w:val="true"/>
          <w:lang w:bidi="fa-IR"/>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اين مكان به عنوان نقطه مركزى شهر به حساب آمد و فاصله آن تا فرات كه در شرق آن قرار داشت، حدود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بوده است</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مسجد جامع كوفه به شكل</w:t>
      </w:r>
    </w:p>
    <w:p>
      <w:pPr>
        <w:pStyle w:val="BookText"/>
        <w:rPr/>
      </w:pPr>
      <w:r>
        <w:rPr>
          <w:rFonts w:ascii="Amiri" w:hAnsi="Amiri" w:eastAsia="Amiri" w:cs="Amiri"/>
          <w:color w:val="111111"/>
          <w:sz w:val="28"/>
          <w:sz w:val="28"/>
          <w:szCs w:val="28"/>
          <w:rtl w:val="true"/>
          <w:lang w:bidi="ar-SA"/>
        </w:rPr>
        <w:t xml:space="preserve">مربع كه ابعاد هر ضلع آن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بود، ساخته شد</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مساحت، رقمى معادل زير به دست مى‌آيد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اينجا مى‌توان به صحت اين سخن پى برد كه گفته شده است مسجد اوليه، گنجايش جمعيت چهل هزار نفرى جنگ‌جويان را داشته است </w:t>
      </w:r>
      <w:r>
        <w:rPr>
          <w:rStyle w:val="FootnoteAnchor"/>
          <w:rtl w:val="true"/>
        </w:rPr>
        <w:footnoteReference w:id="466"/>
      </w:r>
      <w:r>
        <w:rPr>
          <w:rFonts w:ascii="IRNazanin" w:hAnsi="IRNazanin" w:eastAsia="IRNazanin"/>
          <w:color w:val="111111"/>
          <w:sz w:val="28"/>
          <w:sz w:val="28"/>
          <w:szCs w:val="28"/>
          <w:rtl w:val="true"/>
          <w:lang w:bidi="fa-IR"/>
        </w:rPr>
        <w:t>زيرا اگر فرض شود هر چهار نفر در يك صف، يك متر فضا اشغال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صف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حدود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در خود جاى مى‌دهد و اگر فرض شود مقدار عرض هر صف يك 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تشكيل مى‌شده است كه رقمى معادل ذيل را در خود جاى مى‌داده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48400</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يعنى هنگام برپايى نماز جماعت، مسجد گنجايش اين جمعيت را داشته است كه البته هنگام برپايى اجتماعات ديگر كه معمولاً مردم با فاصله كمترى مى‌نشينند، مقدار گنجايش مسجد بيشتر بوده‌است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آنكه خصوصيات مسجد بررسى شود، يادآورى اين نكته تاريخى ضرورى است كه پس از مدت كوتاهى كه از بنيان نهادن مسجد گذشت، به بيت‌المال كه در گوشه قصر قرار داشت، دستبردى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براى آنكه اين‌گونه امور ديگر تكرار نشود، مسجد را كه در فاصله دورترى از قصر قرار داشت، به سرعت خراب كرده و مقدارى به سمت جنوب و به طرف قصر تغيير مكان داد</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اينكه فاصله مسجد تا قصر چه مقدار بوده، در بخش‌هاى بعدى بررسى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اين گزارش تاريخى مشخص مى‌شود اين است كه بناى مسجد اوليه يا بسيار ساده بوده و يا هنوز بنايى آن چنان نداشته كه به اين سرعت جابه‌جا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مسجدى كه هم‌اكنون توصيف مى‌شود، مسجد دوم</w:t>
      </w:r>
    </w:p>
    <w:p>
      <w:pPr>
        <w:pStyle w:val="BookText"/>
        <w:rPr/>
      </w:pPr>
      <w:r>
        <w:rPr>
          <w:rFonts w:ascii="IRNazanin" w:hAnsi="IRNazanin" w:eastAsia="IRNazanin"/>
          <w:color w:val="111111"/>
          <w:sz w:val="28"/>
          <w:sz w:val="28"/>
          <w:szCs w:val="28"/>
          <w:rtl w:val="true"/>
          <w:lang w:bidi="fa-IR"/>
        </w:rPr>
        <w:t>است نه مسجد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خصوصياتى كه براى اين مسجد ذكر مى‌شود، تا زمان زياد، يعنى سال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زمان حكومت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يعنى از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نيز به همين‌گونه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سازنده اين مسجد، معمارى ايرانى از اهل همدان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بوذرجمهِر بود</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در قسمت جنوب مسجد و در سمت قبله، شبستان مسجد بنا شده بود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طول اين شبستان حدود دويست 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از مقدار عرض آن در كتاب‌ها نكته‌اى ذكر نشده است، اما بعضى از مستشرقان عرض آن را بيست متر در زمان سعد ذكر كرده‌اند</w:t>
      </w:r>
      <w:r>
        <w:rPr>
          <w:rFonts w:eastAsia="Amiri" w:cs="Amiri" w:ascii="Amiri" w:hAnsi="Amiri"/>
          <w:color w:val="111111"/>
          <w:sz w:val="28"/>
          <w:szCs w:val="28"/>
          <w:rtl w:val="true"/>
          <w:lang w:bidi="ar-SA"/>
        </w:rPr>
        <w:t xml:space="preserve">. </w:t>
      </w:r>
      <w:r>
        <w:rPr>
          <w:rStyle w:val="FootnoteAnchor"/>
          <w:rtl w:val="true"/>
        </w:rPr>
        <w:footnoteReference w:id="471"/>
      </w:r>
      <w:r>
        <w:rPr>
          <w:rFonts w:ascii="IRNazanin" w:hAnsi="IRNazanin" w:eastAsia="IRNazanin"/>
          <w:color w:val="111111"/>
          <w:sz w:val="28"/>
          <w:sz w:val="28"/>
          <w:szCs w:val="28"/>
          <w:rtl w:val="true"/>
          <w:lang w:bidi="fa-IR"/>
        </w:rPr>
        <w:t>اين شبستان داراى چهارچوبه در، و در بود كه گفته شده به منظور جلوگيرى از ازدحام مردم در آن تعبيه شده بود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سقف اين شبستان از خشت خام يا آجر بوده كه از حيره تأمين مى‌شد و طاق‌بندى حتى روى آن انجام نشده بود، بلكه طاقى مسطح داشت</w:t>
      </w:r>
      <w:r>
        <w:rPr>
          <w:rFonts w:eastAsia="Amiri" w:cs="Amiri" w:ascii="Amiri" w:hAnsi="Amiri"/>
          <w:color w:val="111111"/>
          <w:sz w:val="28"/>
          <w:szCs w:val="28"/>
          <w:rtl w:val="true"/>
          <w:lang w:bidi="ar-SA"/>
        </w:rPr>
        <w:t xml:space="preserve">. </w:t>
      </w:r>
      <w:r>
        <w:rPr>
          <w:rStyle w:val="FootnoteAnchor"/>
          <w:rtl w:val="true"/>
        </w:rPr>
        <w:footnoteReference w:id="473"/>
      </w:r>
      <w:r>
        <w:rPr>
          <w:rFonts w:ascii="IRNazanin" w:hAnsi="IRNazanin" w:eastAsia="IRNazanin"/>
          <w:color w:val="111111"/>
          <w:sz w:val="28"/>
          <w:sz w:val="28"/>
          <w:szCs w:val="28"/>
          <w:rtl w:val="true"/>
          <w:lang w:bidi="fa-IR"/>
        </w:rPr>
        <w:t xml:space="preserve">ستون‌هاى مسجد از گونه‌اى سنگ آهكى سفيد و نرم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شده بود كه منابع تاريخى اصل اين ستون‌ها را مربوط به ايرانيان مى‌دانند</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ظاهراً بايد اين سنگ‌ها از حيره به كوفه منتقل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اين ستون‌ها به اندازه و تعداد ستون‌هاى كليساهاى رومى آن زمان دانسته شده است</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بنابراين، مى‌توان گفت كه مسجد سقفى بلند داشته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تعيين شكل و اندازه و تعداد ستون‌ها در زمان معينى مشكل است، در بخش جداگانه‌اى بررسى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مستشرقان تعداد طاق‌نماهاى</w:t>
      </w:r>
    </w:p>
    <w:p>
      <w:pPr>
        <w:pStyle w:val="BookText"/>
        <w:rPr/>
      </w:pPr>
      <w:r>
        <w:rPr>
          <w:rFonts w:ascii="Amiri" w:hAnsi="Amiri" w:eastAsia="Amiri" w:cs="Amiri"/>
          <w:color w:val="111111"/>
          <w:sz w:val="28"/>
          <w:sz w:val="28"/>
          <w:szCs w:val="28"/>
          <w:rtl w:val="true"/>
          <w:lang w:bidi="ar-SA"/>
        </w:rPr>
        <w:t xml:space="preserve">مصلّى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زمان سعد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ذكر كرده‌و عرض شبستان را بيست متر دانسته‌اند</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محراب مسجد كه محل ضربت خوردن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بوده، در سمت راست قبله قرار داشت</w:t>
      </w:r>
      <w:r>
        <w:rPr>
          <w:rFonts w:eastAsia="Amiri" w:cs="Amiri" w:ascii="Amiri" w:hAnsi="Amiri"/>
          <w:color w:val="111111"/>
          <w:sz w:val="28"/>
          <w:szCs w:val="28"/>
          <w:rtl w:val="true"/>
          <w:lang w:bidi="ar-SA"/>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مسجد در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مأذنه 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روايتى،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طلوع فجر صبح نوزدهم ماه مبارك رمضان، يعنى قبل از ضربت خوردن، طبق عادت هميشگى در آن مأذنه، اذان گفت</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روشنايى مسجد در زمان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وسيله قناديلى تأمين مى‌شد</w:t>
      </w:r>
      <w:r>
        <w:rPr>
          <w:rFonts w:eastAsia="Amiri" w:cs="Amiri" w:ascii="Amiri" w:hAnsi="Amiri"/>
          <w:color w:val="111111"/>
          <w:sz w:val="28"/>
          <w:szCs w:val="28"/>
          <w:rtl w:val="true"/>
          <w:lang w:bidi="ar-SA"/>
        </w:rPr>
        <w:t xml:space="preserve">. </w:t>
      </w:r>
      <w:r>
        <w:rPr>
          <w:rStyle w:val="FootnoteAnchor"/>
          <w:rtl w:val="true"/>
        </w:rPr>
        <w:footnoteReference w:id="47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قسمت غيرمسقّف مسجد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خصوصياتى داشته، از جمله اينكه ظاهراً كف صحن ابتدا پوشيده از خاك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طبق روايتى در زمان وليد بن عُقْبه صحن مسجد با شن و ريگ فرش شده بود كه مردم اين ريگ‌ها را به سمت فرماندار فاسق خود پرتاب مى‌نمودند</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 xml:space="preserve">ديوارهاى سمت راست، قبل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كوتاه بود، به گونه‌اى كه كسى كه در صحن مى‌نشست مى‌توانست از آنجا دير هند و پل كوفه را كه روى فرات نصب شده بود، مشاهده‌كند</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بر اين اساس بعضى احتمال داده‌اند كه ديوارها حداكثر پرچينى از نى يا ديوار كوتاهى از خشت خام بود</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اما خصوصيات درهاى اين قسمت از آنجا كه تعيين زمان آن مشكل است، در بخشى جداگانه، بررسى خواهد شد</w:t>
      </w:r>
      <w:r>
        <w:rPr>
          <w:rFonts w:eastAsia="IRNazanin" w:cs="IRNazanin"/>
          <w:color w:val="111111"/>
          <w:sz w:val="28"/>
          <w:szCs w:val="28"/>
          <w:rtl w:val="true"/>
          <w:lang w:bidi="fa-IR"/>
        </w:rPr>
        <w:t>.</w:t>
      </w:r>
      <w:bookmarkStart w:id="661" w:name="pg1964_19561"/>
    </w:p>
    <w:p>
      <w:pPr>
        <w:pStyle w:val="Heading6"/>
        <w:numPr>
          <w:ilvl w:val="5"/>
          <w:numId w:val="1"/>
        </w:numPr>
        <w:rPr/>
      </w:pPr>
      <w:bookmarkStart w:id="662" w:name="__RefHeading___Toc3584987_3650668749"/>
      <w:bookmarkStart w:id="663" w:name="_Toc290"/>
      <w:bookmarkEnd w:id="661"/>
      <w:bookmarkEnd w:id="662"/>
      <w:r>
        <w:rPr>
          <w:rtl w:val="true"/>
        </w:rPr>
        <w:t xml:space="preserve">سوم </w:t>
      </w:r>
      <w:r>
        <w:rPr>
          <w:rtl w:val="true"/>
        </w:rPr>
        <w:t xml:space="preserve">- </w:t>
      </w:r>
      <w:r>
        <w:rPr>
          <w:rtl w:val="true"/>
        </w:rPr>
        <w:t>مسجد در زمان زياد بن ابيه</w:t>
      </w:r>
      <w:bookmarkEnd w:id="663"/>
    </w:p>
    <w:p>
      <w:pPr>
        <w:pStyle w:val="BookText"/>
        <w:rPr/>
      </w:pPr>
      <w:r>
        <w:rPr>
          <w:rFonts w:ascii="IRNazanin" w:hAnsi="IRNazanin" w:eastAsia="IRNazanin"/>
          <w:color w:val="111111"/>
          <w:sz w:val="28"/>
          <w:sz w:val="28"/>
          <w:szCs w:val="28"/>
          <w:rtl w:val="true"/>
          <w:lang w:bidi="fa-IR"/>
        </w:rPr>
        <w:t xml:space="preserve">بازسازى و گسترش مسجد كوفه به اُمراى ديگرى مانند مغيرة بن شعبه </w:t>
      </w:r>
      <w:r>
        <w:rPr>
          <w:rStyle w:val="FootnoteAnchor"/>
          <w:rtl w:val="true"/>
        </w:rPr>
        <w:footnoteReference w:id="484"/>
      </w:r>
      <w:r>
        <w:rPr>
          <w:rFonts w:ascii="IRNazanin" w:hAnsi="IRNazanin" w:eastAsia="IRNazanin"/>
          <w:color w:val="111111"/>
          <w:sz w:val="28"/>
          <w:sz w:val="28"/>
          <w:szCs w:val="28"/>
          <w:rtl w:val="true"/>
          <w:lang w:bidi="fa-IR"/>
        </w:rPr>
        <w:t xml:space="preserve">كه از سال‌هاى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والى كوفه بود و نيز عبيدالله پسر زياد نسبت داده شده است</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اما مشهور آن است كه عمده تغييرات به وسيله زياد در فاصله سال‌هاى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بازسازى مسجد براى زياد، هزينه هنگفتى دربر داشت به گونه‌اى كه از قول او نقل شده است كه در پاى هر ستون هجده هزار درهم خرج نمود</w:t>
      </w:r>
      <w:r>
        <w:rPr>
          <w:rFonts w:eastAsia="IRNazanin" w:cs="IRNazanin"/>
          <w:color w:val="111111"/>
          <w:sz w:val="28"/>
          <w:szCs w:val="28"/>
          <w:rtl w:val="true"/>
          <w:lang w:bidi="fa-IR"/>
        </w:rPr>
        <w:t xml:space="preserve">. </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نقشه‌هاى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معمارهاى اين مسجد دو نفر معمار از زمان جاهليت ذكر شده‌اند كه طاق‌بندى و ستون‌بندى را مانند بناهاى رفيع ساسانى انجام مى‌دادند</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در اينجا ابتدا با توجه به منابع تاريخى به تغييراتى كه زياد در مسجد ايجاد كرده بود، پرداخته مى‌شود و در بخش بعد گزارش باستان‌شناسى‌هاى اخير ذكر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تغييراتى كه زياد بنا به نوشته منابع تاريخى در مسجد ايجاد كرد، از قرار ذيل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مساحت مسجد را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داد، زيرا مسجدى كه تا قبل از زياد گنجايش جمعيت چهل هزار نفرى را داشت، در زمان او وسعت آن به اندازه گنجايش شصت هزار نفر جمعيت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جنوب مسجد متصل به دارالاماره و گسترش از دو طرف شرق و غرب صورت نگرفته است، نتيجه مى‌گيريم كه اين گسترش در طرف شمال مسجد، يعنى روبه‌روى قبله بوده است</w:t>
      </w:r>
      <w:r>
        <w:rPr>
          <w:rFonts w:eastAsia="IRNazanin" w:cs="IRNazanin"/>
          <w:color w:val="111111"/>
          <w:sz w:val="28"/>
          <w:szCs w:val="28"/>
          <w:rtl w:val="true"/>
          <w:lang w:bidi="fa-IR"/>
        </w:rPr>
        <w:t xml:space="preserve">. </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نقشه‌شماره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ستون‌هاى مسجد از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و درون آنها سوراخ گرديده و با سرب و ميله‌هاى آهنى پر شده و در شبستان مسجد به‌كار رفته است</w:t>
      </w:r>
      <w:r>
        <w:rPr>
          <w:rFonts w:eastAsia="IRNazanin" w:cs="IRNazanin"/>
          <w:color w:val="111111"/>
          <w:sz w:val="28"/>
          <w:szCs w:val="28"/>
          <w:rtl w:val="true"/>
          <w:lang w:bidi="fa-IR"/>
        </w:rPr>
        <w:t xml:space="preserve">. </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 شماره</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ستون‌ها حدود سى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پانزده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طاق مسجد از سادگى در آمده و به طاق‌هاى برجسته ساختمان‌هاى مجلّل ايرانى مانند طاق‌مدائن شباهتى يافته است</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در روايتى مربوط به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تخاتخ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تخته‌هاى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به ميان آمده است كه بر وجود تخته در طاق دلالت مى‌كند</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دو طرف شبستان، دهليزهاى جانبى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داشت</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مسجد ديدار كرده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 هفت بِلاط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دهليز جانبى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پنج تاى آن در جانب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روبه‌روى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مورد ديگر در دو طرف شرق و غرب مى‌باشد</w:t>
      </w:r>
      <w:r>
        <w:rPr>
          <w:rFonts w:eastAsia="IRNazanin" w:cs="IRNazanin"/>
          <w:color w:val="111111"/>
          <w:sz w:val="28"/>
          <w:szCs w:val="28"/>
          <w:rtl w:val="true"/>
          <w:lang w:bidi="fa-IR"/>
        </w:rPr>
        <w:t xml:space="preserve">» . </w:t>
      </w:r>
      <w:r>
        <w:rPr>
          <w:rStyle w:val="FootnoteAnchor"/>
          <w:rtl w:val="true"/>
        </w:rPr>
        <w:footnoteReference w:id="4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ترس از ترور و نيز به جهت رهايى از سنگ‌اندازى‌هاى مردم، براى خود در سمت قبله در جايگاه محراب، مقصوره‌اى بنا نمود كه او را از صفوف نمازگزاران جدا مى‌كرد و احتمال ترور را به حداقل مى‌رساند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ديوارهاى بلندى براى صحن مسجد بنا نمود</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 صحن را تماماً از ريگ فرش نمود و توجيه او اين بود كه مردم هنگام برآمدن از سجود، براى زدودن خاك كف دست خود، آن را فوت مى‌كنند و به مرور زمان ممكن است، اين عمل به عنوان سنت در نماز محسوب شود</w:t>
      </w:r>
      <w:r>
        <w:rPr>
          <w:rFonts w:eastAsia="IRNazanin" w:cs="IRNazanin"/>
          <w:color w:val="111111"/>
          <w:sz w:val="28"/>
          <w:szCs w:val="28"/>
          <w:rtl w:val="true"/>
          <w:lang w:bidi="fa-IR"/>
        </w:rPr>
        <w:t xml:space="preserve">. </w:t>
      </w:r>
      <w:r>
        <w:rPr>
          <w:rStyle w:val="FootnoteAnchor"/>
          <w:rtl w:val="true"/>
        </w:rPr>
        <w:footnoteReference w:id="497"/>
      </w:r>
      <w:bookmarkStart w:id="664" w:name="pg1964_19563"/>
    </w:p>
    <w:p>
      <w:pPr>
        <w:pStyle w:val="BookText"/>
        <w:rPr/>
      </w:pPr>
      <w:bookmarkEnd w:id="66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 به نوشته بلاذرى مصالح ساختمانى مسجد جامع از قصرهاى ويران شده حيره تأمين مى‌شد و قيمت آن را در مقابل جزيه اهل حيره به حساب مى‌آوردند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65" w:name="__RefHeading___Toc3584989_3650668749"/>
      <w:bookmarkStart w:id="666" w:name="_Toc291"/>
      <w:bookmarkEnd w:id="665"/>
      <w:r>
        <w:rPr>
          <w:rtl w:val="true"/>
        </w:rPr>
        <w:t xml:space="preserve">دو </w:t>
      </w:r>
      <w:r>
        <w:rPr>
          <w:rtl w:val="true"/>
        </w:rPr>
        <w:t xml:space="preserve">- </w:t>
      </w:r>
      <w:r>
        <w:rPr>
          <w:rtl w:val="true"/>
        </w:rPr>
        <w:t>درها‌ى مسجد جامع</w:t>
      </w:r>
      <w:bookmarkEnd w:id="666"/>
    </w:p>
    <w:p>
      <w:pPr>
        <w:pStyle w:val="Heading6"/>
        <w:numPr>
          <w:ilvl w:val="5"/>
          <w:numId w:val="1"/>
        </w:numPr>
        <w:rPr/>
      </w:pPr>
      <w:bookmarkStart w:id="667" w:name="__RefHeading___Toc3584991_3650668749"/>
      <w:bookmarkStart w:id="668" w:name="_Toc292"/>
      <w:bookmarkEnd w:id="667"/>
      <w:r>
        <w:rPr>
          <w:rtl w:val="true"/>
        </w:rPr>
        <w:t>اشاره</w:t>
      </w:r>
      <w:bookmarkEnd w:id="668"/>
    </w:p>
    <w:p>
      <w:pPr>
        <w:pStyle w:val="BookText"/>
        <w:rPr/>
      </w:pPr>
      <w:r>
        <w:rPr>
          <w:rFonts w:ascii="IRNazanin" w:hAnsi="IRNazanin" w:eastAsia="IRNazanin"/>
          <w:color w:val="111111"/>
          <w:sz w:val="28"/>
          <w:sz w:val="28"/>
          <w:szCs w:val="28"/>
          <w:rtl w:val="true"/>
          <w:lang w:bidi="fa-IR"/>
        </w:rPr>
        <w:t>در بعضى از منابع چنين آمده است كه مسجد جامع كوفه درهاى فراوانى داشت، زيرا قبيله‌هاى اطراف براى ورود خود به مسجد، درى تعبيه مى‌نمودند</w:t>
      </w:r>
      <w:r>
        <w:rPr>
          <w:rFonts w:eastAsia="IRNazanin" w:cs="IRNazanin"/>
          <w:color w:val="111111"/>
          <w:sz w:val="28"/>
          <w:szCs w:val="28"/>
          <w:rtl w:val="true"/>
          <w:lang w:bidi="fa-IR"/>
        </w:rPr>
        <w:t xml:space="preserve">. </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نقشه‌هاى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اين درها در كتاب‌هاى تاريخى ذكر شده، چهار در است</w:t>
      </w:r>
      <w:r>
        <w:rPr>
          <w:rFonts w:eastAsia="IRNazanin" w:cs="IRNazanin"/>
          <w:color w:val="111111"/>
          <w:sz w:val="28"/>
          <w:szCs w:val="28"/>
          <w:rtl w:val="true"/>
          <w:lang w:bidi="fa-IR"/>
        </w:rPr>
        <w:t>:</w:t>
      </w:r>
    </w:p>
    <w:p>
      <w:pPr>
        <w:pStyle w:val="Heading6"/>
        <w:numPr>
          <w:ilvl w:val="5"/>
          <w:numId w:val="1"/>
        </w:numPr>
        <w:rPr/>
      </w:pPr>
      <w:bookmarkStart w:id="669" w:name="__RefHeading___Toc3584993_3650668749"/>
      <w:bookmarkStart w:id="670" w:name="_Toc293"/>
      <w:bookmarkEnd w:id="669"/>
      <w:r>
        <w:rPr>
          <w:rtl w:val="true"/>
        </w:rPr>
        <w:t xml:space="preserve">اول </w:t>
      </w:r>
      <w:r>
        <w:rPr>
          <w:rtl w:val="true"/>
        </w:rPr>
        <w:t xml:space="preserve">- </w:t>
      </w:r>
      <w:r>
        <w:rPr>
          <w:rtl w:val="true"/>
        </w:rPr>
        <w:t>باب السُدَّه</w:t>
      </w:r>
      <w:bookmarkEnd w:id="670"/>
    </w:p>
    <w:p>
      <w:pPr>
        <w:pStyle w:val="BookText"/>
        <w:rPr/>
      </w:pPr>
      <w:r>
        <w:rPr>
          <w:rFonts w:ascii="Amiri" w:hAnsi="Amiri" w:eastAsia="Amiri" w:cs="Amiri"/>
          <w:color w:val="111111"/>
          <w:sz w:val="28"/>
          <w:sz w:val="28"/>
          <w:szCs w:val="28"/>
          <w:rtl w:val="true"/>
          <w:lang w:bidi="ar-SA"/>
        </w:rPr>
        <w:t>اين در، نمازخانه مسجد، يعنى شبستان آن را به قصر متصل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در قسمت جنوب و قبله مسجد واقع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در رفت‌وآمد مى‌كرد</w:t>
      </w:r>
      <w:r>
        <w:rPr>
          <w:rFonts w:eastAsia="Amiri" w:cs="Amiri" w:ascii="Amiri" w:hAnsi="Amiri"/>
          <w:color w:val="111111"/>
          <w:sz w:val="28"/>
          <w:szCs w:val="28"/>
          <w:rtl w:val="true"/>
          <w:lang w:bidi="ar-SA"/>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عبيدالله بن زياد در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پس از فروكش شدن قيام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گشودن اين در نمود و از آنجا وارد مسجد شد</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از اين گزارش، وجود اين در استفاده مى‌شود</w:t>
      </w:r>
      <w:r>
        <w:rPr>
          <w:rFonts w:eastAsia="IRNazanin" w:cs="IRNazanin"/>
          <w:color w:val="111111"/>
          <w:sz w:val="28"/>
          <w:szCs w:val="28"/>
          <w:rtl w:val="true"/>
          <w:lang w:bidi="fa-IR"/>
        </w:rPr>
        <w:t xml:space="preserve">. </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نقشه‌هاى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6"/>
        <w:numPr>
          <w:ilvl w:val="5"/>
          <w:numId w:val="1"/>
        </w:numPr>
        <w:rPr/>
      </w:pPr>
      <w:bookmarkStart w:id="671" w:name="__RefHeading___Toc3584995_3650668749"/>
      <w:bookmarkStart w:id="672" w:name="_Toc294"/>
      <w:bookmarkEnd w:id="671"/>
      <w:r>
        <w:rPr>
          <w:rtl w:val="true"/>
        </w:rPr>
        <w:t xml:space="preserve">دوم </w:t>
      </w:r>
      <w:r>
        <w:rPr>
          <w:rtl w:val="true"/>
        </w:rPr>
        <w:t xml:space="preserve">- </w:t>
      </w:r>
      <w:r>
        <w:rPr>
          <w:rtl w:val="true"/>
        </w:rPr>
        <w:t>باب الفيل</w:t>
      </w:r>
      <w:bookmarkEnd w:id="67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در جهت عكس قبله، يعنى روبه‌روى آن و در سمت شمال مسجد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كتاب‌هاى شيعى، نام قبلى اين 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درِ اژدها دانسته‌اند؛ زيرا در آنجا مارى بزرگ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 و</w:t>
      </w:r>
      <w:bookmarkStart w:id="673" w:name="pg1964_19564"/>
    </w:p>
    <w:p>
      <w:pPr>
        <w:pStyle w:val="BookText"/>
        <w:rPr/>
      </w:pPr>
      <w:bookmarkEnd w:id="673"/>
      <w:r>
        <w:rPr>
          <w:rFonts w:ascii="IRNazanin" w:hAnsi="IRNazanin" w:eastAsia="IRNazanin"/>
          <w:color w:val="111111"/>
          <w:sz w:val="28"/>
          <w:sz w:val="28"/>
          <w:szCs w:val="28"/>
          <w:rtl w:val="true"/>
          <w:lang w:bidi="fa-IR"/>
        </w:rPr>
        <w:t xml:space="preserve">بنى‌اميه به منظور فراموش شدن اين كرامت، اصرار به نامگذارى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اما در باره نامگذارى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مختلفى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گزارش‌ها چنين آمده است كه فيلى در نزديكى اين در، در زمان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ديگر چنين آمده است كه ساحرى براى مردم چنين وانمود كرد كه فيلى از اين در خارج شد در حالى‌كه سوار بر الاغى‌بود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گزارشى ديگر چنين آمده است كه تغار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ظاهراً براى وضو گرفتن بوده به وسيله فيلى به اين مسجد حمل شده بود و از اين در وارد مسجد شد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گفته شده است كه اين در تنها درى بود كه در طول زمان باز ماند و بقيه درها در بسيارى از اوقات بسته يا از ميان رفته بود</w:t>
      </w:r>
      <w:r>
        <w:rPr>
          <w:rFonts w:eastAsia="IRNazanin" w:cs="IRNazanin"/>
          <w:color w:val="111111"/>
          <w:sz w:val="28"/>
          <w:szCs w:val="28"/>
          <w:rtl w:val="true"/>
          <w:lang w:bidi="fa-IR"/>
        </w:rPr>
        <w:t xml:space="preserve">. </w:t>
      </w:r>
      <w:r>
        <w:rPr>
          <w:rStyle w:val="FootnoteAnchor"/>
          <w:rtl w:val="true"/>
        </w:rPr>
        <w:footnoteReference w:id="504"/>
      </w:r>
    </w:p>
    <w:p>
      <w:pPr>
        <w:pStyle w:val="Heading6"/>
        <w:numPr>
          <w:ilvl w:val="5"/>
          <w:numId w:val="1"/>
        </w:numPr>
        <w:rPr/>
      </w:pPr>
      <w:bookmarkStart w:id="674" w:name="__RefHeading___Toc3584997_3650668749"/>
      <w:bookmarkStart w:id="675" w:name="_Toc295"/>
      <w:bookmarkEnd w:id="674"/>
      <w:r>
        <w:rPr>
          <w:rtl w:val="true"/>
        </w:rPr>
        <w:t>سوم</w:t>
      </w:r>
      <w:r>
        <w:rPr>
          <w:rtl w:val="true"/>
        </w:rPr>
        <w:t xml:space="preserve">- </w:t>
      </w:r>
      <w:r>
        <w:rPr>
          <w:rtl w:val="true"/>
        </w:rPr>
        <w:t>باب الكنده</w:t>
      </w:r>
      <w:bookmarkEnd w:id="67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در، در طرف راست مسجد، يعنى غرب آن واقع بود</w:t>
      </w:r>
      <w:r>
        <w:rPr>
          <w:rFonts w:eastAsia="Amiri" w:cs="Amiri" w:ascii="Amiri" w:hAnsi="Amiri"/>
          <w:color w:val="111111"/>
          <w:sz w:val="28"/>
          <w:szCs w:val="28"/>
          <w:rtl w:val="true"/>
          <w:lang w:bidi="ar-SA"/>
        </w:rPr>
        <w:t xml:space="preserve">. </w:t>
      </w:r>
      <w:r>
        <w:rPr>
          <w:rStyle w:val="FootnoteAnchor"/>
          <w:rtl w:val="true"/>
        </w:rPr>
        <w:footnoteReference w:id="505"/>
      </w:r>
      <w:r>
        <w:rPr>
          <w:rFonts w:ascii="IRNazanin" w:hAnsi="IRNazanin" w:eastAsia="IRNazanin"/>
          <w:color w:val="111111"/>
          <w:sz w:val="28"/>
          <w:sz w:val="28"/>
          <w:szCs w:val="28"/>
          <w:rtl w:val="true"/>
          <w:lang w:bidi="fa-IR"/>
        </w:rPr>
        <w:t>البته بعضى وجود آن را در قسمت جنوبى مسجد احتمال مى‌دهند</w:t>
      </w:r>
      <w:r>
        <w:rPr>
          <w:rFonts w:eastAsia="IRNazanin" w:cs="IRNazanin"/>
          <w:color w:val="111111"/>
          <w:sz w:val="28"/>
          <w:szCs w:val="28"/>
          <w:rtl w:val="true"/>
          <w:lang w:bidi="fa-IR"/>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اين احتمال به خصوص با توجه به اينكه قبيله كنده در جنوب مسجد ساكن شده بودند </w:t>
      </w:r>
      <w:r>
        <w:rPr>
          <w:rStyle w:val="FootnoteAnchor"/>
          <w:rtl w:val="true"/>
        </w:rPr>
        <w:footnoteReference w:id="507"/>
      </w:r>
      <w:r>
        <w:rPr>
          <w:rFonts w:ascii="IRNazanin" w:hAnsi="IRNazanin" w:eastAsia="IRNazanin"/>
          <w:color w:val="111111"/>
          <w:sz w:val="28"/>
          <w:sz w:val="28"/>
          <w:szCs w:val="28"/>
          <w:rtl w:val="true"/>
          <w:lang w:bidi="fa-IR"/>
        </w:rPr>
        <w:t>، نزديك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گزارش‌هاى تاريخى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الكنده؛ درهاى 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w:t>
      </w:r>
      <w:r>
        <w:rPr>
          <w:rStyle w:val="FootnoteAnchor"/>
          <w:rtl w:val="true"/>
        </w:rPr>
        <w:footnoteReference w:id="508"/>
      </w:r>
      <w:r>
        <w:rPr>
          <w:rFonts w:ascii="IRNazanin" w:hAnsi="IRNazanin" w:eastAsia="IRNazanin"/>
          <w:color w:val="111111"/>
          <w:sz w:val="28"/>
          <w:sz w:val="28"/>
          <w:szCs w:val="28"/>
          <w:rtl w:val="true"/>
          <w:lang w:bidi="fa-IR"/>
        </w:rPr>
        <w:t>كه ظاهر آن بر تعدّد اين درها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روايات چنين برمى‌آيد كه اين در به شبستان باز مى‌شده نه به صحن</w:t>
      </w:r>
      <w:r>
        <w:rPr>
          <w:rFonts w:eastAsia="IRNazanin" w:cs="IRNazanin"/>
          <w:color w:val="111111"/>
          <w:sz w:val="28"/>
          <w:szCs w:val="28"/>
          <w:rtl w:val="true"/>
          <w:lang w:bidi="fa-IR"/>
        </w:rPr>
        <w:t>.</w:t>
      </w:r>
      <w:bookmarkStart w:id="676" w:name="pg1964_19565"/>
    </w:p>
    <w:p>
      <w:pPr>
        <w:pStyle w:val="Heading6"/>
        <w:numPr>
          <w:ilvl w:val="5"/>
          <w:numId w:val="1"/>
        </w:numPr>
        <w:rPr/>
      </w:pPr>
      <w:bookmarkStart w:id="677" w:name="__RefHeading___Toc3584999_3650668749"/>
      <w:bookmarkStart w:id="678" w:name="_Toc296"/>
      <w:bookmarkEnd w:id="676"/>
      <w:bookmarkEnd w:id="677"/>
      <w:r>
        <w:rPr>
          <w:rtl w:val="true"/>
        </w:rPr>
        <w:t>چهارم</w:t>
      </w:r>
      <w:r>
        <w:rPr>
          <w:rtl w:val="true"/>
        </w:rPr>
        <w:t xml:space="preserve">- </w:t>
      </w:r>
      <w:r>
        <w:rPr>
          <w:rtl w:val="true"/>
        </w:rPr>
        <w:t>باب الأنماط</w:t>
      </w:r>
      <w:bookmarkEnd w:id="678"/>
    </w:p>
    <w:p>
      <w:pPr>
        <w:pStyle w:val="BookText"/>
        <w:rPr/>
      </w:pPr>
      <w:r>
        <w:rPr>
          <w:rFonts w:ascii="Amiri" w:hAnsi="Amiri" w:eastAsia="Amiri" w:cs="Amiri"/>
          <w:color w:val="111111"/>
          <w:sz w:val="28"/>
          <w:sz w:val="28"/>
          <w:szCs w:val="28"/>
          <w:rtl w:val="true"/>
          <w:lang w:bidi="ar-SA"/>
        </w:rPr>
        <w:t>اين در به سمت بازار باز مى‌شد و در ضلع شرقى مسجد قرار داشت</w:t>
      </w:r>
      <w:r>
        <w:rPr>
          <w:rFonts w:eastAsia="Amiri" w:cs="Amiri" w:ascii="Amiri" w:hAnsi="Amiri"/>
          <w:color w:val="111111"/>
          <w:sz w:val="28"/>
          <w:szCs w:val="28"/>
          <w:rtl w:val="true"/>
          <w:lang w:bidi="ar-SA"/>
        </w:rPr>
        <w:t xml:space="preserve">. </w:t>
      </w:r>
      <w:r>
        <w:rPr>
          <w:rStyle w:val="FootnoteAnchor"/>
          <w:rtl w:val="true"/>
        </w:rPr>
        <w:footnoteReference w:id="509"/>
      </w:r>
      <w:r>
        <w:rPr>
          <w:rFonts w:ascii="IRNazanin" w:hAnsi="IRNazanin" w:eastAsia="IRNazanin"/>
          <w:color w:val="111111"/>
          <w:sz w:val="28"/>
          <w:sz w:val="28"/>
          <w:szCs w:val="28"/>
          <w:rtl w:val="true"/>
          <w:lang w:bidi="fa-IR"/>
        </w:rPr>
        <w:t xml:space="preserve">انماط جمع نَمَط و به معناى نوعى فرش گليم است </w:t>
      </w:r>
      <w:r>
        <w:rPr>
          <w:rStyle w:val="FootnoteAnchor"/>
          <w:rtl w:val="true"/>
        </w:rPr>
        <w:footnoteReference w:id="510"/>
      </w:r>
      <w:r>
        <w:rPr>
          <w:rFonts w:ascii="IRNazanin" w:hAnsi="IRNazanin" w:eastAsia="IRNazanin"/>
          <w:color w:val="111111"/>
          <w:sz w:val="28"/>
          <w:sz w:val="28"/>
          <w:szCs w:val="28"/>
          <w:rtl w:val="true"/>
          <w:lang w:bidi="fa-IR"/>
        </w:rPr>
        <w:t>كه بر هودج مى‌افكندند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اين قسمت از بازار، افراد اين شغل به كسب و كار خود مشغول بوده‌اند، لذا اين در به نام آنان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بازارهاى تخصصى به نام اين بازار اشاره كرديم و محل آن را نزديك خانه وليد دانستيم، بنابراين اين در نيز در همين حدود واقع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خانه‌هاى مشهورين گفته شد كه خانه وليد در شرق مسجد قرار داشته است</w:t>
      </w:r>
      <w:r>
        <w:rPr>
          <w:rFonts w:eastAsia="IRNazanin" w:cs="IRNazanin"/>
          <w:color w:val="111111"/>
          <w:sz w:val="28"/>
          <w:szCs w:val="28"/>
          <w:rtl w:val="true"/>
          <w:lang w:bidi="fa-IR"/>
        </w:rPr>
        <w:t>.</w:t>
      </w:r>
    </w:p>
    <w:p>
      <w:pPr>
        <w:pStyle w:val="Heading5"/>
        <w:numPr>
          <w:ilvl w:val="4"/>
          <w:numId w:val="1"/>
        </w:numPr>
        <w:rPr/>
      </w:pPr>
      <w:bookmarkStart w:id="679" w:name="__RefHeading___Toc3585001_3650668749"/>
      <w:bookmarkStart w:id="680" w:name="_Toc297"/>
      <w:bookmarkEnd w:id="679"/>
      <w:r>
        <w:rPr>
          <w:rtl w:val="true"/>
        </w:rPr>
        <w:t xml:space="preserve">سه </w:t>
      </w:r>
      <w:r>
        <w:rPr>
          <w:rtl w:val="true"/>
        </w:rPr>
        <w:t xml:space="preserve">- </w:t>
      </w:r>
      <w:r>
        <w:rPr>
          <w:rtl w:val="true"/>
        </w:rPr>
        <w:t>ستون‌ها‌ى مسجد جامع</w:t>
      </w:r>
      <w:bookmarkEnd w:id="680"/>
    </w:p>
    <w:p>
      <w:pPr>
        <w:pStyle w:val="BookText"/>
        <w:rPr/>
      </w:pPr>
      <w:r>
        <w:rPr>
          <w:rFonts w:ascii="IRNazanin" w:hAnsi="IRNazanin" w:eastAsia="IRNazanin"/>
          <w:color w:val="111111"/>
          <w:sz w:val="28"/>
          <w:sz w:val="28"/>
          <w:szCs w:val="28"/>
          <w:rtl w:val="true"/>
          <w:lang w:bidi="fa-IR"/>
        </w:rPr>
        <w:t xml:space="preserve">در منابع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جغرافيايى اهل سنت فقط در سفرنامه ابن‌جبير و سفرنامه ابن‌بطوطه در باره تعداد ستون‌هاى مسجد و جايگاه آنها مطالبى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منابع روايى شيعه، به دليل فضيلت بعضى از ستون‌ها و وقايعى كه در كنار آنها رخ داده است، در اين مورد گزارش‌هايى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كه از مجموع اين روايات به دست مى‌آيد، از قرار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هفت ستون داشته </w:t>
      </w:r>
      <w:r>
        <w:rPr>
          <w:rStyle w:val="FootnoteAnchor"/>
          <w:rtl w:val="true"/>
        </w:rPr>
        <w:footnoteReference w:id="511"/>
      </w:r>
      <w:r>
        <w:rPr>
          <w:rFonts w:ascii="Amiri" w:hAnsi="Amiri" w:eastAsia="Amiri" w:cs="Amiri"/>
          <w:color w:val="111111"/>
          <w:sz w:val="28"/>
          <w:sz w:val="28"/>
          <w:szCs w:val="28"/>
          <w:rtl w:val="true"/>
          <w:lang w:bidi="ar-SA"/>
        </w:rPr>
        <w:t>زيرا در اين روايات از ستون هشتم ياد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ستون‌ها در شبستان اصلى و بعضى ديگر در صحن مسجد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از سه ستون در صحن، سخن به ميان آمده است</w:t>
      </w:r>
      <w:r>
        <w:rPr>
          <w:rFonts w:eastAsia="IRNazanin" w:cs="IRNazanin"/>
          <w:color w:val="111111"/>
          <w:sz w:val="28"/>
          <w:szCs w:val="28"/>
          <w:rtl w:val="true"/>
          <w:lang w:bidi="fa-IR"/>
        </w:rPr>
        <w:t xml:space="preserve">. </w:t>
      </w:r>
      <w:r>
        <w:rPr>
          <w:rStyle w:val="FootnoteAnchor"/>
          <w:rtl w:val="true"/>
        </w:rPr>
        <w:footnoteReference w:id="51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شمارش از شمال، يعنى باب الفيل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شبستان واقع بوده و به عنوان محل نماز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 در سمت چپ باب‌الفيل قرار داشته است</w:t>
      </w:r>
      <w:r>
        <w:rPr>
          <w:rFonts w:eastAsia="IRNazanin" w:cs="IRNazanin"/>
          <w:color w:val="111111"/>
          <w:sz w:val="28"/>
          <w:szCs w:val="28"/>
          <w:rtl w:val="true"/>
          <w:lang w:bidi="fa-IR"/>
        </w:rPr>
        <w:t xml:space="preserve">. </w:t>
      </w:r>
      <w:r>
        <w:rPr>
          <w:rStyle w:val="FootnoteAnchor"/>
          <w:rtl w:val="true"/>
        </w:rPr>
        <w:footnoteReference w:id="513"/>
      </w:r>
      <w:bookmarkStart w:id="681" w:name="pg1964_19566"/>
    </w:p>
    <w:p>
      <w:pPr>
        <w:pStyle w:val="BookText"/>
        <w:rPr/>
      </w:pPr>
      <w:bookmarkEnd w:id="681"/>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نماز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هفتم كه نزديك باب كنده قرار داشته، معرفى شده‌است</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البته ستون‌هاى ديگر اين مسجد نيز به عنوان مصلاى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Style w:val="FootnoteAnchor"/>
          <w:rtl w:val="true"/>
        </w:rPr>
        <w:footnoteReference w:id="515"/>
      </w:r>
    </w:p>
    <w:p>
      <w:pPr>
        <w:pStyle w:val="Heading5"/>
        <w:numPr>
          <w:ilvl w:val="4"/>
          <w:numId w:val="1"/>
        </w:numPr>
        <w:rPr/>
      </w:pPr>
      <w:bookmarkStart w:id="682" w:name="__RefHeading___Toc3585003_3650668749"/>
      <w:bookmarkStart w:id="683" w:name="_Toc298"/>
      <w:bookmarkEnd w:id="682"/>
      <w:r>
        <w:rPr>
          <w:rtl w:val="true"/>
        </w:rPr>
        <w:t xml:space="preserve">چهار </w:t>
      </w:r>
      <w:r>
        <w:rPr>
          <w:rtl w:val="true"/>
        </w:rPr>
        <w:t xml:space="preserve">- </w:t>
      </w:r>
      <w:r>
        <w:rPr>
          <w:rtl w:val="true"/>
        </w:rPr>
        <w:t>مكان‌ها‌ى تاريخى در مسجد جامع</w:t>
      </w:r>
      <w:bookmarkEnd w:id="683"/>
    </w:p>
    <w:p>
      <w:pPr>
        <w:pStyle w:val="Heading6"/>
        <w:numPr>
          <w:ilvl w:val="5"/>
          <w:numId w:val="1"/>
        </w:numPr>
        <w:rPr/>
      </w:pPr>
      <w:bookmarkStart w:id="684" w:name="__RefHeading___Toc3585005_3650668749"/>
      <w:bookmarkStart w:id="685" w:name="_Toc299"/>
      <w:bookmarkEnd w:id="684"/>
      <w:r>
        <w:rPr>
          <w:rtl w:val="true"/>
        </w:rPr>
        <w:t>اشاره</w:t>
      </w:r>
      <w:bookmarkEnd w:id="685"/>
    </w:p>
    <w:p>
      <w:pPr>
        <w:pStyle w:val="BookText"/>
        <w:rPr/>
      </w:pPr>
      <w:r>
        <w:rPr>
          <w:rFonts w:ascii="Amiri" w:hAnsi="Amiri" w:eastAsia="Amiri" w:cs="Amiri"/>
          <w:color w:val="111111"/>
          <w:sz w:val="28"/>
          <w:sz w:val="28"/>
          <w:szCs w:val="28"/>
          <w:rtl w:val="true"/>
          <w:lang w:bidi="ar-SA"/>
        </w:rPr>
        <w:t>در بعضى از روايات شيعه، از آثارى تاريخى در ميان مسجد كوفه سخن به ميان آمده است كه به‌طور خلاصه به آنها اشاره مى‌شود</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3585007_3650668749"/>
      <w:bookmarkStart w:id="687" w:name="_Toc300"/>
      <w:bookmarkEnd w:id="686"/>
      <w:r>
        <w:rPr>
          <w:rtl w:val="true"/>
        </w:rPr>
        <w:t xml:space="preserve">اول </w:t>
      </w:r>
      <w:r>
        <w:rPr>
          <w:rtl w:val="true"/>
        </w:rPr>
        <w:t xml:space="preserve">- </w:t>
      </w:r>
      <w:r>
        <w:rPr>
          <w:rtl w:val="true"/>
        </w:rPr>
        <w:t>دكّة القضاء</w:t>
      </w:r>
      <w:bookmarkEnd w:id="687"/>
    </w:p>
    <w:p>
      <w:pPr>
        <w:pStyle w:val="BookText"/>
        <w:rPr/>
      </w:pPr>
      <w:r>
        <w:rPr>
          <w:rFonts w:ascii="IRNazanin" w:hAnsi="IRNazanin" w:eastAsia="IRNazanin"/>
          <w:color w:val="111111"/>
          <w:sz w:val="28"/>
          <w:sz w:val="28"/>
          <w:szCs w:val="28"/>
          <w:rtl w:val="true"/>
          <w:lang w:bidi="fa-IR"/>
        </w:rPr>
        <w:t xml:space="preserve">اين دكّه، سكويى بود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مى‌نشست و به قضاوت مى‌پرداخت</w:t>
      </w:r>
      <w:r>
        <w:rPr>
          <w:rFonts w:eastAsia="IRNazanin" w:cs="IRNazanin"/>
          <w:color w:val="111111"/>
          <w:sz w:val="28"/>
          <w:szCs w:val="28"/>
          <w:rtl w:val="true"/>
          <w:lang w:bidi="fa-IR"/>
        </w:rPr>
        <w:t xml:space="preserve">. </w:t>
      </w:r>
      <w:r>
        <w:rPr>
          <w:rStyle w:val="FootnoteAnchor"/>
          <w:rtl w:val="true"/>
        </w:rPr>
        <w:footnoteReference w:id="516"/>
      </w:r>
      <w:r>
        <w:rPr>
          <w:rFonts w:ascii="Amiri" w:hAnsi="Amiri" w:eastAsia="Amiri" w:cs="Amiri"/>
          <w:color w:val="111111"/>
          <w:sz w:val="28"/>
          <w:sz w:val="28"/>
          <w:szCs w:val="28"/>
          <w:rtl w:val="true"/>
          <w:lang w:bidi="ar-SA"/>
        </w:rPr>
        <w:t>اين محل در صحن مسجد و در كنار بيت‌الطشت واقع شده بود</w:t>
      </w:r>
      <w:r>
        <w:rPr>
          <w:rFonts w:eastAsia="Amiri" w:cs="Amiri" w:ascii="Amiri" w:hAnsi="Amiri"/>
          <w:color w:val="111111"/>
          <w:sz w:val="28"/>
          <w:szCs w:val="28"/>
          <w:rtl w:val="true"/>
          <w:lang w:bidi="ar-SA"/>
        </w:rPr>
        <w:t xml:space="preserve">. </w:t>
      </w:r>
      <w:r>
        <w:rPr>
          <w:rStyle w:val="FootnoteAnchor"/>
          <w:rtl w:val="true"/>
        </w:rPr>
        <w:footnoteReference w:id="517"/>
      </w:r>
      <w:r>
        <w:rPr>
          <w:rFonts w:ascii="IRNazanin" w:hAnsi="IRNazanin" w:eastAsia="IRNazanin"/>
          <w:color w:val="111111"/>
          <w:sz w:val="28"/>
          <w:sz w:val="28"/>
          <w:szCs w:val="28"/>
          <w:rtl w:val="true"/>
          <w:lang w:bidi="fa-IR"/>
        </w:rPr>
        <w:t>در روايات شيعه نماز و دعاى ويژه اين محل وارد شده است</w:t>
      </w:r>
      <w:r>
        <w:rPr>
          <w:rFonts w:eastAsia="IRNazanin" w:cs="IRNazanin"/>
          <w:color w:val="111111"/>
          <w:sz w:val="28"/>
          <w:szCs w:val="28"/>
          <w:rtl w:val="true"/>
          <w:lang w:bidi="fa-IR"/>
        </w:rPr>
        <w:t xml:space="preserve">. </w:t>
      </w:r>
      <w:r>
        <w:rPr>
          <w:rStyle w:val="FootnoteAnchor"/>
          <w:rtl w:val="true"/>
        </w:rPr>
        <w:footnoteReference w:id="518"/>
      </w:r>
    </w:p>
    <w:p>
      <w:pPr>
        <w:pStyle w:val="Heading6"/>
        <w:numPr>
          <w:ilvl w:val="5"/>
          <w:numId w:val="1"/>
        </w:numPr>
        <w:rPr/>
      </w:pPr>
      <w:bookmarkStart w:id="688" w:name="__RefHeading___Toc3585009_3650668749"/>
      <w:bookmarkStart w:id="689" w:name="_Toc301"/>
      <w:bookmarkEnd w:id="688"/>
      <w:r>
        <w:rPr>
          <w:rtl w:val="true"/>
        </w:rPr>
        <w:t xml:space="preserve">دوم </w:t>
      </w:r>
      <w:r>
        <w:rPr>
          <w:rtl w:val="true"/>
        </w:rPr>
        <w:t xml:space="preserve">- </w:t>
      </w:r>
      <w:r>
        <w:rPr>
          <w:rtl w:val="true"/>
        </w:rPr>
        <w:t>بيت الطشت</w:t>
      </w:r>
      <w:bookmarkEnd w:id="68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محل كه در صحن مسجد واقع شده يادآور يكى از شگفت‌آورترين قضاوت‌هاى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از شكم دخترى كه متهم به زنا شده بود، با تمهيداتى خاص زالويى بيرون آورد و به درون طشت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هم‌اكنون در صحن مسجد و در زيرزمين قرار دارد كه به وسيله دو پلّه به سطح مسجد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محل در زير زمين، در اين زمان، بر بازسازى سطح صحن مسجد در طول دوران‌هاى مختلف دلالت مى‌كند</w:t>
      </w:r>
      <w:r>
        <w:rPr>
          <w:rFonts w:eastAsia="IRNazanin" w:cs="IRNazanin"/>
          <w:color w:val="111111"/>
          <w:sz w:val="28"/>
          <w:szCs w:val="28"/>
          <w:rtl w:val="true"/>
          <w:lang w:bidi="fa-IR"/>
        </w:rPr>
        <w:t xml:space="preserve">. </w:t>
      </w:r>
      <w:r>
        <w:rPr>
          <w:rStyle w:val="FootnoteAnchor"/>
          <w:rtl w:val="true"/>
        </w:rPr>
        <w:footnoteReference w:id="519"/>
      </w:r>
      <w:r>
        <w:rPr>
          <w:rFonts w:ascii="Amiri" w:hAnsi="Amiri" w:eastAsia="Amiri" w:cs="Amiri"/>
          <w:color w:val="111111"/>
          <w:sz w:val="28"/>
          <w:sz w:val="28"/>
          <w:szCs w:val="28"/>
          <w:rtl w:val="true"/>
          <w:lang w:bidi="ar-SA"/>
        </w:rPr>
        <w:t>براى اين محل نيز نماز و دعايى در روايات شيعه وارد شده است</w:t>
      </w:r>
      <w:r>
        <w:rPr>
          <w:rFonts w:eastAsia="Amiri" w:cs="Amiri" w:ascii="Amiri" w:hAnsi="Amiri"/>
          <w:color w:val="111111"/>
          <w:sz w:val="28"/>
          <w:szCs w:val="28"/>
          <w:rtl w:val="true"/>
          <w:lang w:bidi="ar-SA"/>
        </w:rPr>
        <w:t>.</w:t>
      </w:r>
      <w:bookmarkStart w:id="690" w:name="pg1964_19567"/>
    </w:p>
    <w:p>
      <w:pPr>
        <w:pStyle w:val="Heading6"/>
        <w:numPr>
          <w:ilvl w:val="5"/>
          <w:numId w:val="1"/>
        </w:numPr>
        <w:rPr/>
      </w:pPr>
      <w:bookmarkStart w:id="691" w:name="__RefHeading___Toc3585011_3650668749"/>
      <w:bookmarkStart w:id="692" w:name="_Toc302"/>
      <w:bookmarkEnd w:id="690"/>
      <w:bookmarkEnd w:id="691"/>
      <w:r>
        <w:rPr>
          <w:rtl w:val="true"/>
        </w:rPr>
        <w:t xml:space="preserve">سوم </w:t>
      </w:r>
      <w:r>
        <w:rPr>
          <w:rtl w:val="true"/>
        </w:rPr>
        <w:t xml:space="preserve">- </w:t>
      </w:r>
      <w:r>
        <w:rPr>
          <w:rtl w:val="true"/>
        </w:rPr>
        <w:t>سفينه نوح</w:t>
      </w:r>
      <w:bookmarkEnd w:id="692"/>
    </w:p>
    <w:p>
      <w:pPr>
        <w:pStyle w:val="BookText"/>
        <w:rPr/>
      </w:pPr>
      <w:r>
        <w:rPr>
          <w:rFonts w:ascii="Amiri" w:hAnsi="Amiri" w:eastAsia="Amiri" w:cs="Amiri"/>
          <w:color w:val="111111"/>
          <w:sz w:val="28"/>
          <w:sz w:val="28"/>
          <w:szCs w:val="28"/>
          <w:rtl w:val="true"/>
          <w:lang w:bidi="ar-SA"/>
        </w:rPr>
        <w:t xml:space="preserve">اين مكان كه در زيرزمين صحن مسجد كوفه و در وسط آن قرار دارد </w:t>
      </w:r>
      <w:r>
        <w:rPr>
          <w:rStyle w:val="FootnoteAnchor"/>
          <w:rtl w:val="true"/>
        </w:rPr>
        <w:footnoteReference w:id="520"/>
      </w:r>
      <w:r>
        <w:rPr>
          <w:rFonts w:ascii="Amiri" w:hAnsi="Amiri" w:eastAsia="Amiri" w:cs="Amiri"/>
          <w:color w:val="111111"/>
          <w:sz w:val="28"/>
          <w:sz w:val="28"/>
          <w:szCs w:val="28"/>
          <w:rtl w:val="true"/>
          <w:lang w:bidi="ar-SA"/>
        </w:rPr>
        <w:t xml:space="preserve">، بنا به نقل بعضى از روايات شيعه، محل ساخته شدن سفينه و كشتى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Style w:val="FootnoteAnchor"/>
          <w:rtl w:val="true"/>
        </w:rPr>
        <w:footnoteReference w:id="521"/>
      </w:r>
      <w:r>
        <w:rPr>
          <w:rFonts w:ascii="IRNazanin" w:hAnsi="IRNazanin" w:eastAsia="IRNazanin"/>
          <w:color w:val="111111"/>
          <w:sz w:val="28"/>
          <w:sz w:val="28"/>
          <w:szCs w:val="28"/>
          <w:rtl w:val="true"/>
          <w:lang w:bidi="fa-IR"/>
        </w:rPr>
        <w:t>هم‌اكنون مردم به وسيله چند پله به داخل زيرزمين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زيرزمين ايوان‌هاى چندى تعبيه شده است كه ارتفاع آنها به سطح مسجد كنونى مى‌رسد</w:t>
      </w:r>
      <w:r>
        <w:rPr>
          <w:rFonts w:eastAsia="IRNazanin" w:cs="IRNazanin"/>
          <w:color w:val="111111"/>
          <w:sz w:val="28"/>
          <w:szCs w:val="28"/>
          <w:rtl w:val="true"/>
          <w:lang w:bidi="fa-IR"/>
        </w:rPr>
        <w:t xml:space="preserve">. </w:t>
      </w:r>
      <w:r>
        <w:rPr>
          <w:rStyle w:val="FootnoteAnchor"/>
          <w:rtl w:val="true"/>
        </w:rPr>
        <w:footnoteReference w:id="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نقشه شماره</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6"/>
        <w:numPr>
          <w:ilvl w:val="5"/>
          <w:numId w:val="1"/>
        </w:numPr>
        <w:rPr/>
      </w:pPr>
      <w:bookmarkStart w:id="693" w:name="__RefHeading___Toc3585013_3650668749"/>
      <w:bookmarkStart w:id="694" w:name="_Toc303"/>
      <w:bookmarkEnd w:id="693"/>
      <w:r>
        <w:rPr>
          <w:rtl w:val="true"/>
        </w:rPr>
        <w:t xml:space="preserve">چهارم </w:t>
      </w:r>
      <w:r>
        <w:rPr>
          <w:rtl w:val="true"/>
        </w:rPr>
        <w:t xml:space="preserve">- </w:t>
      </w:r>
      <w:r>
        <w:rPr>
          <w:rtl w:val="true"/>
        </w:rPr>
        <w:t>تَنُّور</w:t>
      </w:r>
      <w:bookmarkEnd w:id="694"/>
    </w:p>
    <w:p>
      <w:pPr>
        <w:pStyle w:val="BookText"/>
        <w:rPr/>
      </w:pPr>
      <w:r>
        <w:rPr>
          <w:rFonts w:ascii="Amiri" w:hAnsi="Amiri" w:eastAsia="Amiri" w:cs="Amiri"/>
          <w:color w:val="111111"/>
          <w:sz w:val="28"/>
          <w:sz w:val="28"/>
          <w:szCs w:val="28"/>
          <w:rtl w:val="true"/>
          <w:lang w:bidi="ar-SA"/>
        </w:rPr>
        <w:t xml:space="preserve">از اين محل در روايات شيعه به عنوان محلى ياد شده كه در آن تنور حضرت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داشته </w:t>
      </w:r>
      <w:r>
        <w:rPr>
          <w:rStyle w:val="FootnoteAnchor"/>
          <w:rtl w:val="true"/>
        </w:rPr>
        <w:footnoteReference w:id="523"/>
      </w:r>
      <w:r>
        <w:rPr>
          <w:rFonts w:ascii="Amiri" w:hAnsi="Amiri" w:eastAsia="Amiri" w:cs="Amiri"/>
          <w:color w:val="111111"/>
          <w:sz w:val="28"/>
          <w:sz w:val="28"/>
          <w:szCs w:val="28"/>
          <w:rtl w:val="true"/>
          <w:lang w:bidi="ar-SA"/>
        </w:rPr>
        <w:t xml:space="preserve">و فوران آب از آن به عنوان نشانه اعلام آغاز طوفان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ياد شده است</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اين محل در كنار ابواب كنده و در طرف راست قبله مسجد واقع شده است</w:t>
      </w:r>
      <w:r>
        <w:rPr>
          <w:rFonts w:eastAsia="Amiri" w:cs="Amiri" w:ascii="Amiri" w:hAnsi="Amiri"/>
          <w:color w:val="111111"/>
          <w:sz w:val="28"/>
          <w:szCs w:val="28"/>
          <w:rtl w:val="true"/>
          <w:lang w:bidi="ar-SA"/>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ابن‌جبير كه در محرم سال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كوفه ديدن كرده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محل، مكانى همانند مسجدى كوچك ساخته شده و دور آن را با چوب‌هاى ساج محاصره كرده‌اند</w:t>
      </w:r>
      <w:r>
        <w:rPr>
          <w:rFonts w:eastAsia="IRNazanin" w:cs="IRNazanin"/>
          <w:color w:val="111111"/>
          <w:sz w:val="28"/>
          <w:szCs w:val="28"/>
          <w:rtl w:val="true"/>
          <w:lang w:bidi="fa-IR"/>
        </w:rPr>
        <w:t xml:space="preserve">» . </w:t>
      </w:r>
      <w:r>
        <w:rPr>
          <w:rStyle w:val="FootnoteAnchor"/>
          <w:rtl w:val="true"/>
        </w:rPr>
        <w:footnoteReference w:id="526"/>
      </w:r>
    </w:p>
    <w:p>
      <w:pPr>
        <w:pStyle w:val="Heading6"/>
        <w:numPr>
          <w:ilvl w:val="5"/>
          <w:numId w:val="1"/>
        </w:numPr>
        <w:rPr/>
      </w:pPr>
      <w:bookmarkStart w:id="695" w:name="__RefHeading___Toc3585015_3650668749"/>
      <w:bookmarkStart w:id="696" w:name="_Toc304"/>
      <w:bookmarkEnd w:id="695"/>
      <w:r>
        <w:rPr>
          <w:rtl w:val="true"/>
        </w:rPr>
        <w:t xml:space="preserve">پنجم </w:t>
      </w:r>
      <w:r>
        <w:rPr>
          <w:rtl w:val="true"/>
        </w:rPr>
        <w:t xml:space="preserve">- </w:t>
      </w:r>
      <w:r>
        <w:rPr>
          <w:rtl w:val="true"/>
        </w:rPr>
        <w:t xml:space="preserve">محراب حضرت علي </w:t>
      </w:r>
      <w:r>
        <w:rPr>
          <w:rtl w:val="true"/>
        </w:rPr>
        <w:t>(</w:t>
      </w:r>
      <w:r>
        <w:rPr>
          <w:rtl w:val="true"/>
        </w:rPr>
        <w:t>عليه السلام</w:t>
      </w:r>
      <w:r>
        <w:rPr>
          <w:rtl w:val="true"/>
        </w:rPr>
        <w:t>)</w:t>
      </w:r>
      <w:bookmarkEnd w:id="69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ابن‌جبير و ابن‌بطوطه هر دو گزارش كرده‌اند كه اين محراب به صورت اتاقكى مرتفع و محاصره شده به وسيله چوب‌هاى ساج، در قسمت راست محراب اصلى مسجد كوفه قرار دارد و مورد احترام مردم و شيعيان است</w:t>
      </w:r>
      <w:r>
        <w:rPr>
          <w:rFonts w:eastAsia="IRNazanin" w:cs="IRNazanin"/>
          <w:color w:val="111111"/>
          <w:sz w:val="28"/>
          <w:szCs w:val="28"/>
          <w:rtl w:val="true"/>
          <w:lang w:bidi="fa-IR"/>
        </w:rPr>
        <w:t xml:space="preserve">. </w:t>
      </w:r>
      <w:r>
        <w:rPr>
          <w:rStyle w:val="FootnoteAnchor"/>
          <w:rtl w:val="true"/>
        </w:rPr>
        <w:footnoteReference w:id="527"/>
      </w:r>
      <w:bookmarkStart w:id="697" w:name="pg1964_19568"/>
    </w:p>
    <w:p>
      <w:pPr>
        <w:pStyle w:val="Heading5"/>
        <w:numPr>
          <w:ilvl w:val="4"/>
          <w:numId w:val="1"/>
        </w:numPr>
        <w:rPr/>
      </w:pPr>
      <w:bookmarkStart w:id="698" w:name="__RefHeading___Toc3585017_3650668749"/>
      <w:bookmarkStart w:id="699" w:name="_Toc305"/>
      <w:bookmarkEnd w:id="697"/>
      <w:bookmarkEnd w:id="698"/>
      <w:r>
        <w:rPr>
          <w:rtl w:val="true"/>
        </w:rPr>
        <w:t xml:space="preserve">پنج </w:t>
      </w:r>
      <w:r>
        <w:rPr>
          <w:rtl w:val="true"/>
        </w:rPr>
        <w:t xml:space="preserve">- </w:t>
      </w:r>
      <w:r>
        <w:rPr>
          <w:rtl w:val="true"/>
        </w:rPr>
        <w:t>دستشويى و وضوخانه مسجد جامع كوفه</w:t>
      </w:r>
      <w:bookmarkEnd w:id="699"/>
    </w:p>
    <w:p>
      <w:pPr>
        <w:pStyle w:val="BookText"/>
        <w:rPr/>
      </w:pPr>
      <w:r>
        <w:rPr>
          <w:rFonts w:ascii="IRNazanin" w:hAnsi="IRNazanin" w:eastAsia="IRNazanin"/>
          <w:color w:val="111111"/>
          <w:sz w:val="28"/>
          <w:sz w:val="28"/>
          <w:szCs w:val="28"/>
          <w:rtl w:val="true"/>
          <w:lang w:bidi="fa-IR"/>
        </w:rPr>
        <w:t xml:space="preserve">روايتى كه مستقيماً بيانگر وجود مستراح و دستشويى براى مسجد جامع باشد، مشاهده نشد، اما روايتى هست كه به‌طور غير مستقيم مى‌توان از آن وجود اين مكان را نزديك مسجد در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پيشگويى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شهادت ميثم تمّار است كه 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تو نزديك‌ترين دارها به مِطْهَره است</w:t>
      </w:r>
      <w:r>
        <w:rPr>
          <w:rFonts w:eastAsia="IRNazanin" w:cs="IRNazanin"/>
          <w:color w:val="111111"/>
          <w:sz w:val="28"/>
          <w:szCs w:val="28"/>
          <w:rtl w:val="true"/>
          <w:lang w:bidi="fa-IR"/>
        </w:rPr>
        <w:t xml:space="preserve">» . </w:t>
      </w:r>
      <w:r>
        <w:rPr>
          <w:rStyle w:val="FootnoteAnchor"/>
          <w:rtl w:val="true"/>
        </w:rPr>
        <w:footnoteReference w:id="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وسيله طهارت گرفتن و نيز به معناى اتاقك يا مكانى است كه در آن تطهير حاصل مى‌شود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معناى اول در اينجا كاربرد ندارد، پس اين لغت در معناى دوم به‌كار رفته است و با توجه به اينكه محل به دار آويخته شدن ميثم نزديك خانه عمرو بن حُرَيث در سمت شرقى ديوار مسجد جامع بوده </w:t>
      </w:r>
      <w:r>
        <w:rPr>
          <w:rStyle w:val="FootnoteAnchor"/>
          <w:rtl w:val="true"/>
        </w:rPr>
        <w:footnoteReference w:id="530"/>
      </w:r>
      <w:r>
        <w:rPr>
          <w:rFonts w:ascii="IRNazanin" w:hAnsi="IRNazanin" w:eastAsia="IRNazanin"/>
          <w:color w:val="111111"/>
          <w:sz w:val="28"/>
          <w:sz w:val="28"/>
          <w:szCs w:val="28"/>
          <w:rtl w:val="true"/>
          <w:lang w:bidi="fa-IR"/>
        </w:rPr>
        <w:t xml:space="preserve">، مى‌توان چنين استنباط كرد كه از اين مكان به عنوان دستشويى و احياناً وضوخانه مسجد جامع استفاده مى‌شده و به همين سبب چنان معروف بوده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كلام خود از آن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ديگرى از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فيل به داخل مسجد كوفه در زمان مغيرة بن شعبه سخن به ميان آمده است</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اِجّانه در اينجا به معناى تغار بزرگ مى‌باشد و اين تغار، آن قدر بزرگ بوده كه به وسيله فيل حمل مى‌شده است و ظاهرترين مصرف آن براى وضوگرفتن مردم در داخل مسجد بوده است</w:t>
      </w:r>
      <w:r>
        <w:rPr>
          <w:rFonts w:eastAsia="IRNazanin" w:cs="IRNazanin"/>
          <w:color w:val="111111"/>
          <w:sz w:val="28"/>
          <w:szCs w:val="28"/>
          <w:rtl w:val="true"/>
          <w:lang w:bidi="fa-IR"/>
        </w:rPr>
        <w:t>.</w:t>
      </w:r>
    </w:p>
    <w:p>
      <w:pPr>
        <w:pStyle w:val="Heading5"/>
        <w:numPr>
          <w:ilvl w:val="4"/>
          <w:numId w:val="1"/>
        </w:numPr>
        <w:rPr/>
      </w:pPr>
      <w:bookmarkStart w:id="700" w:name="__RefHeading___Toc3585019_3650668749"/>
      <w:bookmarkStart w:id="701" w:name="_Toc306"/>
      <w:bookmarkEnd w:id="700"/>
      <w:r>
        <w:rPr>
          <w:rtl w:val="true"/>
        </w:rPr>
        <w:t xml:space="preserve">شش </w:t>
      </w:r>
      <w:r>
        <w:rPr>
          <w:rtl w:val="true"/>
        </w:rPr>
        <w:t xml:space="preserve">- </w:t>
      </w:r>
      <w:r>
        <w:rPr>
          <w:rtl w:val="true"/>
        </w:rPr>
        <w:t>فاصله مسجد تا دارالاماره</w:t>
      </w:r>
      <w:bookmarkEnd w:id="70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دارالاماره در قسمت جنوبى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انحراف اندكى به سمت شرق بنا شده بود</w:t>
      </w:r>
      <w:r>
        <w:rPr>
          <w:rFonts w:eastAsia="Amiri" w:cs="Amiri" w:ascii="Amiri" w:hAnsi="Amiri"/>
          <w:color w:val="111111"/>
          <w:sz w:val="28"/>
          <w:szCs w:val="28"/>
          <w:rtl w:val="true"/>
          <w:lang w:bidi="ar-SA"/>
        </w:rPr>
        <w:t xml:space="preserve">. </w:t>
      </w:r>
      <w:r>
        <w:rPr>
          <w:rStyle w:val="FootnoteAnchor"/>
          <w:rtl w:val="true"/>
        </w:rPr>
        <w:footnoteReference w:id="532"/>
      </w:r>
      <w:bookmarkStart w:id="702" w:name="pg1964_19569"/>
    </w:p>
    <w:p>
      <w:pPr>
        <w:pStyle w:val="BookText"/>
        <w:rPr/>
      </w:pPr>
      <w:bookmarkEnd w:id="702"/>
      <w:r>
        <w:rPr>
          <w:rFonts w:ascii="IRNazanin" w:hAnsi="IRNazanin" w:eastAsia="IRNazanin"/>
          <w:color w:val="111111"/>
          <w:sz w:val="28"/>
          <w:sz w:val="28"/>
          <w:szCs w:val="28"/>
          <w:rtl w:val="true"/>
          <w:lang w:bidi="fa-IR"/>
        </w:rPr>
        <w:t xml:space="preserve">بنا به نوشته طبرى هنگام تخطيط اوليه مسجد و دارالاماره، به دستور سعد بن ابى‌وقاص بين آن دو، راهى زيرزمينى به اندازه دويست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كه به عنوان بيت‌المال از آن استفاده مى‌شد</w:t>
      </w:r>
      <w:r>
        <w:rPr>
          <w:rFonts w:eastAsia="IRNazanin" w:cs="IRNazanin"/>
          <w:color w:val="111111"/>
          <w:sz w:val="28"/>
          <w:szCs w:val="28"/>
          <w:rtl w:val="true"/>
          <w:lang w:bidi="fa-IR"/>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بنابراين، فاصله اوليه بين اين دو،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متر بوده است</w:t>
      </w:r>
      <w:r>
        <w:rPr>
          <w:rFonts w:eastAsia="Amiri" w:cs="Amiri" w:ascii="Amiri" w:hAnsi="Amiri"/>
          <w:color w:val="111111"/>
          <w:sz w:val="28"/>
          <w:szCs w:val="28"/>
          <w:rtl w:val="true"/>
          <w:lang w:bidi="ar-SA"/>
        </w:rPr>
        <w:t xml:space="preserve">. </w:t>
      </w:r>
      <w:r>
        <w:rPr>
          <w:rStyle w:val="FootnoteAnchor"/>
          <w:rtl w:val="true"/>
        </w:rPr>
        <w:footnoteReference w:id="534"/>
      </w:r>
      <w:r>
        <w:rPr>
          <w:rFonts w:ascii="IRNazanin" w:hAnsi="IRNazanin" w:eastAsia="IRNazanin"/>
          <w:color w:val="111111"/>
          <w:sz w:val="28"/>
          <w:sz w:val="28"/>
          <w:szCs w:val="28"/>
          <w:rtl w:val="true"/>
          <w:lang w:bidi="fa-IR"/>
        </w:rPr>
        <w:t>اما پس از مدت اندكى از بيت‌المال سرقت شد و سعد در اين مورد از عمر كسب تكليف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جواب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را به سمت دارالاماره منتقل نَما به صورتى كه دارالاماره در طرف قبله مسجد قرار گيرد؛ زيرا مردم شب و روز در مسجد رفت و آمد مى‌كنند و بدين وسيله امكان دزدى كمتر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نيز مسجد را به دارالاماره متصل كرد و بدين ترتيب، فاصله بين آن دو از بين‌رفت</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بعضى از روايات تاريخى، مانند ورود عبيدالله بن زياد از قصر به مسجد از طريق باب السُدَّه نيز مؤيد اين عدم فاصله است</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حفارى‌ها نيز مؤيد وجود درى بين مسجد و دارالاماره است</w:t>
      </w:r>
      <w:r>
        <w:rPr>
          <w:rFonts w:eastAsia="Amiri" w:cs="Amiri" w:ascii="Amiri" w:hAnsi="Amiri"/>
          <w:color w:val="111111"/>
          <w:sz w:val="28"/>
          <w:szCs w:val="28"/>
          <w:rtl w:val="true"/>
          <w:lang w:bidi="ar-SA"/>
        </w:rPr>
        <w:t xml:space="preserve">. </w:t>
      </w:r>
      <w:r>
        <w:rPr>
          <w:rStyle w:val="FootnoteAnchor"/>
          <w:rtl w:val="true"/>
        </w:rPr>
        <w:footnoteReference w:id="537"/>
      </w:r>
    </w:p>
    <w:p>
      <w:pPr>
        <w:pStyle w:val="Heading5"/>
        <w:numPr>
          <w:ilvl w:val="4"/>
          <w:numId w:val="1"/>
        </w:numPr>
        <w:rPr/>
      </w:pPr>
      <w:bookmarkStart w:id="703" w:name="__RefHeading___Toc3585021_3650668749"/>
      <w:bookmarkStart w:id="704" w:name="_Toc307"/>
      <w:bookmarkEnd w:id="703"/>
      <w:r>
        <w:rPr>
          <w:rtl w:val="true"/>
        </w:rPr>
        <w:t xml:space="preserve">هفت </w:t>
      </w:r>
      <w:r>
        <w:rPr>
          <w:rtl w:val="true"/>
        </w:rPr>
        <w:t xml:space="preserve">- </w:t>
      </w:r>
      <w:r>
        <w:rPr>
          <w:rtl w:val="true"/>
        </w:rPr>
        <w:t>مسجد جامع كوفه از منظر باستان‌شناسي</w:t>
      </w:r>
      <w:bookmarkEnd w:id="70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قرون اخير، حفارى‌هايى در شهر كوفه و در قسمتى از محل مسجد و دارالاماره صورت گرفته كه تا حدودى از اسرار نامكشوف اين دو اثر پرده برداشته است</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به اعتقاد بعضى مسجد كشف شده از لابه‌لاى حفارى‌ها همان مسجدى است كه در دوران زياد بر پا شده بود</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اگر چنين باشد كمك خوبى به ما در بازسازى اين مسجد در دوران مورد بحث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در اينجا نتايج تحقيقات باستان‌شناسان طى امور زير به‌طور خلاصه ذكر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 هندسى مسجد تقريباً مربع است و ابعاد هر كدام از اضلاع آن عبارت بود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ديوار جنوبى كه در سمت قبله واقع شده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البته بعضى آن را صد متر ذكركرده‌اند</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ديوار شمالى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ديوارهاى غربى هركدام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بناى اين ساختمان به مقدار هفده درجه از سمت جنوب بنا شده است </w:t>
      </w:r>
      <w:r>
        <w:rPr>
          <w:rStyle w:val="FootnoteAnchor"/>
          <w:rtl w:val="true"/>
        </w:rPr>
        <w:footnoteReference w:id="543"/>
      </w:r>
      <w:r>
        <w:rPr>
          <w:rFonts w:ascii="Amiri" w:hAnsi="Amiri" w:eastAsia="Amiri" w:cs="Amiri"/>
          <w:color w:val="111111"/>
          <w:sz w:val="28"/>
          <w:sz w:val="28"/>
          <w:szCs w:val="28"/>
          <w:rtl w:val="true"/>
          <w:lang w:bidi="ar-SA"/>
        </w:rPr>
        <w:t>، اين، مقدار انحراف قبله مسجد است</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ديوارهاى چهارگانه، برج‌هايى به شكل نيم‌دايره تعبيه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اين ديوارها به اضافه برج‌ها حدود بيست متر مى‌باشد</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پى اين ديوارها، يعنى مقدار رسوخ آنها در زمين حدود پنج متر و سى سانتى‌متر مى‌باشد و هنگامى كه پى به ارتفاع دو متر و شصت سانتى مى‌رسد، پى ديوار به سمت داخل مسجد مايل مى‌شود و فضايى به عرض شصت سانتى‌متر و ارتفاع سى متر 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باقى مى‌ماند كه روى آن برجى نيم استوانه‌اى بنا شده است و اين برج‌ها در فاصله‌هاى متفاوت، روى ديوار تكرار مى‌شوند</w:t>
      </w:r>
      <w:r>
        <w:rPr>
          <w:rFonts w:eastAsia="IRNazanin" w:cs="IRNazanin"/>
          <w:color w:val="111111"/>
          <w:sz w:val="28"/>
          <w:szCs w:val="28"/>
          <w:rtl w:val="true"/>
          <w:lang w:bidi="fa-IR"/>
        </w:rPr>
        <w:t xml:space="preserve">. </w:t>
      </w:r>
      <w:r>
        <w:rPr>
          <w:rStyle w:val="FootnoteAnchor"/>
          <w:rtl w:val="true"/>
        </w:rPr>
        <w:footnoteReference w:id="54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ابعاد آجرى كه در ساختن ديوارها به‌كار رفته، به شكل مكعب مربع و با طول و عرض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سانتى‌متر و ارتفاع نُه سانتى‌متر مى‌باشد كه به نظر بعضى از</w:t>
      </w:r>
      <w:bookmarkStart w:id="705" w:name="pg1964_19571"/>
    </w:p>
    <w:p>
      <w:pPr>
        <w:pStyle w:val="BookText"/>
        <w:rPr/>
      </w:pPr>
      <w:bookmarkEnd w:id="705"/>
      <w:r>
        <w:rPr>
          <w:rFonts w:ascii="IRNazanin" w:hAnsi="IRNazanin" w:eastAsia="IRNazanin"/>
          <w:color w:val="111111"/>
          <w:sz w:val="28"/>
          <w:sz w:val="28"/>
          <w:szCs w:val="28"/>
          <w:rtl w:val="true"/>
          <w:lang w:bidi="fa-IR"/>
        </w:rPr>
        <w:t>نويسندگان معاصر، اين آجر مخصوص ساختن مسجد تعبيه شده و از مكان ديگرى منتقل شده است</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ستونى در اين حفارى‌ها به دست آمده كه در وسط مسجد نصب شده است و در بالاى آن، شكل دو تاج بنا شده كه با برگ‌هاى گياه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اكانتس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شده است</w:t>
      </w:r>
      <w:r>
        <w:rPr>
          <w:rFonts w:eastAsia="IRNazanin" w:cs="IRNazanin"/>
          <w:color w:val="111111"/>
          <w:sz w:val="28"/>
          <w:szCs w:val="28"/>
          <w:rtl w:val="true"/>
          <w:lang w:bidi="fa-IR"/>
        </w:rPr>
        <w:t xml:space="preserve">. </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نظر عده‌اى از مستشرقان كه چهار در، در طرف قبله تصور نموده بودند، تنها يك در، در اين طرف كشف شده كه مسجد را به دارالاماره متصل مى‌كرده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جنوب واقع نبوده، بلكه در ضلع غربى آن واقع بوده است</w:t>
      </w:r>
      <w:r>
        <w:rPr>
          <w:rFonts w:eastAsia="IRNazanin" w:cs="IRNazanin"/>
          <w:color w:val="111111"/>
          <w:sz w:val="28"/>
          <w:szCs w:val="28"/>
          <w:rtl w:val="true"/>
          <w:lang w:bidi="fa-IR"/>
        </w:rPr>
        <w:t xml:space="preserve">. </w:t>
      </w:r>
      <w:r>
        <w:rPr>
          <w:rStyle w:val="FootnoteAnchor"/>
          <w:rtl w:val="true"/>
        </w:rPr>
        <w:footnoteReference w:id="549"/>
      </w:r>
    </w:p>
    <w:p>
      <w:pPr>
        <w:pStyle w:val="Heading4"/>
        <w:numPr>
          <w:ilvl w:val="3"/>
          <w:numId w:val="1"/>
        </w:numPr>
        <w:rPr/>
      </w:pPr>
      <w:bookmarkStart w:id="706" w:name="__RefHeading___Toc3585023_3650668749"/>
      <w:bookmarkStart w:id="707" w:name="_Toc308"/>
      <w:bookmarkEnd w:id="706"/>
      <w:r>
        <w:rPr>
          <w:rtl w:val="true"/>
        </w:rPr>
        <w:t>ب</w:t>
      </w:r>
      <w:r>
        <w:rPr>
          <w:rtl w:val="true"/>
        </w:rPr>
        <w:t xml:space="preserve">) </w:t>
      </w:r>
      <w:r>
        <w:rPr>
          <w:rtl w:val="true"/>
        </w:rPr>
        <w:t>ديگر مساجد</w:t>
      </w:r>
      <w:bookmarkEnd w:id="707"/>
    </w:p>
    <w:p>
      <w:pPr>
        <w:pStyle w:val="Heading5"/>
        <w:numPr>
          <w:ilvl w:val="4"/>
          <w:numId w:val="1"/>
        </w:numPr>
        <w:rPr/>
      </w:pPr>
      <w:bookmarkStart w:id="708" w:name="__RefHeading___Toc3585025_3650668749"/>
      <w:bookmarkStart w:id="709" w:name="_Toc309"/>
      <w:bookmarkEnd w:id="708"/>
      <w:r>
        <w:rPr>
          <w:rtl w:val="true"/>
        </w:rPr>
        <w:t>اشاره</w:t>
      </w:r>
      <w:bookmarkEnd w:id="709"/>
    </w:p>
    <w:p>
      <w:pPr>
        <w:pStyle w:val="BookText"/>
        <w:rPr/>
      </w:pPr>
      <w:r>
        <w:rPr>
          <w:rFonts w:ascii="IRNazanin" w:hAnsi="IRNazanin" w:eastAsia="IRNazanin"/>
          <w:color w:val="111111"/>
          <w:sz w:val="28"/>
          <w:sz w:val="28"/>
          <w:szCs w:val="28"/>
          <w:rtl w:val="true"/>
          <w:lang w:bidi="fa-IR"/>
        </w:rPr>
        <w:t>به‌جز مسجد جامع كوفه، مساجد فراوان ديگرى در زمان مورد بحث ما در گوشه و كنار شهر پراكنده شده بود كه بيشتر آنها مساجد قبيله‌اى است و به قبايل خاص نزديك به آن مسجد متعلق بود</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 xml:space="preserve">در بعضى از گزارش‌هاى تاريخى، يكى از علل ازدياد مساجد، بداخلاقى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هم‌چشمى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مى‌توان گفت، از نظر روايات شيعه، اين مساجد به سه قسم تقسيم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مساجد مباركه كه به وسيله افراد نيك و با هدف‌هاى نيك بنا شده‌اند؛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ملعونه كه به وسيله افراد پَست و با اهداف پست ساخته شده‌اند؛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ديگر كه يا در روايات شيعه مطرح نشده و يا عنوانى به آن داده نشده است</w:t>
      </w:r>
      <w:r>
        <w:rPr>
          <w:rFonts w:eastAsia="IRNazanin" w:cs="IRNazanin"/>
          <w:color w:val="111111"/>
          <w:sz w:val="28"/>
          <w:szCs w:val="28"/>
          <w:rtl w:val="true"/>
          <w:lang w:bidi="fa-IR"/>
        </w:rPr>
        <w:t>.</w:t>
      </w:r>
      <w:bookmarkStart w:id="710" w:name="pg1964_19572"/>
    </w:p>
    <w:p>
      <w:pPr>
        <w:pStyle w:val="Heading5"/>
        <w:numPr>
          <w:ilvl w:val="4"/>
          <w:numId w:val="1"/>
        </w:numPr>
        <w:rPr/>
      </w:pPr>
      <w:bookmarkStart w:id="711" w:name="__RefHeading___Toc3585027_3650668749"/>
      <w:bookmarkStart w:id="712" w:name="_Toc310"/>
      <w:bookmarkEnd w:id="710"/>
      <w:bookmarkEnd w:id="711"/>
      <w:r>
        <w:rPr>
          <w:rtl w:val="true"/>
        </w:rPr>
        <w:t xml:space="preserve">يك </w:t>
      </w:r>
      <w:r>
        <w:rPr>
          <w:rtl w:val="true"/>
        </w:rPr>
        <w:t xml:space="preserve">- </w:t>
      </w:r>
      <w:r>
        <w:rPr>
          <w:rtl w:val="true"/>
        </w:rPr>
        <w:t>مساجد مباركه</w:t>
      </w:r>
      <w:bookmarkEnd w:id="712"/>
    </w:p>
    <w:p>
      <w:pPr>
        <w:pStyle w:val="Heading6"/>
        <w:numPr>
          <w:ilvl w:val="5"/>
          <w:numId w:val="1"/>
        </w:numPr>
        <w:rPr/>
      </w:pPr>
      <w:bookmarkStart w:id="713" w:name="__RefHeading___Toc3585029_3650668749"/>
      <w:bookmarkStart w:id="714" w:name="_Toc311"/>
      <w:bookmarkEnd w:id="713"/>
      <w:r>
        <w:rPr>
          <w:rtl w:val="true"/>
        </w:rPr>
        <w:t>اشاره</w:t>
      </w:r>
      <w:bookmarkEnd w:id="714"/>
    </w:p>
    <w:p>
      <w:pPr>
        <w:pStyle w:val="BookText"/>
        <w:rPr/>
      </w:pPr>
      <w:r>
        <w:rPr>
          <w:rFonts w:ascii="Amiri" w:hAnsi="Amiri" w:eastAsia="Amiri" w:cs="Amiri"/>
          <w:color w:val="111111"/>
          <w:sz w:val="28"/>
          <w:sz w:val="28"/>
          <w:szCs w:val="28"/>
          <w:rtl w:val="true"/>
          <w:lang w:bidi="ar-SA"/>
        </w:rPr>
        <w:t xml:space="preserve">اين مساجد عبارت است از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5" w:name="__RefHeading___Toc3585031_3650668749"/>
      <w:bookmarkStart w:id="716" w:name="_Toc312"/>
      <w:bookmarkEnd w:id="715"/>
      <w:r>
        <w:rPr>
          <w:rtl w:val="true"/>
        </w:rPr>
        <w:t xml:space="preserve">اول </w:t>
      </w:r>
      <w:r>
        <w:rPr>
          <w:rtl w:val="true"/>
        </w:rPr>
        <w:t xml:space="preserve">- </w:t>
      </w:r>
      <w:r>
        <w:rPr>
          <w:rtl w:val="true"/>
        </w:rPr>
        <w:t>مسجد سَهْلَه</w:t>
      </w:r>
      <w:bookmarkEnd w:id="716"/>
    </w:p>
    <w:p>
      <w:pPr>
        <w:pStyle w:val="BookText"/>
        <w:rPr/>
      </w:pPr>
      <w:r>
        <w:rPr>
          <w:rFonts w:ascii="IRNazanin" w:hAnsi="IRNazanin" w:eastAsia="IRNazanin"/>
          <w:color w:val="111111"/>
          <w:sz w:val="28"/>
          <w:sz w:val="28"/>
          <w:szCs w:val="28"/>
          <w:rtl w:val="true"/>
          <w:lang w:bidi="fa-IR"/>
        </w:rPr>
        <w:t>نام‌هاى ديگر اين مسجد، مسجد ظفر، مسجد سُهيل، مسجد الشَّرى، مسجد بنى‌ظفر مى‌باشد</w:t>
      </w:r>
      <w:r>
        <w:rPr>
          <w:rFonts w:eastAsia="IRNazanin" w:cs="IRNazanin"/>
          <w:color w:val="111111"/>
          <w:sz w:val="28"/>
          <w:szCs w:val="28"/>
          <w:rtl w:val="true"/>
          <w:lang w:bidi="fa-IR"/>
        </w:rPr>
        <w:t xml:space="preserve">. </w:t>
      </w:r>
      <w:r>
        <w:rPr>
          <w:rStyle w:val="FootnoteAnchor"/>
          <w:rtl w:val="true"/>
        </w:rPr>
        <w:footnoteReference w:id="553"/>
      </w:r>
      <w:r>
        <w:rPr>
          <w:rFonts w:ascii="Amiri" w:hAnsi="Amiri" w:eastAsia="Amiri" w:cs="Amiri"/>
          <w:color w:val="111111"/>
          <w:sz w:val="28"/>
          <w:sz w:val="28"/>
          <w:szCs w:val="28"/>
          <w:rtl w:val="true"/>
          <w:lang w:bidi="ar-SA"/>
        </w:rPr>
        <w:t>در روايات شيعه، فضايل بسيارى براى اين مسجد نقل شده است</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از جمله، اين مسجد را خانه ادريس دانسته‌اند كه در آن به خياطى مشغول بوده است</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تصويرهاى شماره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نقشه شماره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نيز از آن به عنوان خانه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مسكن حضرت 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اين مسجد در فاصله حدود يك كيلومترى قصر و مسجد جامع و در ناحيه شمال غربى مسجد جامع قرار دارد</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از آنجا كه اين مسجد در كلام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مسجدى مبارك ياد شده است </w:t>
      </w:r>
      <w:r>
        <w:rPr>
          <w:rStyle w:val="FootnoteAnchor"/>
          <w:rtl w:val="true"/>
        </w:rPr>
        <w:footnoteReference w:id="558"/>
      </w:r>
      <w:r>
        <w:rPr>
          <w:rFonts w:ascii="IRNazanin" w:hAnsi="IRNazanin" w:eastAsia="IRNazanin"/>
          <w:color w:val="111111"/>
          <w:sz w:val="28"/>
          <w:sz w:val="28"/>
          <w:szCs w:val="28"/>
          <w:rtl w:val="true"/>
          <w:lang w:bidi="fa-IR"/>
        </w:rPr>
        <w:t xml:space="preserve">، پس تاريخ احداث آن بايد قبل از سال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يعنى پيش از تشريف‌فرمايى حضرت به كوفه باشد </w:t>
      </w:r>
      <w:r>
        <w:rPr>
          <w:rStyle w:val="FootnoteAnchor"/>
          <w:rtl w:val="true"/>
        </w:rPr>
        <w:footnoteReference w:id="559"/>
      </w:r>
      <w:r>
        <w:rPr>
          <w:rFonts w:ascii="Amiri" w:hAnsi="Amiri" w:eastAsia="Amiri" w:cs="Amiri"/>
          <w:color w:val="111111"/>
          <w:sz w:val="28"/>
          <w:sz w:val="28"/>
          <w:szCs w:val="28"/>
          <w:rtl w:val="true"/>
          <w:lang w:bidi="ar-SA"/>
        </w:rPr>
        <w:t xml:space="preserve">يا دست‌كم اين نتيجه به دست مى‌آيد كه در زمان حكومت آن حضرت، يعنى از سال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كوفه وجود داشته است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مسجد در زمينى خالى از سكنه و عمران بنا شده است و اطراف آن را رمل‌هاى قرمز رنگ فراگرفته‌است</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اين مسجد يكى از معدود مساجد تاريخى كوفه است كه هم اكنون نيز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روايات تاريخى به توصيف</w:t>
      </w:r>
      <w:bookmarkStart w:id="717" w:name="pg1964_19573"/>
    </w:p>
    <w:p>
      <w:pPr>
        <w:pStyle w:val="BookText"/>
        <w:rPr/>
      </w:pPr>
      <w:bookmarkEnd w:id="717"/>
      <w:r>
        <w:rPr>
          <w:rFonts w:ascii="IRNazanin" w:hAnsi="IRNazanin" w:eastAsia="IRNazanin"/>
          <w:color w:val="111111"/>
          <w:sz w:val="28"/>
          <w:sz w:val="28"/>
          <w:szCs w:val="28"/>
          <w:rtl w:val="true"/>
          <w:lang w:bidi="fa-IR"/>
        </w:rPr>
        <w:t>ساختمان اين مسجد پرداخته شده است، حالت كنونى مسجد كه ممكن است شباهت‌هايى با حالت آن در آن زمان داشته باشد، توصيف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هندسى مسجد، مستطيلى با طول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مساحت آن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ديوارهاى آن تا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مى‌رسد كه در هر ضلع آن برج‌هاى نصف دايره‌اى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دو در ورودى داشته كه يكى در وسط ديوار شرقى و با عرض دو متر و ديگرى در وسط ضلع شمالى بوده است كه بعدها آن را با آجر مسدود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مسجد، محلى براى نگهدارى اسب‌ها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مصلى و شبستان مسجد در قسمت جنوب آن قرار دارد كه طول آن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مساحتى معادل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آن از آجر و به شكل گنبدهاى كوچك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شبستان از آجرهايى به شكل مكعب مربع و با طول و عرض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و ارتفاع چهار سانتى‌متر مفروش گرديده‌است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مسجد بدون سقف مى‌باشد و در اطراف آن ايوان‌هايى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وسط آن چاهى عميق حفر شده است كه پله‌هايى به طول شش متر زائران را به لبه اين چاه مى‌رساند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از آنجا كه حضرت صاحب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در اين مسجد ديده شده، اين مسجد اهميت به‌سزايى نزد شيعيان پيدا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روايات شيعه، اين مسجد به عنوان منزلگاه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معرفى شده است</w:t>
      </w:r>
      <w:r>
        <w:rPr>
          <w:rFonts w:eastAsia="IRNazanin" w:cs="IRNazanin"/>
          <w:color w:val="111111"/>
          <w:sz w:val="28"/>
          <w:szCs w:val="28"/>
          <w:rtl w:val="true"/>
          <w:lang w:bidi="fa-IR"/>
        </w:rPr>
        <w:t xml:space="preserve">. </w:t>
      </w:r>
      <w:r>
        <w:rPr>
          <w:rStyle w:val="FootnoteAnchor"/>
          <w:rtl w:val="true"/>
        </w:rPr>
        <w:footnoteReference w:id="562"/>
      </w:r>
    </w:p>
    <w:p>
      <w:pPr>
        <w:pStyle w:val="Heading6"/>
        <w:numPr>
          <w:ilvl w:val="5"/>
          <w:numId w:val="1"/>
        </w:numPr>
        <w:rPr/>
      </w:pPr>
      <w:bookmarkStart w:id="718" w:name="__RefHeading___Toc3585033_3650668749"/>
      <w:bookmarkStart w:id="719" w:name="_Toc313"/>
      <w:bookmarkEnd w:id="718"/>
      <w:r>
        <w:rPr>
          <w:rtl w:val="true"/>
        </w:rPr>
        <w:t>دوم</w:t>
      </w:r>
      <w:r>
        <w:rPr>
          <w:rtl w:val="true"/>
        </w:rPr>
        <w:t xml:space="preserve">- </w:t>
      </w:r>
      <w:r>
        <w:rPr>
          <w:rtl w:val="true"/>
        </w:rPr>
        <w:t>مسجد بني‌كاهل</w:t>
      </w:r>
      <w:bookmarkEnd w:id="71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ديگر اين مسجد، مسجد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است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در اين مسجد نماز مى‌خواند</w:t>
      </w:r>
      <w:r>
        <w:rPr>
          <w:rFonts w:eastAsia="IRNazanin" w:cs="IRNazanin"/>
          <w:color w:val="111111"/>
          <w:sz w:val="28"/>
          <w:szCs w:val="28"/>
          <w:rtl w:val="true"/>
          <w:lang w:bidi="fa-IR"/>
        </w:rPr>
        <w:t xml:space="preserve">. </w:t>
      </w:r>
      <w:r>
        <w:rPr>
          <w:rStyle w:val="FootnoteAnchor"/>
          <w:rtl w:val="true"/>
        </w:rPr>
        <w:footnoteReference w:id="563"/>
      </w:r>
      <w:r>
        <w:rPr>
          <w:rFonts w:ascii="Amiri" w:hAnsi="Amiri" w:eastAsia="Amiri" w:cs="Amiri"/>
          <w:color w:val="111111"/>
          <w:sz w:val="28"/>
          <w:sz w:val="28"/>
          <w:szCs w:val="28"/>
          <w:rtl w:val="true"/>
          <w:lang w:bidi="ar-SA"/>
        </w:rPr>
        <w:t>اين مسجد در سمت</w:t>
      </w:r>
      <w:bookmarkStart w:id="720" w:name="pg1964_19574"/>
    </w:p>
    <w:p>
      <w:pPr>
        <w:pStyle w:val="BookText"/>
        <w:rPr/>
      </w:pPr>
      <w:bookmarkEnd w:id="720"/>
      <w:r>
        <w:rPr>
          <w:rFonts w:ascii="Amiri" w:hAnsi="Amiri" w:eastAsia="Amiri" w:cs="Amiri"/>
          <w:color w:val="111111"/>
          <w:sz w:val="28"/>
          <w:sz w:val="28"/>
          <w:szCs w:val="28"/>
          <w:rtl w:val="true"/>
          <w:lang w:bidi="ar-SA"/>
        </w:rPr>
        <w:t>جنوب غربى كوفه، در محله بنى‌اسد واقع بود</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هم‌اكنون از اين مسجد اثرى باقى نمانده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نقشه شماره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721" w:name="__RefHeading___Toc3585035_3650668749"/>
      <w:bookmarkStart w:id="722" w:name="_Toc314"/>
      <w:bookmarkEnd w:id="721"/>
      <w:r>
        <w:rPr>
          <w:rtl w:val="true"/>
        </w:rPr>
        <w:t xml:space="preserve">سوم </w:t>
      </w:r>
      <w:r>
        <w:rPr>
          <w:rtl w:val="true"/>
        </w:rPr>
        <w:t xml:space="preserve">- </w:t>
      </w:r>
      <w:r>
        <w:rPr>
          <w:rtl w:val="true"/>
        </w:rPr>
        <w:t>مسجد صَعْصَعَة بن صوحان</w:t>
      </w:r>
      <w:bookmarkEnd w:id="722"/>
    </w:p>
    <w:p>
      <w:pPr>
        <w:pStyle w:val="BookText"/>
        <w:rPr/>
      </w:pPr>
      <w:r>
        <w:rPr>
          <w:rFonts w:ascii="IRNazanin" w:hAnsi="IRNazanin" w:eastAsia="IRNazanin"/>
          <w:color w:val="111111"/>
          <w:sz w:val="28"/>
          <w:sz w:val="28"/>
          <w:szCs w:val="28"/>
          <w:rtl w:val="true"/>
          <w:lang w:bidi="fa-IR"/>
        </w:rPr>
        <w:t xml:space="preserve">اين مسجد به نام صعصعه، يكى از ياران مخلص و خطيب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كه شايد بنيان‌گذار آن بوده است</w:t>
      </w:r>
      <w:r>
        <w:rPr>
          <w:rFonts w:eastAsia="IRNazanin" w:cs="IRNazanin"/>
          <w:color w:val="111111"/>
          <w:sz w:val="28"/>
          <w:szCs w:val="28"/>
          <w:rtl w:val="true"/>
          <w:lang w:bidi="fa-IR"/>
        </w:rPr>
        <w:t xml:space="preserve">. </w:t>
      </w:r>
      <w:r>
        <w:rPr>
          <w:rStyle w:val="FootnoteAnchor"/>
          <w:rtl w:val="true"/>
        </w:rPr>
        <w:footnoteReference w:id="565"/>
      </w:r>
      <w:r>
        <w:rPr>
          <w:rFonts w:ascii="Amiri" w:hAnsi="Amiri" w:eastAsia="Amiri" w:cs="Amiri"/>
          <w:color w:val="111111"/>
          <w:sz w:val="28"/>
          <w:sz w:val="28"/>
          <w:szCs w:val="28"/>
          <w:rtl w:val="true"/>
          <w:lang w:bidi="ar-SA"/>
        </w:rPr>
        <w:t>اين مسجد در محله قبيله عبدالقيس، در شمال غربى كوفه و نزديك مسجد سهله قرار داشته‌است</w:t>
      </w:r>
      <w:r>
        <w:rPr>
          <w:rFonts w:eastAsia="Amiri" w:cs="Amiri" w:ascii="Amiri" w:hAnsi="Amiri"/>
          <w:color w:val="111111"/>
          <w:sz w:val="28"/>
          <w:szCs w:val="28"/>
          <w:rtl w:val="true"/>
          <w:lang w:bidi="ar-SA"/>
        </w:rPr>
        <w:t xml:space="preserve">. </w:t>
      </w:r>
      <w:r>
        <w:rPr>
          <w:rStyle w:val="FootnoteAnchor"/>
          <w:rtl w:val="true"/>
        </w:rPr>
        <w:footnoteReference w:id="566"/>
      </w:r>
      <w:r>
        <w:rPr>
          <w:rFonts w:ascii="IRNazanin" w:hAnsi="IRNazanin" w:eastAsia="IRNazanin"/>
          <w:color w:val="111111"/>
          <w:sz w:val="28"/>
          <w:sz w:val="28"/>
          <w:szCs w:val="28"/>
          <w:rtl w:val="true"/>
          <w:lang w:bidi="fa-IR"/>
        </w:rPr>
        <w:t xml:space="preserve">از كلمات شيخ عباس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مفاتيح الجنان چنين برمى‌آيد كه اين مسجد هم‌اكنون موجود است و در بعضى كتاب‌ها مساحت كنونى آن را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ذكر كرده‌اند</w:t>
      </w:r>
      <w:r>
        <w:rPr>
          <w:rFonts w:eastAsia="IRNazanin" w:cs="IRNazanin"/>
          <w:color w:val="111111"/>
          <w:sz w:val="28"/>
          <w:szCs w:val="28"/>
          <w:rtl w:val="true"/>
          <w:lang w:bidi="fa-IR"/>
        </w:rPr>
        <w:t xml:space="preserve">. </w:t>
      </w:r>
      <w:r>
        <w:rPr>
          <w:rStyle w:val="FootnoteAnchor"/>
          <w:rtl w:val="true"/>
        </w:rPr>
        <w:footnoteReference w:id="567"/>
      </w:r>
      <w:r>
        <w:rPr>
          <w:rFonts w:ascii="Amiri" w:hAnsi="Amiri" w:eastAsia="Amiri" w:cs="Amiri"/>
          <w:color w:val="111111"/>
          <w:sz w:val="28"/>
          <w:sz w:val="28"/>
          <w:szCs w:val="28"/>
          <w:rtl w:val="true"/>
          <w:lang w:bidi="ar-SA"/>
        </w:rPr>
        <w:t>براى اين مسجد در كتاب‌هاى روايى شيعه، نماز مخصوص و دعا ذكر شده است</w:t>
      </w:r>
      <w:r>
        <w:rPr>
          <w:rFonts w:eastAsia="Amiri" w:cs="Amiri" w:ascii="Amiri" w:hAnsi="Amiri"/>
          <w:color w:val="111111"/>
          <w:sz w:val="28"/>
          <w:szCs w:val="28"/>
          <w:rtl w:val="true"/>
          <w:lang w:bidi="ar-SA"/>
        </w:rPr>
        <w:t xml:space="preserve">. </w:t>
      </w:r>
      <w:r>
        <w:rPr>
          <w:rStyle w:val="FootnoteAnchor"/>
          <w:rtl w:val="true"/>
        </w:rPr>
        <w:footnoteReference w:id="568"/>
      </w:r>
    </w:p>
    <w:p>
      <w:pPr>
        <w:pStyle w:val="Heading6"/>
        <w:numPr>
          <w:ilvl w:val="5"/>
          <w:numId w:val="1"/>
        </w:numPr>
        <w:rPr/>
      </w:pPr>
      <w:bookmarkStart w:id="723" w:name="__RefHeading___Toc3585037_3650668749"/>
      <w:bookmarkStart w:id="724" w:name="_Toc315"/>
      <w:bookmarkEnd w:id="723"/>
      <w:r>
        <w:rPr>
          <w:rtl w:val="true"/>
        </w:rPr>
        <w:t xml:space="preserve">چهارم </w:t>
      </w:r>
      <w:r>
        <w:rPr>
          <w:rtl w:val="true"/>
        </w:rPr>
        <w:t xml:space="preserve">- </w:t>
      </w:r>
      <w:r>
        <w:rPr>
          <w:rtl w:val="true"/>
        </w:rPr>
        <w:t>مسجد زيد بن صوحان</w:t>
      </w:r>
      <w:bookmarkEnd w:id="724"/>
    </w:p>
    <w:p>
      <w:pPr>
        <w:pStyle w:val="BookText"/>
        <w:rPr/>
      </w:pPr>
      <w:r>
        <w:rPr>
          <w:rFonts w:ascii="IRNazanin" w:hAnsi="IRNazanin" w:eastAsia="IRNazanin"/>
          <w:color w:val="111111"/>
          <w:sz w:val="28"/>
          <w:sz w:val="28"/>
          <w:szCs w:val="28"/>
          <w:rtl w:val="true"/>
          <w:lang w:bidi="fa-IR"/>
        </w:rPr>
        <w:t>زيد برادر صعصعه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منسوب به او، به گفته شيخ عباس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569"/>
      </w:r>
      <w:r>
        <w:rPr>
          <w:rFonts w:ascii="Amiri" w:hAnsi="Amiri" w:eastAsia="Amiri" w:cs="Amiri"/>
          <w:color w:val="111111"/>
          <w:sz w:val="28"/>
          <w:sz w:val="28"/>
          <w:szCs w:val="28"/>
          <w:rtl w:val="true"/>
          <w:lang w:bidi="ar-SA"/>
        </w:rPr>
        <w:t>نزديك مسجد سهله و بنابراين در سمت شمال غربى كوفه و در محله عبدالقيس قرار دارد</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به نظر مى‌رسد تا هم‌اكنون نيز 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كتاب‌ها مساحت آن را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مترمربع ذكر كرده‌اند</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براى اين مسجد در كتاب‌هاى روايى شيعه، دعا و نماز ذكر شده است</w:t>
      </w:r>
      <w:r>
        <w:rPr>
          <w:rFonts w:eastAsia="Amiri" w:cs="Amiri" w:ascii="Amiri" w:hAnsi="Amiri"/>
          <w:color w:val="111111"/>
          <w:sz w:val="28"/>
          <w:szCs w:val="28"/>
          <w:rtl w:val="true"/>
          <w:lang w:bidi="ar-SA"/>
        </w:rPr>
        <w:t xml:space="preserve">. </w:t>
      </w:r>
      <w:r>
        <w:rPr>
          <w:rStyle w:val="FootnoteAnchor"/>
          <w:rtl w:val="true"/>
        </w:rPr>
        <w:footnoteReference w:id="572"/>
      </w:r>
    </w:p>
    <w:p>
      <w:pPr>
        <w:pStyle w:val="Heading6"/>
        <w:numPr>
          <w:ilvl w:val="5"/>
          <w:numId w:val="1"/>
        </w:numPr>
        <w:rPr/>
      </w:pPr>
      <w:bookmarkStart w:id="725" w:name="__RefHeading___Toc3585039_3650668749"/>
      <w:bookmarkStart w:id="726" w:name="_Toc316"/>
      <w:bookmarkEnd w:id="725"/>
      <w:r>
        <w:rPr>
          <w:rtl w:val="true"/>
        </w:rPr>
        <w:t xml:space="preserve">پنجم </w:t>
      </w:r>
      <w:r>
        <w:rPr>
          <w:rtl w:val="true"/>
        </w:rPr>
        <w:t xml:space="preserve">- </w:t>
      </w:r>
      <w:r>
        <w:rPr>
          <w:rtl w:val="true"/>
        </w:rPr>
        <w:t>مسجد غَنّي</w:t>
      </w:r>
      <w:bookmarkEnd w:id="72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مسجد به عنوان يكى از مساجد مباركه در كلام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بنايراين در زمان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 اين</w:t>
      </w:r>
      <w:bookmarkStart w:id="727" w:name="pg1964_19575"/>
    </w:p>
    <w:p>
      <w:pPr>
        <w:pStyle w:val="BookText"/>
        <w:rPr/>
      </w:pPr>
      <w:bookmarkEnd w:id="727"/>
      <w:r>
        <w:rPr>
          <w:rFonts w:ascii="IRNazanin" w:hAnsi="IRNazanin" w:eastAsia="IRNazanin"/>
          <w:color w:val="111111"/>
          <w:sz w:val="28"/>
          <w:sz w:val="28"/>
          <w:szCs w:val="28"/>
          <w:rtl w:val="true"/>
          <w:lang w:bidi="fa-IR"/>
        </w:rPr>
        <w:t>مسجد را مردى مؤمن دانسته است</w:t>
      </w:r>
      <w:r>
        <w:rPr>
          <w:rFonts w:eastAsia="IRNazanin" w:cs="IRNazanin"/>
          <w:color w:val="111111"/>
          <w:sz w:val="28"/>
          <w:szCs w:val="28"/>
          <w:rtl w:val="true"/>
          <w:lang w:bidi="fa-IR"/>
        </w:rPr>
        <w:t xml:space="preserve">. </w:t>
      </w:r>
      <w:r>
        <w:rPr>
          <w:rStyle w:val="FootnoteAnchor"/>
          <w:rtl w:val="true"/>
        </w:rPr>
        <w:footnoteReference w:id="573"/>
      </w:r>
      <w:r>
        <w:rPr>
          <w:rFonts w:ascii="Amiri" w:hAnsi="Amiri" w:eastAsia="Amiri" w:cs="Amiri"/>
          <w:color w:val="111111"/>
          <w:sz w:val="28"/>
          <w:sz w:val="28"/>
          <w:szCs w:val="28"/>
          <w:rtl w:val="true"/>
          <w:lang w:bidi="ar-SA"/>
        </w:rPr>
        <w:t xml:space="preserve">اين مسجد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w:t>
      </w:r>
      <w:r>
        <w:rPr>
          <w:rStyle w:val="FootnoteAnchor"/>
          <w:rtl w:val="true"/>
        </w:rPr>
        <w:footnoteReference w:id="574"/>
      </w:r>
      <w:r>
        <w:rPr>
          <w:rFonts w:ascii="Amiri" w:hAnsi="Amiri" w:eastAsia="Amiri" w:cs="Amiri"/>
          <w:color w:val="111111"/>
          <w:sz w:val="28"/>
          <w:sz w:val="28"/>
          <w:szCs w:val="28"/>
          <w:rtl w:val="true"/>
          <w:lang w:bidi="ar-SA"/>
        </w:rPr>
        <w:t>و احتمالاً در شمال مسجد جامع قرار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هم‌اكنون اثرى از اين مسجد باقى نمانده است</w:t>
      </w:r>
      <w:r>
        <w:rPr>
          <w:rFonts w:eastAsia="Amiri" w:cs="Amiri" w:ascii="Amiri" w:hAnsi="Amiri"/>
          <w:color w:val="111111"/>
          <w:sz w:val="28"/>
          <w:szCs w:val="28"/>
          <w:rtl w:val="true"/>
          <w:lang w:bidi="ar-SA"/>
        </w:rPr>
        <w:t>.</w:t>
      </w:r>
    </w:p>
    <w:p>
      <w:pPr>
        <w:pStyle w:val="Heading6"/>
        <w:numPr>
          <w:ilvl w:val="5"/>
          <w:numId w:val="1"/>
        </w:numPr>
        <w:rPr/>
      </w:pPr>
      <w:bookmarkStart w:id="728" w:name="__RefHeading___Toc3585041_3650668749"/>
      <w:bookmarkStart w:id="729" w:name="_Toc317"/>
      <w:bookmarkEnd w:id="728"/>
      <w:r>
        <w:rPr>
          <w:rtl w:val="true"/>
        </w:rPr>
        <w:t xml:space="preserve">ششم </w:t>
      </w:r>
      <w:r>
        <w:rPr>
          <w:rtl w:val="true"/>
        </w:rPr>
        <w:t xml:space="preserve">- </w:t>
      </w:r>
      <w:r>
        <w:rPr>
          <w:rtl w:val="true"/>
        </w:rPr>
        <w:t>مسجد حَنّانه</w:t>
      </w:r>
      <w:bookmarkEnd w:id="729"/>
    </w:p>
    <w:p>
      <w:pPr>
        <w:pStyle w:val="BookText"/>
        <w:rPr/>
      </w:pPr>
      <w:r>
        <w:rPr>
          <w:rFonts w:ascii="IRNazanin" w:hAnsi="IRNazanin" w:eastAsia="IRNazanin"/>
          <w:color w:val="111111"/>
          <w:sz w:val="28"/>
          <w:sz w:val="28"/>
          <w:szCs w:val="28"/>
          <w:rtl w:val="true"/>
          <w:lang w:bidi="fa-IR"/>
        </w:rPr>
        <w:t xml:space="preserve">اين مسجد در غرب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كوفه به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حنّانه به معناى بسيار ناله‌كننده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دليل نامگذارى اين مسجد گفته شده هنگامى كه بدن مطهر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كنار اين مكان به سمت نجف منتقل مى‌كردند، اين مكان ناله زياد داشته است</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 xml:space="preserve">در بعضى از روايات نيز اين مكان به عنوان جايى كه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كوفيان در آن گذاشته شد، معرفى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بعدها در اين مكان مسجدى بنا شده است</w:t>
      </w:r>
      <w:r>
        <w:rPr>
          <w:rFonts w:eastAsia="IRNazanin" w:cs="IRNazanin"/>
          <w:color w:val="111111"/>
          <w:sz w:val="28"/>
          <w:szCs w:val="28"/>
          <w:rtl w:val="true"/>
          <w:lang w:bidi="fa-IR"/>
        </w:rPr>
        <w:t xml:space="preserve">. </w:t>
      </w:r>
      <w:r>
        <w:rPr>
          <w:rStyle w:val="FootnoteAnchor"/>
          <w:rtl w:val="true"/>
        </w:rPr>
        <w:footnoteReference w:id="576"/>
      </w:r>
      <w:r>
        <w:rPr>
          <w:rFonts w:ascii="Amiri" w:hAnsi="Amiri" w:eastAsia="Amiri" w:cs="Amiri"/>
          <w:color w:val="111111"/>
          <w:sz w:val="28"/>
          <w:sz w:val="28"/>
          <w:szCs w:val="28"/>
          <w:rtl w:val="true"/>
          <w:lang w:bidi="ar-SA"/>
        </w:rPr>
        <w:t>هم‌اكنون آثارى از اين مسجد باقى است</w:t>
      </w:r>
      <w:r>
        <w:rPr>
          <w:rFonts w:eastAsia="Amiri" w:cs="Amiri" w:ascii="Amiri" w:hAnsi="Amiri"/>
          <w:color w:val="111111"/>
          <w:sz w:val="28"/>
          <w:szCs w:val="28"/>
          <w:rtl w:val="true"/>
          <w:lang w:bidi="ar-SA"/>
        </w:rPr>
        <w:t xml:space="preserve">. </w:t>
      </w:r>
      <w:r>
        <w:rPr>
          <w:rStyle w:val="FootnoteAnchor"/>
          <w:rtl w:val="true"/>
        </w:rPr>
        <w:footnoteReference w:id="577"/>
      </w:r>
    </w:p>
    <w:p>
      <w:pPr>
        <w:pStyle w:val="Heading6"/>
        <w:numPr>
          <w:ilvl w:val="5"/>
          <w:numId w:val="1"/>
        </w:numPr>
        <w:rPr/>
      </w:pPr>
      <w:bookmarkStart w:id="730" w:name="__RefHeading___Toc3585043_3650668749"/>
      <w:bookmarkStart w:id="731" w:name="_Toc318"/>
      <w:bookmarkEnd w:id="730"/>
      <w:r>
        <w:rPr>
          <w:rtl w:val="true"/>
        </w:rPr>
        <w:t xml:space="preserve">هفتم </w:t>
      </w:r>
      <w:r>
        <w:rPr>
          <w:rtl w:val="true"/>
        </w:rPr>
        <w:t xml:space="preserve">- </w:t>
      </w:r>
      <w:r>
        <w:rPr>
          <w:rtl w:val="true"/>
        </w:rPr>
        <w:t>مسجد جُعْفي</w:t>
      </w:r>
      <w:bookmarkEnd w:id="731"/>
    </w:p>
    <w:p>
      <w:pPr>
        <w:pStyle w:val="BookText"/>
        <w:rPr/>
      </w:pPr>
      <w:r>
        <w:rPr>
          <w:rFonts w:ascii="Amiri" w:hAnsi="Amiri" w:eastAsia="Amiri" w:cs="Amiri"/>
          <w:color w:val="111111"/>
          <w:sz w:val="28"/>
          <w:sz w:val="28"/>
          <w:szCs w:val="28"/>
          <w:rtl w:val="true"/>
          <w:lang w:bidi="ar-SA"/>
        </w:rPr>
        <w:t xml:space="preserve">اين مسجد نيز يكى از مساجدى است كه در كلام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مسجدى مبارك از آن ياد شده است</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اين مسجد در محل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سمت جنوب مسجد جامع كوفه و مركز شهر قرار داشته است</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6"/>
        <w:numPr>
          <w:ilvl w:val="5"/>
          <w:numId w:val="1"/>
        </w:numPr>
        <w:rPr/>
      </w:pPr>
      <w:bookmarkStart w:id="732" w:name="__RefHeading___Toc3585045_3650668749"/>
      <w:bookmarkStart w:id="733" w:name="_Toc319"/>
      <w:bookmarkEnd w:id="732"/>
      <w:r>
        <w:rPr>
          <w:rtl w:val="true"/>
        </w:rPr>
        <w:t xml:space="preserve">هشتم </w:t>
      </w:r>
      <w:r>
        <w:rPr>
          <w:rtl w:val="true"/>
        </w:rPr>
        <w:t xml:space="preserve">- </w:t>
      </w:r>
      <w:r>
        <w:rPr>
          <w:rtl w:val="true"/>
        </w:rPr>
        <w:t>مسجد الحمراء</w:t>
      </w:r>
      <w:bookmarkEnd w:id="73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مسجد نيز به عنوان مسجدى مبارك در روايت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و به عنوان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معرفى گرديده است</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بعضى احتمال مى‌دهند</w:t>
      </w:r>
      <w:bookmarkStart w:id="734" w:name="pg1964_19576"/>
    </w:p>
    <w:p>
      <w:pPr>
        <w:pStyle w:val="BookText"/>
        <w:rPr/>
      </w:pPr>
      <w:bookmarkEnd w:id="734"/>
      <w:r>
        <w:rPr>
          <w:rFonts w:ascii="Amiri" w:hAnsi="Amiri" w:eastAsia="Amiri" w:cs="Amiri"/>
          <w:color w:val="111111"/>
          <w:sz w:val="28"/>
          <w:sz w:val="28"/>
          <w:szCs w:val="28"/>
          <w:rtl w:val="true"/>
          <w:lang w:bidi="ar-SA"/>
        </w:rPr>
        <w:t xml:space="preserve">كه در اين مكان حضرت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وسيله ماهى به ساحل انداخته شد</w:t>
      </w:r>
      <w:r>
        <w:rPr>
          <w:rFonts w:eastAsia="Amiri" w:cs="Amiri" w:ascii="Amiri" w:hAnsi="Amiri"/>
          <w:color w:val="111111"/>
          <w:sz w:val="28"/>
          <w:szCs w:val="28"/>
          <w:rtl w:val="true"/>
          <w:lang w:bidi="ar-SA"/>
        </w:rPr>
        <w:t xml:space="preserve">. </w:t>
      </w:r>
      <w:r>
        <w:rPr>
          <w:rStyle w:val="FootnoteAnchor"/>
          <w:rtl w:val="true"/>
        </w:rPr>
        <w:footnoteReference w:id="581"/>
      </w:r>
      <w:r>
        <w:rPr>
          <w:rFonts w:ascii="IRNazanin" w:hAnsi="IRNazanin" w:eastAsia="IRNazanin"/>
          <w:color w:val="111111"/>
          <w:sz w:val="28"/>
          <w:sz w:val="28"/>
          <w:szCs w:val="28"/>
          <w:rtl w:val="true"/>
          <w:lang w:bidi="fa-IR"/>
        </w:rPr>
        <w:t xml:space="preserve">در روايتى چنين آمده است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نماز گزارده است</w:t>
      </w:r>
      <w:r>
        <w:rPr>
          <w:rFonts w:eastAsia="IRNazanin" w:cs="IRNazanin"/>
          <w:color w:val="111111"/>
          <w:sz w:val="28"/>
          <w:szCs w:val="28"/>
          <w:rtl w:val="true"/>
          <w:lang w:bidi="fa-IR"/>
        </w:rPr>
        <w:t xml:space="preserve">. </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مسجد متعلق به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ايرانيان پيوسته به سپاه سعد بن ابى‌وقاص بوده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شرق كوفه و نزديك فرات قرار داشته است</w:t>
      </w:r>
      <w:r>
        <w:rPr>
          <w:rFonts w:eastAsia="IRNazanin" w:cs="IRNazanin"/>
          <w:color w:val="111111"/>
          <w:sz w:val="28"/>
          <w:szCs w:val="28"/>
          <w:rtl w:val="true"/>
          <w:lang w:bidi="fa-IR"/>
        </w:rPr>
        <w:t xml:space="preserve">. </w:t>
      </w:r>
      <w:r>
        <w:rPr>
          <w:rStyle w:val="FootnoteAnchor"/>
          <w:rtl w:val="true"/>
        </w:rPr>
        <w:footnoteReference w:id="583"/>
      </w:r>
      <w:r>
        <w:rPr>
          <w:rFonts w:ascii="Amiri" w:hAnsi="Amiri" w:eastAsia="Amiri" w:cs="Amiri"/>
          <w:color w:val="111111"/>
          <w:sz w:val="28"/>
          <w:sz w:val="28"/>
          <w:szCs w:val="28"/>
          <w:rtl w:val="true"/>
          <w:lang w:bidi="ar-SA"/>
        </w:rPr>
        <w:t>به نوشته بعضى از معاصران هنوز آثارى از اين مسجد باقى است</w:t>
      </w:r>
      <w:r>
        <w:rPr>
          <w:rFonts w:eastAsia="Amiri" w:cs="Amiri" w:ascii="Amiri" w:hAnsi="Amiri"/>
          <w:color w:val="111111"/>
          <w:sz w:val="28"/>
          <w:szCs w:val="28"/>
          <w:rtl w:val="true"/>
          <w:lang w:bidi="ar-SA"/>
        </w:rPr>
        <w:t xml:space="preserve">. </w:t>
      </w:r>
      <w:r>
        <w:rPr>
          <w:rStyle w:val="FootnoteAnchor"/>
          <w:rtl w:val="true"/>
        </w:rPr>
        <w:footnoteReference w:id="584"/>
      </w:r>
    </w:p>
    <w:p>
      <w:pPr>
        <w:pStyle w:val="Heading5"/>
        <w:numPr>
          <w:ilvl w:val="4"/>
          <w:numId w:val="1"/>
        </w:numPr>
        <w:rPr/>
      </w:pPr>
      <w:bookmarkStart w:id="735" w:name="__RefHeading___Toc3585047_3650668749"/>
      <w:bookmarkStart w:id="736" w:name="_Toc320"/>
      <w:bookmarkEnd w:id="735"/>
      <w:r>
        <w:rPr>
          <w:rtl w:val="true"/>
        </w:rPr>
        <w:t xml:space="preserve">دو </w:t>
      </w:r>
      <w:r>
        <w:rPr>
          <w:rtl w:val="true"/>
        </w:rPr>
        <w:t xml:space="preserve">- </w:t>
      </w:r>
      <w:r>
        <w:rPr>
          <w:rtl w:val="true"/>
        </w:rPr>
        <w:t>مساجد ملعونه</w:t>
      </w:r>
      <w:bookmarkEnd w:id="736"/>
    </w:p>
    <w:p>
      <w:pPr>
        <w:pStyle w:val="Heading6"/>
        <w:numPr>
          <w:ilvl w:val="5"/>
          <w:numId w:val="1"/>
        </w:numPr>
        <w:rPr/>
      </w:pPr>
      <w:bookmarkStart w:id="737" w:name="__RefHeading___Toc3585049_3650668749"/>
      <w:bookmarkStart w:id="738" w:name="_Toc321"/>
      <w:bookmarkEnd w:id="737"/>
      <w:r>
        <w:rPr>
          <w:rtl w:val="true"/>
        </w:rPr>
        <w:t>اشاره</w:t>
      </w:r>
      <w:bookmarkEnd w:id="738"/>
    </w:p>
    <w:p>
      <w:pPr>
        <w:pStyle w:val="BookText"/>
        <w:rPr/>
      </w:pPr>
      <w:r>
        <w:rPr>
          <w:rFonts w:ascii="Amiri" w:hAnsi="Amiri" w:eastAsia="Amiri" w:cs="Amiri"/>
          <w:color w:val="111111"/>
          <w:sz w:val="28"/>
          <w:sz w:val="28"/>
          <w:szCs w:val="28"/>
          <w:rtl w:val="true"/>
          <w:lang w:bidi="ar-SA"/>
        </w:rPr>
        <w:t>اين مساجد عبارت است 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اَشْعث بن قِيس كِندى،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جريربن عبدالله بجلى،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سماك بن مخرمه،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شَبَث بن رَبعى،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تيم،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ثقيف،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مسجدى در الحمراء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روايتى منسوب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خواندن در پنج مسجد نهى شده است</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 xml:space="preserve">چنين به نظر مى‌رسد كه اين مساجد به منظور مقابله با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مسجد ضرار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منسوب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آمده است كه چهار مسجد اول، بعد از شهادت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شكرانه پيروزى لشكر كوفه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بنا شد</w:t>
      </w:r>
      <w:r>
        <w:rPr>
          <w:rFonts w:eastAsia="IRNazanin" w:cs="IRNazanin"/>
          <w:color w:val="111111"/>
          <w:sz w:val="28"/>
          <w:szCs w:val="28"/>
          <w:rtl w:val="true"/>
          <w:lang w:bidi="fa-IR"/>
        </w:rPr>
        <w:t xml:space="preserve">. </w:t>
      </w:r>
      <w:r>
        <w:rPr>
          <w:rStyle w:val="FootnoteAnchor"/>
          <w:rtl w:val="true"/>
        </w:rPr>
        <w:footnoteReference w:id="586"/>
      </w:r>
      <w:r>
        <w:rPr>
          <w:rFonts w:ascii="Amiri" w:hAnsi="Amiri" w:eastAsia="Amiri" w:cs="Amiri"/>
          <w:color w:val="111111"/>
          <w:sz w:val="28"/>
          <w:sz w:val="28"/>
          <w:szCs w:val="28"/>
          <w:rtl w:val="true"/>
          <w:lang w:bidi="ar-SA"/>
        </w:rPr>
        <w:t>از اين رو، اين مساجد، لعن مضاعف دارند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موقعيت اين مساجد با يادآورى اين نكته كه هم‌اكنون اثرى از هيچ‌كدام باقى نمانده، از قرار زير است</w:t>
      </w:r>
      <w:r>
        <w:rPr>
          <w:rFonts w:eastAsia="IRNazanin" w:cs="IRNazanin"/>
          <w:color w:val="111111"/>
          <w:sz w:val="28"/>
          <w:szCs w:val="28"/>
          <w:rtl w:val="true"/>
          <w:lang w:bidi="fa-IR"/>
        </w:rPr>
        <w:t>:</w:t>
      </w:r>
      <w:bookmarkStart w:id="739" w:name="pg1964_19577"/>
    </w:p>
    <w:p>
      <w:pPr>
        <w:pStyle w:val="Heading6"/>
        <w:numPr>
          <w:ilvl w:val="5"/>
          <w:numId w:val="1"/>
        </w:numPr>
        <w:rPr/>
      </w:pPr>
      <w:bookmarkStart w:id="740" w:name="__RefHeading___Toc3585051_3650668749"/>
      <w:bookmarkStart w:id="741" w:name="_Toc322"/>
      <w:bookmarkEnd w:id="739"/>
      <w:bookmarkEnd w:id="740"/>
      <w:r>
        <w:rPr>
          <w:rtl w:val="true"/>
        </w:rPr>
        <w:t xml:space="preserve">اول </w:t>
      </w:r>
      <w:r>
        <w:rPr>
          <w:rtl w:val="true"/>
        </w:rPr>
        <w:t xml:space="preserve">- </w:t>
      </w:r>
      <w:r>
        <w:rPr>
          <w:rtl w:val="true"/>
        </w:rPr>
        <w:t>مسجد اَشعث</w:t>
      </w:r>
      <w:bookmarkEnd w:id="741"/>
    </w:p>
    <w:p>
      <w:pPr>
        <w:pStyle w:val="BookText"/>
        <w:rPr/>
      </w:pPr>
      <w:r>
        <w:rPr>
          <w:rFonts w:ascii="IRNazanin" w:hAnsi="IRNazanin" w:eastAsia="IRNazanin"/>
          <w:color w:val="111111"/>
          <w:sz w:val="28"/>
          <w:sz w:val="28"/>
          <w:szCs w:val="28"/>
          <w:rtl w:val="true"/>
          <w:lang w:bidi="fa-IR"/>
        </w:rPr>
        <w:t xml:space="preserve">نام ديگر 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الجواشن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اين مسجد در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جنوب مسجد جامع و نزديك آن قرار داشته است</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نقشه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6"/>
        <w:numPr>
          <w:ilvl w:val="5"/>
          <w:numId w:val="1"/>
        </w:numPr>
        <w:rPr/>
      </w:pPr>
      <w:bookmarkStart w:id="742" w:name="__RefHeading___Toc3585053_3650668749"/>
      <w:bookmarkStart w:id="743" w:name="_Toc323"/>
      <w:bookmarkEnd w:id="742"/>
      <w:r>
        <w:rPr>
          <w:rtl w:val="true"/>
        </w:rPr>
        <w:t xml:space="preserve">دوم </w:t>
      </w:r>
      <w:r>
        <w:rPr>
          <w:rtl w:val="true"/>
        </w:rPr>
        <w:t xml:space="preserve">- </w:t>
      </w:r>
      <w:r>
        <w:rPr>
          <w:rtl w:val="true"/>
        </w:rPr>
        <w:t>مسجد جَرير</w:t>
      </w:r>
      <w:bookmarkEnd w:id="743"/>
    </w:p>
    <w:p>
      <w:pPr>
        <w:pStyle w:val="BookText"/>
        <w:rPr/>
      </w:pPr>
      <w:r>
        <w:rPr>
          <w:rFonts w:ascii="Amiri" w:hAnsi="Amiri" w:eastAsia="Amiri" w:cs="Amiri"/>
          <w:color w:val="111111"/>
          <w:sz w:val="28"/>
          <w:sz w:val="28"/>
          <w:szCs w:val="28"/>
          <w:rtl w:val="true"/>
          <w:lang w:bidi="ar-SA"/>
        </w:rPr>
        <w:t xml:space="preserve">اين مسجد متعلق به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در شمال مسجد جامع كوفه و نزديك ميدان مركزى قرار داشته است</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البته بعضى محل آن را در بازار ذكر كرده‌اند</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6"/>
        <w:numPr>
          <w:ilvl w:val="5"/>
          <w:numId w:val="1"/>
        </w:numPr>
        <w:rPr/>
      </w:pPr>
      <w:bookmarkStart w:id="744" w:name="__RefHeading___Toc3585055_3650668749"/>
      <w:bookmarkStart w:id="745" w:name="_Toc324"/>
      <w:bookmarkEnd w:id="744"/>
      <w:r>
        <w:rPr>
          <w:rtl w:val="true"/>
        </w:rPr>
        <w:t xml:space="preserve">سوم </w:t>
      </w:r>
      <w:r>
        <w:rPr>
          <w:rtl w:val="true"/>
        </w:rPr>
        <w:t xml:space="preserve">- </w:t>
      </w:r>
      <w:r>
        <w:rPr>
          <w:rtl w:val="true"/>
        </w:rPr>
        <w:t>مسجد سَمّاك</w:t>
      </w:r>
      <w:bookmarkEnd w:id="745"/>
    </w:p>
    <w:p>
      <w:pPr>
        <w:pStyle w:val="BookText"/>
        <w:rPr/>
      </w:pPr>
      <w:r>
        <w:rPr>
          <w:rFonts w:ascii="IRNazanin" w:hAnsi="IRNazanin" w:eastAsia="IRNazanin"/>
          <w:color w:val="111111"/>
          <w:sz w:val="28"/>
          <w:sz w:val="28"/>
          <w:szCs w:val="28"/>
          <w:rtl w:val="true"/>
          <w:lang w:bidi="fa-IR"/>
        </w:rPr>
        <w:t xml:space="preserve">نام ديگر 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Style w:val="FootnoteAnchor"/>
          <w:rtl w:val="true"/>
        </w:rPr>
        <w:footnoteReference w:id="591"/>
      </w:r>
      <w:r>
        <w:rPr>
          <w:rFonts w:ascii="Amiri" w:hAnsi="Amiri" w:eastAsia="Amiri" w:cs="Amiri"/>
          <w:color w:val="111111"/>
          <w:sz w:val="28"/>
          <w:sz w:val="28"/>
          <w:szCs w:val="28"/>
          <w:rtl w:val="true"/>
          <w:lang w:bidi="ar-SA"/>
        </w:rPr>
        <w:t xml:space="preserve">و با عنوان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آن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مسجد، متعلق به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در جنوب غربى مسجد جامع كوفه قرار داشته است</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نقشه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6"/>
        <w:numPr>
          <w:ilvl w:val="5"/>
          <w:numId w:val="1"/>
        </w:numPr>
        <w:rPr/>
      </w:pPr>
      <w:bookmarkStart w:id="746" w:name="__RefHeading___Toc3585057_3650668749"/>
      <w:bookmarkStart w:id="747" w:name="_Toc325"/>
      <w:bookmarkEnd w:id="746"/>
      <w:r>
        <w:rPr>
          <w:rtl w:val="true"/>
        </w:rPr>
        <w:t xml:space="preserve">چهارم </w:t>
      </w:r>
      <w:r>
        <w:rPr>
          <w:rtl w:val="true"/>
        </w:rPr>
        <w:t xml:space="preserve">- </w:t>
      </w:r>
      <w:r>
        <w:rPr>
          <w:rtl w:val="true"/>
        </w:rPr>
        <w:t>مسجد شَبَث</w:t>
      </w:r>
      <w:bookmarkEnd w:id="747"/>
    </w:p>
    <w:p>
      <w:pPr>
        <w:pStyle w:val="BookText"/>
        <w:rPr/>
      </w:pPr>
      <w:r>
        <w:rPr>
          <w:rFonts w:ascii="Amiri" w:hAnsi="Amiri" w:eastAsia="Amiri" w:cs="Amiri"/>
          <w:color w:val="111111"/>
          <w:sz w:val="28"/>
          <w:sz w:val="28"/>
          <w:szCs w:val="28"/>
          <w:rtl w:val="true"/>
          <w:lang w:bidi="ar-SA"/>
        </w:rPr>
        <w:t xml:space="preserve">اين مسجد متعلق به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در منتهى‌اليه جنوب غربى كوفه و نزديك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داشته است</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6"/>
        <w:numPr>
          <w:ilvl w:val="5"/>
          <w:numId w:val="1"/>
        </w:numPr>
        <w:rPr/>
      </w:pPr>
      <w:bookmarkStart w:id="748" w:name="__RefHeading___Toc3585059_3650668749"/>
      <w:bookmarkStart w:id="749" w:name="_Toc326"/>
      <w:bookmarkEnd w:id="748"/>
      <w:r>
        <w:rPr>
          <w:rtl w:val="true"/>
        </w:rPr>
        <w:t xml:space="preserve">پنجم </w:t>
      </w:r>
      <w:r>
        <w:rPr>
          <w:rtl w:val="true"/>
        </w:rPr>
        <w:t xml:space="preserve">- </w:t>
      </w:r>
      <w:r>
        <w:rPr>
          <w:rtl w:val="true"/>
        </w:rPr>
        <w:t xml:space="preserve">مسجد تَيم </w:t>
      </w:r>
      <w:r>
        <w:rPr>
          <w:rtl w:val="true"/>
        </w:rPr>
        <w:t>(</w:t>
      </w:r>
      <w:r>
        <w:rPr>
          <w:rtl w:val="true"/>
        </w:rPr>
        <w:t>مسجد بنوتَيِم</w:t>
      </w:r>
      <w:r>
        <w:rPr>
          <w:rtl w:val="true"/>
        </w:rPr>
        <w:t>)</w:t>
      </w:r>
      <w:bookmarkEnd w:id="74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مسجد در شمال مسجد شبث و در نزديكى آن قرار داشته است</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24</w:t>
      </w:r>
      <w:r>
        <w:rPr>
          <w:rFonts w:eastAsia="IRNazanin" w:cs="IRNazanin"/>
          <w:color w:val="111111"/>
          <w:sz w:val="28"/>
          <w:szCs w:val="28"/>
          <w:rtl w:val="true"/>
          <w:lang w:bidi="fa-IR"/>
        </w:rPr>
        <w:t>)</w:t>
      </w:r>
      <w:bookmarkStart w:id="750" w:name="pg1964_19578"/>
    </w:p>
    <w:p>
      <w:pPr>
        <w:pStyle w:val="BookText"/>
        <w:rPr/>
      </w:pPr>
      <w:bookmarkEnd w:id="750"/>
      <w:r>
        <w:rPr>
          <w:rFonts w:ascii="IRNazanin" w:hAnsi="IRNazanin" w:eastAsia="IRNazanin"/>
          <w:color w:val="111111"/>
          <w:sz w:val="28"/>
          <w:sz w:val="28"/>
          <w:szCs w:val="28"/>
          <w:rtl w:val="true"/>
          <w:lang w:bidi="fa-IR"/>
        </w:rPr>
        <w:t xml:space="preserve">دو مسجد ديگر نيز در زمان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ملعونه معرفى شده‌اند </w:t>
      </w:r>
      <w:r>
        <w:rPr>
          <w:rStyle w:val="FootnoteAnchor"/>
          <w:rtl w:val="true"/>
        </w:rPr>
        <w:footnoteReference w:id="595"/>
      </w:r>
      <w:r>
        <w:rPr>
          <w:rFonts w:ascii="Amiri" w:hAnsi="Amiri" w:eastAsia="Amiri" w:cs="Amiri"/>
          <w:color w:val="111111"/>
          <w:sz w:val="28"/>
          <w:sz w:val="28"/>
          <w:szCs w:val="28"/>
          <w:rtl w:val="true"/>
          <w:lang w:bidi="ar-SA"/>
        </w:rPr>
        <w:t>كه عبارتاند از</w:t>
      </w:r>
      <w:r>
        <w:rPr>
          <w:rFonts w:eastAsia="Amiri" w:cs="Amiri" w:ascii="Amiri" w:hAnsi="Amiri"/>
          <w:color w:val="111111"/>
          <w:sz w:val="28"/>
          <w:szCs w:val="28"/>
          <w:rtl w:val="true"/>
          <w:lang w:bidi="ar-SA"/>
        </w:rPr>
        <w:t>:</w:t>
      </w:r>
    </w:p>
    <w:p>
      <w:pPr>
        <w:pStyle w:val="Heading6"/>
        <w:numPr>
          <w:ilvl w:val="5"/>
          <w:numId w:val="1"/>
        </w:numPr>
        <w:rPr/>
      </w:pPr>
      <w:bookmarkStart w:id="751" w:name="__RefHeading___Toc3585061_3650668749"/>
      <w:bookmarkStart w:id="752" w:name="_Toc327"/>
      <w:bookmarkEnd w:id="751"/>
      <w:r>
        <w:rPr>
          <w:rtl w:val="true"/>
        </w:rPr>
        <w:t xml:space="preserve">ششم </w:t>
      </w:r>
      <w:r>
        <w:rPr>
          <w:rtl w:val="true"/>
        </w:rPr>
        <w:t xml:space="preserve">- </w:t>
      </w:r>
      <w:r>
        <w:rPr>
          <w:rtl w:val="true"/>
        </w:rPr>
        <w:t>مسجد ثَقيف</w:t>
      </w:r>
      <w:bookmarkEnd w:id="752"/>
    </w:p>
    <w:p>
      <w:pPr>
        <w:pStyle w:val="BookText"/>
        <w:rPr/>
      </w:pPr>
      <w:r>
        <w:rPr>
          <w:rFonts w:ascii="Amiri" w:hAnsi="Amiri" w:eastAsia="Amiri" w:cs="Amiri"/>
          <w:color w:val="111111"/>
          <w:sz w:val="28"/>
          <w:sz w:val="28"/>
          <w:szCs w:val="28"/>
          <w:rtl w:val="true"/>
          <w:lang w:bidi="ar-SA"/>
        </w:rPr>
        <w:t xml:space="preserve">محل اين مسجد در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در شمال مسجد كوفه بوده است</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6"/>
        <w:numPr>
          <w:ilvl w:val="5"/>
          <w:numId w:val="1"/>
        </w:numPr>
        <w:rPr/>
      </w:pPr>
      <w:bookmarkStart w:id="753" w:name="__RefHeading___Toc3585063_3650668749"/>
      <w:bookmarkStart w:id="754" w:name="_Toc328"/>
      <w:bookmarkEnd w:id="753"/>
      <w:r>
        <w:rPr>
          <w:rtl w:val="true"/>
        </w:rPr>
        <w:t xml:space="preserve">هفتم </w:t>
      </w:r>
      <w:r>
        <w:rPr>
          <w:rtl w:val="true"/>
        </w:rPr>
        <w:t xml:space="preserve">- </w:t>
      </w:r>
      <w:r>
        <w:rPr>
          <w:rtl w:val="true"/>
        </w:rPr>
        <w:t>مسجدى در الحمراء</w:t>
      </w:r>
      <w:bookmarkEnd w:id="754"/>
    </w:p>
    <w:p>
      <w:pPr>
        <w:pStyle w:val="BookText"/>
        <w:rPr/>
      </w:pPr>
      <w:r>
        <w:rPr>
          <w:rFonts w:ascii="IRNazanin" w:hAnsi="IRNazanin" w:eastAsia="IRNazanin"/>
          <w:color w:val="111111"/>
          <w:sz w:val="28"/>
          <w:sz w:val="28"/>
          <w:szCs w:val="28"/>
          <w:rtl w:val="true"/>
          <w:lang w:bidi="fa-IR"/>
        </w:rPr>
        <w:t xml:space="preserve">اين مسجد نيز در زمان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مساجد ملعونه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ملعونه خواندن آن را بنا نهاده شدن آن بر قبرى از فراعنه ذكر كرده‌اند كه شايد كنايه از يكى از بزرگان نفاق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اين مسجد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w:t>
      </w:r>
      <w:r>
        <w:rPr>
          <w:rStyle w:val="FootnoteAnchor"/>
          <w:rtl w:val="true"/>
        </w:rPr>
        <w:footnoteReference w:id="597"/>
      </w:r>
      <w:r>
        <w:rPr>
          <w:rFonts w:ascii="Amiri" w:hAnsi="Amiri" w:eastAsia="Amiri" w:cs="Amiri"/>
          <w:color w:val="111111"/>
          <w:sz w:val="28"/>
          <w:sz w:val="28"/>
          <w:szCs w:val="28"/>
          <w:rtl w:val="true"/>
          <w:lang w:bidi="ar-SA"/>
        </w:rPr>
        <w:t>و احتمالاً در شرق كوفه و نزديك فرات قرار داشته است</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3585065_3650668749"/>
      <w:bookmarkStart w:id="756" w:name="_Toc329"/>
      <w:bookmarkEnd w:id="755"/>
      <w:r>
        <w:rPr>
          <w:rtl w:val="true"/>
        </w:rPr>
        <w:t xml:space="preserve">سه </w:t>
      </w:r>
      <w:r>
        <w:rPr>
          <w:rtl w:val="true"/>
        </w:rPr>
        <w:t xml:space="preserve">- </w:t>
      </w:r>
      <w:r>
        <w:rPr>
          <w:rtl w:val="true"/>
        </w:rPr>
        <w:t>مساجد ديگر</w:t>
      </w:r>
      <w:bookmarkEnd w:id="756"/>
    </w:p>
    <w:p>
      <w:pPr>
        <w:pStyle w:val="Heading6"/>
        <w:numPr>
          <w:ilvl w:val="5"/>
          <w:numId w:val="1"/>
        </w:numPr>
        <w:rPr/>
      </w:pPr>
      <w:bookmarkStart w:id="757" w:name="__RefHeading___Toc3585067_3650668749"/>
      <w:bookmarkStart w:id="758" w:name="_Toc330"/>
      <w:bookmarkEnd w:id="757"/>
      <w:r>
        <w:rPr>
          <w:rtl w:val="true"/>
        </w:rPr>
        <w:t>اشاره</w:t>
      </w:r>
      <w:bookmarkEnd w:id="758"/>
    </w:p>
    <w:p>
      <w:pPr>
        <w:pStyle w:val="BookText"/>
        <w:rPr/>
      </w:pPr>
      <w:r>
        <w:rPr>
          <w:rFonts w:ascii="IRNazanin" w:hAnsi="IRNazanin" w:eastAsia="IRNazanin"/>
          <w:color w:val="111111"/>
          <w:sz w:val="28"/>
          <w:sz w:val="28"/>
          <w:szCs w:val="28"/>
          <w:rtl w:val="true"/>
          <w:lang w:bidi="fa-IR"/>
        </w:rPr>
        <w:t>نام مساجد فراوانى در منابع تاريخى ذكر شده كه احتمالاً بيشتر آنها در زمان مورد بحث ما وجود داشته‌است، گرچه هيچ‌يك از اين مساجد هم‌اكنون موجود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مساجد از قرارزيراست</w:t>
      </w:r>
      <w:r>
        <w:rPr>
          <w:rFonts w:eastAsia="IRNazanin" w:cs="IRNazanin"/>
          <w:color w:val="111111"/>
          <w:sz w:val="28"/>
          <w:szCs w:val="28"/>
          <w:rtl w:val="true"/>
          <w:lang w:bidi="fa-IR"/>
        </w:rPr>
        <w:t>:</w:t>
      </w:r>
    </w:p>
    <w:p>
      <w:pPr>
        <w:pStyle w:val="Heading6"/>
        <w:numPr>
          <w:ilvl w:val="5"/>
          <w:numId w:val="1"/>
        </w:numPr>
        <w:rPr/>
      </w:pPr>
      <w:bookmarkStart w:id="759" w:name="__RefHeading___Toc3585069_3650668749"/>
      <w:bookmarkStart w:id="760" w:name="_Toc331"/>
      <w:bookmarkEnd w:id="759"/>
      <w:r>
        <w:rPr>
          <w:rtl w:val="true"/>
        </w:rPr>
        <w:t xml:space="preserve">اول </w:t>
      </w:r>
      <w:r>
        <w:rPr>
          <w:rtl w:val="true"/>
        </w:rPr>
        <w:t xml:space="preserve">- </w:t>
      </w:r>
      <w:r>
        <w:rPr>
          <w:rtl w:val="true"/>
        </w:rPr>
        <w:t xml:space="preserve">مسجد جُهَيْنَه </w:t>
      </w:r>
      <w:r>
        <w:rPr>
          <w:rtl w:val="true"/>
        </w:rPr>
        <w:t>(</w:t>
      </w:r>
      <w:r>
        <w:rPr>
          <w:rtl w:val="true"/>
        </w:rPr>
        <w:t>مسجد بنودُهمان</w:t>
      </w:r>
      <w:r>
        <w:rPr>
          <w:rtl w:val="true"/>
        </w:rPr>
        <w:t>)</w:t>
      </w:r>
      <w:bookmarkEnd w:id="76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مسجد در زمان مُصْعَب بن زبير، يعنى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نام برده شده است</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اين احتمال نيز وجود دارد كه اين مسجد، همان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دهمان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متعلق به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بوده باشد</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اين مسجد در محله جهينه، واقع در سمت جنوب غربى</w:t>
      </w:r>
      <w:bookmarkStart w:id="761" w:name="pg1964_19579"/>
    </w:p>
    <w:p>
      <w:pPr>
        <w:pStyle w:val="BookText"/>
        <w:rPr/>
      </w:pPr>
      <w:bookmarkEnd w:id="761"/>
      <w:r>
        <w:rPr>
          <w:rFonts w:ascii="Amiri" w:hAnsi="Amiri" w:eastAsia="Amiri" w:cs="Amiri"/>
          <w:color w:val="111111"/>
          <w:sz w:val="28"/>
          <w:sz w:val="28"/>
          <w:szCs w:val="28"/>
          <w:rtl w:val="true"/>
          <w:lang w:bidi="ar-SA"/>
        </w:rPr>
        <w:t>مسجد جامع و نزديك قصر واقع بوده‌است</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ماسينيون اين مسجد را در جنوب قصر و در نزديكى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الروميين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نقشه شماره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نقشه شماره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762" w:name="__RefHeading___Toc3585071_3650668749"/>
      <w:bookmarkStart w:id="763" w:name="_Toc332"/>
      <w:bookmarkEnd w:id="762"/>
      <w:r>
        <w:rPr>
          <w:rtl w:val="true"/>
        </w:rPr>
        <w:t xml:space="preserve">دوم </w:t>
      </w:r>
      <w:r>
        <w:rPr>
          <w:rtl w:val="true"/>
        </w:rPr>
        <w:t xml:space="preserve">- </w:t>
      </w:r>
      <w:r>
        <w:rPr>
          <w:rtl w:val="true"/>
        </w:rPr>
        <w:t>مسجد بني‌مَخْزوم</w:t>
      </w:r>
      <w:bookmarkEnd w:id="763"/>
    </w:p>
    <w:p>
      <w:pPr>
        <w:pStyle w:val="BookText"/>
        <w:rPr/>
      </w:pPr>
      <w:r>
        <w:rPr>
          <w:rFonts w:ascii="Amiri" w:hAnsi="Amiri" w:eastAsia="Amiri" w:cs="Amiri"/>
          <w:color w:val="111111"/>
          <w:sz w:val="28"/>
          <w:sz w:val="28"/>
          <w:szCs w:val="28"/>
          <w:rtl w:val="true"/>
          <w:lang w:bidi="ar-SA"/>
        </w:rPr>
        <w:t>از اين مسجد نيز در زمان مصعب ياد شده است</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اين مسجد متعلق به طايفه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كنار قصر در سمت غرب آن و در محدوده ميدان مركزى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صحن 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بوده است</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نقشه شماره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6"/>
        <w:numPr>
          <w:ilvl w:val="5"/>
          <w:numId w:val="1"/>
        </w:numPr>
        <w:rPr/>
      </w:pPr>
      <w:bookmarkStart w:id="764" w:name="__RefHeading___Toc3585073_3650668749"/>
      <w:bookmarkStart w:id="765" w:name="_Toc333"/>
      <w:bookmarkEnd w:id="764"/>
      <w:r>
        <w:rPr>
          <w:rtl w:val="true"/>
        </w:rPr>
        <w:t xml:space="preserve">سوم </w:t>
      </w:r>
      <w:r>
        <w:rPr>
          <w:rtl w:val="true"/>
        </w:rPr>
        <w:t xml:space="preserve">- </w:t>
      </w:r>
      <w:r>
        <w:rPr>
          <w:rtl w:val="true"/>
        </w:rPr>
        <w:t>مسجد بني‌عبدالله بن دارِم</w:t>
      </w:r>
      <w:bookmarkEnd w:id="765"/>
    </w:p>
    <w:p>
      <w:pPr>
        <w:pStyle w:val="Heading6"/>
        <w:numPr>
          <w:ilvl w:val="5"/>
          <w:numId w:val="1"/>
        </w:numPr>
        <w:rPr/>
      </w:pPr>
      <w:bookmarkStart w:id="766" w:name="__RefHeading___Toc3585075_3650668749"/>
      <w:bookmarkStart w:id="767" w:name="_Toc334"/>
      <w:bookmarkEnd w:id="766"/>
      <w:r>
        <w:rPr>
          <w:rtl w:val="true"/>
        </w:rPr>
        <w:t>\</w:t>
      </w:r>
      <w:r>
        <w:rPr>
          <w:rtl w:val="true"/>
        </w:rPr>
        <w:t xml:space="preserve">رزام </w:t>
      </w:r>
      <w:r>
        <w:rPr>
          <w:rtl w:val="true"/>
        </w:rPr>
        <w:t>(</w:t>
      </w:r>
      <w:r>
        <w:rPr>
          <w:rtl w:val="true"/>
        </w:rPr>
        <w:t>مسجددارم</w:t>
      </w:r>
      <w:r>
        <w:rPr>
          <w:rtl w:val="true"/>
        </w:rPr>
        <w:t>)</w:t>
      </w:r>
      <w:bookmarkEnd w:id="767"/>
    </w:p>
    <w:p>
      <w:pPr>
        <w:pStyle w:val="BookText"/>
        <w:rPr/>
      </w:pPr>
      <w:r>
        <w:rPr>
          <w:rFonts w:ascii="Amiri" w:hAnsi="Amiri" w:eastAsia="Amiri" w:cs="Amiri"/>
          <w:color w:val="111111"/>
          <w:sz w:val="28"/>
          <w:sz w:val="28"/>
          <w:szCs w:val="28"/>
          <w:rtl w:val="true"/>
          <w:lang w:bidi="ar-SA"/>
        </w:rPr>
        <w:t xml:space="preserve">اين مسجد متعلق به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در محدوده اين قبيله واقع در جنوب غربى كوفه بوده‌است</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6"/>
        <w:numPr>
          <w:ilvl w:val="5"/>
          <w:numId w:val="1"/>
        </w:numPr>
        <w:rPr/>
      </w:pPr>
      <w:bookmarkStart w:id="768" w:name="__RefHeading___Toc3585077_3650668749"/>
      <w:bookmarkStart w:id="769" w:name="_Toc335"/>
      <w:bookmarkEnd w:id="768"/>
      <w:r>
        <w:rPr>
          <w:rtl w:val="true"/>
        </w:rPr>
        <w:t xml:space="preserve">چهارم </w:t>
      </w:r>
      <w:r>
        <w:rPr>
          <w:rtl w:val="true"/>
        </w:rPr>
        <w:t xml:space="preserve">- </w:t>
      </w:r>
      <w:r>
        <w:rPr>
          <w:rtl w:val="true"/>
        </w:rPr>
        <w:t>مسجد بني‌جَذيمه</w:t>
      </w:r>
      <w:bookmarkEnd w:id="769"/>
    </w:p>
    <w:p>
      <w:pPr>
        <w:pStyle w:val="BookText"/>
        <w:rPr/>
      </w:pPr>
      <w:r>
        <w:rPr>
          <w:rFonts w:ascii="Amiri" w:hAnsi="Amiri" w:eastAsia="Amiri" w:cs="Amiri"/>
          <w:color w:val="111111"/>
          <w:sz w:val="28"/>
          <w:sz w:val="28"/>
          <w:szCs w:val="28"/>
          <w:rtl w:val="true"/>
          <w:lang w:bidi="ar-SA"/>
        </w:rPr>
        <w:t xml:space="preserve">اين مسجد به طايفه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بنى‌جذيمه</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از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داشته و در جنوب غربى كوفه واقع بوده است</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ماسينيون آن را نزديك ميدان و در جنوب غربى آن ترسيم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نقشه شماره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نقشه شماره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770" w:name="__RefHeading___Toc3585079_3650668749"/>
      <w:bookmarkStart w:id="771" w:name="_Toc336"/>
      <w:bookmarkEnd w:id="770"/>
      <w:r>
        <w:rPr>
          <w:rtl w:val="true"/>
        </w:rPr>
        <w:t xml:space="preserve">پنجم </w:t>
      </w:r>
      <w:r>
        <w:rPr>
          <w:rtl w:val="true"/>
        </w:rPr>
        <w:t xml:space="preserve">- </w:t>
      </w:r>
      <w:r>
        <w:rPr>
          <w:rtl w:val="true"/>
        </w:rPr>
        <w:t xml:space="preserve">مسجد بني‌عَنْزَه </w:t>
      </w:r>
      <w:r>
        <w:rPr>
          <w:rtl w:val="true"/>
        </w:rPr>
        <w:t>(</w:t>
      </w:r>
      <w:r>
        <w:rPr>
          <w:rtl w:val="true"/>
        </w:rPr>
        <w:t>مسجد بنوعناز يا مسجد بني‌عنز</w:t>
      </w:r>
      <w:r>
        <w:rPr>
          <w:rtl w:val="true"/>
        </w:rPr>
        <w:t>)</w:t>
      </w:r>
      <w:bookmarkEnd w:id="77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مسجد به تيره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وائل بن قاسط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داشته و در جنوب شرقى مسجد جامع كوفه واقع بوده است</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53</w:t>
      </w:r>
      <w:r>
        <w:rPr>
          <w:rFonts w:eastAsia="IRNazanin" w:cs="IRNazanin"/>
          <w:color w:val="111111"/>
          <w:sz w:val="28"/>
          <w:szCs w:val="28"/>
          <w:rtl w:val="true"/>
          <w:lang w:bidi="fa-IR"/>
        </w:rPr>
        <w:t>)</w:t>
      </w:r>
      <w:bookmarkStart w:id="772" w:name="pg1964_19580"/>
    </w:p>
    <w:p>
      <w:pPr>
        <w:pStyle w:val="Heading6"/>
        <w:numPr>
          <w:ilvl w:val="5"/>
          <w:numId w:val="1"/>
        </w:numPr>
        <w:rPr/>
      </w:pPr>
      <w:bookmarkStart w:id="773" w:name="__RefHeading___Toc3585081_3650668749"/>
      <w:bookmarkStart w:id="774" w:name="_Toc337"/>
      <w:bookmarkEnd w:id="772"/>
      <w:bookmarkEnd w:id="773"/>
      <w:r>
        <w:rPr>
          <w:rtl w:val="true"/>
        </w:rPr>
        <w:t xml:space="preserve">ششم </w:t>
      </w:r>
      <w:r>
        <w:rPr>
          <w:rtl w:val="true"/>
        </w:rPr>
        <w:t xml:space="preserve">- </w:t>
      </w:r>
      <w:r>
        <w:rPr>
          <w:rtl w:val="true"/>
        </w:rPr>
        <w:t xml:space="preserve">مسجد سَكون </w:t>
      </w:r>
      <w:r>
        <w:rPr>
          <w:rtl w:val="true"/>
        </w:rPr>
        <w:t>(</w:t>
      </w:r>
      <w:r>
        <w:rPr>
          <w:rtl w:val="true"/>
        </w:rPr>
        <w:t>مسجد بني‌سكون</w:t>
      </w:r>
      <w:r>
        <w:rPr>
          <w:rtl w:val="true"/>
        </w:rPr>
        <w:t>)</w:t>
      </w:r>
      <w:bookmarkEnd w:id="774"/>
    </w:p>
    <w:p>
      <w:pPr>
        <w:pStyle w:val="BookText"/>
        <w:rPr/>
      </w:pPr>
      <w:r>
        <w:rPr>
          <w:rFonts w:ascii="Amiri" w:hAnsi="Amiri" w:eastAsia="Amiri" w:cs="Amiri"/>
          <w:color w:val="111111"/>
          <w:sz w:val="28"/>
          <w:sz w:val="28"/>
          <w:szCs w:val="28"/>
          <w:rtl w:val="true"/>
          <w:lang w:bidi="ar-SA"/>
        </w:rPr>
        <w:t xml:space="preserve">از اين مسجد در جريان حوادث قيام مختار در كوفه در سال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ياد شده است</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اين مسجد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داشته و در سهم اين قبيله، در جنوب مسجد جامع كوفه قرار داشته است</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شماره</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نقشه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6"/>
        <w:numPr>
          <w:ilvl w:val="5"/>
          <w:numId w:val="1"/>
        </w:numPr>
        <w:rPr/>
      </w:pPr>
      <w:bookmarkStart w:id="775" w:name="__RefHeading___Toc3585083_3650668749"/>
      <w:bookmarkStart w:id="776" w:name="_Toc338"/>
      <w:bookmarkEnd w:id="775"/>
      <w:r>
        <w:rPr>
          <w:rtl w:val="true"/>
        </w:rPr>
        <w:t xml:space="preserve">هفتم </w:t>
      </w:r>
      <w:r>
        <w:rPr>
          <w:rtl w:val="true"/>
        </w:rPr>
        <w:t xml:space="preserve">- </w:t>
      </w:r>
      <w:r>
        <w:rPr>
          <w:rtl w:val="true"/>
        </w:rPr>
        <w:t>مسجد قُصّاص</w:t>
      </w:r>
      <w:bookmarkEnd w:id="776"/>
    </w:p>
    <w:p>
      <w:pPr>
        <w:pStyle w:val="BookText"/>
        <w:rPr/>
      </w:pPr>
      <w:r>
        <w:rPr>
          <w:rFonts w:ascii="Amiri" w:hAnsi="Amiri" w:eastAsia="Amiri" w:cs="Amiri"/>
          <w:color w:val="111111"/>
          <w:sz w:val="28"/>
          <w:sz w:val="28"/>
          <w:szCs w:val="28"/>
          <w:rtl w:val="true"/>
          <w:lang w:bidi="ar-SA"/>
        </w:rPr>
        <w:t xml:space="preserve">از اين مسجد كه بعدها به نام مسجد ابوداود ناميده شد نيز در جريان قيام مختار در سال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ياد شده است</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اين مسجد كه متعلق به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در شمال مسجد جامع قرار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نقشه شماره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3585085_3650668749"/>
      <w:bookmarkStart w:id="778" w:name="_Toc339"/>
      <w:bookmarkEnd w:id="777"/>
      <w:r>
        <w:rPr>
          <w:rtl w:val="true"/>
        </w:rPr>
        <w:t xml:space="preserve">هشتم </w:t>
      </w:r>
      <w:r>
        <w:rPr>
          <w:rtl w:val="true"/>
        </w:rPr>
        <w:t xml:space="preserve">- </w:t>
      </w:r>
      <w:r>
        <w:rPr>
          <w:rtl w:val="true"/>
        </w:rPr>
        <w:t>مسجد عبدالقيس</w:t>
      </w:r>
      <w:bookmarkEnd w:id="778"/>
    </w:p>
    <w:p>
      <w:pPr>
        <w:pStyle w:val="BookText"/>
        <w:rPr/>
      </w:pPr>
      <w:r>
        <w:rPr>
          <w:rFonts w:ascii="Amiri" w:hAnsi="Amiri" w:eastAsia="Amiri" w:cs="Amiri"/>
          <w:color w:val="111111"/>
          <w:sz w:val="28"/>
          <w:sz w:val="28"/>
          <w:szCs w:val="28"/>
          <w:rtl w:val="true"/>
          <w:lang w:bidi="ar-SA"/>
        </w:rPr>
        <w:t xml:space="preserve">اين مسجد كه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شيعيان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در سهم اين قبيله، در شمال غربى كوفه واقع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اين مسجد را همان مسجد سهله مى‌دانند</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نقشه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6"/>
        <w:numPr>
          <w:ilvl w:val="5"/>
          <w:numId w:val="1"/>
        </w:numPr>
        <w:rPr/>
      </w:pPr>
      <w:bookmarkStart w:id="779" w:name="__RefHeading___Toc3585087_3650668749"/>
      <w:bookmarkStart w:id="780" w:name="_Toc340"/>
      <w:bookmarkEnd w:id="779"/>
      <w:r>
        <w:rPr>
          <w:rtl w:val="true"/>
        </w:rPr>
        <w:t xml:space="preserve">نهم </w:t>
      </w:r>
      <w:r>
        <w:rPr>
          <w:rtl w:val="true"/>
        </w:rPr>
        <w:t xml:space="preserve">- </w:t>
      </w:r>
      <w:r>
        <w:rPr>
          <w:rtl w:val="true"/>
        </w:rPr>
        <w:t xml:space="preserve">مسجد بني‌سُنْبُس </w:t>
      </w:r>
      <w:r>
        <w:rPr>
          <w:rtl w:val="true"/>
        </w:rPr>
        <w:t>(</w:t>
      </w:r>
      <w:r>
        <w:rPr>
          <w:rtl w:val="true"/>
        </w:rPr>
        <w:t>مسجد عدي بن حاتَم</w:t>
      </w:r>
      <w:r>
        <w:rPr>
          <w:rtl w:val="true"/>
        </w:rPr>
        <w:t>)</w:t>
      </w:r>
      <w:bookmarkEnd w:id="78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گزارش تاريخى مسجد بنى‌سنبس را تنها مسجد متعلق به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با توجه به اينكه مسجد عدى نيز متعلق به اين قبيله بوده است </w:t>
      </w:r>
      <w:r>
        <w:rPr>
          <w:rStyle w:val="FootnoteAnchor"/>
          <w:rtl w:val="true"/>
        </w:rPr>
        <w:footnoteReference w:id="612"/>
      </w:r>
      <w:r>
        <w:rPr>
          <w:rFonts w:ascii="IRNazanin" w:hAnsi="IRNazanin" w:eastAsia="IRNazanin"/>
          <w:color w:val="111111"/>
          <w:sz w:val="28"/>
          <w:sz w:val="28"/>
          <w:szCs w:val="28"/>
          <w:rtl w:val="true"/>
          <w:lang w:bidi="fa-IR"/>
        </w:rPr>
        <w:t>، مى‌توان اتحاد اين دو نام را نتيجه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محله طى</w:t>
      </w:r>
      <w:bookmarkStart w:id="781" w:name="pg1964_19581"/>
    </w:p>
    <w:p>
      <w:pPr>
        <w:pStyle w:val="BookText"/>
        <w:rPr/>
      </w:pPr>
      <w:bookmarkEnd w:id="781"/>
      <w:r>
        <w:rPr>
          <w:rFonts w:ascii="Amiri" w:hAnsi="Amiri" w:eastAsia="Amiri" w:cs="Amiri"/>
          <w:color w:val="111111"/>
          <w:sz w:val="28"/>
          <w:sz w:val="28"/>
          <w:szCs w:val="28"/>
          <w:rtl w:val="true"/>
          <w:lang w:bidi="ar-SA"/>
        </w:rPr>
        <w:t>در شرق مسجد جامع و نزديك بازار قرار داشته است</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رقم</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6"/>
        <w:numPr>
          <w:ilvl w:val="5"/>
          <w:numId w:val="1"/>
        </w:numPr>
        <w:rPr/>
      </w:pPr>
      <w:bookmarkStart w:id="782" w:name="__RefHeading___Toc3585089_3650668749"/>
      <w:bookmarkStart w:id="783" w:name="_Toc341"/>
      <w:bookmarkEnd w:id="782"/>
      <w:r>
        <w:rPr>
          <w:rtl w:val="true"/>
        </w:rPr>
        <w:t xml:space="preserve">دهم </w:t>
      </w:r>
      <w:r>
        <w:rPr>
          <w:rtl w:val="true"/>
        </w:rPr>
        <w:t xml:space="preserve">- </w:t>
      </w:r>
      <w:r>
        <w:rPr>
          <w:rtl w:val="true"/>
        </w:rPr>
        <w:t>مسجد بني‌مُقاصف</w:t>
      </w:r>
      <w:bookmarkEnd w:id="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مقاصف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تيره‌اى از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 و اين مسجد متعلق به بخشى از قبيله عبس ساكن در جنوب غربى كوفه بود، نه آن بخش كه در مركز كوفه سكونت داشتند</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6"/>
        <w:numPr>
          <w:ilvl w:val="5"/>
          <w:numId w:val="1"/>
        </w:numPr>
        <w:rPr/>
      </w:pPr>
      <w:bookmarkStart w:id="784" w:name="__RefHeading___Toc3585091_3650668749"/>
      <w:bookmarkStart w:id="785" w:name="_Toc342"/>
      <w:bookmarkEnd w:id="784"/>
      <w:r>
        <w:rPr>
          <w:rtl w:val="true"/>
        </w:rPr>
        <w:t xml:space="preserve">يازدهم </w:t>
      </w:r>
      <w:r>
        <w:rPr>
          <w:rtl w:val="true"/>
        </w:rPr>
        <w:t xml:space="preserve">- </w:t>
      </w:r>
      <w:r>
        <w:rPr>
          <w:rtl w:val="true"/>
        </w:rPr>
        <w:t>مسجد بني‌بَهْدَلَه</w:t>
      </w:r>
      <w:bookmarkEnd w:id="785"/>
    </w:p>
    <w:p>
      <w:pPr>
        <w:pStyle w:val="BookText"/>
        <w:rPr/>
      </w:pPr>
      <w:r>
        <w:rPr>
          <w:rFonts w:ascii="Amiri" w:hAnsi="Amiri" w:eastAsia="Amiri" w:cs="Amiri"/>
          <w:color w:val="111111"/>
          <w:sz w:val="28"/>
          <w:sz w:val="28"/>
          <w:szCs w:val="28"/>
          <w:rtl w:val="true"/>
          <w:lang w:bidi="ar-SA"/>
        </w:rPr>
        <w:t xml:space="preserve">اين مسجد متعلق به تيره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بنى‌بهدله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در جنوب مسجد جامع قرار داشت</w:t>
      </w:r>
      <w:r>
        <w:rPr>
          <w:rFonts w:eastAsia="Amiri" w:cs="Amiri" w:ascii="Amiri" w:hAnsi="Amiri"/>
          <w:color w:val="111111"/>
          <w:sz w:val="28"/>
          <w:szCs w:val="28"/>
          <w:rtl w:val="true"/>
          <w:lang w:bidi="ar-SA"/>
        </w:rPr>
        <w:t xml:space="preserve">. </w:t>
      </w:r>
      <w:r>
        <w:rPr>
          <w:rStyle w:val="FootnoteAnchor"/>
          <w:rtl w:val="true"/>
        </w:rPr>
        <w:footnoteReference w:id="615"/>
      </w:r>
    </w:p>
    <w:p>
      <w:pPr>
        <w:pStyle w:val="Heading6"/>
        <w:numPr>
          <w:ilvl w:val="5"/>
          <w:numId w:val="1"/>
        </w:numPr>
        <w:rPr/>
      </w:pPr>
      <w:bookmarkStart w:id="786" w:name="__RefHeading___Toc3585093_3650668749"/>
      <w:bookmarkStart w:id="787" w:name="_Toc343"/>
      <w:bookmarkEnd w:id="786"/>
      <w:r>
        <w:rPr>
          <w:rtl w:val="true"/>
        </w:rPr>
        <w:t xml:space="preserve">دوازدهم </w:t>
      </w:r>
      <w:r>
        <w:rPr>
          <w:rtl w:val="true"/>
        </w:rPr>
        <w:t xml:space="preserve">- </w:t>
      </w:r>
      <w:r>
        <w:rPr>
          <w:rtl w:val="true"/>
        </w:rPr>
        <w:t>مسجد اَنْصار</w:t>
      </w:r>
      <w:bookmarkEnd w:id="787"/>
    </w:p>
    <w:p>
      <w:pPr>
        <w:pStyle w:val="BookText"/>
        <w:rPr/>
      </w:pPr>
      <w:r>
        <w:rPr>
          <w:rFonts w:ascii="Amiri" w:hAnsi="Amiri" w:eastAsia="Amiri" w:cs="Amiri"/>
          <w:color w:val="111111"/>
          <w:sz w:val="28"/>
          <w:sz w:val="28"/>
          <w:szCs w:val="28"/>
          <w:rtl w:val="true"/>
          <w:lang w:bidi="ar-SA"/>
        </w:rPr>
        <w:t>از اين مسجد در حوادث مربوط به قيام مسلم بن عقيل بر ضد عبيدالله بن زياد ياد شده است</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اين مسجد در محله انصار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در جنوب شرقى مسجد جامع و نزديك به آن قرارداشت</w:t>
      </w:r>
      <w:r>
        <w:rPr>
          <w:rFonts w:eastAsia="Amiri" w:cs="Amiri" w:ascii="Amiri" w:hAnsi="Amiri"/>
          <w:color w:val="111111"/>
          <w:sz w:val="28"/>
          <w:szCs w:val="28"/>
          <w:rtl w:val="true"/>
          <w:lang w:bidi="ar-SA"/>
        </w:rPr>
        <w:t xml:space="preserve">. </w:t>
      </w:r>
      <w:r>
        <w:rPr>
          <w:rStyle w:val="FootnoteAnchor"/>
          <w:rtl w:val="true"/>
        </w:rPr>
        <w:footnoteReference w:id="617"/>
      </w:r>
    </w:p>
    <w:p>
      <w:pPr>
        <w:pStyle w:val="Heading6"/>
        <w:numPr>
          <w:ilvl w:val="5"/>
          <w:numId w:val="1"/>
        </w:numPr>
        <w:rPr/>
      </w:pPr>
      <w:bookmarkStart w:id="788" w:name="__RefHeading___Toc3585095_3650668749"/>
      <w:bookmarkStart w:id="789" w:name="_Toc344"/>
      <w:bookmarkEnd w:id="788"/>
      <w:r>
        <w:rPr>
          <w:rtl w:val="true"/>
        </w:rPr>
        <w:t xml:space="preserve">سيزدهم </w:t>
      </w:r>
      <w:r>
        <w:rPr>
          <w:rtl w:val="true"/>
        </w:rPr>
        <w:t xml:space="preserve">- </w:t>
      </w:r>
      <w:r>
        <w:rPr>
          <w:rtl w:val="true"/>
        </w:rPr>
        <w:t xml:space="preserve">مسجد اَحْمَس </w:t>
      </w:r>
      <w:r>
        <w:rPr>
          <w:rtl w:val="true"/>
        </w:rPr>
        <w:t>(</w:t>
      </w:r>
      <w:r>
        <w:rPr>
          <w:rtl w:val="true"/>
        </w:rPr>
        <w:t>مسجد مُزَيْنه</w:t>
      </w:r>
      <w:r>
        <w:rPr>
          <w:rtl w:val="true"/>
        </w:rPr>
        <w:t>)</w:t>
      </w:r>
      <w:bookmarkEnd w:id="78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مسجد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بنى‌مزينه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در شمال مسجد جامع و نزديك آن قرارداشت</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ماسينيون آن را در شرق مسجد جامع ترسيم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نقشه شماره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نقشه شماره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790" w:name="pg1964_19582"/>
    </w:p>
    <w:p>
      <w:pPr>
        <w:pStyle w:val="Heading6"/>
        <w:numPr>
          <w:ilvl w:val="5"/>
          <w:numId w:val="1"/>
        </w:numPr>
        <w:rPr/>
      </w:pPr>
      <w:bookmarkStart w:id="791" w:name="__RefHeading___Toc3585097_3650668749"/>
      <w:bookmarkStart w:id="792" w:name="_Toc345"/>
      <w:bookmarkEnd w:id="790"/>
      <w:bookmarkEnd w:id="791"/>
      <w:r>
        <w:rPr>
          <w:rtl w:val="true"/>
        </w:rPr>
        <w:t xml:space="preserve">چهاردهم </w:t>
      </w:r>
      <w:r>
        <w:rPr>
          <w:rtl w:val="true"/>
        </w:rPr>
        <w:t xml:space="preserve">- </w:t>
      </w:r>
      <w:r>
        <w:rPr>
          <w:rtl w:val="true"/>
        </w:rPr>
        <w:t>مسجد بني‌اَوْد</w:t>
      </w:r>
      <w:bookmarkEnd w:id="792"/>
    </w:p>
    <w:p>
      <w:pPr>
        <w:pStyle w:val="BookText"/>
        <w:rPr/>
      </w:pPr>
      <w:r>
        <w:rPr>
          <w:rFonts w:ascii="Amiri" w:hAnsi="Amiri" w:eastAsia="Amiri" w:cs="Amiri"/>
          <w:color w:val="111111"/>
          <w:sz w:val="28"/>
          <w:sz w:val="28"/>
          <w:szCs w:val="28"/>
          <w:rtl w:val="true"/>
          <w:lang w:bidi="ar-SA"/>
        </w:rPr>
        <w:t xml:space="preserve">اين مسجد متعلق به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در جنوب غربى مسجد جامع قرار داشت</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6"/>
        <w:numPr>
          <w:ilvl w:val="5"/>
          <w:numId w:val="1"/>
        </w:numPr>
        <w:rPr/>
      </w:pPr>
      <w:bookmarkStart w:id="793" w:name="__RefHeading___Toc3585099_3650668749"/>
      <w:bookmarkStart w:id="794" w:name="_Toc346"/>
      <w:bookmarkEnd w:id="793"/>
      <w:r>
        <w:rPr>
          <w:rtl w:val="true"/>
        </w:rPr>
        <w:t xml:space="preserve">پانزدهم </w:t>
      </w:r>
      <w:r>
        <w:rPr>
          <w:rtl w:val="true"/>
        </w:rPr>
        <w:t xml:space="preserve">- </w:t>
      </w:r>
      <w:r>
        <w:rPr>
          <w:rtl w:val="true"/>
        </w:rPr>
        <w:t>مسجد بني‌البَدّاء</w:t>
      </w:r>
      <w:bookmarkEnd w:id="794"/>
    </w:p>
    <w:p>
      <w:pPr>
        <w:pStyle w:val="BookText"/>
        <w:rPr/>
      </w:pPr>
      <w:r>
        <w:rPr>
          <w:rFonts w:ascii="Amiri" w:hAnsi="Amiri" w:eastAsia="Amiri" w:cs="Amiri"/>
          <w:color w:val="111111"/>
          <w:sz w:val="28"/>
          <w:sz w:val="28"/>
          <w:szCs w:val="28"/>
          <w:rtl w:val="true"/>
          <w:lang w:bidi="ar-SA"/>
        </w:rPr>
        <w:t xml:space="preserve">اين مسجد متعلق به تيره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در سهم اين قبيله، واقع در جنوب كوفه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نقشه شماره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795" w:name="__RefHeading___Toc3585101_3650668749"/>
      <w:bookmarkStart w:id="796" w:name="_Toc347"/>
      <w:bookmarkEnd w:id="795"/>
      <w:r>
        <w:rPr>
          <w:rtl w:val="true"/>
        </w:rPr>
        <w:t xml:space="preserve">شانزدهم </w:t>
      </w:r>
      <w:r>
        <w:rPr>
          <w:rtl w:val="true"/>
        </w:rPr>
        <w:t xml:space="preserve">- </w:t>
      </w:r>
      <w:r>
        <w:rPr>
          <w:rtl w:val="true"/>
        </w:rPr>
        <w:t>مسجد بني‌ذُهَل</w:t>
      </w:r>
      <w:bookmarkEnd w:id="796"/>
    </w:p>
    <w:p>
      <w:pPr>
        <w:pStyle w:val="BookText"/>
        <w:rPr/>
      </w:pPr>
      <w:r>
        <w:rPr>
          <w:rFonts w:ascii="Amiri" w:hAnsi="Amiri" w:eastAsia="Amiri" w:cs="Amiri"/>
          <w:color w:val="111111"/>
          <w:sz w:val="28"/>
          <w:sz w:val="28"/>
          <w:szCs w:val="28"/>
          <w:rtl w:val="true"/>
          <w:lang w:bidi="ar-SA"/>
        </w:rPr>
        <w:t xml:space="preserve">اين مسجد نيز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بنى‌ذهل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در جنوب كوفه قرار داشت</w:t>
      </w:r>
      <w:r>
        <w:rPr>
          <w:rFonts w:eastAsia="Amiri" w:cs="Amiri" w:ascii="Amiri" w:hAnsi="Amiri"/>
          <w:color w:val="111111"/>
          <w:sz w:val="28"/>
          <w:szCs w:val="28"/>
          <w:rtl w:val="true"/>
          <w:lang w:bidi="ar-SA"/>
        </w:rPr>
        <w:t>.</w:t>
      </w:r>
    </w:p>
    <w:p>
      <w:pPr>
        <w:pStyle w:val="Heading6"/>
        <w:numPr>
          <w:ilvl w:val="5"/>
          <w:numId w:val="1"/>
        </w:numPr>
        <w:rPr/>
      </w:pPr>
      <w:bookmarkStart w:id="797" w:name="__RefHeading___Toc3585103_3650668749"/>
      <w:bookmarkStart w:id="798" w:name="_Toc348"/>
      <w:bookmarkEnd w:id="797"/>
      <w:r>
        <w:rPr>
          <w:rtl w:val="true"/>
        </w:rPr>
        <w:t xml:space="preserve">هفدهم </w:t>
      </w:r>
      <w:r>
        <w:rPr>
          <w:rtl w:val="true"/>
        </w:rPr>
        <w:t xml:space="preserve">- </w:t>
      </w:r>
      <w:r>
        <w:rPr>
          <w:rtl w:val="true"/>
        </w:rPr>
        <w:t>مسجد بني‌هِلال</w:t>
      </w:r>
      <w:bookmarkEnd w:id="798"/>
    </w:p>
    <w:p>
      <w:pPr>
        <w:pStyle w:val="BookText"/>
        <w:rPr/>
      </w:pPr>
      <w:r>
        <w:rPr>
          <w:rFonts w:ascii="Amiri" w:hAnsi="Amiri" w:eastAsia="Amiri" w:cs="Amiri"/>
          <w:color w:val="111111"/>
          <w:sz w:val="28"/>
          <w:sz w:val="28"/>
          <w:szCs w:val="28"/>
          <w:rtl w:val="true"/>
          <w:lang w:bidi="ar-SA"/>
        </w:rPr>
        <w:t xml:space="preserve">اين مسجد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احتمالاً در شرق كوفه و نزديك فرات و صحراى بنى‌عامر قرار داشت</w:t>
      </w:r>
      <w:r>
        <w:rPr>
          <w:rFonts w:eastAsia="Amiri" w:cs="Amiri" w:ascii="Amiri" w:hAnsi="Amiri"/>
          <w:color w:val="111111"/>
          <w:sz w:val="28"/>
          <w:szCs w:val="28"/>
          <w:rtl w:val="true"/>
          <w:lang w:bidi="ar-SA"/>
        </w:rPr>
        <w:t>.</w:t>
      </w:r>
    </w:p>
    <w:p>
      <w:pPr>
        <w:pStyle w:val="Heading6"/>
        <w:numPr>
          <w:ilvl w:val="5"/>
          <w:numId w:val="1"/>
        </w:numPr>
        <w:rPr/>
      </w:pPr>
      <w:bookmarkStart w:id="799" w:name="__RefHeading___Toc3585105_3650668749"/>
      <w:bookmarkStart w:id="800" w:name="_Toc349"/>
      <w:bookmarkEnd w:id="799"/>
      <w:r>
        <w:rPr>
          <w:rtl w:val="true"/>
        </w:rPr>
        <w:t xml:space="preserve">هجدهم </w:t>
      </w:r>
      <w:r>
        <w:rPr>
          <w:rtl w:val="true"/>
        </w:rPr>
        <w:t xml:space="preserve">- </w:t>
      </w:r>
      <w:r>
        <w:rPr>
          <w:rtl w:val="true"/>
        </w:rPr>
        <w:t>مسجد بني‌الشيطان</w:t>
      </w:r>
      <w:bookmarkEnd w:id="800"/>
    </w:p>
    <w:p>
      <w:pPr>
        <w:pStyle w:val="BookText"/>
        <w:rPr/>
      </w:pPr>
      <w:r>
        <w:rPr>
          <w:rFonts w:ascii="Amiri" w:hAnsi="Amiri" w:eastAsia="Amiri" w:cs="Amiri"/>
          <w:color w:val="111111"/>
          <w:sz w:val="28"/>
          <w:sz w:val="28"/>
          <w:szCs w:val="28"/>
          <w:rtl w:val="true"/>
          <w:lang w:bidi="ar-SA"/>
        </w:rPr>
        <w:t xml:space="preserve">اين مسجد متعلق به تيره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در جنوب غربى شهر كوفه قرار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نقشه شماره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6"/>
        <w:numPr>
          <w:ilvl w:val="5"/>
          <w:numId w:val="1"/>
        </w:numPr>
        <w:rPr/>
      </w:pPr>
      <w:bookmarkStart w:id="801" w:name="__RefHeading___Toc3585107_3650668749"/>
      <w:bookmarkStart w:id="802" w:name="_Toc350"/>
      <w:bookmarkEnd w:id="801"/>
      <w:r>
        <w:rPr>
          <w:rtl w:val="true"/>
        </w:rPr>
        <w:t xml:space="preserve">نوزدهم </w:t>
      </w:r>
      <w:r>
        <w:rPr>
          <w:rtl w:val="true"/>
        </w:rPr>
        <w:t xml:space="preserve">- </w:t>
      </w:r>
      <w:r>
        <w:rPr>
          <w:rtl w:val="true"/>
        </w:rPr>
        <w:t>مسجد نَخَعْ</w:t>
      </w:r>
      <w:bookmarkEnd w:id="802"/>
    </w:p>
    <w:p>
      <w:pPr>
        <w:pStyle w:val="BookText"/>
        <w:rPr/>
      </w:pPr>
      <w:r>
        <w:rPr>
          <w:rFonts w:ascii="Amiri" w:hAnsi="Amiri" w:eastAsia="Amiri" w:cs="Amiri"/>
          <w:color w:val="111111"/>
          <w:sz w:val="28"/>
          <w:sz w:val="28"/>
          <w:szCs w:val="28"/>
          <w:rtl w:val="true"/>
          <w:lang w:bidi="ar-SA"/>
        </w:rPr>
        <w:t xml:space="preserve">اين مسجد متعلق به تيره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در جنوب مسجد جامع قرار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نقشه شماره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نقشه شماره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803" w:name="__RefHeading___Toc3585109_3650668749"/>
      <w:bookmarkStart w:id="804" w:name="_Toc351"/>
      <w:bookmarkEnd w:id="803"/>
      <w:r>
        <w:rPr>
          <w:rtl w:val="true"/>
        </w:rPr>
        <w:t xml:space="preserve">بيستم </w:t>
      </w:r>
      <w:r>
        <w:rPr>
          <w:rtl w:val="true"/>
        </w:rPr>
        <w:t xml:space="preserve">- </w:t>
      </w:r>
      <w:r>
        <w:rPr>
          <w:rtl w:val="true"/>
        </w:rPr>
        <w:t>مسجد بني‌مُرّا</w:t>
      </w:r>
      <w:bookmarkEnd w:id="80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مسجد متعلق به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در جنوب شرقى كوفه قرار داشت</w:t>
      </w:r>
      <w:r>
        <w:rPr>
          <w:rFonts w:eastAsia="Amiri" w:cs="Amiri" w:ascii="Amiri" w:hAnsi="Amiri"/>
          <w:color w:val="111111"/>
          <w:sz w:val="28"/>
          <w:szCs w:val="28"/>
          <w:rtl w:val="true"/>
          <w:lang w:bidi="ar-SA"/>
        </w:rPr>
        <w:t xml:space="preserve">. </w:t>
      </w:r>
      <w:r>
        <w:rPr>
          <w:rStyle w:val="FootnoteAnchor"/>
          <w:rtl w:val="true"/>
        </w:rPr>
        <w:footnoteReference w:id="620"/>
      </w:r>
      <w:bookmarkStart w:id="805" w:name="pg1964_19583"/>
    </w:p>
    <w:p>
      <w:pPr>
        <w:pStyle w:val="Heading3"/>
        <w:numPr>
          <w:ilvl w:val="2"/>
          <w:numId w:val="1"/>
        </w:numPr>
        <w:rPr/>
      </w:pPr>
      <w:bookmarkStart w:id="806" w:name="__RefHeading___Toc3585111_3650668749"/>
      <w:bookmarkStart w:id="807" w:name="_Toc352"/>
      <w:bookmarkEnd w:id="805"/>
      <w:bookmarkEnd w:id="806"/>
      <w:r>
        <w:rPr/>
        <w:t>۴</w:t>
      </w:r>
      <w:r>
        <w:rPr>
          <w:rtl w:val="true"/>
        </w:rPr>
        <w:t xml:space="preserve">. </w:t>
      </w:r>
      <w:r>
        <w:rPr>
          <w:rtl w:val="true"/>
        </w:rPr>
        <w:t>قصر دارالاماره</w:t>
      </w:r>
      <w:bookmarkEnd w:id="807"/>
    </w:p>
    <w:p>
      <w:pPr>
        <w:pStyle w:val="Heading4"/>
        <w:numPr>
          <w:ilvl w:val="3"/>
          <w:numId w:val="1"/>
        </w:numPr>
        <w:rPr/>
      </w:pPr>
      <w:bookmarkStart w:id="808" w:name="__RefHeading___Toc3585113_3650668749"/>
      <w:bookmarkStart w:id="809" w:name="_Toc353"/>
      <w:bookmarkEnd w:id="808"/>
      <w:r>
        <w:rPr>
          <w:rtl w:val="true"/>
        </w:rPr>
        <w:t>اشاره</w:t>
      </w:r>
      <w:bookmarkEnd w:id="809"/>
    </w:p>
    <w:p>
      <w:pPr>
        <w:pStyle w:val="BookText"/>
        <w:rPr/>
      </w:pPr>
      <w:r>
        <w:rPr>
          <w:rFonts w:ascii="Amiri" w:hAnsi="Amiri" w:eastAsia="Amiri" w:cs="Amiri"/>
          <w:color w:val="111111"/>
          <w:sz w:val="28"/>
          <w:sz w:val="28"/>
          <w:szCs w:val="28"/>
          <w:rtl w:val="true"/>
          <w:lang w:bidi="ar-SA"/>
        </w:rPr>
        <w:t xml:space="preserve">قصر كوفه را كه با نام‌هاى قصر دارالاماره </w:t>
      </w:r>
      <w:r>
        <w:rPr>
          <w:rStyle w:val="FootnoteAnchor"/>
          <w:rtl w:val="true"/>
        </w:rPr>
        <w:footnoteReference w:id="621"/>
      </w:r>
      <w:r>
        <w:rPr>
          <w:rFonts w:ascii="IRNazanin" w:hAnsi="IRNazanin" w:eastAsia="IRNazanin"/>
          <w:color w:val="111111"/>
          <w:sz w:val="28"/>
          <w:sz w:val="28"/>
          <w:szCs w:val="28"/>
          <w:rtl w:val="true"/>
          <w:lang w:bidi="fa-IR"/>
        </w:rPr>
        <w:t xml:space="preserve">، دارالاماره، قصر سعد </w:t>
      </w:r>
      <w:r>
        <w:rPr>
          <w:rStyle w:val="FootnoteAnchor"/>
          <w:rtl w:val="true"/>
        </w:rPr>
        <w:footnoteReference w:id="622"/>
      </w:r>
      <w:r>
        <w:rPr>
          <w:rFonts w:ascii="IRNazanin" w:hAnsi="IRNazanin" w:eastAsia="IRNazanin"/>
          <w:color w:val="111111"/>
          <w:sz w:val="28"/>
          <w:sz w:val="28"/>
          <w:szCs w:val="28"/>
          <w:rtl w:val="true"/>
          <w:lang w:bidi="fa-IR"/>
        </w:rPr>
        <w:t xml:space="preserve">، دار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سعد</w:t>
      </w:r>
      <w:r>
        <w:rPr>
          <w:rFonts w:eastAsia="IRNazanin" w:cs="IRNazanin"/>
          <w:color w:val="111111"/>
          <w:sz w:val="28"/>
          <w:szCs w:val="28"/>
          <w:rtl w:val="true"/>
          <w:lang w:bidi="fa-IR"/>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وقصر طَما </w:t>
      </w:r>
      <w:r>
        <w:rPr>
          <w:rStyle w:val="FootnoteAnchor"/>
          <w:rtl w:val="true"/>
        </w:rPr>
        <w:footnoteReference w:id="624"/>
      </w:r>
      <w:r>
        <w:rPr>
          <w:rFonts w:ascii="Amiri" w:hAnsi="Amiri" w:eastAsia="Amiri" w:cs="Amiri"/>
          <w:color w:val="111111"/>
          <w:sz w:val="28"/>
          <w:sz w:val="28"/>
          <w:szCs w:val="28"/>
          <w:rtl w:val="true"/>
          <w:lang w:bidi="ar-SA"/>
        </w:rPr>
        <w:t>نيز معروف است، مى‌توان از دو منظر تاريخى و نتايج حفارى‌هاى باستان‌شناسى بررسى كرد</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3585115_3650668749"/>
      <w:bookmarkStart w:id="811" w:name="_Toc354"/>
      <w:bookmarkEnd w:id="810"/>
      <w:r>
        <w:rPr>
          <w:rtl w:val="true"/>
        </w:rPr>
        <w:t>الف</w:t>
      </w:r>
      <w:r>
        <w:rPr>
          <w:rtl w:val="true"/>
        </w:rPr>
        <w:t xml:space="preserve">) </w:t>
      </w:r>
      <w:r>
        <w:rPr>
          <w:rtl w:val="true"/>
        </w:rPr>
        <w:t>دارالاماره از ديدگاه منابع تاريخى</w:t>
      </w:r>
      <w:bookmarkEnd w:id="811"/>
    </w:p>
    <w:p>
      <w:pPr>
        <w:pStyle w:val="Heading5"/>
        <w:numPr>
          <w:ilvl w:val="4"/>
          <w:numId w:val="1"/>
        </w:numPr>
        <w:rPr/>
      </w:pPr>
      <w:bookmarkStart w:id="812" w:name="__RefHeading___Toc3585117_3650668749"/>
      <w:bookmarkStart w:id="813" w:name="_Toc355"/>
      <w:bookmarkEnd w:id="812"/>
      <w:r>
        <w:rPr>
          <w:rtl w:val="true"/>
        </w:rPr>
        <w:t>اشاره</w:t>
      </w:r>
      <w:bookmarkEnd w:id="813"/>
    </w:p>
    <w:p>
      <w:pPr>
        <w:pStyle w:val="BookText"/>
        <w:rPr/>
      </w:pPr>
      <w:r>
        <w:rPr>
          <w:rFonts w:ascii="IRNazanin" w:hAnsi="IRNazanin" w:eastAsia="IRNazanin"/>
          <w:color w:val="111111"/>
          <w:sz w:val="28"/>
          <w:sz w:val="28"/>
          <w:szCs w:val="28"/>
          <w:rtl w:val="true"/>
          <w:lang w:bidi="fa-IR"/>
        </w:rPr>
        <w:t>مطالعه منابع تاريخى حاكى از آن است كه قصر كوفه در سه مقطع تاريخى، ساخته شده يا مورد بازسازى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مقاطع عبارت‌اند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 سعد بن ابى‌وقاص در سال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زمان زياد بن ابيه در سال‌هاى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اوايل دوران عباسى در سال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از اين سه مقطع آنچه مورد نظر نگارنده است، دو مقطع اول است و مقطع سوم علاوه بر آنكه از زمان مورد بحث ما خارج است، در آن، اساس اصلى قصر زياد حفظ شده و به‌جز چند مورد تجديد بنا در ساختمان قصر، بيشتر به تزئينات پرداخته شده است</w:t>
      </w:r>
      <w:r>
        <w:rPr>
          <w:rFonts w:eastAsia="IRNazanin" w:cs="IRNazanin"/>
          <w:color w:val="111111"/>
          <w:sz w:val="28"/>
          <w:szCs w:val="28"/>
          <w:rtl w:val="true"/>
          <w:lang w:bidi="fa-IR"/>
        </w:rPr>
        <w:t xml:space="preserve">. </w:t>
      </w:r>
      <w:r>
        <w:rPr>
          <w:rStyle w:val="FootnoteAnchor"/>
          <w:rtl w:val="true"/>
        </w:rPr>
        <w:footnoteReference w:id="626"/>
      </w:r>
    </w:p>
    <w:p>
      <w:pPr>
        <w:pStyle w:val="Heading5"/>
        <w:numPr>
          <w:ilvl w:val="4"/>
          <w:numId w:val="1"/>
        </w:numPr>
        <w:rPr/>
      </w:pPr>
      <w:bookmarkStart w:id="814" w:name="__RefHeading___Toc3585119_3650668749"/>
      <w:bookmarkStart w:id="815" w:name="_Toc356"/>
      <w:bookmarkEnd w:id="814"/>
      <w:r>
        <w:rPr>
          <w:rtl w:val="true"/>
        </w:rPr>
        <w:t xml:space="preserve">يك </w:t>
      </w:r>
      <w:r>
        <w:rPr>
          <w:rtl w:val="true"/>
        </w:rPr>
        <w:t xml:space="preserve">- </w:t>
      </w:r>
      <w:r>
        <w:rPr>
          <w:rtl w:val="true"/>
        </w:rPr>
        <w:t>قصر در زمان سعد</w:t>
      </w:r>
      <w:bookmarkEnd w:id="81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ابى‌وقاص اولين فرماندار كوفه در سال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پس از تعيين نقشه مسجد جامع، در فاصله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دويست ذراعى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شرقى آن براى خود</w:t>
      </w:r>
    </w:p>
    <w:p>
      <w:pPr>
        <w:pStyle w:val="BookText"/>
        <w:rPr/>
      </w:pPr>
      <w:r>
        <w:rPr>
          <w:rFonts w:ascii="IRNazanin" w:hAnsi="IRNazanin" w:eastAsia="IRNazanin"/>
          <w:color w:val="111111"/>
          <w:sz w:val="28"/>
          <w:sz w:val="28"/>
          <w:szCs w:val="28"/>
          <w:rtl w:val="true"/>
          <w:lang w:bidi="fa-IR"/>
        </w:rPr>
        <w:t>محلّى را به عنوان خانه، محل كار و نگهدارى اموال بيت‌المال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 از اين گفته شد، پس از دستبرد به بيت‌المال، مسجد به سمت جنوب پيشروى كرده و قصر و مسجد به هم متصل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اين هنگام قصر از جانب جنوب غربى به مسجد جامع و از ناحيه جنوب شرقى به بازارها و از سمت شرق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ناحيه شمال به محلات كوفه و از طرف غرب به رحبه محدود مى‌شد</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معمار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بوذرجمهور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همان معمار مسجد جامع بود كه معمارى ايرانى و از شهر همدان بود</w:t>
      </w:r>
      <w:r>
        <w:rPr>
          <w:rFonts w:eastAsia="IRNazanin" w:cs="IRNazanin"/>
          <w:color w:val="111111"/>
          <w:sz w:val="28"/>
          <w:szCs w:val="28"/>
          <w:rtl w:val="true"/>
          <w:lang w:bidi="fa-IR"/>
        </w:rPr>
        <w:t xml:space="preserve">. </w:t>
      </w:r>
      <w:r>
        <w:rPr>
          <w:rStyle w:val="FootnoteAnchor"/>
          <w:rtl w:val="true"/>
        </w:rPr>
        <w:footnoteReference w:id="628"/>
      </w:r>
      <w:r>
        <w:rPr>
          <w:rFonts w:ascii="Amiri" w:hAnsi="Amiri" w:eastAsia="Amiri" w:cs="Amiri"/>
          <w:color w:val="111111"/>
          <w:sz w:val="28"/>
          <w:sz w:val="28"/>
          <w:szCs w:val="28"/>
          <w:rtl w:val="true"/>
          <w:lang w:bidi="ar-SA"/>
        </w:rPr>
        <w:t>ساختمان قصر از آجر بنا شده و آجر آن از ساختمان‌هاى بلند حكومتى و شخصى شهر حيره تأمين شده بود</w:t>
      </w:r>
      <w:r>
        <w:rPr>
          <w:rFonts w:eastAsia="Amiri" w:cs="Amiri" w:ascii="Amiri" w:hAnsi="Amiri"/>
          <w:color w:val="111111"/>
          <w:sz w:val="28"/>
          <w:szCs w:val="28"/>
          <w:rtl w:val="true"/>
          <w:lang w:bidi="ar-SA"/>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از منابع تاريخى چنين برمى‌آيد كه اين خانه از سطح عمومى خانه‌هاى كوفه بسيار فراتر بوده؛ زيرا مردم در همان زمان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مى‌كردند</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در بعضى از نوشته‌ها اين خانه، خانه‌اى كنگره‌دار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قصر درِ چوبى مجللى داشته كه احتمالاً از مدائن به آنجا منتقل كرده بودند</w:t>
      </w:r>
      <w:r>
        <w:rPr>
          <w:rFonts w:eastAsia="IRNazanin" w:cs="IRNazanin"/>
          <w:color w:val="111111"/>
          <w:sz w:val="28"/>
          <w:szCs w:val="28"/>
          <w:rtl w:val="true"/>
          <w:lang w:bidi="fa-IR"/>
        </w:rPr>
        <w:t xml:space="preserve">. </w:t>
      </w:r>
      <w:r>
        <w:rPr>
          <w:rStyle w:val="FootnoteAnchor"/>
          <w:rtl w:val="true"/>
        </w:rPr>
        <w:footnoteReference w:id="63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خطاب هنگام شنيدن اوصاف قصر كه در آن زمان نسبتاً مجلل بود،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w:t>
      </w:r>
      <w:r>
        <w:rPr>
          <w:rStyle w:val="FootnoteAnchor"/>
          <w:rtl w:val="true"/>
        </w:rPr>
        <w:footnoteReference w:id="632"/>
      </w:r>
      <w:r>
        <w:rPr>
          <w:rFonts w:ascii="IRNazanin" w:hAnsi="IRNazanin" w:eastAsia="IRNazanin"/>
          <w:color w:val="111111"/>
          <w:sz w:val="28"/>
          <w:sz w:val="28"/>
          <w:szCs w:val="28"/>
          <w:rtl w:val="true"/>
          <w:lang w:bidi="fa-IR"/>
        </w:rPr>
        <w:t>يعنى قصرى كه به سبب تجملاتى كه در آن به كار رفته بود، يا از روى ديوانگى ساخته شده است و يا انسان را به تباهى و نقصان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خبال در لغت به معناى ديوانگى و تباهى و نقصان است</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هنگام ورود به كوفه در سال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اين قصر نيز با همين عنوان يادفرمود</w:t>
      </w:r>
      <w:r>
        <w:rPr>
          <w:rFonts w:eastAsia="IRNazanin" w:cs="IRNazanin"/>
          <w:color w:val="111111"/>
          <w:sz w:val="28"/>
          <w:szCs w:val="28"/>
          <w:rtl w:val="true"/>
          <w:lang w:bidi="fa-IR"/>
        </w:rPr>
        <w:t xml:space="preserve">. </w:t>
      </w:r>
      <w:r>
        <w:rPr>
          <w:rStyle w:val="FootnoteAnchor"/>
          <w:rtl w:val="true"/>
        </w:rPr>
        <w:footnoteReference w:id="634"/>
      </w:r>
      <w:bookmarkStart w:id="816" w:name="pg1964_19585"/>
    </w:p>
    <w:p>
      <w:pPr>
        <w:pStyle w:val="BookText"/>
        <w:rPr/>
      </w:pPr>
      <w:bookmarkEnd w:id="816"/>
      <w:r>
        <w:rPr>
          <w:rFonts w:ascii="IRNazanin" w:hAnsi="IRNazanin" w:eastAsia="IRNazanin"/>
          <w:color w:val="111111"/>
          <w:sz w:val="28"/>
          <w:sz w:val="28"/>
          <w:szCs w:val="28"/>
          <w:rtl w:val="true"/>
          <w:lang w:bidi="fa-IR"/>
        </w:rPr>
        <w:t xml:space="preserve">به هر حال، آنچه از منابع تاريخى بر مى‌آيد اين است كه قصر در زمان سعد، بيش از يك واحد مسكونى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ادارى نبوده است، حال آنكه در زمان زياد به يك مجتمع تبديل شد</w:t>
      </w:r>
      <w:r>
        <w:rPr>
          <w:rFonts w:eastAsia="IRNazanin" w:cs="IRNazanin"/>
          <w:color w:val="111111"/>
          <w:sz w:val="28"/>
          <w:szCs w:val="28"/>
          <w:rtl w:val="true"/>
          <w:lang w:bidi="fa-IR"/>
        </w:rPr>
        <w:t xml:space="preserve">. </w:t>
      </w:r>
      <w:r>
        <w:rPr>
          <w:rStyle w:val="FootnoteAnchor"/>
          <w:rtl w:val="true"/>
        </w:rPr>
        <w:footnoteReference w:id="635"/>
      </w:r>
    </w:p>
    <w:p>
      <w:pPr>
        <w:pStyle w:val="Heading5"/>
        <w:numPr>
          <w:ilvl w:val="4"/>
          <w:numId w:val="1"/>
        </w:numPr>
        <w:rPr/>
      </w:pPr>
      <w:bookmarkStart w:id="817" w:name="__RefHeading___Toc3585121_3650668749"/>
      <w:bookmarkStart w:id="818" w:name="_Toc357"/>
      <w:bookmarkEnd w:id="817"/>
      <w:r>
        <w:rPr>
          <w:rtl w:val="true"/>
        </w:rPr>
        <w:t xml:space="preserve">دو </w:t>
      </w:r>
      <w:r>
        <w:rPr>
          <w:rtl w:val="true"/>
        </w:rPr>
        <w:t xml:space="preserve">- </w:t>
      </w:r>
      <w:r>
        <w:rPr>
          <w:rtl w:val="true"/>
        </w:rPr>
        <w:t>قصر در زمان زياد</w:t>
      </w:r>
      <w:bookmarkEnd w:id="818"/>
    </w:p>
    <w:p>
      <w:pPr>
        <w:pStyle w:val="BookText"/>
        <w:rPr/>
      </w:pPr>
      <w:r>
        <w:rPr>
          <w:rFonts w:ascii="Amiri" w:hAnsi="Amiri" w:eastAsia="Amiri" w:cs="Amiri"/>
          <w:color w:val="111111"/>
          <w:sz w:val="28"/>
          <w:sz w:val="28"/>
          <w:szCs w:val="28"/>
          <w:rtl w:val="true"/>
          <w:lang w:bidi="ar-SA"/>
        </w:rPr>
        <w:t>مطالبى كه مى‌توان از منابع تاريخى در باره قصر زياد استفاده كرد،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ديوارهاى قصر بسيار بلند بوده است، چنان‌كه در جريان حوادث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بيان قيام مختار عليه عبدالله بن مطيع، فرماندار كوفه از طرف ابن زبير، چنين آمده است كه طرفداران مختار با نردبان‌هاى طنابى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ديوارهاى قصر بالا رفتند</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قصر دست‌كم سه در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اصلى قصر كه در سمت غرب آن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رحبة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داشته و اين همان درى است كه در زمان مسلم بن عقيل محاصره‌كنندگان قصر آن را احاطه كرده بودند</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درى كه در شمال قصر قرار داشته و قصر را به مسجد متصل مى‌كرده كه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باب‌السُدّه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در بعد از خاموش شدن شعله قيام مسلم از آن استفاده كرده، وارد مسجد شد</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درى مخفى يا غير معمول كه جز در مواقع خاص و اضطرارى از آن استفاده نمى‌شد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در با عنوان درى كه كنار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الروميين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 نام برده شده است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است هنگامى كه عبيدالله بن زياد در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وسيله مسلم و اطرافيانش در قصر محاصره شد، اشراف كوفه را از اين در بيرون مى‌فرستاد تا مردم</w:t>
      </w:r>
      <w:bookmarkStart w:id="819" w:name="pg1964_19586"/>
    </w:p>
    <w:p>
      <w:pPr>
        <w:pStyle w:val="BookText"/>
        <w:rPr/>
      </w:pPr>
      <w:bookmarkEnd w:id="819"/>
      <w:r>
        <w:rPr>
          <w:rFonts w:ascii="IRNazanin" w:hAnsi="IRNazanin" w:eastAsia="IRNazanin"/>
          <w:color w:val="111111"/>
          <w:sz w:val="28"/>
          <w:sz w:val="28"/>
          <w:szCs w:val="28"/>
          <w:rtl w:val="true"/>
          <w:lang w:bidi="fa-IR"/>
        </w:rPr>
        <w:t>را از دور مسلم پراكنده‌كنند</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 xml:space="preserve">همچنين هنگامى كه عبدالله بن مطيع در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وسيله طرفداران مختار در قصر محاصره شد، از اين در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تاريخ چنين آمده است كه عبدالله از اين در به خانه ابوموسى اشعرى رفت</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با توجه به اينكه خانه ابوموسى در سمت شرق قصر قرار داشته، درمى‌يابيم كه اين در در سمت شرق قصر قرار داشته است و اين با نقل تاريخى اول نيز سازگار است؛ زيرا طرفداران مسلم در كنار درِ اصلى قصر كه در سمت غرب آن قرار داشت، اجتماع كرده بودند</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گنبد بزرگى در بالاى قصر وجود داشته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طمار به معناى مكان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زياد دستور داد تا مسلم را در اين مكان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گنبد نزديك درِ اصلى و در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رحبة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يعنى در سمت غرب قصر قرار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20" w:name="__RefHeading___Toc3585123_3650668749"/>
      <w:bookmarkStart w:id="821" w:name="_Toc358"/>
      <w:bookmarkEnd w:id="820"/>
      <w:r>
        <w:rPr>
          <w:rtl w:val="true"/>
        </w:rPr>
        <w:t>ب</w:t>
      </w:r>
      <w:r>
        <w:rPr>
          <w:rtl w:val="true"/>
        </w:rPr>
        <w:t xml:space="preserve">) </w:t>
      </w:r>
      <w:r>
        <w:rPr>
          <w:rtl w:val="true"/>
        </w:rPr>
        <w:t>دارالاماره از منظر حفارى‌هاى باستان‌شناسى</w:t>
      </w:r>
      <w:bookmarkEnd w:id="821"/>
    </w:p>
    <w:p>
      <w:pPr>
        <w:pStyle w:val="Heading5"/>
        <w:numPr>
          <w:ilvl w:val="4"/>
          <w:numId w:val="1"/>
        </w:numPr>
        <w:rPr/>
      </w:pPr>
      <w:bookmarkStart w:id="822" w:name="__RefHeading___Toc3585125_3650668749"/>
      <w:bookmarkStart w:id="823" w:name="_Toc359"/>
      <w:bookmarkEnd w:id="822"/>
      <w:r>
        <w:rPr>
          <w:rtl w:val="true"/>
        </w:rPr>
        <w:t>اشاره</w:t>
      </w:r>
      <w:bookmarkEnd w:id="823"/>
    </w:p>
    <w:p>
      <w:pPr>
        <w:pStyle w:val="BookText"/>
        <w:rPr/>
      </w:pPr>
      <w:r>
        <w:rPr>
          <w:rFonts w:ascii="IRNazanin" w:hAnsi="IRNazanin" w:eastAsia="IRNazanin"/>
          <w:color w:val="111111"/>
          <w:sz w:val="28"/>
          <w:sz w:val="28"/>
          <w:szCs w:val="28"/>
          <w:rtl w:val="true"/>
          <w:lang w:bidi="fa-IR"/>
        </w:rPr>
        <w:t>اواخر نيمه اول قرن بيستم ميلادى و اوايل نيمه دوم اين قرن، در چند نوبت حفارى‌هايى در محل قصر صورت گرفت و نتايج جالبى به دست آمد</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بعضى بر اين عقيده‌اند كه مى‌توان نتايج اين حفارى‌ها را منطبق بر قصر زياد دانست؛ زيرا پس از زياد، بنى‌عباس، جز مرمّت و تزيين و تعمير قصر، كارى روى قصر انجام ندادند</w:t>
      </w:r>
      <w:r>
        <w:rPr>
          <w:rFonts w:eastAsia="IRNazanin" w:cs="IRNazanin"/>
          <w:color w:val="111111"/>
          <w:sz w:val="28"/>
          <w:szCs w:val="28"/>
          <w:rtl w:val="true"/>
          <w:lang w:bidi="fa-IR"/>
        </w:rPr>
        <w:t xml:space="preserve">. </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به‌هر حال، نتايج اين حفارى‌ها را مى‌توان در موارد زير خلاصه كرد</w:t>
      </w:r>
      <w:r>
        <w:rPr>
          <w:rFonts w:eastAsia="Amiri" w:cs="Amiri" w:ascii="Amiri" w:hAnsi="Amiri"/>
          <w:color w:val="111111"/>
          <w:sz w:val="28"/>
          <w:szCs w:val="28"/>
          <w:rtl w:val="true"/>
          <w:lang w:bidi="ar-SA"/>
        </w:rPr>
        <w:t>:</w:t>
      </w:r>
      <w:bookmarkStart w:id="824" w:name="pg1964_19587"/>
    </w:p>
    <w:p>
      <w:pPr>
        <w:pStyle w:val="Heading5"/>
        <w:numPr>
          <w:ilvl w:val="4"/>
          <w:numId w:val="1"/>
        </w:numPr>
        <w:rPr/>
      </w:pPr>
      <w:bookmarkStart w:id="825" w:name="__RefHeading___Toc3585127_3650668749"/>
      <w:bookmarkStart w:id="826" w:name="_Toc360"/>
      <w:bookmarkEnd w:id="824"/>
      <w:bookmarkEnd w:id="825"/>
      <w:r>
        <w:rPr>
          <w:rtl w:val="true"/>
        </w:rPr>
        <w:t xml:space="preserve">يك </w:t>
      </w:r>
      <w:r>
        <w:rPr>
          <w:rtl w:val="true"/>
        </w:rPr>
        <w:t xml:space="preserve">- </w:t>
      </w:r>
      <w:r>
        <w:rPr>
          <w:rtl w:val="true"/>
        </w:rPr>
        <w:t>موقعيت قصر</w:t>
      </w:r>
      <w:bookmarkEnd w:id="826"/>
    </w:p>
    <w:p>
      <w:pPr>
        <w:pStyle w:val="BookText"/>
        <w:rPr/>
      </w:pPr>
      <w:r>
        <w:rPr>
          <w:rFonts w:ascii="Amiri" w:hAnsi="Amiri" w:eastAsia="Amiri" w:cs="Amiri"/>
          <w:color w:val="111111"/>
          <w:sz w:val="28"/>
          <w:sz w:val="28"/>
          <w:szCs w:val="28"/>
          <w:rtl w:val="true"/>
          <w:lang w:bidi="ar-SA"/>
        </w:rPr>
        <w:t>قصر در سمت جنوب مسجد جامع با اندكى انحراف به سمت شرق قرار داشته است</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نقشه‌شماره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5"/>
        <w:numPr>
          <w:ilvl w:val="4"/>
          <w:numId w:val="1"/>
        </w:numPr>
        <w:rPr/>
      </w:pPr>
      <w:bookmarkStart w:id="827" w:name="__RefHeading___Toc3585129_3650668749"/>
      <w:bookmarkStart w:id="828" w:name="_Toc361"/>
      <w:bookmarkEnd w:id="827"/>
      <w:r>
        <w:rPr>
          <w:rtl w:val="true"/>
        </w:rPr>
        <w:t xml:space="preserve">دو </w:t>
      </w:r>
      <w:r>
        <w:rPr>
          <w:rtl w:val="true"/>
        </w:rPr>
        <w:t xml:space="preserve">- </w:t>
      </w:r>
      <w:r>
        <w:rPr>
          <w:rtl w:val="true"/>
        </w:rPr>
        <w:t>شكل هندسى قصر و مساحت آن</w:t>
      </w:r>
      <w:bookmarkEnd w:id="828"/>
    </w:p>
    <w:p>
      <w:pPr>
        <w:pStyle w:val="BookText"/>
        <w:rPr/>
      </w:pPr>
      <w:r>
        <w:rPr>
          <w:rFonts w:ascii="Amiri" w:hAnsi="Amiri" w:eastAsia="Amiri" w:cs="Amiri"/>
          <w:color w:val="111111"/>
          <w:sz w:val="28"/>
          <w:sz w:val="28"/>
          <w:szCs w:val="28"/>
          <w:rtl w:val="true"/>
          <w:lang w:bidi="ar-SA"/>
        </w:rPr>
        <w:t xml:space="preserve">شكل هندسى قصر تقريباً به صورت مربع و با اضلاعى به اندازه </w:t>
      </w:r>
      <w:r>
        <w:rPr>
          <w:rFonts w:eastAsia="Amiri" w:cs="Amiri" w:ascii="Amiri" w:hAnsi="Amiri"/>
          <w:color w:val="111111"/>
          <w:sz w:val="28"/>
          <w:szCs w:val="28"/>
          <w:lang w:bidi="ar-SA"/>
        </w:rPr>
        <w:t>24/110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بوده‌است</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بنابراين، مساحت آن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متر مربع </w:t>
      </w:r>
      <w:r>
        <w:rPr>
          <w:rFonts w:eastAsia="Amiri" w:cs="Amiri" w:ascii="Amiri" w:hAnsi="Amiri"/>
          <w:color w:val="111111"/>
          <w:sz w:val="28"/>
          <w:szCs w:val="28"/>
          <w:lang w:bidi="ar-SA"/>
        </w:rPr>
        <w:t>0864/36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12166/110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24/110</w:t>
      </w:r>
      <w:r>
        <w:rPr>
          <w:rFonts w:ascii="Amiri" w:hAnsi="Amiri" w:eastAsia="Amiri" w:cs="Amiri"/>
          <w:color w:val="111111"/>
          <w:sz w:val="28"/>
          <w:sz w:val="28"/>
          <w:szCs w:val="28"/>
          <w:rtl w:val="true"/>
          <w:lang w:bidi="ar-SA"/>
        </w:rPr>
        <w:t xml:space="preserve">، يعنى بيش از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بعضى از منابع، شكل قصر به صورت مربع و با اضلاعى به اندازه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تعيين شده است </w:t>
      </w:r>
      <w:r>
        <w:rPr>
          <w:rStyle w:val="FootnoteAnchor"/>
          <w:rtl w:val="true"/>
        </w:rPr>
        <w:footnoteReference w:id="646"/>
      </w:r>
      <w:r>
        <w:rPr>
          <w:rFonts w:ascii="Amiri" w:hAnsi="Amiri" w:eastAsia="Amiri" w:cs="Amiri"/>
          <w:color w:val="111111"/>
          <w:sz w:val="28"/>
          <w:sz w:val="28"/>
          <w:szCs w:val="28"/>
          <w:rtl w:val="true"/>
          <w:lang w:bidi="ar-SA"/>
        </w:rPr>
        <w:t>كه در اين صورت، مساحت قصر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متر مربع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يعنى حدود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برخى ضلع شمالى وجنوبى ديوار قصر را </w:t>
      </w:r>
      <w:r>
        <w:rPr>
          <w:rFonts w:eastAsia="Amiri" w:cs="Amiri" w:ascii="Amiri" w:hAnsi="Amiri"/>
          <w:color w:val="111111"/>
          <w:sz w:val="28"/>
          <w:szCs w:val="28"/>
          <w:lang w:bidi="ar-SA"/>
        </w:rPr>
        <w:t>20/168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ضلع شرقى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غربى آن را </w:t>
      </w:r>
      <w:r>
        <w:rPr>
          <w:rFonts w:eastAsia="Amiri" w:cs="Amiri" w:ascii="Amiri" w:hAnsi="Amiri"/>
          <w:color w:val="111111"/>
          <w:sz w:val="28"/>
          <w:szCs w:val="28"/>
          <w:lang w:bidi="ar-SA"/>
        </w:rPr>
        <w:t>68/169</w:t>
      </w:r>
      <w:r>
        <w:rPr>
          <w:rFonts w:ascii="Amiri" w:hAnsi="Amiri" w:eastAsia="Amiri" w:cs="Amiri"/>
          <w:color w:val="111111"/>
          <w:sz w:val="28"/>
          <w:sz w:val="28"/>
          <w:szCs w:val="28"/>
          <w:rtl w:val="true"/>
          <w:lang w:bidi="ar-SA"/>
        </w:rPr>
        <w:t>متر دانسته‌اند</w:t>
      </w:r>
      <w:r>
        <w:rPr>
          <w:rFonts w:eastAsia="Amiri" w:cs="Amiri" w:ascii="Amiri" w:hAnsi="Amiri"/>
          <w:color w:val="111111"/>
          <w:sz w:val="28"/>
          <w:szCs w:val="28"/>
          <w:rtl w:val="true"/>
          <w:lang w:bidi="ar-SA"/>
        </w:rPr>
        <w:t xml:space="preserve">. </w:t>
      </w:r>
      <w:r>
        <w:rPr>
          <w:rStyle w:val="FootnoteAnchor"/>
          <w:rtl w:val="true"/>
        </w:rPr>
        <w:footnoteReference w:id="64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نظر مى‌رسد با توجه به اينكه قصر دو نوع حصار داخلى و خارجى داشته، بخشى از اين اختلاف‌ها مربوط به وجود اين دو حصار است؛ يعنى كسى كه طول ضلع قصر را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دانسته، حصار داخلى را مقياس قرار داده و آن كه آن را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دانسته، ملاك را حصار خارجى قرار داده‌است</w:t>
      </w:r>
      <w:r>
        <w:rPr>
          <w:rFonts w:eastAsia="Amiri" w:cs="Amiri" w:ascii="Amiri" w:hAnsi="Amiri"/>
          <w:color w:val="111111"/>
          <w:sz w:val="28"/>
          <w:szCs w:val="28"/>
          <w:rtl w:val="true"/>
          <w:lang w:bidi="ar-SA"/>
        </w:rPr>
        <w:t xml:space="preserve">. </w:t>
      </w:r>
      <w:r>
        <w:rPr>
          <w:rStyle w:val="FootnoteAnchor"/>
          <w:rtl w:val="true"/>
        </w:rPr>
        <w:footnoteReference w:id="648"/>
      </w:r>
      <w:r>
        <w:rPr>
          <w:rFonts w:ascii="IRNazanin" w:hAnsi="IRNazanin" w:eastAsia="IRNazanin"/>
          <w:color w:val="111111"/>
          <w:sz w:val="28"/>
          <w:sz w:val="28"/>
          <w:szCs w:val="28"/>
          <w:rtl w:val="true"/>
          <w:lang w:bidi="fa-IR"/>
        </w:rPr>
        <w:t>اگر اين نتيجه‌گيرى درست باشد، بايد مقدار فاصله بين انتهاى حصار داخلى و انتهاى حصار خارجى حدود شصت متر باشد</w:t>
      </w:r>
      <w:r>
        <w:rPr>
          <w:rFonts w:eastAsia="IRNazanin" w:cs="IRNazanin"/>
          <w:color w:val="111111"/>
          <w:sz w:val="28"/>
          <w:szCs w:val="28"/>
          <w:rtl w:val="true"/>
          <w:lang w:bidi="fa-IR"/>
        </w:rPr>
        <w:t>.</w:t>
      </w:r>
      <w:bookmarkStart w:id="829" w:name="pg1964_19588"/>
    </w:p>
    <w:p>
      <w:pPr>
        <w:pStyle w:val="Heading5"/>
        <w:numPr>
          <w:ilvl w:val="4"/>
          <w:numId w:val="1"/>
        </w:numPr>
        <w:rPr/>
      </w:pPr>
      <w:bookmarkStart w:id="830" w:name="__RefHeading___Toc3585131_3650668749"/>
      <w:bookmarkStart w:id="831" w:name="_Toc362"/>
      <w:bookmarkEnd w:id="829"/>
      <w:bookmarkEnd w:id="830"/>
      <w:r>
        <w:rPr>
          <w:rtl w:val="true"/>
        </w:rPr>
        <w:t xml:space="preserve">سه </w:t>
      </w:r>
      <w:r>
        <w:rPr>
          <w:rtl w:val="true"/>
        </w:rPr>
        <w:t xml:space="preserve">- </w:t>
      </w:r>
      <w:r>
        <w:rPr>
          <w:rtl w:val="true"/>
        </w:rPr>
        <w:t>ديوارهاى قصر</w:t>
      </w:r>
      <w:bookmarkEnd w:id="831"/>
    </w:p>
    <w:p>
      <w:pPr>
        <w:pStyle w:val="BookText"/>
        <w:rPr/>
      </w:pPr>
      <w:r>
        <w:rPr>
          <w:rFonts w:ascii="IRNazanin" w:hAnsi="IRNazanin" w:eastAsia="IRNazanin"/>
          <w:color w:val="111111"/>
          <w:sz w:val="28"/>
          <w:sz w:val="28"/>
          <w:szCs w:val="28"/>
          <w:rtl w:val="true"/>
          <w:lang w:bidi="fa-IR"/>
        </w:rPr>
        <w:t xml:space="preserve">چنان‌كه يادآور شديم، قصر به وسيله دو نوع ديوار داخلى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 الداخلى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ديوار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 الخارجى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شده بود</w:t>
      </w:r>
      <w:r>
        <w:rPr>
          <w:rFonts w:eastAsia="IRNazanin" w:cs="IRNazanin"/>
          <w:color w:val="111111"/>
          <w:sz w:val="28"/>
          <w:szCs w:val="28"/>
          <w:rtl w:val="true"/>
          <w:lang w:bidi="fa-IR"/>
        </w:rPr>
        <w:t xml:space="preserve">. </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نقشه‌هاى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ضخامت ديوار داخلى در بعضى از قسمت‌هاى آن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در بعضى از قسمت‌هاى ديگر تا دو متر مى‌رسيد</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ضخامت ديوار خارجى چهار متر و ارتفاع آن هفت متر بود</w:t>
      </w:r>
      <w:r>
        <w:rPr>
          <w:rFonts w:eastAsia="IRNazanin" w:cs="IRNazanin"/>
          <w:color w:val="111111"/>
          <w:sz w:val="28"/>
          <w:szCs w:val="28"/>
          <w:rtl w:val="true"/>
          <w:lang w:bidi="fa-IR"/>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در بعضى از كتاب‌ها معدل ضخامت ديوار خارجى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ذكر شده است</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ارتفاع ديوار خارجى علاوه بر برج‌هايش به صورت احتمال حدود بيست متر ذكر شده است</w:t>
      </w:r>
      <w:r>
        <w:rPr>
          <w:rFonts w:eastAsia="Amiri" w:cs="Amiri" w:ascii="Amiri" w:hAnsi="Amiri"/>
          <w:color w:val="111111"/>
          <w:sz w:val="28"/>
          <w:szCs w:val="28"/>
          <w:rtl w:val="true"/>
          <w:lang w:bidi="ar-SA"/>
        </w:rPr>
        <w:t xml:space="preserve">. </w:t>
      </w:r>
      <w:r>
        <w:rPr>
          <w:rStyle w:val="FootnoteAnchor"/>
          <w:rtl w:val="true"/>
        </w:rPr>
        <w:footnoteReference w:id="653"/>
      </w:r>
    </w:p>
    <w:p>
      <w:pPr>
        <w:pStyle w:val="Heading5"/>
        <w:numPr>
          <w:ilvl w:val="4"/>
          <w:numId w:val="1"/>
        </w:numPr>
        <w:rPr/>
      </w:pPr>
      <w:bookmarkStart w:id="832" w:name="__RefHeading___Toc3585133_3650668749"/>
      <w:bookmarkStart w:id="833" w:name="_Toc363"/>
      <w:bookmarkEnd w:id="832"/>
      <w:r>
        <w:rPr>
          <w:rtl w:val="true"/>
        </w:rPr>
        <w:t xml:space="preserve">چهار </w:t>
      </w:r>
      <w:r>
        <w:rPr>
          <w:rtl w:val="true"/>
        </w:rPr>
        <w:t xml:space="preserve">- </w:t>
      </w:r>
      <w:r>
        <w:rPr>
          <w:rtl w:val="true"/>
        </w:rPr>
        <w:t>برج‌هاى قصر</w:t>
      </w:r>
      <w:bookmarkEnd w:id="833"/>
    </w:p>
    <w:p>
      <w:pPr>
        <w:pStyle w:val="BookText"/>
        <w:rPr/>
      </w:pPr>
      <w:r>
        <w:rPr>
          <w:rFonts w:ascii="IRNazanin" w:hAnsi="IRNazanin" w:eastAsia="IRNazanin"/>
          <w:color w:val="111111"/>
          <w:sz w:val="28"/>
          <w:sz w:val="28"/>
          <w:szCs w:val="28"/>
          <w:rtl w:val="true"/>
          <w:lang w:bidi="fa-IR"/>
        </w:rPr>
        <w:t>روى ديوار داخلى قصر بيست برج ساخته شده بود كه چهار برج در قسمت زواياى چهارگانه و شانزده برج ديگر در اضلاع اين ديوار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برج‌هاى زوايا، دايره ناقص، يعنى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دايره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ضخامت ديوار در اين قسمت‌ها به </w:t>
      </w:r>
      <w:r>
        <w:rPr>
          <w:rFonts w:eastAsia="IRNazanin" w:cs="IRNazanin"/>
          <w:color w:val="111111"/>
          <w:sz w:val="28"/>
          <w:szCs w:val="28"/>
          <w:lang w:bidi="fa-IR"/>
        </w:rPr>
        <w:t>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همين مقدار، قطر برج را تشكيل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برج‌هاى اضلاع به شكل متناظر واقع شده بود؛ يعنى هر برج در يك ضلع، روبه‌روى برج ديگر در ضلع مقابل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بين دو برج </w:t>
      </w:r>
      <w:r>
        <w:rPr>
          <w:rFonts w:eastAsia="IRNazanin" w:cs="IRNazanin"/>
          <w:color w:val="111111"/>
          <w:sz w:val="28"/>
          <w:szCs w:val="28"/>
          <w:lang w:bidi="fa-IR"/>
        </w:rPr>
        <w:t>30/18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برج‌هاى اضلاع، نيم‌دايره و قطر آن سه 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ضخامت ديوار قصر در زير اين برج‌ها كمتر شده و به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مى‌رسيده است</w:t>
      </w:r>
      <w:r>
        <w:rPr>
          <w:rFonts w:eastAsia="IRNazanin" w:cs="IRNazanin"/>
          <w:color w:val="111111"/>
          <w:sz w:val="28"/>
          <w:szCs w:val="28"/>
          <w:rtl w:val="true"/>
          <w:lang w:bidi="fa-IR"/>
        </w:rPr>
        <w:t xml:space="preserve">. </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ديوار خارجى قصر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قرار داشته است كه محل بيست برج آن، اين‌گونه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برج در ضلع شمالى و در محل اتصال قصر با مسجد جامع و در اضلاع</w:t>
      </w:r>
      <w:bookmarkStart w:id="834" w:name="pg1964_19589"/>
    </w:p>
    <w:p>
      <w:pPr>
        <w:pStyle w:val="BookText"/>
        <w:rPr/>
      </w:pPr>
      <w:bookmarkEnd w:id="834"/>
      <w:r>
        <w:rPr>
          <w:rFonts w:ascii="IRNazanin" w:hAnsi="IRNazanin" w:eastAsia="IRNazanin"/>
          <w:color w:val="111111"/>
          <w:sz w:val="28"/>
          <w:sz w:val="28"/>
          <w:szCs w:val="28"/>
          <w:rtl w:val="true"/>
          <w:lang w:bidi="fa-IR"/>
        </w:rPr>
        <w:t>سه‌گانه ديگر، هريك شش برج وجود داشته است، اما در زواياى شمال‌شرقى، جنوب شرقى و جنوب غربى كه به ديوار مسجد جامع متّصل مى‌شد، برجى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هر يك از اين برج‌ها حدود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فاصله بين برج‌ها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تا </w:t>
      </w:r>
      <w:r>
        <w:rPr>
          <w:rFonts w:eastAsia="IRNazanin" w:cs="IRNazanin"/>
          <w:color w:val="111111"/>
          <w:sz w:val="28"/>
          <w:szCs w:val="28"/>
          <w:lang w:bidi="fa-IR"/>
        </w:rPr>
        <w:t>60/24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نوسان بوده كه اين فاصله در بيشتر موارد،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باقى مانده است</w:t>
      </w:r>
      <w:r>
        <w:rPr>
          <w:rFonts w:eastAsia="IRNazanin" w:cs="IRNazanin"/>
          <w:color w:val="111111"/>
          <w:sz w:val="28"/>
          <w:szCs w:val="28"/>
          <w:rtl w:val="true"/>
          <w:lang w:bidi="fa-IR"/>
        </w:rPr>
        <w:t xml:space="preserve">. </w:t>
      </w:r>
      <w:r>
        <w:rPr>
          <w:rStyle w:val="FootnoteAnchor"/>
          <w:rtl w:val="true"/>
        </w:rPr>
        <w:footnoteReference w:id="655"/>
      </w:r>
    </w:p>
    <w:p>
      <w:pPr>
        <w:pStyle w:val="Heading5"/>
        <w:numPr>
          <w:ilvl w:val="4"/>
          <w:numId w:val="1"/>
        </w:numPr>
        <w:rPr/>
      </w:pPr>
      <w:bookmarkStart w:id="835" w:name="__RefHeading___Toc3585135_3650668749"/>
      <w:bookmarkStart w:id="836" w:name="_Toc364"/>
      <w:bookmarkEnd w:id="835"/>
      <w:r>
        <w:rPr>
          <w:rtl w:val="true"/>
        </w:rPr>
        <w:t xml:space="preserve">پنج </w:t>
      </w:r>
      <w:r>
        <w:rPr>
          <w:rtl w:val="true"/>
        </w:rPr>
        <w:t xml:space="preserve">- </w:t>
      </w:r>
      <w:r>
        <w:rPr>
          <w:rtl w:val="true"/>
        </w:rPr>
        <w:t xml:space="preserve">درهاى ورودى قصر </w:t>
      </w:r>
      <w:r>
        <w:rPr>
          <w:rtl w:val="true"/>
        </w:rPr>
        <w:t>(</w:t>
      </w:r>
      <w:r>
        <w:rPr>
          <w:rtl w:val="true"/>
        </w:rPr>
        <w:t>مداخل</w:t>
      </w:r>
      <w:r>
        <w:rPr>
          <w:rtl w:val="true"/>
        </w:rPr>
        <w:t>)</w:t>
      </w:r>
      <w:bookmarkEnd w:id="836"/>
    </w:p>
    <w:p>
      <w:pPr>
        <w:pStyle w:val="BookText"/>
        <w:rPr/>
      </w:pPr>
      <w:r>
        <w:rPr>
          <w:rFonts w:ascii="IRNazanin" w:hAnsi="IRNazanin" w:eastAsia="IRNazanin"/>
          <w:color w:val="111111"/>
          <w:sz w:val="28"/>
          <w:sz w:val="28"/>
          <w:szCs w:val="28"/>
          <w:rtl w:val="true"/>
          <w:lang w:bidi="fa-IR"/>
        </w:rPr>
        <w:t>در هر كدام از اضلاع چهارگانه ديوار داخلى قصر، در يا درهايى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اصلى قصر در وسط ضلع شمالى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و روبه‌روى درِ واقع در ديوار خارجى آن قصر قرارداشت</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در واقع، درِ ديوار خارجى از دو برج تشكيل شده كه نيم‌دايره‌اى از اين بُرج در طرف ضلع جنوبى مسجد جامع و نيمه ديگر روى ديوار خارجى قرار داشته است</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احتمالاً در اين قسمت از ديوار خارجى، درِ كوچكى بوده كه قصر را به مسجد جامع متّصل مى‌كرده است و امير و والى از اين در به مسجد رفت‌وآمد مى‌نموده‌اند و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در قسمت‌هاى قبل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درِ اصلى واقع در ديوار داخلى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بوده‌است</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 xml:space="preserve">در ضلع شرقى ديوار داخلى قصر، درى با عرض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وجود داشته و در ضلع غربى آن مدخلى با عرض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سانتى‌متر كشف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همين ضلع، مدخلى ديگر با عرض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سانتى‌متر وجود داشته و در قسمت جنوب غربى قصر نيز مدخلى وجود داشته است</w:t>
      </w:r>
      <w:r>
        <w:rPr>
          <w:rFonts w:eastAsia="IRNazanin" w:cs="IRNazanin"/>
          <w:color w:val="111111"/>
          <w:sz w:val="28"/>
          <w:szCs w:val="28"/>
          <w:rtl w:val="true"/>
          <w:lang w:bidi="fa-IR"/>
        </w:rPr>
        <w:t xml:space="preserve">. </w:t>
      </w:r>
      <w:r>
        <w:rPr>
          <w:rStyle w:val="FootnoteAnchor"/>
          <w:rtl w:val="true"/>
        </w:rPr>
        <w:footnoteReference w:id="659"/>
      </w:r>
    </w:p>
    <w:p>
      <w:pPr>
        <w:pStyle w:val="Heading5"/>
        <w:numPr>
          <w:ilvl w:val="4"/>
          <w:numId w:val="1"/>
        </w:numPr>
        <w:rPr/>
      </w:pPr>
      <w:bookmarkStart w:id="837" w:name="__RefHeading___Toc3585137_3650668749"/>
      <w:bookmarkStart w:id="838" w:name="_Toc365"/>
      <w:bookmarkEnd w:id="837"/>
      <w:r>
        <w:rPr>
          <w:rtl w:val="true"/>
        </w:rPr>
        <w:t xml:space="preserve">شش </w:t>
      </w:r>
      <w:r>
        <w:rPr>
          <w:rtl w:val="true"/>
        </w:rPr>
        <w:t xml:space="preserve">- </w:t>
      </w:r>
      <w:r>
        <w:rPr>
          <w:rtl w:val="true"/>
        </w:rPr>
        <w:t>اطاق‌ها، ايوان‌ها، رواق‌ها، سالن‌ها و آشپزخانه‌هاى داخل قصر</w:t>
      </w:r>
      <w:bookmarkEnd w:id="83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محل اتصال ضلع جنوبى مسجد جامع و انتهاى ضلع شمالى دارالاماره و در حقيقت، بين ديوار خارجى و ديوار داخلى در طرف غرب، سه اتاقك قرار داشت كه</w:t>
      </w:r>
    </w:p>
    <w:p>
      <w:pPr>
        <w:pStyle w:val="BookText"/>
        <w:rPr/>
      </w:pPr>
      <w:r>
        <w:rPr>
          <w:rFonts w:ascii="IRNazanin" w:hAnsi="IRNazanin" w:eastAsia="IRNazanin"/>
          <w:color w:val="111111"/>
          <w:sz w:val="28"/>
          <w:sz w:val="28"/>
          <w:szCs w:val="28"/>
          <w:rtl w:val="true"/>
          <w:lang w:bidi="fa-IR"/>
        </w:rPr>
        <w:t>همگى در سمت قصر واقع شده بود و بزرگ‌ترين اين اتاقك‌ها سه روزنه كوچك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مقابل اين ضلع، يعنى انتهاى ضلع شمالى در طرف شرق، سه اتاقك مستطيل شكل كشف شده كه دو عدد از آنها عمود بر ديوار دارالاماره و ستونى موازى با آن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شرقى تنها يك اتاق كشف شده است و در قسمت ضلع جنوبى، سه اتاقك قرار داشته كه هر سه يك در ورودى داشته است</w:t>
      </w:r>
      <w:r>
        <w:rPr>
          <w:rFonts w:eastAsia="IRNazanin" w:cs="IRNazanin"/>
          <w:color w:val="111111"/>
          <w:sz w:val="28"/>
          <w:szCs w:val="28"/>
          <w:rtl w:val="true"/>
          <w:lang w:bidi="fa-IR"/>
        </w:rPr>
        <w:t xml:space="preserve">. </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بخواهيم از درِ اصلى دارالاماره واقع در وسط ديوار داخلى در قسمت شمالى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دارالاماره شويم، در همان آستانه در، دو دهليز مشاهده مى‌كنيم كه از عرض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در، منشعب شده و هر كدام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عرض را به خود اختصاصى مى‌دهند كه مجموعاً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مى‌شود و راه مستقيم در ورودى با عرض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طرف اين دهليزها ستونى دايره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كه هر چه به سمت درِ اصلى نزديك‌تر مى‌شود، ضخامت آن بيشتر مى‌گردد، به گونه‌اى كه ضخامت آن در آستانه در به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عبور از اين مدخل به فضايى همانند يك حياط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مى‌رسيم كه به سمت سالنى مستطيل شكل با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مساحت </w:t>
      </w:r>
      <w:r>
        <w:rPr>
          <w:rFonts w:eastAsia="IRNazanin" w:cs="IRNazanin"/>
          <w:color w:val="111111"/>
          <w:sz w:val="28"/>
          <w:szCs w:val="28"/>
          <w:lang w:bidi="fa-IR"/>
        </w:rPr>
        <w:t>25/354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درِ غربى قصر كه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عرض داشته نيز مى‌توان به اين سالن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جنوب غربى اين سالن، رواقى با طول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ضلع شرقى قصر مى‌توان به غرفه‌اى مستطيل شكل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سانتى‌مترى ضلع غربى به رواقى كوچك و اتاقى مستطيل شكل و حمام قصر منتهى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رواق از قسمت جنوب بر حياط اصلى قصر با طول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مساحت </w:t>
      </w:r>
      <w:r>
        <w:rPr>
          <w:rFonts w:eastAsia="IRNazanin" w:cs="IRNazanin"/>
          <w:color w:val="111111"/>
          <w:sz w:val="28"/>
          <w:szCs w:val="28"/>
          <w:lang w:bidi="fa-IR"/>
        </w:rPr>
        <w:t>7/1372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كه تقريباً شكل مربع دارد، مسلط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چهار ضلعى اين حياط بزرگ، ايوان‌ها و رواق‌هايى بوده است كه از جهات مختلف با هم تفاوت‌هايى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ايوان واقع در ضلع شمالى حياط مستطيل شكل بوده و در دو طرف درگاه آن، دو ستون آجرى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ايوان با مربع‌هاى كوچك گچى زينت شده بود</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در پشت اين دو ستون، ساختمان درونى ايوان مشتمل بر يك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جلويى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جناح در طرف راست و چب و يك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مؤخره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شكل ساختمان‌هاى مجلّل حيره را تداعى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عقبى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اتاقك‌هايى وجود دارد كه به نظر مى‌رسد به عنوان پستو و صندوق‌خانه براى نگهدارى امانات و اشياى مهم از آنها استفاده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ديوار شمالى قلب، دو راهرو وجود داشته كه ساكنان قصر را به حياط خلوت‌ها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مرافق</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شمال شرقى قصر مى‌رسانده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حياط خلوت‌ها به شكل مستطيل بوده كه در اطراف آن اتاقك‌هايى موازى يا عمود بر اتاقك‌هاى ضلع شرقى دارالاماره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ايوان شرقى حياط بزرگ قصر نيز مانند ايوان شمالى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درگاه ايوان غربى حياط و در وسط آن نيز دو ستون بزرگ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طرف اين ايوان، راهروهايى وجود داشته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شمال غربى و جنوب منتهى مى‌شده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مهم‌ترين اين ايوان‌ها، ايوان جنوبى بوده است كه در هر يك از دو طرف آن، سه ستون بزرگ آجرى كه با گچ تزيين شده بود، قرار داشت و روى آنها زينت‌كارى‌هايى صورت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جنوب اين ايوان، راهرويى بزرگ كه در دو طرف آن، دو برج كه با گچ‌كارى‌هاى مخصوص تزيين و به صورت نيم‌دايره ظاهر شده بودند،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راهرو به سالن بزرگى منتهى مى‌شد كه چهار طرف آن نگارين شده و در وسط سقف آن و بر روى آن گنبدى به شكل نيم‌دايره تعبيه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قسمت جنوب شرقى دارالاماره، حياطى با ابعاد پانزده و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مساحت </w:t>
      </w:r>
      <w:r>
        <w:rPr>
          <w:rFonts w:eastAsia="IRNazanin" w:cs="IRNazanin"/>
          <w:color w:val="111111"/>
          <w:sz w:val="28"/>
          <w:szCs w:val="28"/>
          <w:lang w:bidi="fa-IR"/>
        </w:rPr>
        <w:t>5/187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قرار داشته كه دور تا دور آن را اتاق‌هايى كه دو به دو با هم متناظر و در روبه‌روى هم قرار گرفته بودند،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سمت شمال غربى مرافق، راهرويى طولانى قرار داشت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دارالاماره واقع در شمال‌شرقى قصر منتهى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اين مرافق، دو اتاق وجود داشت كه با دو راهروى كوچك به هم متصل‌مى‌شدند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غرب اين مرافق، حياطى ديگر به شكل مستطيل با طول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مساحت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شرقى آن نيز نردبانى وجود داشت كه از اتاق وسطى آن به عنوان آشپزخانه 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آشپزخانه، خاكسترهاى فراوان و كوزه‌هاى سفالين زيادى كشف شده كه احتمالاً به منظور جابه‌جا كردن آب‌هاى كثيف از آنها استفاده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ظروف سفالين ديگر و شيشه‌هاى خرد شده در اين محل به دست آمده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طرف جنوب مركزى ديوار داخلى قصر، مكان بازى با سه مِرْفق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شرق اين مكان باز، ايوانى كوچك قرار داشته كه در جلوى آن، دو نيم‌برج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آن، راهرويى قرار داشت كه به اتاقى مستطيل شكل در پشت ايوان منتهى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ايوان، راهرويى ديگر قرار داشت كه به مكان باز ديگرى منتهى مى‌شد 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غربى دارالاماره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اين ايوان، مكان باز ديگرى قرار داشت كه در وسط آن، ايوانى ساخته بودند و از آنجا به وسيله راهرويى كه بين دو ستون مستطيل شكل قرار گرفته بود، به درگاه دارالاماره منتهى مى‌شد</w:t>
      </w:r>
      <w:r>
        <w:rPr>
          <w:rFonts w:eastAsia="IRNazanin" w:cs="IRNazanin"/>
          <w:color w:val="111111"/>
          <w:sz w:val="28"/>
          <w:szCs w:val="28"/>
          <w:rtl w:val="true"/>
          <w:lang w:bidi="fa-IR"/>
        </w:rPr>
        <w:t>.</w:t>
      </w:r>
      <w:bookmarkStart w:id="839" w:name="pg1964_19593"/>
    </w:p>
    <w:p>
      <w:pPr>
        <w:pStyle w:val="BookText"/>
        <w:rPr/>
      </w:pPr>
      <w:bookmarkEnd w:id="839"/>
      <w:r>
        <w:rPr>
          <w:rFonts w:ascii="IRNazanin" w:hAnsi="IRNazanin" w:eastAsia="IRNazanin"/>
          <w:color w:val="111111"/>
          <w:sz w:val="28"/>
          <w:sz w:val="28"/>
          <w:szCs w:val="28"/>
          <w:rtl w:val="true"/>
          <w:lang w:bidi="fa-IR"/>
        </w:rPr>
        <w:t xml:space="preserve">در سمت جنوب غربى دارالاماره، حياطى مستطيل شكل با ابعاد نوزده و هجده متر و مساحت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متر مربع قرار گرفته بود كه در شمال آن، گودال آبى مربع‌شكلى ساخته بودند كه به وسيله راه آبى طولانى كه در موازات ضلع غربى دارالاماره امتداد داشت، به مرافق شمالى و غربى قصر منتهى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اين حياط مستطيل شكل، دو مرفق ديگر قرار داشت كه در مرفق شرقى آن، اتاقكى كوچك و در مرفق غربى آن، ايوانى قرار داشت كه به وسيله راهرويى به آستانه در دارالاماره منتهى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شرقى دارالاماره گودالى كوچك قرار داشت كه به‌وسيله راه آبى به درگاه درجنوبى دارالاماره منتهى مى‌شد</w:t>
      </w:r>
      <w:r>
        <w:rPr>
          <w:rFonts w:eastAsia="IRNazanin" w:cs="IRNazanin"/>
          <w:color w:val="111111"/>
          <w:sz w:val="28"/>
          <w:szCs w:val="28"/>
          <w:rtl w:val="true"/>
          <w:lang w:bidi="fa-IR"/>
        </w:rPr>
        <w:t xml:space="preserve">. </w:t>
      </w:r>
      <w:r>
        <w:rPr>
          <w:rStyle w:val="FootnoteAnchor"/>
          <w:rtl w:val="true"/>
        </w:rPr>
        <w:footnoteReference w:id="663"/>
      </w:r>
    </w:p>
    <w:p>
      <w:pPr>
        <w:pStyle w:val="Heading5"/>
        <w:numPr>
          <w:ilvl w:val="4"/>
          <w:numId w:val="1"/>
        </w:numPr>
        <w:rPr/>
      </w:pPr>
      <w:bookmarkStart w:id="840" w:name="__RefHeading___Toc3585139_3650668749"/>
      <w:bookmarkStart w:id="841" w:name="_Toc366"/>
      <w:bookmarkEnd w:id="840"/>
      <w:r>
        <w:rPr>
          <w:rtl w:val="true"/>
        </w:rPr>
        <w:t xml:space="preserve">هفت </w:t>
      </w:r>
      <w:r>
        <w:rPr>
          <w:rtl w:val="true"/>
        </w:rPr>
        <w:t xml:space="preserve">- </w:t>
      </w:r>
      <w:r>
        <w:rPr>
          <w:rtl w:val="true"/>
        </w:rPr>
        <w:t>حمام و مخزن و فاضلاب</w:t>
      </w:r>
      <w:bookmarkEnd w:id="841"/>
    </w:p>
    <w:p>
      <w:pPr>
        <w:pStyle w:val="BookText"/>
        <w:rPr/>
      </w:pPr>
      <w:r>
        <w:rPr>
          <w:rFonts w:ascii="Amiri" w:hAnsi="Amiri" w:eastAsia="Amiri" w:cs="Amiri"/>
          <w:color w:val="111111"/>
          <w:sz w:val="28"/>
          <w:sz w:val="28"/>
          <w:szCs w:val="28"/>
          <w:rtl w:val="true"/>
          <w:lang w:bidi="ar-SA"/>
        </w:rPr>
        <w:t>حمام قصر در سمت غربى ديوار داخلى قصر و در كنار اتاقى مستطيل شكل قرار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كنار حمام و در حياطى مربع شكل </w:t>
      </w:r>
      <w:r>
        <w:rPr>
          <w:rStyle w:val="FootnoteAnchor"/>
          <w:rtl w:val="true"/>
        </w:rPr>
        <w:footnoteReference w:id="664"/>
      </w:r>
      <w:r>
        <w:rPr>
          <w:rFonts w:ascii="IRNazanin" w:hAnsi="IRNazanin" w:eastAsia="IRNazanin"/>
          <w:color w:val="111111"/>
          <w:sz w:val="28"/>
          <w:sz w:val="28"/>
          <w:szCs w:val="28"/>
          <w:rtl w:val="true"/>
          <w:lang w:bidi="fa-IR"/>
        </w:rPr>
        <w:t xml:space="preserve">و با ابعاد </w:t>
      </w:r>
      <w:r>
        <w:rPr>
          <w:rFonts w:eastAsia="IRNazanin" w:cs="IRNazanin"/>
          <w:color w:val="111111"/>
          <w:sz w:val="28"/>
          <w:szCs w:val="28"/>
          <w:lang w:bidi="fa-IR"/>
        </w:rPr>
        <w:t>30/25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با مساحت </w:t>
      </w:r>
      <w:r>
        <w:rPr>
          <w:rFonts w:eastAsia="IRNazanin" w:cs="IRNazanin"/>
          <w:color w:val="111111"/>
          <w:sz w:val="28"/>
          <w:szCs w:val="28"/>
          <w:lang w:bidi="fa-IR"/>
        </w:rPr>
        <w:t>38/622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محل فاضلاب قصر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محل كه مكانى مستطيل شكل و با ابعاد ده و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مساحت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بود، آب‌هاى مصرفى شده، به وسيله ساكنان قصر، سرازير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نقشه‌هاى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نردبانى با عرض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براى رفت و آمد به درون اين محل، اختصاص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اين محل، با لايه‌اى ضخيم از گچ پوشيده شده بود تا آب به ديوارهاى قصر سرايت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فاضلاب حمام با لوله‌هاى سفالين كه قطر تقريبى آنها نصف قدم بود، به اين سرازير مى‌شد</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 xml:space="preserve">بعضى از نويسندگان معاصر، شماره‌هاى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 دارالاماره را مربوط به حمامى بزرگ در اين محل مى‌دانند كه در عصر اموى ايجاد شده بود</w:t>
      </w:r>
      <w:r>
        <w:rPr>
          <w:rFonts w:eastAsia="IRNazanin" w:cs="IRNazanin"/>
          <w:color w:val="111111"/>
          <w:sz w:val="28"/>
          <w:szCs w:val="28"/>
          <w:rtl w:val="true"/>
          <w:lang w:bidi="fa-IR"/>
        </w:rPr>
        <w:t xml:space="preserve">. </w:t>
      </w:r>
      <w:r>
        <w:rPr>
          <w:rStyle w:val="FootnoteAnchor"/>
          <w:rtl w:val="true"/>
        </w:rPr>
        <w:footnoteReference w:id="666"/>
      </w:r>
      <w:bookmarkStart w:id="842" w:name="pg1964_19594"/>
    </w:p>
    <w:p>
      <w:pPr>
        <w:pStyle w:val="BookText"/>
        <w:rPr/>
      </w:pPr>
      <w:bookmarkEnd w:id="842"/>
      <w:r>
        <w:rPr>
          <w:rFonts w:ascii="IRNazanin" w:hAnsi="IRNazanin" w:eastAsia="IRNazanin"/>
          <w:color w:val="111111"/>
          <w:sz w:val="28"/>
          <w:sz w:val="28"/>
          <w:szCs w:val="28"/>
          <w:rtl w:val="true"/>
          <w:lang w:bidi="fa-IR"/>
        </w:rPr>
        <w:t>همچنين در اطراف مختلف قصر، آبراه‌هايى كشف شده كه با گچ و آجر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وجود دارد كه اين آبراه‌ها به چاه‌هاى آب يا چاه‌هاى فاضلاب متصل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چاه‌هاى فاضلابى كه به وسيله سنگ گچ ساخته شده بود، كشف شده است</w:t>
      </w:r>
      <w:r>
        <w:rPr>
          <w:rFonts w:eastAsia="IRNazanin" w:cs="IRNazanin"/>
          <w:color w:val="111111"/>
          <w:sz w:val="28"/>
          <w:szCs w:val="28"/>
          <w:rtl w:val="true"/>
          <w:lang w:bidi="fa-IR"/>
        </w:rPr>
        <w:t xml:space="preserve">. </w:t>
      </w:r>
      <w:r>
        <w:rPr>
          <w:rStyle w:val="FootnoteAnchor"/>
          <w:rtl w:val="true"/>
        </w:rPr>
        <w:footnoteReference w:id="667"/>
      </w:r>
    </w:p>
    <w:p>
      <w:pPr>
        <w:pStyle w:val="Heading5"/>
        <w:numPr>
          <w:ilvl w:val="4"/>
          <w:numId w:val="1"/>
        </w:numPr>
        <w:rPr/>
      </w:pPr>
      <w:bookmarkStart w:id="843" w:name="__RefHeading___Toc3585141_3650668749"/>
      <w:bookmarkStart w:id="844" w:name="_Toc367"/>
      <w:bookmarkEnd w:id="843"/>
      <w:r>
        <w:rPr>
          <w:rtl w:val="true"/>
        </w:rPr>
        <w:t xml:space="preserve">هشت </w:t>
      </w:r>
      <w:r>
        <w:rPr>
          <w:rtl w:val="true"/>
        </w:rPr>
        <w:t xml:space="preserve">- </w:t>
      </w:r>
      <w:r>
        <w:rPr>
          <w:rtl w:val="true"/>
        </w:rPr>
        <w:t>طِمار</w:t>
      </w:r>
      <w:bookmarkEnd w:id="844"/>
    </w:p>
    <w:p>
      <w:pPr>
        <w:pStyle w:val="BookText"/>
        <w:rPr/>
      </w:pPr>
      <w:r>
        <w:rPr>
          <w:rFonts w:ascii="IRNazanin" w:hAnsi="IRNazanin" w:eastAsia="IRNazanin"/>
          <w:color w:val="111111"/>
          <w:sz w:val="28"/>
          <w:sz w:val="28"/>
          <w:szCs w:val="28"/>
          <w:rtl w:val="true"/>
          <w:lang w:bidi="fa-IR"/>
        </w:rPr>
        <w:t>طمار، ساختمانى گنبدى شكل بود كه روى بام قصر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اين گنبد، سالن اصلى قصر كه محل جلوس فرماندار و نيز پذيرايى از ميهمانان بوده،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كدام از ديوارهاى اين سالن، راهروهايى براى ورود به حياط خلوت‌هاى واقع در جنوب شرقى و جنوب غربى وجودداشت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مسلم را بالاى اين گنبد برده و به پايين پرتاب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بن زياد در زير اين گنبد و در اين سالن بزرگ با اسراى كربلا ملاقات كرد و در همين سالن بود كه سر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گذاشته شد و در همين مكان، سر عبيدالله را براى مختار آوردند، همچنان‌كه در همين مكان، سر مختار را براى مصعب بن زبير آوردند و بالاخره در اين مكان سر مصعب را براى عبدالملك بن مروان آوردند كه عبدالملك با تذكر وقايع فوق، اين مكان را به فال بد گرفته و دستور تخريب 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وسيله عبدالملك ويران شد، اين مكان بود نه همه قصر</w:t>
      </w:r>
      <w:r>
        <w:rPr>
          <w:rFonts w:eastAsia="IRNazanin" w:cs="IRNazanin"/>
          <w:color w:val="111111"/>
          <w:sz w:val="28"/>
          <w:szCs w:val="28"/>
          <w:rtl w:val="true"/>
          <w:lang w:bidi="fa-IR"/>
        </w:rPr>
        <w:t xml:space="preserve">. </w:t>
      </w:r>
      <w:r>
        <w:rPr>
          <w:rStyle w:val="FootnoteAnchor"/>
          <w:rtl w:val="true"/>
        </w:rPr>
        <w:footnoteReference w:id="66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مى‌رسد كه اين گنبد در طرف غربى قصر و نزديك درِ اصلى آن و مسلط بر رحبة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ميدان كوفه واقع شده بود؛ زيرا در تاريخ چنين آمده است كه وقتى بدن مسلم را از بالاى طمار به پايين پرتاب نمودند، اين بدن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رحبة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ميدان شهرافتاد</w:t>
      </w:r>
      <w:r>
        <w:rPr>
          <w:rFonts w:eastAsia="IRNazanin" w:cs="IRNazanin"/>
          <w:color w:val="111111"/>
          <w:sz w:val="28"/>
          <w:szCs w:val="28"/>
          <w:rtl w:val="true"/>
          <w:lang w:bidi="fa-IR"/>
        </w:rPr>
        <w:t xml:space="preserve">. </w:t>
      </w:r>
      <w:r>
        <w:rPr>
          <w:rStyle w:val="FootnoteAnchor"/>
          <w:rtl w:val="true"/>
        </w:rPr>
        <w:footnoteReference w:id="669"/>
      </w:r>
      <w:bookmarkStart w:id="845" w:name="pg1964_19595"/>
    </w:p>
    <w:p>
      <w:pPr>
        <w:pStyle w:val="Heading5"/>
        <w:numPr>
          <w:ilvl w:val="4"/>
          <w:numId w:val="1"/>
        </w:numPr>
        <w:rPr/>
      </w:pPr>
      <w:bookmarkStart w:id="846" w:name="__RefHeading___Toc3585143_3650668749"/>
      <w:bookmarkStart w:id="847" w:name="_Toc368"/>
      <w:bookmarkEnd w:id="845"/>
      <w:bookmarkEnd w:id="846"/>
      <w:r>
        <w:rPr>
          <w:rtl w:val="true"/>
        </w:rPr>
        <w:t xml:space="preserve">نه </w:t>
      </w:r>
      <w:r>
        <w:rPr>
          <w:rtl w:val="true"/>
        </w:rPr>
        <w:t xml:space="preserve">- </w:t>
      </w:r>
      <w:r>
        <w:rPr>
          <w:rtl w:val="true"/>
        </w:rPr>
        <w:t>مصالح ساختماني دارالإماره</w:t>
      </w:r>
      <w:bookmarkEnd w:id="847"/>
    </w:p>
    <w:p>
      <w:pPr>
        <w:pStyle w:val="BookText"/>
        <w:rPr/>
      </w:pPr>
      <w:r>
        <w:rPr>
          <w:rFonts w:ascii="Amiri" w:hAnsi="Amiri" w:eastAsia="Amiri" w:cs="Amiri"/>
          <w:color w:val="111111"/>
          <w:sz w:val="28"/>
          <w:sz w:val="28"/>
          <w:szCs w:val="28"/>
          <w:rtl w:val="true"/>
          <w:lang w:bidi="ar-SA"/>
        </w:rPr>
        <w:t>مصالح اصلى ساختمان دارالاماره آجر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بر اين عقيده‌اند كه آجر قصر از شهر حيره تأمين شده است </w:t>
      </w:r>
      <w:r>
        <w:rPr>
          <w:rStyle w:val="FootnoteAnchor"/>
          <w:rtl w:val="true"/>
        </w:rPr>
        <w:footnoteReference w:id="670"/>
      </w:r>
      <w:r>
        <w:rPr>
          <w:rFonts w:ascii="IRNazanin" w:hAnsi="IRNazanin" w:eastAsia="IRNazanin"/>
          <w:color w:val="111111"/>
          <w:sz w:val="28"/>
          <w:sz w:val="28"/>
          <w:szCs w:val="28"/>
          <w:rtl w:val="true"/>
          <w:lang w:bidi="fa-IR"/>
        </w:rPr>
        <w:t>، اما برخى ديگر با توجه به تفاوت آجرهاى قصر با آجرهاى حيره و نيز سالم بودن آجرهاى آن، گفته‌اند كه آجرهاى قصر، مخصوص قصر و در شهر كوفه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چنين ادعا مى‌كنند كه با توجه به فاصله دوازده كيلومترى حيره تا كوفه، اگر بنا بود اين آجرها از حيره به كوفه منتقل شود، شكسته و خرد مى‌شد، در حالى‌كه چنين حالت‌هايى در آجرهاى كشف شده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اگر اين نكته در نظر گرفته شود كه ساخت آجر چندان مشكل نيست و هزينه انتقال بيشتر از هزينه ساخت در مى‌آيد و نيز با توجه به آنكه عراقى‌ها از زمان‌هاى بسيار دور با آجر آشنايى داشته و اقوام مختلف ساكن در عراق مانند سومرى‌ها، آشورى‌ها و بابلى‌ها براى ساختن خانه‌ها و قصرهاى خود از آجر استفاده مى‌كردند و حتى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سومرى گرفته شده است </w:t>
      </w:r>
      <w:r>
        <w:rPr>
          <w:rStyle w:val="FootnoteAnchor"/>
          <w:rtl w:val="true"/>
        </w:rPr>
        <w:footnoteReference w:id="671"/>
      </w:r>
      <w:r>
        <w:rPr>
          <w:rFonts w:ascii="Amiri" w:hAnsi="Amiri" w:eastAsia="Amiri" w:cs="Amiri"/>
          <w:color w:val="111111"/>
          <w:sz w:val="28"/>
          <w:sz w:val="28"/>
          <w:szCs w:val="28"/>
          <w:rtl w:val="true"/>
          <w:lang w:bidi="ar-SA"/>
        </w:rPr>
        <w:t>، حتى مى‌توان نظر دوم را به صواب نزديك‌تر دانست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ابعاد آجرهاى به‌كار رفته در ساختمان قصر از قرار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آجر به‌كار رفته در كف زمين اتاق‌هاى واقع بين دو ديوار خارجى و داخلى، آجرى به شكل مكعب مربع و با اندازه‌هاى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ضخامت شش سانتى‌متر بوده است</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آجر به‌كار رفته در ساختن ديوار خارجى قصر، آجرى از نوع ضخيم و به شكل مكعب مربع و با ابعاد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ضخامت نُه سانتى‌متر بوده است</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ساختمان قسمت شمال غربى دارالاماره، آجرى با ابعادى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ضخامت هفت سانتى‌متر به‌كار رفته است</w:t>
      </w:r>
      <w:r>
        <w:rPr>
          <w:rFonts w:eastAsia="Amiri" w:cs="Amiri" w:ascii="Amiri" w:hAnsi="Amiri"/>
          <w:color w:val="111111"/>
          <w:sz w:val="28"/>
          <w:szCs w:val="28"/>
          <w:rtl w:val="true"/>
          <w:lang w:bidi="ar-SA"/>
        </w:rPr>
        <w:t xml:space="preserve">. </w:t>
      </w:r>
      <w:r>
        <w:rPr>
          <w:rStyle w:val="FootnoteAnchor"/>
          <w:rtl w:val="true"/>
        </w:rPr>
        <w:footnoteReference w:id="674"/>
      </w:r>
      <w:bookmarkStart w:id="848" w:name="pg1964_19596"/>
    </w:p>
    <w:p>
      <w:pPr>
        <w:pStyle w:val="BookText"/>
        <w:rPr/>
      </w:pPr>
      <w:bookmarkEnd w:id="84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آجرهاى به‌كار رفته در ساختمان بعضى از طاق‌نماهاى حياطهاى دارالاماره و نيز بعضى از اتاق‌ها ابعاد مختلفى همانند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ضخامت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ضخامت چهار 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ضخامت چهار 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ابعاد آجرهاى به‌كار رفته در ساختن بعضى از ديوارها و طاق‌نماها</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ضخامت هفت سانتى‌متر و</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ضخامت هفت سانتى‌متر بوده است</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آجرهاى به‌كار رفته در بعضى از قسمت‌هاى اوليه دارالاماره ابعاد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ضخامت نُه سانتى‌متر داشته‌است</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پس از آجر، مهم‌ترين مصالح ساختمانى قصر، گچ بوده است كه به عنوان ملاط و نيز به عنوان سفيدكارى و تزيين قسمت‌هاى مختلف ساختمان از آن استفاده مى‌شده است</w:t>
      </w:r>
      <w:r>
        <w:rPr>
          <w:rFonts w:eastAsia="IRNazanin" w:cs="IRNazanin"/>
          <w:color w:val="111111"/>
          <w:sz w:val="28"/>
          <w:szCs w:val="28"/>
          <w:rtl w:val="true"/>
          <w:lang w:bidi="fa-IR"/>
        </w:rPr>
        <w:t xml:space="preserve">. </w:t>
      </w:r>
      <w:r>
        <w:rPr>
          <w:rStyle w:val="FootnoteAnchor"/>
          <w:rtl w:val="true"/>
        </w:rPr>
        <w:footnoteReference w:id="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تصويرهاى شماره</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در توصيف ساختمان مخزن فاضلاب قصر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گچ براى نفوذناپذيرشدن اين مخزن و نيز سرايت نكردن فاضلاب به قسمت‌هاى ديگر دارالاماره استفاده شده بود</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در بعضى از نقاط قصر از ملاط گِل سبز مايل به زرد نيز استفاده شده است</w:t>
      </w:r>
      <w:r>
        <w:rPr>
          <w:rFonts w:eastAsia="IRNazanin" w:cs="IRNazanin"/>
          <w:color w:val="111111"/>
          <w:sz w:val="28"/>
          <w:szCs w:val="28"/>
          <w:rtl w:val="true"/>
          <w:lang w:bidi="fa-IR"/>
        </w:rPr>
        <w:t xml:space="preserve">. </w:t>
      </w:r>
      <w:r>
        <w:rPr>
          <w:rStyle w:val="FootnoteAnchor"/>
          <w:rtl w:val="true"/>
        </w:rPr>
        <w:footnoteReference w:id="680"/>
      </w:r>
    </w:p>
    <w:p>
      <w:pPr>
        <w:pStyle w:val="Heading3"/>
        <w:numPr>
          <w:ilvl w:val="2"/>
          <w:numId w:val="1"/>
        </w:numPr>
        <w:rPr/>
      </w:pPr>
      <w:bookmarkStart w:id="849" w:name="__RefHeading___Toc3585145_3650668749"/>
      <w:bookmarkStart w:id="850" w:name="_Toc369"/>
      <w:bookmarkEnd w:id="849"/>
      <w:r>
        <w:rPr/>
        <w:t>۵</w:t>
      </w:r>
      <w:r>
        <w:rPr>
          <w:rtl w:val="true"/>
        </w:rPr>
        <w:t xml:space="preserve">. </w:t>
      </w:r>
      <w:r>
        <w:rPr>
          <w:rtl w:val="true"/>
        </w:rPr>
        <w:t>زندان كوفه</w:t>
      </w:r>
      <w:bookmarkEnd w:id="85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مقاطع مختلف تاريخى در زمان مورد بحث ما از محلى به نام زندان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بلاذرى از زندان كوفه در زمان حكومت مُغَيرة بن شعبه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مى‌كند و ساختمان آن را از نى مى‌داند</w:t>
      </w:r>
      <w:r>
        <w:rPr>
          <w:rFonts w:eastAsia="Amiri" w:cs="Amiri" w:ascii="Amiri" w:hAnsi="Amiri"/>
          <w:color w:val="111111"/>
          <w:sz w:val="28"/>
          <w:szCs w:val="28"/>
          <w:rtl w:val="true"/>
          <w:lang w:bidi="ar-SA"/>
        </w:rPr>
        <w:t xml:space="preserve">. </w:t>
      </w:r>
      <w:r>
        <w:rPr>
          <w:rStyle w:val="FootnoteAnchor"/>
          <w:rtl w:val="true"/>
        </w:rPr>
        <w:footnoteReference w:id="681"/>
      </w:r>
      <w:bookmarkStart w:id="851" w:name="pg1964_19597"/>
    </w:p>
    <w:p>
      <w:pPr>
        <w:pStyle w:val="BookText"/>
        <w:rPr/>
      </w:pPr>
      <w:bookmarkEnd w:id="851"/>
      <w:r>
        <w:rPr>
          <w:rFonts w:ascii="IRNazanin" w:hAnsi="IRNazanin" w:eastAsia="IRNazanin"/>
          <w:color w:val="111111"/>
          <w:sz w:val="28"/>
          <w:sz w:val="28"/>
          <w:szCs w:val="28"/>
          <w:rtl w:val="true"/>
          <w:lang w:bidi="fa-IR"/>
        </w:rPr>
        <w:t>در بحارالانوار چنين آمده است كه پس از دستگيرى ابن ملجم، او را در قصر زندانى كردند</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 xml:space="preserve">از اين گزارش استفاده مى‌شود كه از قصر در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زندان نيز استفاده مى‌شده است، به‌خصوص با توجه به آنكه حضرت‌على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ساكن در قصر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طبرى در بيان حوادث سال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حوادث مربوط به حجر 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زندان كوفه در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اشاره كرده، اما محل آن را تعيين نمى‌كند</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لوئى ماسينيون در نقشه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كه از كوفه ارائه مى‌دهد، محل زندان را در جنوب غربى كوفه و نزديك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كرده است</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نگارنده به مستند آن دست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احتمال فراوان مى‌دهد كه با توجه به ساختمان عريض و طويل قصر و نيز حراست‌هاى فراوانى كه از آن به عمل مى‌آمده است و به‌ويژه با عنايت به اتاق‌هاى متعددى كه در آن وجود داشته، زندان كوفه در زمان زياد و پس از او درون قصر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مدعا آن است كه در روايات تاريخى چنين آمده كه عبيدالله بن زياد، هانى بن عروه را درون قصر زندانى كرد</w:t>
      </w:r>
      <w:r>
        <w:rPr>
          <w:rFonts w:eastAsia="IRNazanin" w:cs="IRNazanin"/>
          <w:color w:val="111111"/>
          <w:sz w:val="28"/>
          <w:szCs w:val="28"/>
          <w:rtl w:val="true"/>
          <w:lang w:bidi="fa-IR"/>
        </w:rPr>
        <w:t xml:space="preserve">. </w:t>
      </w:r>
      <w:r>
        <w:rPr>
          <w:rStyle w:val="FootnoteAnchor"/>
          <w:rtl w:val="true"/>
        </w:rPr>
        <w:footnoteReference w:id="685"/>
      </w:r>
    </w:p>
    <w:p>
      <w:pPr>
        <w:pStyle w:val="Heading3"/>
        <w:numPr>
          <w:ilvl w:val="2"/>
          <w:numId w:val="1"/>
        </w:numPr>
        <w:rPr/>
      </w:pPr>
      <w:bookmarkStart w:id="852" w:name="__RefHeading___Toc3585147_3650668749"/>
      <w:bookmarkStart w:id="853" w:name="_Toc370"/>
      <w:bookmarkEnd w:id="852"/>
      <w:r>
        <w:rPr/>
        <w:t>۶</w:t>
      </w:r>
      <w:r>
        <w:rPr>
          <w:rtl w:val="true"/>
        </w:rPr>
        <w:t xml:space="preserve">. </w:t>
      </w:r>
      <w:r>
        <w:rPr>
          <w:rtl w:val="true"/>
        </w:rPr>
        <w:t>ميدان اصلي شهر</w:t>
      </w:r>
      <w:bookmarkEnd w:id="853"/>
    </w:p>
    <w:p>
      <w:pPr>
        <w:pStyle w:val="Heading4"/>
        <w:numPr>
          <w:ilvl w:val="3"/>
          <w:numId w:val="1"/>
        </w:numPr>
        <w:rPr/>
      </w:pPr>
      <w:bookmarkStart w:id="854" w:name="__RefHeading___Toc3585149_3650668749"/>
      <w:bookmarkStart w:id="855" w:name="_Toc371"/>
      <w:bookmarkEnd w:id="854"/>
      <w:r>
        <w:rPr>
          <w:rtl w:val="true"/>
        </w:rPr>
        <w:t>اشاره</w:t>
      </w:r>
      <w:bookmarkEnd w:id="855"/>
    </w:p>
    <w:p>
      <w:pPr>
        <w:pStyle w:val="BookText"/>
        <w:rPr/>
      </w:pPr>
      <w:r>
        <w:rPr>
          <w:rFonts w:ascii="IRNazanin" w:hAnsi="IRNazanin" w:eastAsia="IRNazanin"/>
          <w:color w:val="111111"/>
          <w:sz w:val="28"/>
          <w:sz w:val="28"/>
          <w:szCs w:val="28"/>
          <w:rtl w:val="true"/>
          <w:lang w:bidi="fa-IR"/>
        </w:rPr>
        <w:t>هنگام مطالعه بناهاى مركز شهر كوفه به دو واژه مختلف صحن و رحبه برخورد مى‌نماييم كه دو معناى متفاوت را ارائه مى‌كند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معناى حياط وسط خانه آمده است</w:t>
      </w:r>
      <w:r>
        <w:rPr>
          <w:rFonts w:eastAsia="Amiri" w:cs="Amiri" w:ascii="Amiri" w:hAnsi="Amiri"/>
          <w:color w:val="111111"/>
          <w:sz w:val="28"/>
          <w:szCs w:val="28"/>
          <w:rtl w:val="true"/>
          <w:lang w:bidi="ar-SA"/>
        </w:rPr>
        <w:t xml:space="preserve">. </w:t>
      </w:r>
      <w:r>
        <w:rPr>
          <w:rStyle w:val="FootnoteAnchor"/>
          <w:rtl w:val="true"/>
        </w:rPr>
        <w:footnoteReference w:id="686"/>
      </w:r>
      <w:r>
        <w:rPr>
          <w:rFonts w:ascii="IRNazanin" w:hAnsi="IRNazanin" w:eastAsia="IRNazanin"/>
          <w:color w:val="111111"/>
          <w:sz w:val="28"/>
          <w:sz w:val="28"/>
          <w:szCs w:val="28"/>
          <w:rtl w:val="true"/>
          <w:lang w:bidi="fa-IR"/>
        </w:rPr>
        <w:t>بنابراين، اين معنا را تداعى مى‌كند كه صحن مركزى از چهار طرف، محصور بوده است</w:t>
      </w:r>
      <w:r>
        <w:rPr>
          <w:rFonts w:eastAsia="IRNazanin" w:cs="IRNazanin"/>
          <w:color w:val="111111"/>
          <w:sz w:val="28"/>
          <w:szCs w:val="28"/>
          <w:rtl w:val="true"/>
          <w:lang w:bidi="fa-IR"/>
        </w:rPr>
        <w:t>.</w:t>
      </w:r>
      <w:bookmarkStart w:id="856" w:name="pg1964_19598"/>
    </w:p>
    <w:p>
      <w:pPr>
        <w:pStyle w:val="BookText"/>
        <w:rPr/>
      </w:pPr>
      <w:bookmarkEnd w:id="856"/>
      <w:r>
        <w:rPr>
          <w:rFonts w:ascii="Amiri" w:hAnsi="Amiri" w:eastAsia="Amiri" w:cs="Amiri"/>
          <w:color w:val="111111"/>
          <w:sz w:val="28"/>
          <w:sz w:val="28"/>
          <w:szCs w:val="28"/>
          <w:rtl w:val="true"/>
          <w:lang w:bidi="ar-SA"/>
        </w:rPr>
        <w:t>رَحبه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معناى وسعت آمده و بر حريم ساختمان كه معمولاً مكانى وسيع بوده نيز اطلاق شده است</w:t>
      </w:r>
      <w:r>
        <w:rPr>
          <w:rFonts w:eastAsia="Amiri" w:cs="Amiri" w:ascii="Amiri" w:hAnsi="Amiri"/>
          <w:color w:val="111111"/>
          <w:sz w:val="28"/>
          <w:szCs w:val="28"/>
          <w:rtl w:val="true"/>
          <w:lang w:bidi="ar-SA"/>
        </w:rPr>
        <w:t xml:space="preserve">. </w:t>
      </w:r>
      <w:r>
        <w:rPr>
          <w:rStyle w:val="FootnoteAnchor"/>
          <w:rtl w:val="true"/>
        </w:rPr>
        <w:footnoteReference w:id="687"/>
      </w:r>
    </w:p>
    <w:p>
      <w:pPr>
        <w:pStyle w:val="Heading4"/>
        <w:numPr>
          <w:ilvl w:val="3"/>
          <w:numId w:val="1"/>
        </w:numPr>
        <w:rPr/>
      </w:pPr>
      <w:bookmarkStart w:id="857" w:name="__RefHeading___Toc3585151_3650668749"/>
      <w:bookmarkStart w:id="858" w:name="_Toc372"/>
      <w:bookmarkEnd w:id="857"/>
      <w:r>
        <w:rPr>
          <w:rtl w:val="true"/>
        </w:rPr>
        <w:t>الف</w:t>
      </w:r>
      <w:r>
        <w:rPr>
          <w:rtl w:val="true"/>
        </w:rPr>
        <w:t xml:space="preserve">) </w:t>
      </w:r>
      <w:r>
        <w:rPr>
          <w:rtl w:val="true"/>
        </w:rPr>
        <w:t xml:space="preserve">مركز شهر </w:t>
      </w:r>
      <w:r>
        <w:rPr>
          <w:rtl w:val="true"/>
        </w:rPr>
        <w:t>(</w:t>
      </w:r>
      <w:r>
        <w:rPr>
          <w:rtl w:val="true"/>
        </w:rPr>
        <w:t>صحن</w:t>
      </w:r>
      <w:r>
        <w:rPr>
          <w:rtl w:val="true"/>
        </w:rPr>
        <w:t>)</w:t>
      </w:r>
      <w:bookmarkEnd w:id="858"/>
    </w:p>
    <w:p>
      <w:pPr>
        <w:pStyle w:val="BookText"/>
        <w:rPr/>
      </w:pPr>
      <w:r>
        <w:rPr>
          <w:rFonts w:ascii="IRNazanin" w:hAnsi="IRNazanin" w:eastAsia="IRNazanin"/>
          <w:color w:val="111111"/>
          <w:sz w:val="28"/>
          <w:sz w:val="28"/>
          <w:szCs w:val="28"/>
          <w:rtl w:val="true"/>
          <w:lang w:bidi="fa-IR"/>
        </w:rPr>
        <w:t xml:space="preserve">با مراجعه به متون تاريخى به اين نتيجه مى‌رسيم كه صحن كوفه دقيقاً معادل كلمه مركز كوفه مى‌باشد؛ زيرا در تاريخ چنين آمده است كه پس از تعيين شدن محل مسجد جامع، تيراندازى در وسط مسجد ايستاد و به چهار طرف تير پرتاب كرد و هر چهار طرف محل افتادن تيرها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و علامت‌گذارى شده و به عنوان صحن كوفه تعيين شد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در اين گزارش تاريخى، شكل هندسى صحن به صورت مربعى تصوير شده كه هر ضلع آن به اندازه دو پرتاب تير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غَلْوَه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طبق نقل كتاب‌هاى لغت هر فرسخ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غلوه بدانيم، هر غلوه معادل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خواهد بود</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 xml:space="preserve">و اگر هر فرسخ را </w:t>
      </w:r>
      <w:r>
        <w:rPr>
          <w:rFonts w:eastAsia="IRNazanin" w:cs="IRNazanin"/>
          <w:color w:val="111111"/>
          <w:sz w:val="28"/>
          <w:szCs w:val="28"/>
          <w:lang w:bidi="fa-IR"/>
        </w:rPr>
        <w:t>5985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حساب آوريم، هر غلوه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ضلع مربع صحن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خواهد شد و مساحت صحن اين چنين محاسبه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متر مربع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توجه به اينكه هر هكتار ده هزار متر مربع است، صحن مساحتى معادل </w:t>
      </w:r>
      <w:r>
        <w:rPr>
          <w:rFonts w:eastAsia="Amiri" w:cs="Amiri" w:ascii="Amiri" w:hAnsi="Amiri"/>
          <w:color w:val="111111"/>
          <w:sz w:val="28"/>
          <w:szCs w:val="28"/>
          <w:lang w:bidi="ar-SA"/>
        </w:rPr>
        <w:t>04/23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هكتار را دربر داشته است</w:t>
      </w:r>
      <w:r>
        <w:rPr>
          <w:rFonts w:eastAsia="Amiri" w:cs="Amiri" w:ascii="Amiri" w:hAnsi="Amiri"/>
          <w:color w:val="111111"/>
          <w:sz w:val="28"/>
          <w:szCs w:val="28"/>
          <w:rtl w:val="true"/>
          <w:lang w:bidi="ar-SA"/>
        </w:rPr>
        <w:t xml:space="preserve">. </w:t>
      </w:r>
      <w:r>
        <w:rPr>
          <w:rStyle w:val="FootnoteAnchor"/>
          <w:rtl w:val="true"/>
        </w:rPr>
        <w:footnoteReference w:id="69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فضاى وسيع، نهاد و بنيان‌هايى همچون مسجد جامع، قصر، بازارها، رحبه و آرّى، وجود داشته است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كه بعضى از اين نهادها و بنيان‌ها در جاى خود بررسى شد</w:t>
      </w:r>
      <w:r>
        <w:rPr>
          <w:rFonts w:eastAsia="IRNazanin" w:cs="IRNazanin"/>
          <w:color w:val="111111"/>
          <w:sz w:val="28"/>
          <w:szCs w:val="28"/>
          <w:rtl w:val="true"/>
          <w:lang w:bidi="fa-IR"/>
        </w:rPr>
        <w:t>.</w:t>
      </w:r>
      <w:bookmarkStart w:id="859" w:name="pg1964_19599"/>
    </w:p>
    <w:p>
      <w:pPr>
        <w:pStyle w:val="BookText"/>
        <w:rPr/>
      </w:pPr>
      <w:bookmarkEnd w:id="859"/>
      <w:r>
        <w:rPr>
          <w:rFonts w:ascii="IRNazanin" w:hAnsi="IRNazanin" w:eastAsia="IRNazanin"/>
          <w:color w:val="111111"/>
          <w:sz w:val="28"/>
          <w:sz w:val="28"/>
          <w:szCs w:val="28"/>
          <w:rtl w:val="true"/>
          <w:lang w:bidi="fa-IR"/>
        </w:rPr>
        <w:t>پس از علامت‌گذارى چهار طرف صحن، دور آن را خندقى كشيدند تا قبايل، خانه‌هاى خود را پشت آن بنا كنند و به مركز شهر تجاوز نكنند</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گرچه پس از مدت كوتاهى، عُمر قسمت‌هاى زيادى از اين مركز را به افراد مختلف براى خانه‌سازى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اين‌جاست كه منابع تاريخى با ريشه لغوى كلمه صحن هماهنگ مى‌شود؛ زيرا دور تا دور اين مركز را بنيان‌ها و ساختمان‌هاى مردم كوفه فراگرفته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اين نتيجه به دست مى‌آيد كه صحن را نمى‌توان به عنوان ميدان اصلى شهر به حساب آورد؛ زيرا ميدان به مكان گسترده باز اطلاق مى‌شود، در حالى‌كه در صحن ساختمان‌هاى فراوانى ساخته شده بود</w:t>
      </w:r>
      <w:r>
        <w:rPr>
          <w:rFonts w:eastAsia="IRNazanin" w:cs="IRNazanin"/>
          <w:color w:val="111111"/>
          <w:sz w:val="28"/>
          <w:szCs w:val="28"/>
          <w:rtl w:val="true"/>
          <w:lang w:bidi="fa-IR"/>
        </w:rPr>
        <w:t>.</w:t>
      </w:r>
    </w:p>
    <w:p>
      <w:pPr>
        <w:pStyle w:val="Heading4"/>
        <w:numPr>
          <w:ilvl w:val="3"/>
          <w:numId w:val="1"/>
        </w:numPr>
        <w:rPr/>
      </w:pPr>
      <w:bookmarkStart w:id="860" w:name="__RefHeading___Toc3585153_3650668749"/>
      <w:bookmarkStart w:id="861" w:name="_Toc373"/>
      <w:bookmarkEnd w:id="860"/>
      <w:r>
        <w:rPr>
          <w:rtl w:val="true"/>
        </w:rPr>
        <w:t>ب</w:t>
      </w:r>
      <w:r>
        <w:rPr>
          <w:rtl w:val="true"/>
        </w:rPr>
        <w:t xml:space="preserve">) </w:t>
      </w:r>
      <w:r>
        <w:rPr>
          <w:rtl w:val="true"/>
        </w:rPr>
        <w:t xml:space="preserve">رحبه </w:t>
      </w:r>
      <w:r>
        <w:rPr>
          <w:rtl w:val="true"/>
        </w:rPr>
        <w:t>(</w:t>
      </w:r>
      <w:r>
        <w:rPr>
          <w:rtl w:val="true"/>
        </w:rPr>
        <w:t>رحبة عليّ و رحبة الصَيارف</w:t>
      </w:r>
      <w:r>
        <w:rPr>
          <w:rtl w:val="true"/>
        </w:rPr>
        <w:t>)</w:t>
      </w:r>
      <w:bookmarkEnd w:id="861"/>
    </w:p>
    <w:p>
      <w:pPr>
        <w:pStyle w:val="BookText"/>
        <w:rPr/>
      </w:pPr>
      <w:r>
        <w:rPr>
          <w:rFonts w:ascii="IRNazanin" w:hAnsi="IRNazanin" w:eastAsia="IRNazanin"/>
          <w:color w:val="111111"/>
          <w:sz w:val="28"/>
          <w:sz w:val="28"/>
          <w:szCs w:val="28"/>
          <w:rtl w:val="true"/>
          <w:lang w:bidi="fa-IR"/>
        </w:rPr>
        <w:t xml:space="preserve">در اين مبحث مى‌توان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معادل ميدان به‌كار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بعدها به مناسبت جاى دادن خانه ساده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رحب‌على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نامگذارى شد، فضاى وسيعى بود كه در سمت جنوب غربى مسجد جامع و غرب قصر دارالاماره قرار داشت و در حقيقت، ديوار جنوبى مسجد و ديوار غربى قصر به آن شكل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مكان باز، حريم اين دو بنيان اصلى شهر شمرده مى‌شد</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به نظر مى‌رسد كه اجتماعات اصلى مردم شهر در اين مكان انجام مى‌گرفته است، به‌خصوص با توجه به اينكه درِ اصلى قصر و گنبد طمار، بر اين ميدان مسلط بوده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گزارش‌هاى تاريخى، سخن از رحبه‌اى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رحبة الصيارف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آمده است كه با دقت در اين گزارش درمى‌يابيم كه اين</w:t>
      </w:r>
      <w:bookmarkStart w:id="862" w:name="pg1964_19600"/>
    </w:p>
    <w:p>
      <w:pPr>
        <w:pStyle w:val="BookText"/>
        <w:rPr/>
      </w:pPr>
      <w:bookmarkEnd w:id="862"/>
      <w:r>
        <w:rPr>
          <w:rFonts w:ascii="IRNazanin" w:hAnsi="IRNazanin" w:eastAsia="IRNazanin"/>
          <w:color w:val="111111"/>
          <w:sz w:val="28"/>
          <w:sz w:val="28"/>
          <w:szCs w:val="28"/>
          <w:rtl w:val="true"/>
          <w:lang w:bidi="fa-IR"/>
        </w:rPr>
        <w:t xml:space="preserve">مكان، محلى در مركز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متفاوت با رحبه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ظاهراً صيرفى‌ها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به‌كار مشغول بوده‌اند؛ زيرا در اين گزارش چنين آمده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ميثم تمّار را به اين رحبه آورده و محل به دار آويخته شدنش را به او نشان داده است</w:t>
      </w:r>
      <w:r>
        <w:rPr>
          <w:rFonts w:eastAsia="IRNazanin" w:cs="IRNazanin"/>
          <w:color w:val="111111"/>
          <w:sz w:val="28"/>
          <w:szCs w:val="28"/>
          <w:rtl w:val="true"/>
          <w:lang w:bidi="fa-IR"/>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با توجه به اينكه محل شهادت ميثم تمّار نزديك خانه عمرو بن حُريث و در جانب شرق مسجد فعلى بوده </w:t>
      </w:r>
      <w:r>
        <w:rPr>
          <w:rStyle w:val="FootnoteAnchor"/>
          <w:rtl w:val="true"/>
        </w:rPr>
        <w:footnoteReference w:id="694"/>
      </w:r>
      <w:r>
        <w:rPr>
          <w:rFonts w:ascii="Amiri" w:hAnsi="Amiri" w:eastAsia="Amiri" w:cs="Amiri"/>
          <w:color w:val="111111"/>
          <w:sz w:val="28"/>
          <w:sz w:val="28"/>
          <w:szCs w:val="28"/>
          <w:rtl w:val="true"/>
          <w:lang w:bidi="ar-SA"/>
        </w:rPr>
        <w:t xml:space="preserve">، درمى‌يابيم كه اين رحبه در نقطه مقابل رحبه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جانب شرق صحن قرار داشته است</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3585155_3650668749"/>
      <w:bookmarkStart w:id="864" w:name="_Toc374"/>
      <w:bookmarkEnd w:id="863"/>
      <w:r>
        <w:rPr>
          <w:rtl w:val="true"/>
        </w:rPr>
        <w:t>ج</w:t>
      </w:r>
      <w:r>
        <w:rPr>
          <w:rtl w:val="true"/>
        </w:rPr>
        <w:t xml:space="preserve">) </w:t>
      </w:r>
      <w:r>
        <w:rPr>
          <w:rtl w:val="true"/>
        </w:rPr>
        <w:t>آريّ</w:t>
      </w:r>
      <w:bookmarkEnd w:id="864"/>
    </w:p>
    <w:p>
      <w:pPr>
        <w:pStyle w:val="BookText"/>
        <w:rPr/>
      </w:pPr>
      <w:r>
        <w:rPr>
          <w:rFonts w:ascii="IRNazanin" w:hAnsi="IRNazanin" w:eastAsia="IRNazanin"/>
          <w:color w:val="111111"/>
          <w:sz w:val="28"/>
          <w:sz w:val="28"/>
          <w:szCs w:val="28"/>
          <w:rtl w:val="true"/>
          <w:lang w:bidi="fa-IR"/>
        </w:rPr>
        <w:t xml:space="preserve">اين كلمه از ريشه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به معناى طناب بلندى است كه چهارپايان را با آن مى‌بندند</w:t>
      </w:r>
      <w:r>
        <w:rPr>
          <w:rFonts w:eastAsia="IRNazanin" w:cs="IRNazanin"/>
          <w:color w:val="111111"/>
          <w:sz w:val="28"/>
          <w:szCs w:val="28"/>
          <w:rtl w:val="true"/>
          <w:lang w:bidi="fa-IR"/>
        </w:rPr>
        <w:t xml:space="preserve">. </w:t>
      </w:r>
      <w:r>
        <w:rPr>
          <w:rStyle w:val="FootnoteAnchor"/>
          <w:rtl w:val="true"/>
        </w:rPr>
        <w:footnoteReference w:id="69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ابتداى بنيان‌گذارى شهر كوفه، چهل هزار اسب متعلق به بيت‌المال در اين مكان نگهدارى مى‌شده است</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 xml:space="preserve">اما مدتى بعد، عُمر آن را به ابوموسى اشعرى، حُذَيفة بن يمان و گروهى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 xml:space="preserve">طبرى محل اين مكان را در ناحيه سمت چپ قبله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شرقى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مى‌كند</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اما بعضى از نويسندگان كوفه‌پژوه معاصر، اين مكان را به صورت دو نيمه از هم جدا، در جنوب غربى و جنوب شرقى صحن تصوير كرده‌اند</w:t>
      </w:r>
      <w:r>
        <w:rPr>
          <w:rFonts w:eastAsia="IRNazanin" w:cs="IRNazanin"/>
          <w:color w:val="111111"/>
          <w:sz w:val="28"/>
          <w:szCs w:val="28"/>
          <w:rtl w:val="true"/>
          <w:lang w:bidi="fa-IR"/>
        </w:rPr>
        <w:t xml:space="preserve">. </w:t>
      </w:r>
      <w:r>
        <w:rPr>
          <w:rStyle w:val="FootnoteAnchor"/>
          <w:rtl w:val="true"/>
        </w:rPr>
        <w:footnoteReference w:id="699"/>
      </w:r>
      <w:bookmarkStart w:id="865" w:name="pg1964_19601"/>
    </w:p>
    <w:p>
      <w:pPr>
        <w:pStyle w:val="Heading3"/>
        <w:numPr>
          <w:ilvl w:val="2"/>
          <w:numId w:val="1"/>
        </w:numPr>
        <w:rPr/>
      </w:pPr>
      <w:bookmarkStart w:id="866" w:name="__RefHeading___Toc3585157_3650668749"/>
      <w:bookmarkStart w:id="867" w:name="_Toc375"/>
      <w:bookmarkEnd w:id="865"/>
      <w:bookmarkEnd w:id="866"/>
      <w:r>
        <w:rPr/>
        <w:t>٧</w:t>
      </w:r>
      <w:r>
        <w:rPr>
          <w:rtl w:val="true"/>
        </w:rPr>
        <w:t xml:space="preserve">. </w:t>
      </w:r>
      <w:r>
        <w:rPr>
          <w:rtl w:val="true"/>
        </w:rPr>
        <w:t xml:space="preserve">معابر </w:t>
      </w:r>
      <w:r>
        <w:rPr>
          <w:rtl w:val="true"/>
        </w:rPr>
        <w:t>(</w:t>
      </w:r>
      <w:r>
        <w:rPr>
          <w:rtl w:val="true"/>
        </w:rPr>
        <w:t>خيابان‌ها، چهارسوها و كوچه‌ها</w:t>
      </w:r>
      <w:r>
        <w:rPr>
          <w:rtl w:val="true"/>
        </w:rPr>
        <w:t>)</w:t>
      </w:r>
      <w:bookmarkEnd w:id="867"/>
    </w:p>
    <w:p>
      <w:pPr>
        <w:pStyle w:val="Heading4"/>
        <w:numPr>
          <w:ilvl w:val="3"/>
          <w:numId w:val="1"/>
        </w:numPr>
        <w:rPr/>
      </w:pPr>
      <w:bookmarkStart w:id="868" w:name="__RefHeading___Toc3585159_3650668749"/>
      <w:bookmarkStart w:id="869" w:name="_Toc376"/>
      <w:bookmarkEnd w:id="868"/>
      <w:r>
        <w:rPr>
          <w:rtl w:val="true"/>
        </w:rPr>
        <w:t>الف</w:t>
      </w:r>
      <w:r>
        <w:rPr>
          <w:rtl w:val="true"/>
        </w:rPr>
        <w:t xml:space="preserve">) </w:t>
      </w:r>
      <w:r>
        <w:rPr>
          <w:rtl w:val="true"/>
        </w:rPr>
        <w:t>خيابان‌ها</w:t>
      </w:r>
      <w:bookmarkEnd w:id="869"/>
    </w:p>
    <w:p>
      <w:pPr>
        <w:pStyle w:val="Heading5"/>
        <w:numPr>
          <w:ilvl w:val="4"/>
          <w:numId w:val="1"/>
        </w:numPr>
        <w:rPr/>
      </w:pPr>
      <w:bookmarkStart w:id="870" w:name="__RefHeading___Toc3585161_3650668749"/>
      <w:bookmarkStart w:id="871" w:name="_Toc377"/>
      <w:bookmarkEnd w:id="870"/>
      <w:r>
        <w:rPr>
          <w:rtl w:val="true"/>
        </w:rPr>
        <w:t>اشاره</w:t>
      </w:r>
      <w:bookmarkEnd w:id="871"/>
    </w:p>
    <w:p>
      <w:pPr>
        <w:pStyle w:val="BookText"/>
        <w:rPr/>
      </w:pPr>
      <w:r>
        <w:rPr>
          <w:rFonts w:ascii="IRNazanin" w:hAnsi="IRNazanin" w:eastAsia="IRNazanin"/>
          <w:color w:val="111111"/>
          <w:sz w:val="28"/>
          <w:sz w:val="28"/>
          <w:szCs w:val="28"/>
          <w:rtl w:val="true"/>
          <w:lang w:bidi="fa-IR"/>
        </w:rPr>
        <w:t>پيش از توصيف خيابان‌هاى اصلى كوفه، بايد موقعيت اسكان قبايل و گروه‌هاى مختلف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پس از مشخص شدن مركز مربع شكل شهر كوفه و تعيين حدود آن به وسيله كندن خندق، قبايل مختلف، دور تا دور اضلاع اين مربع، به ترتيب زير اسكان داده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ضلع شمالى به ترتيب از شرق به غرب، قبايل سليم، ثقيف، بُجَيله، تَيم اللات و تَغْلِب؛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ضلع جنوبى از شرق به غرب، قبايل و طوايف اَزد، كِنْدَ، تيره نَخْع از مِذْحَج و اَسَد؛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ضلع شرقى از شمال به جنوب، قبايل و طوايف اَسَد، عامر، تَميم و مُحارب، اَنْصار و مُزَينه؛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ضلع غربى از شمال به جنوب، قبايل بَجاله و بَجْلَه، جُدَيله، جُهَينَه و اَخلاط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گرده‌هاى مختلف از قبايل مختلف</w:t>
      </w:r>
      <w:r>
        <w:rPr>
          <w:rFonts w:eastAsia="IRNazanin" w:cs="IRNazanin"/>
          <w:color w:val="111111"/>
          <w:sz w:val="28"/>
          <w:szCs w:val="28"/>
          <w:rtl w:val="true"/>
          <w:lang w:bidi="fa-IR"/>
        </w:rPr>
        <w:t xml:space="preserve">) . </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چنان‌كه مشاهده مى‌شود، بعضى از قبايل، مانند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نقطه شهر اسكان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 و طوايف ذكر شده دور تا دور مركز را احاطه نموده و قبايل و طوايف ديگر، در پشت‌سر اين قبايل در قسمت‌هاى عقبى كوفه مستقر شدند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طى سال‌ها به دليل مهاجرت افراد و قبايل از نقاط ديگر به كوفه و تنگى جا، تغيير و تبدّل فراوانى در محل اسكان اين قبايل صورت گرفت </w:t>
      </w:r>
      <w:r>
        <w:rPr>
          <w:rStyle w:val="FootnoteAnchor"/>
          <w:rtl w:val="true"/>
        </w:rPr>
        <w:footnoteReference w:id="701"/>
      </w:r>
      <w:r>
        <w:rPr>
          <w:rFonts w:ascii="IRNazanin" w:hAnsi="IRNazanin" w:eastAsia="IRNazanin"/>
          <w:color w:val="111111"/>
          <w:sz w:val="28"/>
          <w:sz w:val="28"/>
          <w:szCs w:val="28"/>
          <w:rtl w:val="true"/>
          <w:lang w:bidi="fa-IR"/>
        </w:rPr>
        <w:t>كه فعلاً منظور نظر نگارنده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تعيين محل اسكان قبايل، خيابان‌هاى پانزده‌گانه اصلى شهر بر اساس آنچه در ادامه مى‌آيد، مشخص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شمال مركز، پنج خيابان از قرار زير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سمت شرق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 خيابان؛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 خيابان؛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 خيابان؛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 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 خيابان؛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سمت 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 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 خيابان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شرق مركز و بين مركز و فرات، سه خيابان در نظر گرفته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سمت 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 خيابان؛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 خيابان؛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 خيابان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سمت جنوب مركز، چهار خيابان تعيين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سمت 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 خيابان؛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 خيابان؛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 خيابان؛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 خيابان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سمت غرب مركز، سه خيابان ترسيم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سمت 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 خيابان؛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عناصر مختلف از قبايل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 خيابان؛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 خيابان</w:t>
      </w:r>
      <w:r>
        <w:rPr>
          <w:rFonts w:eastAsia="Amiri" w:cs="Amiri" w:ascii="Amiri" w:hAnsi="Amiri"/>
          <w:color w:val="111111"/>
          <w:sz w:val="28"/>
          <w:szCs w:val="28"/>
          <w:rtl w:val="true"/>
          <w:lang w:bidi="ar-SA"/>
        </w:rPr>
        <w:t xml:space="preserve">. </w:t>
      </w:r>
      <w:r>
        <w:rPr>
          <w:rStyle w:val="FootnoteAnchor"/>
          <w:rtl w:val="true"/>
        </w:rPr>
        <w:footnoteReference w:id="702"/>
      </w:r>
      <w:bookmarkStart w:id="872" w:name="pg1964_19603"/>
    </w:p>
    <w:p>
      <w:pPr>
        <w:pStyle w:val="BookText"/>
        <w:rPr/>
      </w:pPr>
      <w:bookmarkEnd w:id="872"/>
      <w:r>
        <w:rPr>
          <w:rFonts w:ascii="IRNazanin" w:hAnsi="IRNazanin" w:eastAsia="IRNazanin"/>
          <w:color w:val="111111"/>
          <w:sz w:val="28"/>
          <w:sz w:val="28"/>
          <w:szCs w:val="28"/>
          <w:rtl w:val="true"/>
          <w:lang w:bidi="fa-IR"/>
        </w:rPr>
        <w:t>پس از اين خيابان‌كشى اصلى، خيابان‌هايى كوچك‌تر در قبايل و محلات، در موازات يا عمود بر اين خيابان‌ها ترسيم شد</w:t>
      </w:r>
      <w:r>
        <w:rPr>
          <w:rFonts w:eastAsia="IRNazanin" w:cs="IRNazanin"/>
          <w:color w:val="111111"/>
          <w:sz w:val="28"/>
          <w:szCs w:val="28"/>
          <w:rtl w:val="true"/>
          <w:lang w:bidi="fa-IR"/>
        </w:rPr>
        <w:t>.</w:t>
      </w:r>
    </w:p>
    <w:p>
      <w:pPr>
        <w:pStyle w:val="Heading5"/>
        <w:numPr>
          <w:ilvl w:val="4"/>
          <w:numId w:val="1"/>
        </w:numPr>
        <w:rPr/>
      </w:pPr>
      <w:bookmarkStart w:id="873" w:name="__RefHeading___Toc3585163_3650668749"/>
      <w:bookmarkStart w:id="874" w:name="_Toc378"/>
      <w:bookmarkEnd w:id="873"/>
      <w:r>
        <w:rPr>
          <w:rtl w:val="true"/>
        </w:rPr>
        <w:t>اندازه خيابان‌ها</w:t>
      </w:r>
      <w:bookmarkEnd w:id="874"/>
    </w:p>
    <w:p>
      <w:pPr>
        <w:pStyle w:val="BookText"/>
        <w:rPr/>
      </w:pPr>
      <w:r>
        <w:rPr>
          <w:rFonts w:ascii="IRNazanin" w:hAnsi="IRNazanin" w:eastAsia="IRNazanin"/>
          <w:color w:val="111111"/>
          <w:sz w:val="28"/>
          <w:sz w:val="28"/>
          <w:szCs w:val="28"/>
          <w:rtl w:val="true"/>
          <w:lang w:bidi="fa-IR"/>
        </w:rPr>
        <w:t>در گزارش‌هاى تاريخى، چهار نوع اندازه براى خيابان‌هاى مختلف شهر كوفه ذكرشده‌است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خيابان‌هاى شصت ذراعى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هر ذراع </w:t>
      </w:r>
      <w:r>
        <w:rPr>
          <w:rFonts w:eastAsia="IRNazanin" w:cs="IRNazanin"/>
          <w:color w:val="111111"/>
          <w:sz w:val="28"/>
          <w:szCs w:val="28"/>
          <w:lang w:bidi="fa-IR"/>
        </w:rPr>
        <w:t>04/54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است، اندازه اين خيابان‌ها حدود </w:t>
      </w:r>
      <w:r>
        <w:rPr>
          <w:rFonts w:eastAsia="IRNazanin" w:cs="IRNazanin"/>
          <w:color w:val="111111"/>
          <w:sz w:val="28"/>
          <w:szCs w:val="28"/>
          <w:lang w:bidi="fa-IR"/>
        </w:rPr>
        <w:t>42/32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خيابان‌ها مخصوص قطايع بود و كه ظاهراً منظور از آن، زمين‌هايى بوده كه در مركز شهر به افراد و قبايل مختلف واگذار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نوع خيابان‌ها مى‌توان با عنوان خيابان‌هاى درجه‌اول يادكرد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كوفه‌پژوهان معاصر، طول اين خيابان‌ها را با محاسبه،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دست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خيابان‌هاى چهل ذراعى؛ يعنى </w:t>
      </w:r>
      <w:r>
        <w:rPr>
          <w:rFonts w:eastAsia="IRNazanin" w:cs="IRNazanin"/>
          <w:color w:val="111111"/>
          <w:sz w:val="28"/>
          <w:szCs w:val="28"/>
          <w:lang w:bidi="fa-IR"/>
        </w:rPr>
        <w:t>61/21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خيابان‌هاى اصلى اين شهر، يعنى خيابان‌هاى پانزده‌گانه، اين اندازه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خيابان‌ها را مى‌توان خيابان‌هاى درجه دوم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خيابان‌هاى سى ذراعى؛ يعنى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مى‌رسد كه اين، اندازه خيابان‌هايى است كه يا عمود بر خيابان‌هاى اصلى بوده و يا در امتداد آنها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خيابان‌ها مى‌توان با عنوان درجه‌سوم ياد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خيابان‌هاى بيست ذراعى؛ يعنى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مى‌رسد كه اين اندازه متعلق به خيابان‌هايى بوده كه به موازات خيابان‌هاى اصلى كشيده شده است</w:t>
      </w:r>
      <w:r>
        <w:rPr>
          <w:rFonts w:eastAsia="Amiri" w:cs="Amiri" w:ascii="Amiri" w:hAnsi="Amiri"/>
          <w:color w:val="111111"/>
          <w:sz w:val="28"/>
          <w:szCs w:val="28"/>
          <w:rtl w:val="true"/>
          <w:lang w:bidi="ar-SA"/>
        </w:rPr>
        <w:t xml:space="preserve">. </w:t>
      </w:r>
      <w:r>
        <w:rPr>
          <w:rStyle w:val="FootnoteAnchor"/>
          <w:rtl w:val="true"/>
        </w:rPr>
        <w:footnoteReference w:id="703"/>
      </w:r>
      <w:r>
        <w:rPr>
          <w:rFonts w:ascii="IRNazanin" w:hAnsi="IRNazanin" w:eastAsia="IRNazanin"/>
          <w:color w:val="111111"/>
          <w:sz w:val="28"/>
          <w:sz w:val="28"/>
          <w:szCs w:val="28"/>
          <w:rtl w:val="true"/>
          <w:lang w:bidi="fa-IR"/>
        </w:rPr>
        <w:t>اين خيابان‌ها را مى‌توان با عنوان خيابان درجه چهارم دانست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متون تاريخى از نوعى ديگر از خيابان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كه به نظر مى‌رسد از آنها براى عبور و مرور از مركز شهر به سوى خارج شهر استفاده</w:t>
      </w:r>
      <w:bookmarkStart w:id="875" w:name="pg1964_19604"/>
    </w:p>
    <w:p>
      <w:pPr>
        <w:pStyle w:val="BookText"/>
        <w:rPr/>
      </w:pPr>
      <w:bookmarkEnd w:id="875"/>
      <w:r>
        <w:rPr>
          <w:rFonts w:ascii="IRNazanin" w:hAnsi="IRNazanin" w:eastAsia="IRNazanin"/>
          <w:color w:val="111111"/>
          <w:sz w:val="28"/>
          <w:sz w:val="28"/>
          <w:szCs w:val="28"/>
          <w:rtl w:val="true"/>
          <w:lang w:bidi="fa-IR"/>
        </w:rPr>
        <w:t>مى‌شده است</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 xml:space="preserve">احتمالاً اين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سد و بستن گرفته شده است </w:t>
      </w:r>
      <w:r>
        <w:rPr>
          <w:rStyle w:val="FootnoteAnchor"/>
          <w:rtl w:val="true"/>
        </w:rPr>
        <w:footnoteReference w:id="705"/>
      </w:r>
      <w:r>
        <w:rPr>
          <w:rFonts w:ascii="IRNazanin" w:hAnsi="IRNazanin" w:eastAsia="IRNazanin"/>
          <w:color w:val="111111"/>
          <w:sz w:val="28"/>
          <w:sz w:val="28"/>
          <w:szCs w:val="28"/>
          <w:rtl w:val="true"/>
          <w:lang w:bidi="fa-IR"/>
        </w:rPr>
        <w:t xml:space="preserve">و دليل نامگذارى اين خيابان‌ها اين بوده است كه هرگاه دهانه اين سِكَك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مى‌شد، راه عبور و مرور به مركز شهر بسته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مورد بحث ما، پس از خاموش شدن شعله قيام مسلم و مخفى‌شدن آن جناب، عبيدالله به منظور جلوگيرى از فرار مسلم، به رييس پليس خود، حُصَين بن نُمير دستور مى‌دهد كه نيروهايى را بر دهانه‌هاى سكّه‌ها بگمارد</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افواه السكك؛ دهانه‌هاى سكّه‌ها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معنا را تداعى مى‌كند كه اين سكه‌ها به عنوان دهانه‌هاى ورود و خروج به شهر محسوب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منابع، عرض اين سكه‌ها پنجاه ذراع، يعنى </w:t>
      </w:r>
      <w:r>
        <w:rPr>
          <w:rFonts w:eastAsia="IRNazanin" w:cs="IRNazanin"/>
          <w:color w:val="111111"/>
          <w:sz w:val="28"/>
          <w:szCs w:val="28"/>
          <w:lang w:bidi="fa-IR"/>
        </w:rPr>
        <w:t>02/27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ذكر شده است</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 xml:space="preserve">همچنين در باره كيفيت روشنايى سكك در بعضى از كتاب‌ها چنين آمده است كه بعضى از سكك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تمام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به وسيله مشعل‌هايى روشن نگاه داشته مى‌شدند</w:t>
      </w:r>
      <w:r>
        <w:rPr>
          <w:rFonts w:eastAsia="IRNazanin" w:cs="IRNazanin"/>
          <w:color w:val="111111"/>
          <w:sz w:val="28"/>
          <w:szCs w:val="28"/>
          <w:rtl w:val="true"/>
          <w:lang w:bidi="fa-IR"/>
        </w:rPr>
        <w:t xml:space="preserve">. </w:t>
      </w:r>
      <w:r>
        <w:rPr>
          <w:rStyle w:val="FootnoteAnchor"/>
          <w:rtl w:val="true"/>
        </w:rPr>
        <w:footnoteReference w:id="708"/>
      </w:r>
      <w:r>
        <w:rPr>
          <w:rFonts w:ascii="Amiri" w:hAnsi="Amiri" w:eastAsia="Amiri" w:cs="Amiri"/>
          <w:color w:val="111111"/>
          <w:sz w:val="28"/>
          <w:sz w:val="28"/>
          <w:szCs w:val="28"/>
          <w:rtl w:val="true"/>
          <w:lang w:bidi="ar-SA"/>
        </w:rPr>
        <w:t>نام بعضى از اين سكّه‌ها از قرار زير است</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3585165_3650668749"/>
      <w:bookmarkStart w:id="877" w:name="_Toc379"/>
      <w:bookmarkEnd w:id="876"/>
      <w:r>
        <w:rPr>
          <w:rtl w:val="true"/>
        </w:rPr>
        <w:t>سكّه لحّام جرير</w:t>
      </w:r>
      <w:bookmarkEnd w:id="877"/>
    </w:p>
    <w:p>
      <w:pPr>
        <w:pStyle w:val="BookText"/>
        <w:rPr/>
      </w:pPr>
      <w:r>
        <w:rPr>
          <w:rFonts w:ascii="IRNazanin" w:hAnsi="IRNazanin" w:eastAsia="IRNazanin"/>
          <w:color w:val="111111"/>
          <w:sz w:val="28"/>
          <w:sz w:val="28"/>
          <w:szCs w:val="28"/>
          <w:rtl w:val="true"/>
          <w:lang w:bidi="fa-IR"/>
        </w:rPr>
        <w:t xml:space="preserve">اين سكه از مركز شروع مى‌شد و در شرق مركز از بازار مى‌گذشته و پس از قطع راه‌هاى قبايل ساكن در شرق، به شمال شرقى كوفه،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و از آنجا از شهر خارج شده است</w:t>
      </w:r>
      <w:r>
        <w:rPr>
          <w:rFonts w:eastAsia="IRNazanin" w:cs="IRNazanin"/>
          <w:color w:val="111111"/>
          <w:sz w:val="28"/>
          <w:szCs w:val="28"/>
          <w:rtl w:val="true"/>
          <w:lang w:bidi="fa-IR"/>
        </w:rPr>
        <w:t xml:space="preserve">. </w:t>
      </w:r>
      <w:r>
        <w:rPr>
          <w:rStyle w:val="FootnoteAnchor"/>
          <w:rtl w:val="true"/>
        </w:rPr>
        <w:footnoteReference w:id="709"/>
      </w:r>
    </w:p>
    <w:p>
      <w:pPr>
        <w:pStyle w:val="Heading5"/>
        <w:numPr>
          <w:ilvl w:val="4"/>
          <w:numId w:val="1"/>
        </w:numPr>
        <w:rPr/>
      </w:pPr>
      <w:bookmarkStart w:id="878" w:name="__RefHeading___Toc3585167_3650668749"/>
      <w:bookmarkStart w:id="879" w:name="_Toc380"/>
      <w:bookmarkEnd w:id="878"/>
      <w:r>
        <w:rPr>
          <w:rtl w:val="true"/>
        </w:rPr>
        <w:t>سكّه دار الروميين</w:t>
      </w:r>
      <w:bookmarkEnd w:id="87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الروميين مكانى در جنوب قصر بوده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نقشه شماره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آغاز به عنوان زباله‌دان از آن بهره‌بردارى مى‌شد، اما بعدها يزيد آن را به عَنْبَس بن سعيد بن عاص بخشيد و او</w:t>
      </w:r>
      <w:bookmarkStart w:id="880" w:name="pg1964_19605"/>
    </w:p>
    <w:p>
      <w:pPr>
        <w:pStyle w:val="BookText"/>
        <w:rPr/>
      </w:pPr>
      <w:bookmarkEnd w:id="880"/>
      <w:r>
        <w:rPr>
          <w:rFonts w:ascii="Amiri" w:hAnsi="Amiri" w:eastAsia="Amiri" w:cs="Amiri"/>
          <w:color w:val="111111"/>
          <w:sz w:val="28"/>
          <w:sz w:val="28"/>
          <w:szCs w:val="28"/>
          <w:rtl w:val="true"/>
          <w:lang w:bidi="ar-SA"/>
        </w:rPr>
        <w:t xml:space="preserve">تنها براى حمل خاك‌ها و زباله‌هاى آن به خارج شهر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درهم هزينه كرد</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به نظر مى‌رسد اين سكه، مركز شهر را از سمت جنوب به خارج شهر متّصل مى‌كرده است</w:t>
      </w:r>
      <w:r>
        <w:rPr>
          <w:rFonts w:eastAsia="Amiri" w:cs="Amiri" w:ascii="Amiri" w:hAnsi="Amiri"/>
          <w:color w:val="111111"/>
          <w:sz w:val="28"/>
          <w:szCs w:val="28"/>
          <w:rtl w:val="true"/>
          <w:lang w:bidi="ar-SA"/>
        </w:rPr>
        <w:t>.</w:t>
      </w:r>
    </w:p>
    <w:p>
      <w:pPr>
        <w:pStyle w:val="Heading5"/>
        <w:numPr>
          <w:ilvl w:val="4"/>
          <w:numId w:val="1"/>
        </w:numPr>
        <w:rPr/>
      </w:pPr>
      <w:bookmarkStart w:id="881" w:name="__RefHeading___Toc3585169_3650668749"/>
      <w:bookmarkStart w:id="882" w:name="_Toc381"/>
      <w:bookmarkEnd w:id="881"/>
      <w:r>
        <w:rPr>
          <w:rtl w:val="true"/>
        </w:rPr>
        <w:t>سكّه شَبَث</w:t>
      </w:r>
      <w:bookmarkEnd w:id="882"/>
    </w:p>
    <w:p>
      <w:pPr>
        <w:pStyle w:val="BookText"/>
        <w:rPr/>
      </w:pPr>
      <w:r>
        <w:rPr>
          <w:rFonts w:ascii="IRNazanin" w:hAnsi="IRNazanin" w:eastAsia="IRNazanin"/>
          <w:color w:val="111111"/>
          <w:sz w:val="28"/>
          <w:sz w:val="28"/>
          <w:szCs w:val="28"/>
          <w:rtl w:val="true"/>
          <w:lang w:bidi="fa-IR"/>
        </w:rPr>
        <w:t xml:space="preserve">اين سكه از ميان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كوفه مى‌گذشته است</w:t>
      </w:r>
      <w:r>
        <w:rPr>
          <w:rFonts w:eastAsia="IRNazanin" w:cs="IRNazanin"/>
          <w:color w:val="111111"/>
          <w:sz w:val="28"/>
          <w:szCs w:val="28"/>
          <w:rtl w:val="true"/>
          <w:lang w:bidi="fa-IR"/>
        </w:rPr>
        <w:t xml:space="preserve">. </w:t>
      </w:r>
      <w:r>
        <w:rPr>
          <w:rStyle w:val="FootnoteAnchor"/>
          <w:rtl w:val="true"/>
        </w:rPr>
        <w:footnoteReference w:id="711"/>
      </w:r>
    </w:p>
    <w:p>
      <w:pPr>
        <w:pStyle w:val="Heading5"/>
        <w:numPr>
          <w:ilvl w:val="4"/>
          <w:numId w:val="1"/>
        </w:numPr>
        <w:rPr/>
      </w:pPr>
      <w:bookmarkStart w:id="883" w:name="__RefHeading___Toc3585171_3650668749"/>
      <w:bookmarkStart w:id="884" w:name="_Toc382"/>
      <w:bookmarkEnd w:id="883"/>
      <w:r>
        <w:rPr>
          <w:rtl w:val="true"/>
        </w:rPr>
        <w:t>سكّه عُمَيْرَه</w:t>
      </w:r>
      <w:bookmarkEnd w:id="884"/>
    </w:p>
    <w:p>
      <w:pPr>
        <w:pStyle w:val="BookText"/>
        <w:rPr/>
      </w:pPr>
      <w:r>
        <w:rPr>
          <w:rFonts w:ascii="IRNazanin" w:hAnsi="IRNazanin" w:eastAsia="IRNazanin"/>
          <w:color w:val="111111"/>
          <w:sz w:val="28"/>
          <w:sz w:val="28"/>
          <w:szCs w:val="28"/>
          <w:rtl w:val="true"/>
          <w:lang w:bidi="fa-IR"/>
        </w:rPr>
        <w:t xml:space="preserve">اين جاده از جنوب كوفه و از ميان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مى‌گذشته است</w:t>
      </w:r>
      <w:r>
        <w:rPr>
          <w:rFonts w:eastAsia="IRNazanin" w:cs="IRNazanin"/>
          <w:color w:val="111111"/>
          <w:sz w:val="28"/>
          <w:szCs w:val="28"/>
          <w:rtl w:val="true"/>
          <w:lang w:bidi="fa-IR"/>
        </w:rPr>
        <w:t xml:space="preserve">. </w:t>
      </w:r>
      <w:r>
        <w:rPr>
          <w:rStyle w:val="FootnoteAnchor"/>
          <w:rtl w:val="true"/>
        </w:rPr>
        <w:footnoteReference w:id="712"/>
      </w:r>
    </w:p>
    <w:p>
      <w:pPr>
        <w:pStyle w:val="Heading5"/>
        <w:numPr>
          <w:ilvl w:val="4"/>
          <w:numId w:val="1"/>
        </w:numPr>
        <w:rPr/>
      </w:pPr>
      <w:bookmarkStart w:id="885" w:name="__RefHeading___Toc3585173_3650668749"/>
      <w:bookmarkStart w:id="886" w:name="_Toc383"/>
      <w:bookmarkEnd w:id="885"/>
      <w:r>
        <w:rPr>
          <w:rtl w:val="true"/>
        </w:rPr>
        <w:t>سكّه بني‌جذيمه</w:t>
      </w:r>
      <w:bookmarkEnd w:id="886"/>
    </w:p>
    <w:p>
      <w:pPr>
        <w:pStyle w:val="BookText"/>
        <w:rPr/>
      </w:pPr>
      <w:r>
        <w:rPr>
          <w:rFonts w:ascii="Amiri" w:hAnsi="Amiri" w:eastAsia="Amiri" w:cs="Amiri"/>
          <w:color w:val="111111"/>
          <w:sz w:val="28"/>
          <w:sz w:val="28"/>
          <w:szCs w:val="28"/>
          <w:rtl w:val="true"/>
          <w:lang w:bidi="ar-SA"/>
        </w:rPr>
        <w:t xml:space="preserve">احتمالاً اين جاده از ميان تيره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بنى‌جذيمه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در جنوب غربى كوفه عبور مى‌كرده است</w:t>
      </w:r>
      <w:r>
        <w:rPr>
          <w:rFonts w:eastAsia="Amiri" w:cs="Amiri" w:ascii="Amiri" w:hAnsi="Amiri"/>
          <w:color w:val="111111"/>
          <w:sz w:val="28"/>
          <w:szCs w:val="28"/>
          <w:rtl w:val="true"/>
          <w:lang w:bidi="ar-SA"/>
        </w:rPr>
        <w:t xml:space="preserve">. </w:t>
      </w:r>
      <w:r>
        <w:rPr>
          <w:rStyle w:val="FootnoteAnchor"/>
          <w:rtl w:val="true"/>
        </w:rPr>
        <w:footnoteReference w:id="713"/>
      </w:r>
    </w:p>
    <w:p>
      <w:pPr>
        <w:pStyle w:val="Heading5"/>
        <w:numPr>
          <w:ilvl w:val="4"/>
          <w:numId w:val="1"/>
        </w:numPr>
        <w:rPr/>
      </w:pPr>
      <w:bookmarkStart w:id="887" w:name="__RefHeading___Toc3585175_3650668749"/>
      <w:bookmarkStart w:id="888" w:name="_Toc384"/>
      <w:bookmarkEnd w:id="887"/>
      <w:r>
        <w:rPr>
          <w:rtl w:val="true"/>
        </w:rPr>
        <w:t>سكّه علاء بن مِحْرز</w:t>
      </w:r>
      <w:bookmarkEnd w:id="888"/>
    </w:p>
    <w:p>
      <w:pPr>
        <w:pStyle w:val="BookText"/>
        <w:rPr/>
      </w:pPr>
      <w:r>
        <w:rPr>
          <w:rFonts w:ascii="Amiri" w:hAnsi="Amiri" w:eastAsia="Amiri" w:cs="Amiri"/>
          <w:color w:val="111111"/>
          <w:sz w:val="28"/>
          <w:sz w:val="28"/>
          <w:szCs w:val="28"/>
          <w:rtl w:val="true"/>
          <w:lang w:bidi="ar-SA"/>
        </w:rPr>
        <w:t xml:space="preserve">اين جاده از ميان خانه‌هاى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عبور مى‌كرده است</w:t>
      </w:r>
      <w:r>
        <w:rPr>
          <w:rFonts w:eastAsia="Amiri" w:cs="Amiri" w:ascii="Amiri" w:hAnsi="Amiri"/>
          <w:color w:val="111111"/>
          <w:sz w:val="28"/>
          <w:szCs w:val="28"/>
          <w:rtl w:val="true"/>
          <w:lang w:bidi="ar-SA"/>
        </w:rPr>
        <w:t xml:space="preserve">. </w:t>
      </w:r>
      <w:r>
        <w:rPr>
          <w:rStyle w:val="FootnoteAnchor"/>
          <w:rtl w:val="true"/>
        </w:rPr>
        <w:footnoteReference w:id="714"/>
      </w:r>
    </w:p>
    <w:p>
      <w:pPr>
        <w:pStyle w:val="Heading5"/>
        <w:numPr>
          <w:ilvl w:val="4"/>
          <w:numId w:val="1"/>
        </w:numPr>
        <w:rPr/>
      </w:pPr>
      <w:bookmarkStart w:id="889" w:name="__RefHeading___Toc3585177_3650668749"/>
      <w:bookmarkStart w:id="890" w:name="_Toc385"/>
      <w:bookmarkEnd w:id="889"/>
      <w:r>
        <w:rPr>
          <w:rtl w:val="true"/>
        </w:rPr>
        <w:t xml:space="preserve">سكّه الثَوْريين </w:t>
      </w:r>
      <w:r>
        <w:rPr>
          <w:rtl w:val="true"/>
        </w:rPr>
        <w:t>(</w:t>
      </w:r>
      <w:r>
        <w:rPr>
          <w:rtl w:val="true"/>
        </w:rPr>
        <w:t>سكّه الثَوْر</w:t>
      </w:r>
      <w:r>
        <w:rPr>
          <w:rtl w:val="true"/>
        </w:rPr>
        <w:t>)</w:t>
      </w:r>
      <w:bookmarkEnd w:id="890"/>
    </w:p>
    <w:p>
      <w:pPr>
        <w:pStyle w:val="BookText"/>
        <w:rPr/>
      </w:pPr>
      <w:r>
        <w:rPr>
          <w:rFonts w:ascii="IRNazanin" w:hAnsi="IRNazanin" w:eastAsia="IRNazanin"/>
          <w:color w:val="111111"/>
          <w:sz w:val="28"/>
          <w:sz w:val="28"/>
          <w:szCs w:val="28"/>
          <w:rtl w:val="true"/>
          <w:lang w:bidi="fa-IR"/>
        </w:rPr>
        <w:t xml:space="preserve">اين جاده از ميان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در شمال كوفه مى‌گذشته و كوفه را به خارج شهر متصل مى‌كرده است</w:t>
      </w:r>
      <w:r>
        <w:rPr>
          <w:rFonts w:eastAsia="IRNazanin" w:cs="IRNazanin"/>
          <w:color w:val="111111"/>
          <w:sz w:val="28"/>
          <w:szCs w:val="28"/>
          <w:rtl w:val="true"/>
          <w:lang w:bidi="fa-IR"/>
        </w:rPr>
        <w:t xml:space="preserve">. </w:t>
      </w:r>
      <w:r>
        <w:rPr>
          <w:rStyle w:val="FootnoteAnchor"/>
          <w:rtl w:val="true"/>
        </w:rPr>
        <w:footnoteReference w:id="715"/>
      </w:r>
    </w:p>
    <w:p>
      <w:pPr>
        <w:pStyle w:val="Heading5"/>
        <w:numPr>
          <w:ilvl w:val="4"/>
          <w:numId w:val="1"/>
        </w:numPr>
        <w:rPr/>
      </w:pPr>
      <w:bookmarkStart w:id="891" w:name="__RefHeading___Toc3585179_3650668749"/>
      <w:bookmarkStart w:id="892" w:name="_Toc386"/>
      <w:bookmarkEnd w:id="891"/>
      <w:r>
        <w:rPr>
          <w:rtl w:val="true"/>
        </w:rPr>
        <w:t>سكّه الموالي</w:t>
      </w:r>
      <w:bookmarkEnd w:id="89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اين سكّه از ميان محل سكونت موالى در شرق كوفه و نزديك فرات مى‌گذشته و كوفه را به فرات متصل مى‌كرده است</w:t>
      </w:r>
      <w:r>
        <w:rPr>
          <w:rFonts w:eastAsia="IRNazanin" w:cs="IRNazanin"/>
          <w:color w:val="111111"/>
          <w:sz w:val="28"/>
          <w:szCs w:val="28"/>
          <w:rtl w:val="true"/>
          <w:lang w:bidi="fa-IR"/>
        </w:rPr>
        <w:t xml:space="preserve">. </w:t>
      </w:r>
      <w:r>
        <w:rPr>
          <w:rStyle w:val="FootnoteAnchor"/>
          <w:rtl w:val="true"/>
        </w:rPr>
        <w:footnoteReference w:id="716"/>
      </w:r>
      <w:bookmarkStart w:id="893" w:name="pg1964_19606"/>
    </w:p>
    <w:p>
      <w:pPr>
        <w:pStyle w:val="Heading5"/>
        <w:numPr>
          <w:ilvl w:val="4"/>
          <w:numId w:val="1"/>
        </w:numPr>
        <w:rPr/>
      </w:pPr>
      <w:bookmarkStart w:id="894" w:name="__RefHeading___Toc3585181_3650668749"/>
      <w:bookmarkStart w:id="895" w:name="_Toc387"/>
      <w:bookmarkEnd w:id="893"/>
      <w:bookmarkEnd w:id="894"/>
      <w:r>
        <w:rPr>
          <w:rtl w:val="true"/>
        </w:rPr>
        <w:t>سكّه البَريد</w:t>
      </w:r>
      <w:bookmarkEnd w:id="895"/>
    </w:p>
    <w:p>
      <w:pPr>
        <w:pStyle w:val="BookText"/>
        <w:rPr/>
      </w:pPr>
      <w:r>
        <w:rPr>
          <w:rFonts w:ascii="IRNazanin" w:hAnsi="IRNazanin" w:eastAsia="IRNazanin"/>
          <w:color w:val="111111"/>
          <w:sz w:val="28"/>
          <w:sz w:val="28"/>
          <w:szCs w:val="28"/>
          <w:rtl w:val="true"/>
          <w:lang w:bidi="fa-IR"/>
        </w:rPr>
        <w:t xml:space="preserve">اين نامگذارى در زمان عباسيان صورت گرفت؛ زيرا از اين جاده به عنوان جاده‌پستى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استفاده مى‌شد</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 xml:space="preserve">اين جاده به صورت مورّب از قصر شروع مى‌شده، از مسجدى گذشته و در شمال شرقى كوفه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مى‌پيوست</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ماسينيون اين جاده را بين قصر در مركز و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كناسه در جنوب شرقى كوفه دانسته‌است</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در پايان اين بحث، خاطرنشان مى‌شود كه زمين همه اين جاده‌ها، خاكى بود و برخلاف جاده‌هاى درون شهرى، مانند خيابان‌هاى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سنگ‌فرش نشده بود</w:t>
      </w:r>
      <w:r>
        <w:rPr>
          <w:rFonts w:eastAsia="IRNazanin" w:cs="IRNazanin"/>
          <w:color w:val="111111"/>
          <w:sz w:val="28"/>
          <w:szCs w:val="28"/>
          <w:rtl w:val="true"/>
          <w:lang w:bidi="fa-IR"/>
        </w:rPr>
        <w:t xml:space="preserve">. </w:t>
      </w:r>
      <w:r>
        <w:rPr>
          <w:rStyle w:val="FootnoteAnchor"/>
          <w:rtl w:val="true"/>
        </w:rPr>
        <w:footnoteReference w:id="720"/>
      </w:r>
    </w:p>
    <w:p>
      <w:pPr>
        <w:pStyle w:val="Heading4"/>
        <w:numPr>
          <w:ilvl w:val="3"/>
          <w:numId w:val="1"/>
        </w:numPr>
        <w:rPr/>
      </w:pPr>
      <w:bookmarkStart w:id="896" w:name="__RefHeading___Toc3585183_3650668749"/>
      <w:bookmarkStart w:id="897" w:name="_Toc388"/>
      <w:bookmarkEnd w:id="896"/>
      <w:r>
        <w:rPr>
          <w:rtl w:val="true"/>
        </w:rPr>
        <w:t>ب</w:t>
      </w:r>
      <w:r>
        <w:rPr>
          <w:rtl w:val="true"/>
        </w:rPr>
        <w:t xml:space="preserve">) </w:t>
      </w:r>
      <w:r>
        <w:rPr>
          <w:rtl w:val="true"/>
        </w:rPr>
        <w:t>چهارسوها</w:t>
      </w:r>
      <w:bookmarkEnd w:id="897"/>
    </w:p>
    <w:p>
      <w:pPr>
        <w:pStyle w:val="Heading5"/>
        <w:numPr>
          <w:ilvl w:val="4"/>
          <w:numId w:val="1"/>
        </w:numPr>
        <w:rPr/>
      </w:pPr>
      <w:bookmarkStart w:id="898" w:name="__RefHeading___Toc3585185_3650668749"/>
      <w:bookmarkStart w:id="899" w:name="_Toc389"/>
      <w:bookmarkEnd w:id="898"/>
      <w:r>
        <w:rPr>
          <w:rtl w:val="true"/>
        </w:rPr>
        <w:t>اشاره</w:t>
      </w:r>
      <w:bookmarkEnd w:id="899"/>
    </w:p>
    <w:p>
      <w:pPr>
        <w:pStyle w:val="BookText"/>
        <w:rPr/>
      </w:pPr>
      <w:r>
        <w:rPr>
          <w:rFonts w:ascii="IRNazanin" w:hAnsi="IRNazanin" w:eastAsia="IRNazanin"/>
          <w:color w:val="111111"/>
          <w:sz w:val="28"/>
          <w:sz w:val="28"/>
          <w:szCs w:val="28"/>
          <w:rtl w:val="true"/>
          <w:lang w:bidi="fa-IR"/>
        </w:rPr>
        <w:t xml:space="preserve">در منابع عربى به جاى اين واژه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شهار سوج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كه همان لغت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چهارراه مى‌باشد</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 xml:space="preserve">در كتاب‌هاى مربوطه از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pStyle w:val="Heading5"/>
        <w:numPr>
          <w:ilvl w:val="4"/>
          <w:numId w:val="1"/>
        </w:numPr>
        <w:rPr/>
      </w:pPr>
      <w:bookmarkStart w:id="900" w:name="__RefHeading___Toc3585187_3650668749"/>
      <w:bookmarkStart w:id="901" w:name="_Toc390"/>
      <w:bookmarkEnd w:id="900"/>
      <w:r>
        <w:rPr>
          <w:rtl w:val="true"/>
        </w:rPr>
        <w:t xml:space="preserve">يك </w:t>
      </w:r>
      <w:r>
        <w:rPr>
          <w:rtl w:val="true"/>
        </w:rPr>
        <w:t xml:space="preserve">- </w:t>
      </w:r>
      <w:r>
        <w:rPr>
          <w:rtl w:val="true"/>
        </w:rPr>
        <w:t>چهارسوى خُنَيْس</w:t>
      </w:r>
      <w:bookmarkEnd w:id="901"/>
    </w:p>
    <w:p>
      <w:pPr>
        <w:pStyle w:val="BookText"/>
        <w:rPr/>
      </w:pPr>
      <w:r>
        <w:rPr>
          <w:rFonts w:ascii="IRNazanin" w:hAnsi="IRNazanin" w:eastAsia="IRNazanin"/>
          <w:color w:val="111111"/>
          <w:sz w:val="28"/>
          <w:sz w:val="28"/>
          <w:szCs w:val="28"/>
          <w:rtl w:val="true"/>
          <w:lang w:bidi="fa-IR"/>
        </w:rPr>
        <w:t>نزديك اين چهارراه، خانه خنيس بن سعد واقع شده بود، از اين رو، اين چهارراه به نام او معروف شد</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 xml:space="preserve">اين چهار سوى در سهم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كوفه واقع شده بود</w:t>
      </w:r>
      <w:r>
        <w:rPr>
          <w:rFonts w:eastAsia="IRNazanin" w:cs="IRNazanin"/>
          <w:color w:val="111111"/>
          <w:sz w:val="28"/>
          <w:szCs w:val="28"/>
          <w:rtl w:val="true"/>
          <w:lang w:bidi="fa-IR"/>
        </w:rPr>
        <w:t xml:space="preserve">. </w:t>
      </w:r>
      <w:r>
        <w:rPr>
          <w:rStyle w:val="FootnoteAnchor"/>
          <w:rtl w:val="true"/>
        </w:rPr>
        <w:footnoteReference w:id="723"/>
      </w:r>
    </w:p>
    <w:p>
      <w:pPr>
        <w:pStyle w:val="Heading5"/>
        <w:numPr>
          <w:ilvl w:val="4"/>
          <w:numId w:val="1"/>
        </w:numPr>
        <w:rPr/>
      </w:pPr>
      <w:bookmarkStart w:id="902" w:name="__RefHeading___Toc3585189_3650668749"/>
      <w:bookmarkStart w:id="903" w:name="_Toc391"/>
      <w:bookmarkEnd w:id="902"/>
      <w:r>
        <w:rPr>
          <w:rtl w:val="true"/>
        </w:rPr>
        <w:t xml:space="preserve">دو </w:t>
      </w:r>
      <w:r>
        <w:rPr>
          <w:rtl w:val="true"/>
        </w:rPr>
        <w:t xml:space="preserve">- </w:t>
      </w:r>
      <w:r>
        <w:rPr>
          <w:rtl w:val="true"/>
        </w:rPr>
        <w:t>چهارسوى بَجيله</w:t>
      </w:r>
      <w:bookmarkEnd w:id="90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چهارراه در محله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شمال كوفه قرار داشت</w:t>
      </w:r>
      <w:r>
        <w:rPr>
          <w:rFonts w:eastAsia="IRNazanin" w:cs="IRNazanin"/>
          <w:color w:val="111111"/>
          <w:sz w:val="28"/>
          <w:szCs w:val="28"/>
          <w:rtl w:val="true"/>
          <w:lang w:bidi="fa-IR"/>
        </w:rPr>
        <w:t xml:space="preserve">. </w:t>
      </w:r>
      <w:r>
        <w:rPr>
          <w:rStyle w:val="FootnoteAnchor"/>
          <w:rtl w:val="true"/>
        </w:rPr>
        <w:footnoteReference w:id="724"/>
      </w:r>
      <w:bookmarkStart w:id="904" w:name="pg1964_19607"/>
    </w:p>
    <w:p>
      <w:pPr>
        <w:pStyle w:val="Heading5"/>
        <w:numPr>
          <w:ilvl w:val="4"/>
          <w:numId w:val="1"/>
        </w:numPr>
        <w:rPr/>
      </w:pPr>
      <w:bookmarkStart w:id="905" w:name="__RefHeading___Toc3585191_3650668749"/>
      <w:bookmarkStart w:id="906" w:name="_Toc392"/>
      <w:bookmarkEnd w:id="904"/>
      <w:bookmarkEnd w:id="905"/>
      <w:r>
        <w:rPr>
          <w:rtl w:val="true"/>
        </w:rPr>
        <w:t xml:space="preserve">سه </w:t>
      </w:r>
      <w:r>
        <w:rPr>
          <w:rtl w:val="true"/>
        </w:rPr>
        <w:t xml:space="preserve">- </w:t>
      </w:r>
      <w:r>
        <w:rPr>
          <w:rtl w:val="true"/>
        </w:rPr>
        <w:t>چهارسوى هَمْدان</w:t>
      </w:r>
      <w:bookmarkEnd w:id="906"/>
    </w:p>
    <w:p>
      <w:pPr>
        <w:pStyle w:val="BookText"/>
        <w:rPr/>
      </w:pPr>
      <w:r>
        <w:rPr>
          <w:rFonts w:ascii="IRNazanin" w:hAnsi="IRNazanin" w:eastAsia="IRNazanin"/>
          <w:color w:val="111111"/>
          <w:sz w:val="28"/>
          <w:sz w:val="28"/>
          <w:szCs w:val="28"/>
          <w:rtl w:val="true"/>
          <w:lang w:bidi="fa-IR"/>
        </w:rPr>
        <w:t>اين چهار سو در ميان قبيله هَمْدان ساكن در شمال كوفه قرار داشت</w:t>
      </w:r>
      <w:r>
        <w:rPr>
          <w:rFonts w:eastAsia="IRNazanin" w:cs="IRNazanin"/>
          <w:color w:val="111111"/>
          <w:sz w:val="28"/>
          <w:szCs w:val="28"/>
          <w:rtl w:val="true"/>
          <w:lang w:bidi="fa-IR"/>
        </w:rPr>
        <w:t xml:space="preserve">. </w:t>
      </w:r>
      <w:r>
        <w:rPr>
          <w:rStyle w:val="FootnoteAnchor"/>
          <w:rtl w:val="true"/>
        </w:rPr>
        <w:footnoteReference w:id="725"/>
      </w:r>
    </w:p>
    <w:p>
      <w:pPr>
        <w:pStyle w:val="Heading5"/>
        <w:numPr>
          <w:ilvl w:val="4"/>
          <w:numId w:val="1"/>
        </w:numPr>
        <w:rPr/>
      </w:pPr>
      <w:bookmarkStart w:id="907" w:name="__RefHeading___Toc3585193_3650668749"/>
      <w:bookmarkStart w:id="908" w:name="_Toc393"/>
      <w:bookmarkEnd w:id="907"/>
      <w:r>
        <w:rPr>
          <w:rtl w:val="true"/>
        </w:rPr>
        <w:t xml:space="preserve">چهار </w:t>
      </w:r>
      <w:r>
        <w:rPr>
          <w:rtl w:val="true"/>
        </w:rPr>
        <w:t xml:space="preserve">- </w:t>
      </w:r>
      <w:r>
        <w:rPr>
          <w:rtl w:val="true"/>
        </w:rPr>
        <w:t>چهارسوى كِنْده</w:t>
      </w:r>
      <w:bookmarkEnd w:id="908"/>
    </w:p>
    <w:p>
      <w:pPr>
        <w:pStyle w:val="BookText"/>
        <w:rPr/>
      </w:pPr>
      <w:r>
        <w:rPr>
          <w:rFonts w:ascii="IRNazanin" w:hAnsi="IRNazanin" w:eastAsia="IRNazanin"/>
          <w:color w:val="111111"/>
          <w:sz w:val="28"/>
          <w:sz w:val="28"/>
          <w:szCs w:val="28"/>
          <w:rtl w:val="true"/>
          <w:lang w:bidi="fa-IR"/>
        </w:rPr>
        <w:t xml:space="preserve">اين چهار سو در ميان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در جنوب كوفه قرار داشت</w:t>
      </w:r>
      <w:r>
        <w:rPr>
          <w:rFonts w:eastAsia="IRNazanin" w:cs="IRNazanin"/>
          <w:color w:val="111111"/>
          <w:sz w:val="28"/>
          <w:szCs w:val="28"/>
          <w:rtl w:val="true"/>
          <w:lang w:bidi="fa-IR"/>
        </w:rPr>
        <w:t xml:space="preserve">. </w:t>
      </w:r>
      <w:r>
        <w:rPr>
          <w:rStyle w:val="FootnoteAnchor"/>
          <w:rtl w:val="true"/>
        </w:rPr>
        <w:footnoteReference w:id="726"/>
      </w:r>
    </w:p>
    <w:p>
      <w:pPr>
        <w:pStyle w:val="Heading4"/>
        <w:numPr>
          <w:ilvl w:val="3"/>
          <w:numId w:val="1"/>
        </w:numPr>
        <w:rPr/>
      </w:pPr>
      <w:bookmarkStart w:id="909" w:name="__RefHeading___Toc3585195_3650668749"/>
      <w:bookmarkStart w:id="910" w:name="_Toc394"/>
      <w:bookmarkEnd w:id="909"/>
      <w:r>
        <w:rPr>
          <w:rtl w:val="true"/>
        </w:rPr>
        <w:t>ج</w:t>
      </w:r>
      <w:r>
        <w:rPr>
          <w:rtl w:val="true"/>
        </w:rPr>
        <w:t xml:space="preserve">) </w:t>
      </w:r>
      <w:r>
        <w:rPr>
          <w:rtl w:val="true"/>
        </w:rPr>
        <w:t>كوچه‌ها</w:t>
      </w:r>
      <w:bookmarkEnd w:id="910"/>
    </w:p>
    <w:p>
      <w:pPr>
        <w:pStyle w:val="BookText"/>
        <w:rPr/>
      </w:pPr>
      <w:r>
        <w:rPr>
          <w:rFonts w:ascii="IRNazanin" w:hAnsi="IRNazanin" w:eastAsia="IRNazanin"/>
          <w:color w:val="111111"/>
          <w:sz w:val="28"/>
          <w:sz w:val="28"/>
          <w:szCs w:val="28"/>
          <w:rtl w:val="true"/>
          <w:lang w:bidi="fa-IR"/>
        </w:rPr>
        <w:t xml:space="preserve">در نقشه‌كشى اوليه كوفه، مقدار عرض كوچه‌ها كه در ميان محله‌هاى مختلف بنا شده بود، هفت ذراع، يعنى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تعيين شده بود</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به علت كثرت كوچه‌هاى كوفه و كم‌اهميت بودن آنها در جريانات مختلف، در منابع كمتر از آنها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كوچه‌هايى كه در منابع از آنها ياد شده است، كوچه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فرزندان عمرو بن حريث در آن زندگى مى‌كردند</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به نظر مى‌رسد با توجه به اينكه خانه عمرو بن حريث در مركز شهر و در سمت شرق مسجد جامع واقع بوده است، اين كوچه نيز در همان حدود بوده باشد</w:t>
      </w:r>
      <w:r>
        <w:rPr>
          <w:rFonts w:eastAsia="IRNazanin" w:cs="IRNazanin"/>
          <w:color w:val="111111"/>
          <w:sz w:val="28"/>
          <w:szCs w:val="28"/>
          <w:rtl w:val="true"/>
          <w:lang w:bidi="fa-IR"/>
        </w:rPr>
        <w:t xml:space="preserve">. </w:t>
      </w:r>
      <w:r>
        <w:rPr>
          <w:rStyle w:val="FootnoteAnchor"/>
          <w:rtl w:val="true"/>
        </w:rPr>
        <w:footnoteReference w:id="72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كوچه‌هاى اصلى از كوچه‌هاى ديگرى نيز در كوفه ياد شده است، چنان كه در بعضى از كتاب‌ها چنين آمده كه هنگام خانه‌سازى در كوفه، بين هر دو خانه، پنج ذراع، يعنى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فاصله مى‌گذاشتند</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در بعضى از كتاب‌هاى كوفه‌پژوهى چنين آمده است كه تنها عرض كوچه‌ها بود كه در طول زمان ثابت ماند وگرنه عرض خيابان‌ها و معابر اصلى در طول تاريخ به وسيله افراد و قبايل مختلف، اشغال شده و بدين ترتيب، عرض آنها از عرض اوليه كوتاه‌تر مى‌شد</w:t>
      </w:r>
      <w:r>
        <w:rPr>
          <w:rFonts w:eastAsia="IRNazanin" w:cs="IRNazanin"/>
          <w:color w:val="111111"/>
          <w:sz w:val="28"/>
          <w:szCs w:val="28"/>
          <w:rtl w:val="true"/>
          <w:lang w:bidi="fa-IR"/>
        </w:rPr>
        <w:t xml:space="preserve">. </w:t>
      </w:r>
      <w:r>
        <w:rPr>
          <w:rStyle w:val="FootnoteAnchor"/>
          <w:rtl w:val="true"/>
        </w:rPr>
        <w:footnoteReference w:id="731"/>
      </w:r>
      <w:bookmarkStart w:id="911" w:name="pg1964_19608"/>
    </w:p>
    <w:p>
      <w:pPr>
        <w:pStyle w:val="Heading3"/>
        <w:numPr>
          <w:ilvl w:val="2"/>
          <w:numId w:val="1"/>
        </w:numPr>
        <w:rPr/>
      </w:pPr>
      <w:bookmarkStart w:id="912" w:name="__RefHeading___Toc3585197_3650668749"/>
      <w:bookmarkStart w:id="913" w:name="_Toc395"/>
      <w:bookmarkEnd w:id="911"/>
      <w:bookmarkEnd w:id="912"/>
      <w:r>
        <w:rPr/>
        <w:t>٨</w:t>
      </w:r>
      <w:r>
        <w:rPr>
          <w:rtl w:val="true"/>
        </w:rPr>
        <w:t xml:space="preserve">. </w:t>
      </w:r>
      <w:r>
        <w:rPr>
          <w:rtl w:val="true"/>
        </w:rPr>
        <w:t>كاروان‌سراها و مهمان‌خانه‌ها</w:t>
      </w:r>
      <w:bookmarkEnd w:id="913"/>
    </w:p>
    <w:p>
      <w:pPr>
        <w:pStyle w:val="BookText"/>
        <w:rPr/>
      </w:pPr>
      <w:r>
        <w:rPr>
          <w:rFonts w:ascii="Amiri" w:hAnsi="Amiri" w:eastAsia="Amiri" w:cs="Amiri"/>
          <w:color w:val="111111"/>
          <w:sz w:val="28"/>
          <w:sz w:val="28"/>
          <w:szCs w:val="28"/>
          <w:rtl w:val="true"/>
          <w:lang w:bidi="ar-SA"/>
        </w:rPr>
        <w:t>در ميان متون تاريخى، تنها دو عبارت يافته شد كه بر وجود مهمان‌خانه‌هايى در زمان مورد بحث ما دلالت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عبارت از قرار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خطاب دستور داده بود كه خانه‌اى در شهر كوفه براى مهمانانى كه به اين شهر وارد مى‌شوند، ساخته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خانه در محل خانه عبدالملك بن عُمَير قرار داشت </w:t>
      </w:r>
      <w:r>
        <w:rPr>
          <w:rStyle w:val="FootnoteAnchor"/>
          <w:rtl w:val="true"/>
        </w:rPr>
        <w:footnoteReference w:id="732"/>
      </w:r>
      <w:r>
        <w:rPr>
          <w:rFonts w:ascii="Amiri" w:hAnsi="Amiri" w:eastAsia="Amiri" w:cs="Amiri"/>
          <w:color w:val="111111"/>
          <w:sz w:val="28"/>
          <w:sz w:val="28"/>
          <w:szCs w:val="28"/>
          <w:rtl w:val="true"/>
          <w:lang w:bidi="ar-SA"/>
        </w:rPr>
        <w:t>كه بعدها قاضى كوفه شد</w:t>
      </w:r>
      <w:r>
        <w:rPr>
          <w:rFonts w:eastAsia="Amiri" w:cs="Amiri" w:ascii="Amiri" w:hAnsi="Amiri"/>
          <w:color w:val="111111"/>
          <w:sz w:val="28"/>
          <w:szCs w:val="28"/>
          <w:rtl w:val="true"/>
          <w:lang w:bidi="ar-SA"/>
        </w:rPr>
        <w:t xml:space="preserve">. </w:t>
      </w:r>
      <w:r>
        <w:rPr>
          <w:rStyle w:val="FootnoteAnchor"/>
          <w:rtl w:val="true"/>
        </w:rPr>
        <w:footnoteReference w:id="733"/>
      </w:r>
      <w:r>
        <w:rPr>
          <w:rFonts w:ascii="IRNazanin" w:hAnsi="IRNazanin" w:eastAsia="IRNazanin"/>
          <w:color w:val="111111"/>
          <w:sz w:val="28"/>
          <w:sz w:val="28"/>
          <w:szCs w:val="28"/>
          <w:rtl w:val="true"/>
          <w:lang w:bidi="fa-IR"/>
        </w:rPr>
        <w:t>ظاهر اين عبارت آن است كه مهمانان، اعم از شخصيت‌ها و غير شخصيت‌ها در اين خانه پذيرايى مى‌شدند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وليد بن عقُبه، حاكم كوفه در زمان عثمان، مهمان‌خانه‌اى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الضيافه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 كه در آن از شخصيت‌هاى بزرگ اسلامى پذيرايى مى‌نمود</w:t>
      </w:r>
      <w:r>
        <w:rPr>
          <w:rFonts w:eastAsia="IRNazanin" w:cs="IRNazanin"/>
          <w:color w:val="111111"/>
          <w:sz w:val="28"/>
          <w:szCs w:val="28"/>
          <w:rtl w:val="true"/>
          <w:lang w:bidi="fa-IR"/>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در همين زمان نيز از مكانى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الضيفان؛ خانه مهمانان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نصوص تاريخى ياد شده است</w:t>
      </w:r>
      <w:r>
        <w:rPr>
          <w:rFonts w:eastAsia="Amiri" w:cs="Amiri" w:ascii="Amiri" w:hAnsi="Amiri"/>
          <w:color w:val="111111"/>
          <w:sz w:val="28"/>
          <w:szCs w:val="28"/>
          <w:rtl w:val="true"/>
          <w:lang w:bidi="ar-SA"/>
        </w:rPr>
        <w:t xml:space="preserve">. </w:t>
      </w:r>
      <w:r>
        <w:rPr>
          <w:rStyle w:val="FootnoteAnchor"/>
          <w:rtl w:val="true"/>
        </w:rPr>
        <w:footnoteReference w:id="735"/>
      </w:r>
      <w:r>
        <w:rPr>
          <w:rFonts w:ascii="IRNazanin" w:hAnsi="IRNazanin" w:eastAsia="IRNazanin"/>
          <w:color w:val="111111"/>
          <w:sz w:val="28"/>
          <w:sz w:val="28"/>
          <w:szCs w:val="28"/>
          <w:rtl w:val="true"/>
          <w:lang w:bidi="fa-IR"/>
        </w:rPr>
        <w:t xml:space="preserve">نيز طبرى ضمن بيان حوادث سال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مكان خانه عقيل و خانه ابن هبار به عنوان مهمان‌سرا براى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گروه‌هاى ديگر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عبدالله بن مسعود، خانه خود را براى پذيرايى از مهمانان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 تا هرگاه مكان‌هاى تعبيه شده در اطراف مسجد گنجايش آنها را نداشت به خانه او روند</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از اينجا مى‌توان استفاده كرد كه براى پذيرايى از مهمانان، خانه‌ها يا مكان‌هايى در اطراف مسجد اختصاص يافته بود</w:t>
      </w:r>
      <w:r>
        <w:rPr>
          <w:rFonts w:eastAsia="IRNazanin" w:cs="IRNazanin"/>
          <w:color w:val="111111"/>
          <w:sz w:val="28"/>
          <w:szCs w:val="28"/>
          <w:rtl w:val="true"/>
          <w:lang w:bidi="fa-IR"/>
        </w:rPr>
        <w:t>.</w:t>
      </w:r>
    </w:p>
    <w:p>
      <w:pPr>
        <w:pStyle w:val="Heading3"/>
        <w:numPr>
          <w:ilvl w:val="2"/>
          <w:numId w:val="1"/>
        </w:numPr>
        <w:rPr/>
      </w:pPr>
      <w:bookmarkStart w:id="914" w:name="__RefHeading___Toc3585199_3650668749"/>
      <w:bookmarkStart w:id="915" w:name="_Toc396"/>
      <w:bookmarkEnd w:id="914"/>
      <w:r>
        <w:rPr/>
        <w:t>٩</w:t>
      </w:r>
      <w:r>
        <w:rPr>
          <w:rtl w:val="true"/>
        </w:rPr>
        <w:t xml:space="preserve">. </w:t>
      </w:r>
      <w:r>
        <w:rPr>
          <w:rtl w:val="true"/>
        </w:rPr>
        <w:t>حمام‌ها</w:t>
      </w:r>
      <w:bookmarkEnd w:id="915"/>
    </w:p>
    <w:p>
      <w:pPr>
        <w:pStyle w:val="Heading4"/>
        <w:numPr>
          <w:ilvl w:val="3"/>
          <w:numId w:val="1"/>
        </w:numPr>
        <w:rPr/>
      </w:pPr>
      <w:bookmarkStart w:id="916" w:name="__RefHeading___Toc3585201_3650668749"/>
      <w:bookmarkStart w:id="917" w:name="_Toc397"/>
      <w:bookmarkEnd w:id="916"/>
      <w:r>
        <w:rPr>
          <w:rtl w:val="true"/>
        </w:rPr>
        <w:t>اشاره</w:t>
      </w:r>
      <w:bookmarkEnd w:id="91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اسلام اهميت فراوانى به نظافت و شست‌وشو مى‌دهد و نيز با توجه به آنكه نظافت خاصى با عنوان غسل در مواقع مختلف، واجب يا</w:t>
      </w:r>
    </w:p>
    <w:p>
      <w:pPr>
        <w:pStyle w:val="BookText"/>
        <w:rPr/>
      </w:pPr>
      <w:r>
        <w:rPr>
          <w:rFonts w:ascii="IRNazanin" w:hAnsi="IRNazanin" w:eastAsia="IRNazanin"/>
          <w:color w:val="111111"/>
          <w:sz w:val="28"/>
          <w:sz w:val="28"/>
          <w:szCs w:val="28"/>
          <w:rtl w:val="true"/>
          <w:lang w:bidi="fa-IR"/>
        </w:rPr>
        <w:t>مستحب شمرده شده است، يكى از ضرورى‌ترين بنيان‌هاى يك شهر نو بنياد اسلامى، مكانى به نام حمام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مورد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شغلى اشرافى تلقى مى‌شد و تنها ثروتمندان از عهده تأسيس و اداره آن بر مى‌آمدند و درآمد فراوانى را كسب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حمام‌هاى كوفه در زمان مورد بحث، مطلبى در تاريخ نيامده است، اما در همين زمان، درآمد بعضى از حمام‌هاى بصره، حدود هزار درهم در روز گزارش شده است</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صاحبان اين حمام‌ها اصرار فراوانى در مكتوم نگه‌داشتن مقدار درآمد خود داشتند تا رقيب كمترى پيدا كنند</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بعضى بر اين عقيده‌اند كه حمام‌هاى كوفه در زمان حكومت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شد</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البته در روايات شيعه </w:t>
      </w:r>
      <w:r>
        <w:rPr>
          <w:rStyle w:val="FootnoteAnchor"/>
          <w:rtl w:val="true"/>
        </w:rPr>
        <w:footnoteReference w:id="740"/>
      </w:r>
      <w:r>
        <w:rPr>
          <w:rFonts w:ascii="IRNazanin" w:hAnsi="IRNazanin" w:eastAsia="IRNazanin"/>
          <w:color w:val="111111"/>
          <w:sz w:val="28"/>
          <w:sz w:val="28"/>
          <w:szCs w:val="28"/>
          <w:rtl w:val="true"/>
          <w:lang w:bidi="fa-IR"/>
        </w:rPr>
        <w:t xml:space="preserve">و نيز گزارش‌هاى تاريخى </w:t>
      </w:r>
      <w:r>
        <w:rPr>
          <w:rStyle w:val="FootnoteAnchor"/>
          <w:rtl w:val="true"/>
        </w:rPr>
        <w:footnoteReference w:id="741"/>
      </w:r>
      <w:r>
        <w:rPr>
          <w:rFonts w:ascii="IRNazanin" w:hAnsi="IRNazanin" w:eastAsia="IRNazanin"/>
          <w:color w:val="111111"/>
          <w:sz w:val="28"/>
          <w:sz w:val="28"/>
          <w:szCs w:val="28"/>
          <w:rtl w:val="true"/>
          <w:lang w:bidi="fa-IR"/>
        </w:rPr>
        <w:t xml:space="preserve">، نصوصى وجود دارد كه از حمام رفتن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مى‌كند و اين بر وجود حمام در كوفه از مدت‌ها قبل از زمان زياد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حمام‌هاى كوفه به وسيله نهرهايى كه از رود فرات منشعب شده بود، تأمين مى‌گشت</w:t>
      </w:r>
      <w:r>
        <w:rPr>
          <w:rFonts w:eastAsia="IRNazanin" w:cs="IRNazanin"/>
          <w:color w:val="111111"/>
          <w:sz w:val="28"/>
          <w:szCs w:val="28"/>
          <w:rtl w:val="true"/>
          <w:lang w:bidi="fa-IR"/>
        </w:rPr>
        <w:t xml:space="preserve">. </w:t>
      </w:r>
      <w:r>
        <w:rPr>
          <w:rStyle w:val="FootnoteAnchor"/>
          <w:rtl w:val="true"/>
        </w:rPr>
        <w:footnoteReference w:id="74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باره كيفيت ساختمان حمام در زمان مورد بحث مطلبى به دست نيامد</w:t>
      </w:r>
      <w:r>
        <w:rPr>
          <w:rFonts w:eastAsia="Amiri" w:cs="Amiri" w:ascii="Amiri" w:hAnsi="Amiri"/>
          <w:color w:val="111111"/>
          <w:sz w:val="28"/>
          <w:szCs w:val="28"/>
          <w:rtl w:val="true"/>
          <w:lang w:bidi="ar-SA"/>
        </w:rPr>
        <w:t xml:space="preserve">. </w:t>
      </w:r>
      <w:r>
        <w:rPr>
          <w:rStyle w:val="FootnoteAnchor"/>
          <w:rtl w:val="true"/>
        </w:rPr>
        <w:footnoteReference w:id="743"/>
      </w:r>
      <w:r>
        <w:rPr>
          <w:rFonts w:ascii="IRNazanin" w:hAnsi="IRNazanin" w:eastAsia="IRNazanin"/>
          <w:color w:val="111111"/>
          <w:sz w:val="28"/>
          <w:sz w:val="28"/>
          <w:szCs w:val="28"/>
          <w:rtl w:val="true"/>
          <w:lang w:bidi="fa-IR"/>
        </w:rPr>
        <w:t>البته بعضى از كتاب‌ها به توصيف حمام در زمان عباسيان پرداخته‌اند كه به نظر مى‌رسد اين حمام بخش‌هاى مختلفى داشته كه هر بخش گرم‌تر از بخش پيشين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حمام به واسطه روشن كردن آتش در زير كف آن، گرم نگاه داشته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گرم به وسيله لوله‌هاى سفالين از مخزن آب گرم به نقاط ديگر انتقال داده مى‌شد</w:t>
      </w:r>
      <w:r>
        <w:rPr>
          <w:rFonts w:eastAsia="IRNazanin" w:cs="IRNazanin"/>
          <w:color w:val="111111"/>
          <w:sz w:val="28"/>
          <w:szCs w:val="28"/>
          <w:rtl w:val="true"/>
          <w:lang w:bidi="fa-IR"/>
        </w:rPr>
        <w:t xml:space="preserve">. </w:t>
      </w:r>
      <w:r>
        <w:rPr>
          <w:rStyle w:val="FootnoteAnchor"/>
          <w:rtl w:val="true"/>
        </w:rPr>
        <w:footnoteReference w:id="744"/>
      </w:r>
      <w:r>
        <w:rPr>
          <w:rFonts w:ascii="Amiri" w:hAnsi="Amiri" w:eastAsia="Amiri" w:cs="Amiri"/>
          <w:color w:val="111111"/>
          <w:sz w:val="28"/>
          <w:sz w:val="28"/>
          <w:szCs w:val="28"/>
          <w:rtl w:val="true"/>
          <w:lang w:bidi="ar-SA"/>
        </w:rPr>
        <w:t>در روايات شيعه نيز از سه قسمت حمام سخن به ميان آمده و براى ورود به هر قسمت، دعاهايى خاصى وارد شده است</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از بعضى روايات چنين به دست مى‌آيد كه در قسمت اول حمام، رخت‌كن قرار داشته است </w:t>
      </w:r>
      <w:r>
        <w:rPr>
          <w:rStyle w:val="FootnoteAnchor"/>
          <w:rtl w:val="true"/>
        </w:rPr>
        <w:footnoteReference w:id="746"/>
      </w:r>
      <w:r>
        <w:rPr>
          <w:rFonts w:ascii="IRNazanin" w:hAnsi="IRNazanin" w:eastAsia="IRNazanin"/>
          <w:color w:val="111111"/>
          <w:sz w:val="28"/>
          <w:sz w:val="28"/>
          <w:szCs w:val="28"/>
          <w:rtl w:val="true"/>
          <w:lang w:bidi="fa-IR"/>
        </w:rPr>
        <w:t>، اما از بعضى ديگر چنين استفاده مى‌شود كه حمام غير از رخت‌كن، سه قسمت داشته است</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 xml:space="preserve">همين‌طور از بعضى روايات ديگر، چنين استفاده مى‌شود كه در همان قسمت اول، محل كشيدن نوره قرار داشته و قسمت سوم حمام هم محل حوض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خزينه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همچنين از روايات به دست مى‌آيد كه در زمان مورد بحث، از گل خطمى و سدر به عنوان دو ماده شوينده براى شست‌وشوى بدن استفاده مى‌شده است</w:t>
      </w:r>
      <w:r>
        <w:rPr>
          <w:rFonts w:eastAsia="IRNazanin" w:cs="IRNazanin"/>
          <w:color w:val="111111"/>
          <w:sz w:val="28"/>
          <w:szCs w:val="28"/>
          <w:rtl w:val="true"/>
          <w:lang w:bidi="fa-IR"/>
        </w:rPr>
        <w:t xml:space="preserve">. </w:t>
      </w:r>
      <w:r>
        <w:rPr>
          <w:rStyle w:val="FootnoteAnchor"/>
          <w:rtl w:val="true"/>
        </w:rPr>
        <w:footnoteReference w:id="74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حمام‌هاى كوفه در زمان مورد بحث را مى‌توان به دو قسم حمام‌هاى خصوصى و حمام‌هاى عمومى تقسيم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حمام‌هاى خصوصى، حمام‌هايى بود كه در خانه‌ها يا عمارات مجلّل بنا شده و استفاده از آن اختصاص به عدّه خاصى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نوع حمام‌ها مى‌توان به حمام دارالاماره كه در حفارى‌هاى باستان‌شناسى كشف شده است، اشاره كرد كه در بخش‌هاى قبل بررسى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اخيراً نيز حمامى در كنار قبر هانى در شمال شرقى مسجد جامع كشف شده است</w:t>
      </w:r>
      <w:r>
        <w:rPr>
          <w:rFonts w:eastAsia="Amiri" w:cs="Amiri" w:ascii="Amiri" w:hAnsi="Amiri"/>
          <w:color w:val="111111"/>
          <w:sz w:val="28"/>
          <w:szCs w:val="28"/>
          <w:rtl w:val="true"/>
          <w:lang w:bidi="ar-SA"/>
        </w:rPr>
        <w:t xml:space="preserve">. </w:t>
      </w:r>
      <w:r>
        <w:rPr>
          <w:rStyle w:val="FootnoteAnchor"/>
          <w:rtl w:val="true"/>
        </w:rPr>
        <w:footnoteReference w:id="750"/>
      </w:r>
      <w:r>
        <w:rPr>
          <w:rFonts w:ascii="IRNazanin" w:hAnsi="IRNazanin" w:eastAsia="IRNazanin"/>
          <w:color w:val="111111"/>
          <w:sz w:val="28"/>
          <w:sz w:val="28"/>
          <w:szCs w:val="28"/>
          <w:rtl w:val="true"/>
          <w:lang w:bidi="fa-IR"/>
        </w:rPr>
        <w:t>با توجه به آنكه نام اين حمام در كتاب‌هاى تاريخى كه از حمام‌هاى معروف كوفه ياد كرده‌اند، نيامده است، مى‌توان آن را حمامى خصوصى و داخل يكى از خانه‌هاى اشراف ساكن در آن محل دانست، همچنان‌كه احتمال دارد متعلق به زمان‌هاى بعد از زمان مورد بحث ما باشد</w:t>
      </w:r>
      <w:r>
        <w:rPr>
          <w:rFonts w:eastAsia="IRNazanin" w:cs="IRNazanin"/>
          <w:color w:val="111111"/>
          <w:sz w:val="28"/>
          <w:szCs w:val="28"/>
          <w:rtl w:val="true"/>
          <w:lang w:bidi="fa-IR"/>
        </w:rPr>
        <w:t>.</w:t>
      </w:r>
      <w:bookmarkStart w:id="918" w:name="pg1964_19611"/>
    </w:p>
    <w:p>
      <w:pPr>
        <w:pStyle w:val="BookText"/>
        <w:rPr/>
      </w:pPr>
      <w:bookmarkEnd w:id="918"/>
      <w:r>
        <w:rPr>
          <w:rFonts w:ascii="IRNazanin" w:hAnsi="IRNazanin" w:eastAsia="IRNazanin"/>
          <w:color w:val="111111"/>
          <w:sz w:val="28"/>
          <w:sz w:val="28"/>
          <w:szCs w:val="28"/>
          <w:rtl w:val="true"/>
          <w:lang w:bidi="fa-IR"/>
        </w:rPr>
        <w:t>اما حمام‌هاى عمومى و قابل استفاده براى همگان در زمان مورد بحث ما شش حمام بوده است</w:t>
      </w:r>
      <w:r>
        <w:rPr>
          <w:rFonts w:eastAsia="IRNazanin" w:cs="IRNazanin"/>
          <w:color w:val="111111"/>
          <w:sz w:val="28"/>
          <w:szCs w:val="28"/>
          <w:rtl w:val="true"/>
          <w:lang w:bidi="fa-IR"/>
        </w:rPr>
        <w:t>:</w:t>
      </w:r>
    </w:p>
    <w:p>
      <w:pPr>
        <w:pStyle w:val="Heading4"/>
        <w:numPr>
          <w:ilvl w:val="3"/>
          <w:numId w:val="1"/>
        </w:numPr>
        <w:rPr/>
      </w:pPr>
      <w:bookmarkStart w:id="919" w:name="__RefHeading___Toc3585203_3650668749"/>
      <w:bookmarkStart w:id="920" w:name="_Toc398"/>
      <w:bookmarkEnd w:id="919"/>
      <w:r>
        <w:rPr>
          <w:rtl w:val="true"/>
        </w:rPr>
        <w:t>الف</w:t>
      </w:r>
      <w:r>
        <w:rPr>
          <w:rtl w:val="true"/>
        </w:rPr>
        <w:t xml:space="preserve">) </w:t>
      </w:r>
      <w:r>
        <w:rPr>
          <w:rtl w:val="true"/>
        </w:rPr>
        <w:t>حمام اَعْيَن</w:t>
      </w:r>
      <w:bookmarkEnd w:id="920"/>
    </w:p>
    <w:p>
      <w:pPr>
        <w:pStyle w:val="BookText"/>
        <w:rPr/>
      </w:pPr>
      <w:r>
        <w:rPr>
          <w:rFonts w:ascii="Amiri" w:hAnsi="Amiri" w:eastAsia="Amiri" w:cs="Amiri"/>
          <w:color w:val="111111"/>
          <w:sz w:val="28"/>
          <w:sz w:val="28"/>
          <w:szCs w:val="28"/>
          <w:rtl w:val="true"/>
          <w:lang w:bidi="ar-SA"/>
        </w:rPr>
        <w:t>اين حمام ميان دو شعبه رود فرات در شرق كوفه قرار داشت</w:t>
      </w:r>
      <w:r>
        <w:rPr>
          <w:rFonts w:eastAsia="Amiri" w:cs="Amiri" w:ascii="Amiri" w:hAnsi="Amiri"/>
          <w:color w:val="111111"/>
          <w:sz w:val="28"/>
          <w:szCs w:val="28"/>
          <w:rtl w:val="true"/>
          <w:lang w:bidi="ar-SA"/>
        </w:rPr>
        <w:t xml:space="preserve">. </w:t>
      </w:r>
      <w:r>
        <w:rPr>
          <w:rStyle w:val="FootnoteAnchor"/>
          <w:rtl w:val="true"/>
        </w:rPr>
        <w:footnoteReference w:id="751"/>
      </w:r>
      <w:r>
        <w:rPr>
          <w:rFonts w:ascii="IRNazanin" w:hAnsi="IRNazanin" w:eastAsia="IRNazanin"/>
          <w:color w:val="111111"/>
          <w:sz w:val="28"/>
          <w:sz w:val="28"/>
          <w:szCs w:val="28"/>
          <w:rtl w:val="true"/>
          <w:lang w:bidi="fa-IR"/>
        </w:rPr>
        <w:t xml:space="preserve">اين حمام قبلاً از آنِ شخصى به نام جابر بوده كه اَعْين برده آزاد شده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هم پيمان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خريدارى مى‌كند</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عمر بن سعد هنگام خروج از كوفه به سمت كربلا اين حمام را اردوگاه موقت خود قرار داد</w:t>
      </w:r>
      <w:r>
        <w:rPr>
          <w:rFonts w:eastAsia="IRNazanin" w:cs="IRNazanin"/>
          <w:color w:val="111111"/>
          <w:sz w:val="28"/>
          <w:szCs w:val="28"/>
          <w:rtl w:val="true"/>
          <w:lang w:bidi="fa-IR"/>
        </w:rPr>
        <w:t xml:space="preserve">. </w:t>
      </w:r>
      <w:r>
        <w:rPr>
          <w:rStyle w:val="FootnoteAnchor"/>
          <w:rtl w:val="true"/>
        </w:rPr>
        <w:footnoteReference w:id="753"/>
      </w:r>
    </w:p>
    <w:p>
      <w:pPr>
        <w:pStyle w:val="Heading4"/>
        <w:numPr>
          <w:ilvl w:val="3"/>
          <w:numId w:val="1"/>
        </w:numPr>
        <w:rPr/>
      </w:pPr>
      <w:bookmarkStart w:id="921" w:name="__RefHeading___Toc3585205_3650668749"/>
      <w:bookmarkStart w:id="922" w:name="_Toc399"/>
      <w:bookmarkEnd w:id="921"/>
      <w:r>
        <w:rPr>
          <w:rtl w:val="true"/>
        </w:rPr>
        <w:t>ب</w:t>
      </w:r>
      <w:r>
        <w:rPr>
          <w:rtl w:val="true"/>
        </w:rPr>
        <w:t xml:space="preserve">) </w:t>
      </w:r>
      <w:r>
        <w:rPr>
          <w:rtl w:val="true"/>
        </w:rPr>
        <w:t>حمام عمر بن سعد</w:t>
      </w:r>
      <w:bookmarkEnd w:id="922"/>
    </w:p>
    <w:p>
      <w:pPr>
        <w:pStyle w:val="BookText"/>
        <w:rPr/>
      </w:pPr>
      <w:r>
        <w:rPr>
          <w:rFonts w:ascii="Amiri" w:hAnsi="Amiri" w:eastAsia="Amiri" w:cs="Amiri"/>
          <w:color w:val="111111"/>
          <w:sz w:val="28"/>
          <w:sz w:val="28"/>
          <w:szCs w:val="28"/>
          <w:rtl w:val="true"/>
          <w:lang w:bidi="ar-SA"/>
        </w:rPr>
        <w:t xml:space="preserve">اين حمام نيز در شرق كوفه ميان دو شعبه رود فرات و نزديك حمام اعين </w:t>
      </w:r>
      <w:r>
        <w:rPr>
          <w:rStyle w:val="FootnoteAnchor"/>
          <w:rtl w:val="true"/>
        </w:rPr>
        <w:footnoteReference w:id="754"/>
      </w:r>
      <w:r>
        <w:rPr>
          <w:rFonts w:ascii="Amiri" w:hAnsi="Amiri" w:eastAsia="Amiri" w:cs="Amiri"/>
          <w:color w:val="111111"/>
          <w:sz w:val="28"/>
          <w:sz w:val="28"/>
          <w:szCs w:val="28"/>
          <w:rtl w:val="true"/>
          <w:lang w:bidi="ar-SA"/>
        </w:rPr>
        <w:t>و خارج از شهر كوفه واقع شده بود</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3585207_3650668749"/>
      <w:bookmarkStart w:id="924" w:name="_Toc400"/>
      <w:bookmarkEnd w:id="923"/>
      <w:r>
        <w:rPr>
          <w:rtl w:val="true"/>
        </w:rPr>
        <w:t>ج</w:t>
      </w:r>
      <w:r>
        <w:rPr>
          <w:rtl w:val="true"/>
        </w:rPr>
        <w:t xml:space="preserve">) </w:t>
      </w:r>
      <w:r>
        <w:rPr>
          <w:rtl w:val="true"/>
        </w:rPr>
        <w:t>حمام مَهْبَذان</w:t>
      </w:r>
      <w:bookmarkEnd w:id="924"/>
    </w:p>
    <w:p>
      <w:pPr>
        <w:pStyle w:val="BookText"/>
        <w:rPr/>
      </w:pPr>
      <w:r>
        <w:rPr>
          <w:rFonts w:ascii="Amiri" w:hAnsi="Amiri" w:eastAsia="Amiri" w:cs="Amiri"/>
          <w:color w:val="111111"/>
          <w:sz w:val="28"/>
          <w:sz w:val="28"/>
          <w:szCs w:val="28"/>
          <w:rtl w:val="true"/>
          <w:lang w:bidi="ar-SA"/>
        </w:rPr>
        <w:t>ظاهراً اين حمام متعلق به شخصى ايرانى الاصل با نام مهبذان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حمام در شمال شرقى كوفه و در ناحيه سبخه و نزديك فرات قرار داشته است</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4"/>
        <w:numPr>
          <w:ilvl w:val="3"/>
          <w:numId w:val="1"/>
        </w:numPr>
        <w:rPr/>
      </w:pPr>
      <w:bookmarkStart w:id="925" w:name="__RefHeading___Toc3585209_3650668749"/>
      <w:bookmarkStart w:id="926" w:name="_Toc401"/>
      <w:bookmarkEnd w:id="925"/>
      <w:r>
        <w:rPr>
          <w:rtl w:val="true"/>
        </w:rPr>
        <w:t>د</w:t>
      </w:r>
      <w:r>
        <w:rPr>
          <w:rtl w:val="true"/>
        </w:rPr>
        <w:t xml:space="preserve">/ </w:t>
      </w:r>
      <w:r>
        <w:rPr>
          <w:rtl w:val="true"/>
        </w:rPr>
        <w:t>ه</w:t>
      </w:r>
      <w:r>
        <w:rPr>
          <w:rtl w:val="true"/>
        </w:rPr>
        <w:t xml:space="preserve">) </w:t>
      </w:r>
      <w:r>
        <w:rPr>
          <w:rtl w:val="true"/>
        </w:rPr>
        <w:t xml:space="preserve">حمام عمرو بن حريث و حمام قطان </w:t>
      </w:r>
      <w:r>
        <w:rPr>
          <w:rtl w:val="true"/>
        </w:rPr>
        <w:t>(</w:t>
      </w:r>
      <w:r>
        <w:rPr>
          <w:rtl w:val="true"/>
        </w:rPr>
        <w:t>قَطَن</w:t>
      </w:r>
      <w:r>
        <w:rPr>
          <w:rtl w:val="true"/>
        </w:rPr>
        <w:t xml:space="preserve">) </w:t>
      </w:r>
      <w:r>
        <w:rPr>
          <w:rtl w:val="true"/>
        </w:rPr>
        <w:t>بن عبدالله</w:t>
      </w:r>
      <w:bookmarkEnd w:id="92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دو حمام در شمال كوفه قرار داشتند</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حمام قطان در كنار جبّانه سبيع واقع شده بود</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آب اين دو حمام از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مى‌شد</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w:t>
      </w:r>
      <w:r>
        <w:rPr>
          <w:rFonts w:eastAsia="IRNazanin" w:cs="IRNazanin"/>
          <w:color w:val="111111"/>
          <w:sz w:val="28"/>
          <w:szCs w:val="28"/>
          <w:rtl w:val="true"/>
          <w:lang w:bidi="fa-IR"/>
        </w:rPr>
        <w:t>)</w:t>
      </w:r>
      <w:bookmarkStart w:id="927" w:name="pg1964_19612"/>
    </w:p>
    <w:p>
      <w:pPr>
        <w:pStyle w:val="Heading4"/>
        <w:numPr>
          <w:ilvl w:val="3"/>
          <w:numId w:val="1"/>
        </w:numPr>
        <w:rPr/>
      </w:pPr>
      <w:bookmarkStart w:id="928" w:name="__RefHeading___Toc3585211_3650668749"/>
      <w:bookmarkStart w:id="929" w:name="_Toc402"/>
      <w:bookmarkEnd w:id="927"/>
      <w:bookmarkEnd w:id="928"/>
      <w:r>
        <w:rPr>
          <w:rtl w:val="true"/>
        </w:rPr>
        <w:t>و</w:t>
      </w:r>
      <w:r>
        <w:rPr>
          <w:rtl w:val="true"/>
        </w:rPr>
        <w:t xml:space="preserve">) </w:t>
      </w:r>
      <w:r>
        <w:rPr>
          <w:rtl w:val="true"/>
        </w:rPr>
        <w:t>حمام ابن بَرْدَه</w:t>
      </w:r>
      <w:bookmarkEnd w:id="929"/>
    </w:p>
    <w:p>
      <w:pPr>
        <w:pStyle w:val="BookText"/>
        <w:rPr/>
      </w:pPr>
      <w:r>
        <w:rPr>
          <w:rFonts w:ascii="Amiri" w:hAnsi="Amiri" w:eastAsia="Amiri" w:cs="Amiri"/>
          <w:color w:val="111111"/>
          <w:sz w:val="28"/>
          <w:sz w:val="28"/>
          <w:szCs w:val="28"/>
          <w:rtl w:val="true"/>
          <w:lang w:bidi="ar-SA"/>
        </w:rPr>
        <w:t>اين حمام متعلّق به ابى‌برده، فرزند ابوموسى اشعرى بود</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البته مكان آن دقيقاً مشخص نشده است</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3585213_3650668749"/>
      <w:bookmarkStart w:id="931" w:name="_Toc403"/>
      <w:bookmarkEnd w:id="930"/>
      <w:r>
        <w:rPr/>
        <w:t>١٠</w:t>
      </w:r>
      <w:r>
        <w:rPr>
          <w:rtl w:val="true"/>
        </w:rPr>
        <w:t xml:space="preserve">. </w:t>
      </w:r>
      <w:r>
        <w:rPr>
          <w:rtl w:val="true"/>
        </w:rPr>
        <w:t>مكان‌هاى عمومى</w:t>
      </w:r>
      <w:bookmarkEnd w:id="931"/>
    </w:p>
    <w:p>
      <w:pPr>
        <w:pStyle w:val="Heading4"/>
        <w:numPr>
          <w:ilvl w:val="3"/>
          <w:numId w:val="1"/>
        </w:numPr>
        <w:rPr/>
      </w:pPr>
      <w:bookmarkStart w:id="932" w:name="__RefHeading___Toc3585215_3650668749"/>
      <w:bookmarkStart w:id="933" w:name="_Toc404"/>
      <w:bookmarkEnd w:id="932"/>
      <w:r>
        <w:rPr>
          <w:rtl w:val="true"/>
        </w:rPr>
        <w:t>اشاره</w:t>
      </w:r>
      <w:bookmarkEnd w:id="933"/>
    </w:p>
    <w:p>
      <w:pPr>
        <w:pStyle w:val="BookText"/>
        <w:rPr/>
      </w:pPr>
      <w:r>
        <w:rPr>
          <w:rFonts w:ascii="IRNazanin" w:hAnsi="IRNazanin" w:eastAsia="IRNazanin"/>
          <w:color w:val="111111"/>
          <w:sz w:val="28"/>
          <w:sz w:val="28"/>
          <w:szCs w:val="28"/>
          <w:rtl w:val="true"/>
          <w:lang w:bidi="fa-IR"/>
        </w:rPr>
        <w:t>هنگام مطالعه جغرافياى كوفه با مكان‌هايى آشنا مى‌شويم كه اختصاص به شخص خاصى نداشته و مورد استفاده قبيله خاص يا همه مردم كوفه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مكان‌ها كه استفاده‌هاى مختلف نظامى، اجتماعى، سياسى و اقتصادى از آنها مى‌شده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جبّانات و گورستان‌ها، صحراها، كُناسه، سَبْخه، دارالرزق، جسرالكوفه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عاقول</w:t>
      </w:r>
      <w:r>
        <w:rPr>
          <w:rFonts w:eastAsia="IRNazanin" w:cs="IRNazanin"/>
          <w:color w:val="111111"/>
          <w:sz w:val="28"/>
          <w:szCs w:val="28"/>
          <w:rtl w:val="true"/>
          <w:lang w:bidi="fa-IR"/>
        </w:rPr>
        <w:t>.</w:t>
      </w:r>
    </w:p>
    <w:p>
      <w:pPr>
        <w:pStyle w:val="Heading4"/>
        <w:numPr>
          <w:ilvl w:val="3"/>
          <w:numId w:val="1"/>
        </w:numPr>
        <w:rPr/>
      </w:pPr>
      <w:bookmarkStart w:id="934" w:name="__RefHeading___Toc3585217_3650668749"/>
      <w:bookmarkStart w:id="935" w:name="_Toc405"/>
      <w:bookmarkEnd w:id="934"/>
      <w:r>
        <w:rPr>
          <w:rtl w:val="true"/>
        </w:rPr>
        <w:t>الف</w:t>
      </w:r>
      <w:r>
        <w:rPr>
          <w:rtl w:val="true"/>
        </w:rPr>
        <w:t xml:space="preserve">) </w:t>
      </w:r>
      <w:r>
        <w:rPr>
          <w:rtl w:val="true"/>
        </w:rPr>
        <w:t>جبّانات و گورستان‌ها</w:t>
      </w:r>
      <w:bookmarkEnd w:id="935"/>
    </w:p>
    <w:p>
      <w:pPr>
        <w:pStyle w:val="Heading5"/>
        <w:numPr>
          <w:ilvl w:val="4"/>
          <w:numId w:val="1"/>
        </w:numPr>
        <w:rPr/>
      </w:pPr>
      <w:bookmarkStart w:id="936" w:name="__RefHeading___Toc3585219_3650668749"/>
      <w:bookmarkStart w:id="937" w:name="_Toc406"/>
      <w:bookmarkEnd w:id="936"/>
      <w:r>
        <w:rPr>
          <w:rtl w:val="true"/>
        </w:rPr>
        <w:t>اشاره</w:t>
      </w:r>
      <w:bookmarkEnd w:id="937"/>
    </w:p>
    <w:p>
      <w:pPr>
        <w:pStyle w:val="BookText"/>
        <w:rPr/>
      </w:pPr>
      <w:r>
        <w:rPr>
          <w:rFonts w:ascii="IRNazanin" w:hAnsi="IRNazanin" w:eastAsia="IRNazanin"/>
          <w:color w:val="111111"/>
          <w:sz w:val="28"/>
          <w:sz w:val="28"/>
          <w:szCs w:val="28"/>
          <w:rtl w:val="true"/>
          <w:lang w:bidi="fa-IR"/>
        </w:rPr>
        <w:t xml:space="preserve">جبّانه در لغت به معناى زمين مسطح و صاف و بى‌درخت و گياه مى‌باشد كه معادل لفظ صحراست </w:t>
      </w:r>
      <w:r>
        <w:rPr>
          <w:rStyle w:val="FootnoteAnchor"/>
          <w:rtl w:val="true"/>
        </w:rPr>
        <w:footnoteReference w:id="760"/>
      </w:r>
      <w:r>
        <w:rPr>
          <w:rFonts w:ascii="IRNazanin" w:hAnsi="IRNazanin" w:eastAsia="IRNazanin"/>
          <w:color w:val="111111"/>
          <w:sz w:val="28"/>
          <w:sz w:val="28"/>
          <w:szCs w:val="28"/>
          <w:rtl w:val="true"/>
          <w:lang w:bidi="fa-IR"/>
        </w:rPr>
        <w:t>و سپس به معناى گورستان استعمال شده؛ زيرا زمين گورستان‌ها معمولاً اين مشخصات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كوفه مكان‌هايى با عنوان جبّانه معرفى شده كه علاوه بر استفاده به عنوان گورستان براى اجتماعات نظامى و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نيز از آنها استفاده مى‌شد</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بعضى از نويسندگان معاصر، مساحت جبّانه را دست كم يك هكتار تعيين كرده‌اند كه اين مقدار، جمعيت فراوانى را در خود جاى مى‌داد</w:t>
      </w:r>
      <w:r>
        <w:rPr>
          <w:rFonts w:eastAsia="IRNazanin" w:cs="IRNazanin"/>
          <w:color w:val="111111"/>
          <w:sz w:val="28"/>
          <w:szCs w:val="28"/>
          <w:rtl w:val="true"/>
          <w:lang w:bidi="fa-IR"/>
        </w:rPr>
        <w:t xml:space="preserve">. </w:t>
      </w:r>
      <w:r>
        <w:rPr>
          <w:rStyle w:val="FootnoteAnchor"/>
          <w:rtl w:val="true"/>
        </w:rPr>
        <w:footnoteReference w:id="76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جبّانات كوفه به صورت مكانى باز و بدون ديوار در وسط زمين‌هاى قبايل قرار گرفته و همچون ميدان، خانه‌هاى افراد قبايل را به دور</w:t>
      </w:r>
      <w:bookmarkStart w:id="938" w:name="pg1964_19613"/>
    </w:p>
    <w:p>
      <w:pPr>
        <w:pStyle w:val="BookText"/>
        <w:rPr/>
      </w:pPr>
      <w:bookmarkEnd w:id="938"/>
      <w:r>
        <w:rPr>
          <w:rFonts w:ascii="IRNazanin" w:hAnsi="IRNazanin" w:eastAsia="IRNazanin"/>
          <w:color w:val="111111"/>
          <w:sz w:val="28"/>
          <w:sz w:val="28"/>
          <w:szCs w:val="28"/>
          <w:rtl w:val="true"/>
          <w:lang w:bidi="fa-IR"/>
        </w:rPr>
        <w:t>خود داشت</w:t>
      </w:r>
      <w:r>
        <w:rPr>
          <w:rFonts w:eastAsia="IRNazanin" w:cs="IRNazanin"/>
          <w:color w:val="111111"/>
          <w:sz w:val="28"/>
          <w:szCs w:val="28"/>
          <w:rtl w:val="true"/>
          <w:lang w:bidi="fa-IR"/>
        </w:rPr>
        <w:t xml:space="preserve">. </w:t>
      </w:r>
      <w:r>
        <w:rPr>
          <w:rStyle w:val="FootnoteAnchor"/>
          <w:rtl w:val="true"/>
        </w:rPr>
        <w:footnoteReference w:id="763"/>
      </w:r>
      <w:r>
        <w:rPr>
          <w:rFonts w:ascii="Amiri" w:hAnsi="Amiri" w:eastAsia="Amiri" w:cs="Amiri"/>
          <w:color w:val="111111"/>
          <w:sz w:val="28"/>
          <w:sz w:val="28"/>
          <w:szCs w:val="28"/>
          <w:rtl w:val="true"/>
          <w:lang w:bidi="ar-SA"/>
        </w:rPr>
        <w:t>بنابراين، در حقيقت مى‌توان جبّانات را ميدان‌هاى فرعى شهر به شمار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اصلى كه قبيله را به مركز شهر پيوند مى‌داد از كنار جبّانه مى‌گذشت و همه كوچه‌ها و خيابان‌هاى قبيله به جبّانه ختم مى‌شد</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استفاده نظامى از جبّانات براى اولين بار در زمان حكومت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مردم دستور داد كه با سلاح‌هاى خود براى مقابله با خوارج آماده شوند، آنها با سلاح‌هاى خود داخل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بدى كرديد كه با سلاح به مسجد آمديد، برويد به سوى جبّانه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در آنجا جمع كرد</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همچنين به مواردى از استفاده نظامى از جبّانات در جريان قيام مختار، قيام اشراف كوفه و درگيرى بين سپاه مختار و سپاه مصعب گزارش شده است</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جبّانات كوفه در زمان مورد بحث را مى‌توان به دو قسم جبّانه‌هاى يمنى‌ها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قحطانى‌ها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جبّانه‌هاى غير يمنى‌ها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عدنانى‌ها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كرد</w:t>
      </w:r>
      <w:r>
        <w:rPr>
          <w:rFonts w:eastAsia="Amiri" w:cs="Amiri" w:ascii="Amiri" w:hAnsi="Amiri"/>
          <w:color w:val="111111"/>
          <w:sz w:val="28"/>
          <w:szCs w:val="28"/>
          <w:rtl w:val="true"/>
          <w:lang w:bidi="ar-SA"/>
        </w:rPr>
        <w:t>:</w:t>
      </w:r>
    </w:p>
    <w:p>
      <w:pPr>
        <w:pStyle w:val="Heading5"/>
        <w:numPr>
          <w:ilvl w:val="4"/>
          <w:numId w:val="1"/>
        </w:numPr>
        <w:rPr/>
      </w:pPr>
      <w:bookmarkStart w:id="939" w:name="__RefHeading___Toc3585221_3650668749"/>
      <w:bookmarkStart w:id="940" w:name="_Toc407"/>
      <w:bookmarkEnd w:id="939"/>
      <w:r>
        <w:rPr>
          <w:rtl w:val="true"/>
        </w:rPr>
        <w:t xml:space="preserve">يك </w:t>
      </w:r>
      <w:r>
        <w:rPr>
          <w:rtl w:val="true"/>
        </w:rPr>
        <w:t xml:space="preserve">- </w:t>
      </w:r>
      <w:r>
        <w:rPr>
          <w:rtl w:val="true"/>
        </w:rPr>
        <w:t xml:space="preserve">جبّانه‌هاى يمنى ها </w:t>
      </w:r>
      <w:r>
        <w:rPr>
          <w:rtl w:val="true"/>
        </w:rPr>
        <w:t>(</w:t>
      </w:r>
      <w:r>
        <w:rPr>
          <w:rtl w:val="true"/>
        </w:rPr>
        <w:t>قحطانى ها</w:t>
      </w:r>
      <w:r>
        <w:rPr>
          <w:rtl w:val="true"/>
        </w:rPr>
        <w:t>)</w:t>
      </w:r>
      <w:bookmarkEnd w:id="940"/>
    </w:p>
    <w:p>
      <w:pPr>
        <w:pStyle w:val="Heading6"/>
        <w:numPr>
          <w:ilvl w:val="5"/>
          <w:numId w:val="1"/>
        </w:numPr>
        <w:rPr/>
      </w:pPr>
      <w:bookmarkStart w:id="941" w:name="__RefHeading___Toc3585223_3650668749"/>
      <w:bookmarkStart w:id="942" w:name="_Toc408"/>
      <w:bookmarkEnd w:id="941"/>
      <w:r>
        <w:rPr>
          <w:rtl w:val="true"/>
        </w:rPr>
        <w:t>اشاره</w:t>
      </w:r>
      <w:bookmarkEnd w:id="94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گفته شده است كه جبّانه به شكلى كه در جغرافياى كوفه مشاهده مى‌شود، دستاورد مستقيم يمنى‌ها بوده است؛ زيرا پيش از اين دوره، چنين بنيادى در شهرهاى مكّه، مدينه و ديگر شهرهاى حجاز وجود نداشته </w:t>
      </w:r>
      <w:r>
        <w:rPr>
          <w:rStyle w:val="FootnoteAnchor"/>
          <w:rtl w:val="true"/>
        </w:rPr>
        <w:footnoteReference w:id="767"/>
      </w:r>
      <w:r>
        <w:rPr>
          <w:rFonts w:ascii="Amiri" w:hAnsi="Amiri" w:eastAsia="Amiri" w:cs="Amiri"/>
          <w:color w:val="111111"/>
          <w:sz w:val="28"/>
          <w:sz w:val="28"/>
          <w:szCs w:val="28"/>
          <w:rtl w:val="true"/>
          <w:lang w:bidi="ar-SA"/>
        </w:rPr>
        <w:t>، ازاين‌رو بيشتر جبّانات كوفه متعلق به يمنى‌ها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جبّانات عبارت است از</w:t>
      </w:r>
      <w:r>
        <w:rPr>
          <w:rFonts w:eastAsia="Amiri" w:cs="Amiri" w:ascii="Amiri" w:hAnsi="Amiri"/>
          <w:color w:val="111111"/>
          <w:sz w:val="28"/>
          <w:szCs w:val="28"/>
          <w:rtl w:val="true"/>
          <w:lang w:bidi="ar-SA"/>
        </w:rPr>
        <w:t>:</w:t>
      </w:r>
      <w:bookmarkStart w:id="943" w:name="pg1964_19614"/>
    </w:p>
    <w:p>
      <w:pPr>
        <w:pStyle w:val="Heading6"/>
        <w:numPr>
          <w:ilvl w:val="5"/>
          <w:numId w:val="1"/>
        </w:numPr>
        <w:rPr/>
      </w:pPr>
      <w:bookmarkStart w:id="944" w:name="__RefHeading___Toc3585225_3650668749"/>
      <w:bookmarkStart w:id="945" w:name="_Toc409"/>
      <w:bookmarkEnd w:id="943"/>
      <w:bookmarkEnd w:id="944"/>
      <w:r>
        <w:rPr>
          <w:rtl w:val="true"/>
        </w:rPr>
        <w:t xml:space="preserve">اول </w:t>
      </w:r>
      <w:r>
        <w:rPr>
          <w:rtl w:val="true"/>
        </w:rPr>
        <w:t xml:space="preserve">- </w:t>
      </w:r>
      <w:r>
        <w:rPr>
          <w:rtl w:val="true"/>
        </w:rPr>
        <w:t xml:space="preserve">جبّانه سبيع </w:t>
      </w:r>
      <w:r>
        <w:rPr>
          <w:rtl w:val="true"/>
        </w:rPr>
        <w:t>(</w:t>
      </w:r>
      <w:r>
        <w:rPr>
          <w:rtl w:val="true"/>
        </w:rPr>
        <w:t>جبانة الحشاشين</w:t>
      </w:r>
      <w:r>
        <w:rPr>
          <w:rtl w:val="true"/>
        </w:rPr>
        <w:t>)</w:t>
      </w:r>
      <w:bookmarkEnd w:id="945"/>
    </w:p>
    <w:p>
      <w:pPr>
        <w:pStyle w:val="BookText"/>
        <w:rPr/>
      </w:pPr>
      <w:r>
        <w:rPr>
          <w:rFonts w:ascii="IRNazanin" w:hAnsi="IRNazanin" w:eastAsia="IRNazanin"/>
          <w:color w:val="111111"/>
          <w:sz w:val="28"/>
          <w:sz w:val="28"/>
          <w:szCs w:val="28"/>
          <w:rtl w:val="true"/>
          <w:lang w:bidi="fa-IR"/>
        </w:rPr>
        <w:t>اين جبّانه متعلق به قبيله هَمْدان بوده و نام خود را از طايفه‌اى از اين قبيله گرفته است</w:t>
      </w:r>
      <w:r>
        <w:rPr>
          <w:rFonts w:eastAsia="IRNazanin" w:cs="IRNazanin"/>
          <w:color w:val="111111"/>
          <w:sz w:val="28"/>
          <w:szCs w:val="28"/>
          <w:rtl w:val="true"/>
          <w:lang w:bidi="fa-IR"/>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اين جبّانه در شمال كوفه و در كنار حمام 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عبدالله قرار داشته است</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نقشه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6"/>
        <w:numPr>
          <w:ilvl w:val="5"/>
          <w:numId w:val="1"/>
        </w:numPr>
        <w:rPr/>
      </w:pPr>
      <w:bookmarkStart w:id="946" w:name="__RefHeading___Toc3585227_3650668749"/>
      <w:bookmarkStart w:id="947" w:name="_Toc410"/>
      <w:bookmarkEnd w:id="946"/>
      <w:r>
        <w:rPr>
          <w:rtl w:val="true"/>
        </w:rPr>
        <w:t xml:space="preserve">دوم </w:t>
      </w:r>
      <w:r>
        <w:rPr>
          <w:rtl w:val="true"/>
        </w:rPr>
        <w:t xml:space="preserve">- </w:t>
      </w:r>
      <w:r>
        <w:rPr>
          <w:rtl w:val="true"/>
        </w:rPr>
        <w:t>جبّانه كِنْده</w:t>
      </w:r>
      <w:bookmarkEnd w:id="947"/>
    </w:p>
    <w:p>
      <w:pPr>
        <w:pStyle w:val="BookText"/>
        <w:rPr/>
      </w:pPr>
      <w:r>
        <w:rPr>
          <w:rFonts w:ascii="Amiri" w:hAnsi="Amiri" w:eastAsia="Amiri" w:cs="Amiri"/>
          <w:color w:val="111111"/>
          <w:sz w:val="28"/>
          <w:sz w:val="28"/>
          <w:szCs w:val="28"/>
          <w:rtl w:val="true"/>
          <w:lang w:bidi="ar-SA"/>
        </w:rPr>
        <w:t>اين جبّانه متعلق به قبيله كنده بوده و در جنوب كوفه در مركز زمين‌هاى آنان قرار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قبيله ربيعه نيز از اين جبّانه استفاده مى‌كرد</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نقشه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6"/>
        <w:numPr>
          <w:ilvl w:val="5"/>
          <w:numId w:val="1"/>
        </w:numPr>
        <w:rPr/>
      </w:pPr>
      <w:bookmarkStart w:id="948" w:name="__RefHeading___Toc3585229_3650668749"/>
      <w:bookmarkStart w:id="949" w:name="_Toc411"/>
      <w:bookmarkEnd w:id="948"/>
      <w:r>
        <w:rPr>
          <w:rtl w:val="true"/>
        </w:rPr>
        <w:t xml:space="preserve">سوم </w:t>
      </w:r>
      <w:r>
        <w:rPr>
          <w:rtl w:val="true"/>
        </w:rPr>
        <w:t xml:space="preserve">- </w:t>
      </w:r>
      <w:r>
        <w:rPr>
          <w:rtl w:val="true"/>
        </w:rPr>
        <w:t>جبّانه بِشْر</w:t>
      </w:r>
      <w:bookmarkEnd w:id="949"/>
    </w:p>
    <w:p>
      <w:pPr>
        <w:pStyle w:val="BookText"/>
        <w:rPr/>
      </w:pPr>
      <w:r>
        <w:rPr>
          <w:rFonts w:ascii="IRNazanin" w:hAnsi="IRNazanin" w:eastAsia="IRNazanin"/>
          <w:color w:val="111111"/>
          <w:sz w:val="28"/>
          <w:sz w:val="28"/>
          <w:szCs w:val="28"/>
          <w:rtl w:val="true"/>
          <w:lang w:bidi="fa-IR"/>
        </w:rPr>
        <w:t xml:space="preserve">اين جبّانه به قبيله طى تعلق داشت و نام آن از بِشْر بن ربيع خَثْعمى يكى از رؤساى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جنگ قادسيه شركت داشته،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آن در شمال كوفه بود</w:t>
      </w:r>
      <w:r>
        <w:rPr>
          <w:rFonts w:eastAsia="IRNazanin" w:cs="IRNazanin"/>
          <w:color w:val="111111"/>
          <w:sz w:val="28"/>
          <w:szCs w:val="28"/>
          <w:rtl w:val="true"/>
          <w:lang w:bidi="fa-IR"/>
        </w:rPr>
        <w:t xml:space="preserve">. </w:t>
      </w:r>
      <w:r>
        <w:rPr>
          <w:rStyle w:val="FootnoteAnchor"/>
          <w:rtl w:val="true"/>
        </w:rPr>
        <w:footnoteReference w:id="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نقشه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6"/>
        <w:numPr>
          <w:ilvl w:val="5"/>
          <w:numId w:val="1"/>
        </w:numPr>
        <w:rPr/>
      </w:pPr>
      <w:bookmarkStart w:id="950" w:name="__RefHeading___Toc3585231_3650668749"/>
      <w:bookmarkStart w:id="951" w:name="_Toc412"/>
      <w:bookmarkEnd w:id="950"/>
      <w:r>
        <w:rPr>
          <w:rtl w:val="true"/>
        </w:rPr>
        <w:t xml:space="preserve">چهارم </w:t>
      </w:r>
      <w:r>
        <w:rPr>
          <w:rtl w:val="true"/>
        </w:rPr>
        <w:t xml:space="preserve">- </w:t>
      </w:r>
      <w:r>
        <w:rPr>
          <w:rtl w:val="true"/>
        </w:rPr>
        <w:t>جبّانه مراد</w:t>
      </w:r>
      <w:bookmarkEnd w:id="951"/>
    </w:p>
    <w:p>
      <w:pPr>
        <w:pStyle w:val="BookText"/>
        <w:rPr/>
      </w:pPr>
      <w:r>
        <w:rPr>
          <w:rFonts w:ascii="IRNazanin" w:hAnsi="IRNazanin" w:eastAsia="IRNazanin"/>
          <w:color w:val="111111"/>
          <w:sz w:val="28"/>
          <w:sz w:val="28"/>
          <w:szCs w:val="28"/>
          <w:rtl w:val="true"/>
          <w:lang w:bidi="fa-IR"/>
        </w:rPr>
        <w:t>اين جبّانه كه در جنوب قرار داشت از آنِ قبيله مذحج بود و به نام يكى از تيره‌هاى آن قبيله نامگذارى شده بود</w:t>
      </w:r>
      <w:r>
        <w:rPr>
          <w:rFonts w:eastAsia="IRNazanin" w:cs="IRNazanin"/>
          <w:color w:val="111111"/>
          <w:sz w:val="28"/>
          <w:szCs w:val="28"/>
          <w:rtl w:val="true"/>
          <w:lang w:bidi="fa-IR"/>
        </w:rPr>
        <w:t xml:space="preserve">. </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نقشه شماره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6"/>
        <w:numPr>
          <w:ilvl w:val="5"/>
          <w:numId w:val="1"/>
        </w:numPr>
        <w:rPr/>
      </w:pPr>
      <w:bookmarkStart w:id="952" w:name="__RefHeading___Toc3585233_3650668749"/>
      <w:bookmarkStart w:id="953" w:name="_Toc413"/>
      <w:bookmarkEnd w:id="952"/>
      <w:r>
        <w:rPr>
          <w:rtl w:val="true"/>
        </w:rPr>
        <w:t xml:space="preserve">پنجم </w:t>
      </w:r>
      <w:r>
        <w:rPr>
          <w:rtl w:val="true"/>
        </w:rPr>
        <w:t xml:space="preserve">- </w:t>
      </w:r>
      <w:r>
        <w:rPr>
          <w:rtl w:val="true"/>
        </w:rPr>
        <w:t xml:space="preserve">جبّانه مِخْنَف </w:t>
      </w:r>
      <w:r>
        <w:rPr>
          <w:rtl w:val="true"/>
        </w:rPr>
        <w:t>(</w:t>
      </w:r>
      <w:r>
        <w:rPr>
          <w:rtl w:val="true"/>
        </w:rPr>
        <w:t>جبّانه اَزْد</w:t>
      </w:r>
      <w:r>
        <w:rPr>
          <w:rtl w:val="true"/>
        </w:rPr>
        <w:t>)</w:t>
      </w:r>
      <w:bookmarkEnd w:id="95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جبّانه در خطّه بَجْلَه و بجاله واقع در غرب كوفه، يعنى مكانى كه بيشتر افراد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بودند، قرار داشت</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نقشه شماره </w:t>
      </w:r>
      <w:r>
        <w:rPr>
          <w:rFonts w:eastAsia="IRNazanin" w:cs="IRNazanin"/>
          <w:color w:val="111111"/>
          <w:sz w:val="28"/>
          <w:szCs w:val="28"/>
          <w:lang w:bidi="fa-IR"/>
        </w:rPr>
        <w:t>8</w:t>
      </w:r>
      <w:r>
        <w:rPr>
          <w:rFonts w:eastAsia="IRNazanin" w:cs="IRNazanin"/>
          <w:color w:val="111111"/>
          <w:sz w:val="28"/>
          <w:szCs w:val="28"/>
          <w:rtl w:val="true"/>
          <w:lang w:bidi="fa-IR"/>
        </w:rPr>
        <w:t>)</w:t>
      </w:r>
      <w:bookmarkStart w:id="954" w:name="pg1964_19615"/>
    </w:p>
    <w:p>
      <w:pPr>
        <w:pStyle w:val="Heading6"/>
        <w:numPr>
          <w:ilvl w:val="5"/>
          <w:numId w:val="1"/>
        </w:numPr>
        <w:rPr/>
      </w:pPr>
      <w:bookmarkStart w:id="955" w:name="__RefHeading___Toc3585235_3650668749"/>
      <w:bookmarkStart w:id="956" w:name="_Toc414"/>
      <w:bookmarkEnd w:id="954"/>
      <w:bookmarkEnd w:id="955"/>
      <w:r>
        <w:rPr>
          <w:rtl w:val="true"/>
        </w:rPr>
        <w:t xml:space="preserve">ششم </w:t>
      </w:r>
      <w:r>
        <w:rPr>
          <w:rtl w:val="true"/>
        </w:rPr>
        <w:t xml:space="preserve">- </w:t>
      </w:r>
      <w:r>
        <w:rPr>
          <w:rtl w:val="true"/>
        </w:rPr>
        <w:t>جبّانه الصائديين</w:t>
      </w:r>
      <w:bookmarkEnd w:id="956"/>
    </w:p>
    <w:p>
      <w:pPr>
        <w:pStyle w:val="BookText"/>
        <w:rPr/>
      </w:pPr>
      <w:r>
        <w:rPr>
          <w:rFonts w:ascii="Amiri" w:hAnsi="Amiri" w:eastAsia="Amiri" w:cs="Amiri"/>
          <w:color w:val="111111"/>
          <w:sz w:val="28"/>
          <w:sz w:val="28"/>
          <w:szCs w:val="28"/>
          <w:rtl w:val="true"/>
          <w:lang w:bidi="ar-SA"/>
        </w:rPr>
        <w:t>اين جبّانه در جنوب شرقى كوفه واقع شده بود و به طايفه صائديين از قبيله هَمْدان تعلّق داشت</w:t>
      </w:r>
      <w:r>
        <w:rPr>
          <w:rFonts w:eastAsia="Amiri" w:cs="Amiri" w:ascii="Amiri" w:hAnsi="Amiri"/>
          <w:color w:val="111111"/>
          <w:sz w:val="28"/>
          <w:szCs w:val="28"/>
          <w:rtl w:val="true"/>
          <w:lang w:bidi="ar-SA"/>
        </w:rPr>
        <w:t xml:space="preserve">. </w:t>
      </w:r>
      <w:r>
        <w:rPr>
          <w:rStyle w:val="FootnoteAnchor"/>
          <w:rtl w:val="true"/>
        </w:rPr>
        <w:footnoteReference w:id="774"/>
      </w:r>
      <w:r>
        <w:rPr>
          <w:rFonts w:ascii="IRNazanin" w:hAnsi="IRNazanin" w:eastAsia="IRNazanin"/>
          <w:color w:val="111111"/>
          <w:sz w:val="28"/>
          <w:sz w:val="28"/>
          <w:szCs w:val="28"/>
          <w:rtl w:val="true"/>
          <w:lang w:bidi="fa-IR"/>
        </w:rPr>
        <w:t xml:space="preserve">ماسينيون نام ديگر اين جبّانه را جبّانه صيداويين كه تيره‌اى از قبيله بنى‌اسد بود، دانسته و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بنى‌كِلاب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عدنانى‌ها به شمار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نقشه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957" w:name="__RefHeading___Toc3585237_3650668749"/>
      <w:bookmarkStart w:id="958" w:name="_Toc415"/>
      <w:bookmarkEnd w:id="957"/>
      <w:r>
        <w:rPr>
          <w:rtl w:val="true"/>
        </w:rPr>
        <w:t xml:space="preserve">دو </w:t>
      </w:r>
      <w:r>
        <w:rPr>
          <w:rtl w:val="true"/>
        </w:rPr>
        <w:t xml:space="preserve">- </w:t>
      </w:r>
      <w:r>
        <w:rPr>
          <w:rtl w:val="true"/>
        </w:rPr>
        <w:t>جبّانه‌هاى عدنانى‌ها</w:t>
      </w:r>
      <w:bookmarkEnd w:id="958"/>
    </w:p>
    <w:p>
      <w:pPr>
        <w:pStyle w:val="Heading6"/>
        <w:numPr>
          <w:ilvl w:val="5"/>
          <w:numId w:val="1"/>
        </w:numPr>
        <w:rPr/>
      </w:pPr>
      <w:bookmarkStart w:id="959" w:name="__RefHeading___Toc3585239_3650668749"/>
      <w:bookmarkStart w:id="960" w:name="_Toc416"/>
      <w:bookmarkEnd w:id="959"/>
      <w:r>
        <w:rPr>
          <w:rtl w:val="true"/>
        </w:rPr>
        <w:t>اشاره</w:t>
      </w:r>
      <w:bookmarkEnd w:id="960"/>
    </w:p>
    <w:p>
      <w:pPr>
        <w:pStyle w:val="BookText"/>
        <w:rPr/>
      </w:pPr>
      <w:r>
        <w:rPr>
          <w:rFonts w:ascii="Amiri" w:hAnsi="Amiri" w:eastAsia="Amiri" w:cs="Amiri"/>
          <w:color w:val="111111"/>
          <w:sz w:val="28"/>
          <w:sz w:val="28"/>
          <w:szCs w:val="28"/>
          <w:rtl w:val="true"/>
          <w:lang w:bidi="ar-SA"/>
        </w:rPr>
        <w:t>اين جبّانات شامل جبّانه‌هاى اهل مدينه و نيز ساير عدنانى‌ها مى‌شود</w:t>
      </w:r>
      <w:r>
        <w:rPr>
          <w:rFonts w:eastAsia="Amiri" w:cs="Amiri" w:ascii="Amiri" w:hAnsi="Amiri"/>
          <w:color w:val="111111"/>
          <w:sz w:val="28"/>
          <w:szCs w:val="28"/>
          <w:rtl w:val="true"/>
          <w:lang w:bidi="ar-SA"/>
        </w:rPr>
        <w:t>.</w:t>
      </w:r>
    </w:p>
    <w:p>
      <w:pPr>
        <w:pStyle w:val="Heading6"/>
        <w:numPr>
          <w:ilvl w:val="5"/>
          <w:numId w:val="1"/>
        </w:numPr>
        <w:rPr/>
      </w:pPr>
      <w:bookmarkStart w:id="961" w:name="__RefHeading___Toc3585241_3650668749"/>
      <w:bookmarkStart w:id="962" w:name="_Toc417"/>
      <w:bookmarkEnd w:id="961"/>
      <w:r>
        <w:rPr>
          <w:rtl w:val="true"/>
        </w:rPr>
        <w:t xml:space="preserve">اول </w:t>
      </w:r>
      <w:r>
        <w:rPr>
          <w:rtl w:val="true"/>
        </w:rPr>
        <w:t xml:space="preserve">- </w:t>
      </w:r>
      <w:r>
        <w:rPr>
          <w:rtl w:val="true"/>
        </w:rPr>
        <w:t xml:space="preserve">جبّانه </w:t>
      </w:r>
      <w:r>
        <w:rPr>
          <w:rtl w:val="true"/>
        </w:rPr>
        <w:t>(</w:t>
      </w:r>
      <w:r>
        <w:rPr>
          <w:rtl w:val="true"/>
        </w:rPr>
        <w:t>ثُوَيَّه</w:t>
      </w:r>
      <w:r>
        <w:rPr>
          <w:rtl w:val="true"/>
        </w:rPr>
        <w:t>)</w:t>
      </w:r>
      <w:bookmarkEnd w:id="9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اضافه به لغتى به مكانى در غرب كوفه بين راه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گفته مى‌شد </w:t>
      </w:r>
      <w:r>
        <w:rPr>
          <w:rStyle w:val="FootnoteAnchor"/>
          <w:rtl w:val="true"/>
        </w:rPr>
        <w:footnoteReference w:id="775"/>
      </w:r>
      <w:r>
        <w:rPr>
          <w:rFonts w:ascii="IRNazanin" w:hAnsi="IRNazanin" w:eastAsia="IRNazanin"/>
          <w:color w:val="111111"/>
          <w:sz w:val="28"/>
          <w:sz w:val="28"/>
          <w:szCs w:val="28"/>
          <w:rtl w:val="true"/>
          <w:lang w:bidi="fa-IR"/>
        </w:rPr>
        <w:t>كه به عنوان آرامگاه اهل مدينه، اعم از انصار و قريش از آن 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گفته‌اند از زمان هلاكت زياد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ثُوَيه در مورد اين مكان به‌كار گرفته شد كه به معناى آرامگاه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بعضى ديگر بر اين عقيده‌اند كه اين مكان قبل از اسلام و در زمان نعمان بن منذر، با همين نام به عنوان زندان از آن استفاده مى‌شد و اولين بار خَبّاب بن اَرَت در زمان حكومت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وصيت كرد تا او را در اين مكان دفن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مردمى كه او در ميان آنها زندگى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بنى‌تميم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خود را در خانه‌هاى خود يا كنار آن دفن مى‌كردند</w:t>
      </w:r>
      <w:r>
        <w:rPr>
          <w:rFonts w:eastAsia="IRNazanin" w:cs="IRNazanin"/>
          <w:color w:val="111111"/>
          <w:sz w:val="28"/>
          <w:szCs w:val="28"/>
          <w:rtl w:val="true"/>
          <w:lang w:bidi="fa-IR"/>
        </w:rPr>
        <w:t xml:space="preserve">. </w:t>
      </w:r>
      <w:r>
        <w:rPr>
          <w:rStyle w:val="FootnoteAnchor"/>
          <w:rtl w:val="true"/>
        </w:rPr>
        <w:footnoteReference w:id="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نقشه شماره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مكان، بسيارى از شخصيت‌هاى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مذهبى و نيز خواص ياران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بزرگان ديگر مدفون شده‌اند كه در اينجا به ذكر نام بعضى از آنها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ياران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جويريّة بن مُسَهَّر عبدى از ياران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دستور زياد به شهادت رسيد</w:t>
      </w:r>
      <w:r>
        <w:rPr>
          <w:rFonts w:eastAsia="Amiri" w:cs="Amiri" w:ascii="Amiri" w:hAnsi="Amiri"/>
          <w:color w:val="111111"/>
          <w:sz w:val="28"/>
          <w:szCs w:val="28"/>
          <w:rtl w:val="true"/>
          <w:lang w:bidi="ar-SA"/>
        </w:rPr>
        <w:t>.</w:t>
      </w:r>
      <w:bookmarkStart w:id="963" w:name="pg1964_19616"/>
    </w:p>
    <w:p>
      <w:pPr>
        <w:pStyle w:val="BookText"/>
        <w:rPr/>
      </w:pPr>
      <w:bookmarkEnd w:id="96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كميل بن زياد نخعى كه در سال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دست حجاج شهيد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اَحْنَف بن قيس كه در سال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كوفه از دنيا 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يقْطر برادر رضاعى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دست ابن‌زياد به شهادت رسيد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عبيدالله بن ابى‌رافع، كاتب و منشى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مغيرة بن شعبه، والى كوفه كه در سال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دنيا رفت</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 بن ابيه، والى كوفه كه در سال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دنيا رفت</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ابوموسى اشعرى كه در سال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دنيا رفت</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از ميان اين قبرها هم اكنون فقط آثارى از قبر كميل باقى مانده است</w:t>
      </w:r>
      <w:r>
        <w:rPr>
          <w:rFonts w:eastAsia="Amiri" w:cs="Amiri" w:ascii="Amiri" w:hAnsi="Amiri"/>
          <w:color w:val="111111"/>
          <w:sz w:val="28"/>
          <w:szCs w:val="28"/>
          <w:rtl w:val="true"/>
          <w:lang w:bidi="ar-SA"/>
        </w:rPr>
        <w:t>.</w:t>
      </w:r>
    </w:p>
    <w:p>
      <w:pPr>
        <w:pStyle w:val="Heading6"/>
        <w:numPr>
          <w:ilvl w:val="5"/>
          <w:numId w:val="1"/>
        </w:numPr>
        <w:rPr/>
      </w:pPr>
      <w:bookmarkStart w:id="964" w:name="__RefHeading___Toc3585243_3650668749"/>
      <w:bookmarkStart w:id="965" w:name="_Toc418"/>
      <w:bookmarkEnd w:id="964"/>
      <w:r>
        <w:rPr>
          <w:rtl w:val="true"/>
        </w:rPr>
        <w:t xml:space="preserve">دوم </w:t>
      </w:r>
      <w:r>
        <w:rPr>
          <w:rtl w:val="true"/>
        </w:rPr>
        <w:t xml:space="preserve">- </w:t>
      </w:r>
      <w:r>
        <w:rPr>
          <w:rtl w:val="true"/>
        </w:rPr>
        <w:t>جبّانه عَرْزَم</w:t>
      </w:r>
      <w:bookmarkEnd w:id="965"/>
    </w:p>
    <w:p>
      <w:pPr>
        <w:pStyle w:val="BookText"/>
        <w:rPr/>
      </w:pPr>
      <w:r>
        <w:rPr>
          <w:rFonts w:ascii="IRNazanin" w:hAnsi="IRNazanin" w:eastAsia="IRNazanin"/>
          <w:color w:val="111111"/>
          <w:sz w:val="28"/>
          <w:sz w:val="28"/>
          <w:szCs w:val="28"/>
          <w:rtl w:val="true"/>
          <w:lang w:bidi="fa-IR"/>
        </w:rPr>
        <w:t xml:space="preserve">اين جبّانه در غرب كوفه و در زمين‌هاى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منسوب به شخصى به نام عرزم خزارمى بود كه در آن به‌كار خشت‌زنى مشغول بود و خشت‌هاى او به خشت‌هاى بد شهرت داشت؛ زيرا در تركيب آن از نى‌هاى پوسيده زياد استفاده مى‌كرد، ازاين‌رو هنگام آتش‌سوزى، خطرآفرين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اسيران كربلا هنگام خروج از كوفه به سمت شام، از ميان اين جبّانه گذشتند</w:t>
      </w:r>
      <w:r>
        <w:rPr>
          <w:rFonts w:eastAsia="IRNazanin" w:cs="IRNazanin"/>
          <w:color w:val="111111"/>
          <w:sz w:val="28"/>
          <w:szCs w:val="28"/>
          <w:rtl w:val="true"/>
          <w:lang w:bidi="fa-IR"/>
        </w:rPr>
        <w:t xml:space="preserve">. </w:t>
      </w:r>
      <w:r>
        <w:rPr>
          <w:rStyle w:val="FootnoteAnchor"/>
          <w:rtl w:val="true"/>
        </w:rPr>
        <w:footnoteReference w:id="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نقشه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6"/>
        <w:numPr>
          <w:ilvl w:val="5"/>
          <w:numId w:val="1"/>
        </w:numPr>
        <w:rPr/>
      </w:pPr>
      <w:bookmarkStart w:id="966" w:name="__RefHeading___Toc3585245_3650668749"/>
      <w:bookmarkStart w:id="967" w:name="_Toc419"/>
      <w:bookmarkEnd w:id="966"/>
      <w:r>
        <w:rPr>
          <w:rtl w:val="true"/>
        </w:rPr>
        <w:t xml:space="preserve">سوم </w:t>
      </w:r>
      <w:r>
        <w:rPr>
          <w:rtl w:val="true"/>
        </w:rPr>
        <w:t xml:space="preserve">- </w:t>
      </w:r>
      <w:r>
        <w:rPr>
          <w:rtl w:val="true"/>
        </w:rPr>
        <w:t xml:space="preserve">جبّانه سالم </w:t>
      </w:r>
      <w:r>
        <w:rPr>
          <w:rtl w:val="true"/>
        </w:rPr>
        <w:t>(</w:t>
      </w:r>
      <w:r>
        <w:rPr>
          <w:rtl w:val="true"/>
        </w:rPr>
        <w:t>جبّانه بنى‌سلول</w:t>
      </w:r>
      <w:r>
        <w:rPr>
          <w:rtl w:val="true"/>
        </w:rPr>
        <w:t>)</w:t>
      </w:r>
      <w:bookmarkEnd w:id="96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جبّانه چون با نام صحرا نيز شهرت يافته، در بخش صحراها آن را معرفى كرده‌ايم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ونقشه شماره </w:t>
      </w:r>
      <w:r>
        <w:rPr>
          <w:rFonts w:eastAsia="IRNazanin" w:cs="IRNazanin"/>
          <w:color w:val="111111"/>
          <w:sz w:val="28"/>
          <w:szCs w:val="28"/>
          <w:lang w:bidi="fa-IR"/>
        </w:rPr>
        <w:t>8</w:t>
      </w:r>
      <w:r>
        <w:rPr>
          <w:rFonts w:eastAsia="IRNazanin" w:cs="IRNazanin"/>
          <w:color w:val="111111"/>
          <w:sz w:val="28"/>
          <w:szCs w:val="28"/>
          <w:rtl w:val="true"/>
          <w:lang w:bidi="fa-IR"/>
        </w:rPr>
        <w:t>)</w:t>
      </w:r>
      <w:bookmarkStart w:id="968" w:name="pg1964_19617"/>
    </w:p>
    <w:p>
      <w:pPr>
        <w:pStyle w:val="Heading6"/>
        <w:numPr>
          <w:ilvl w:val="5"/>
          <w:numId w:val="1"/>
        </w:numPr>
        <w:rPr/>
      </w:pPr>
      <w:bookmarkStart w:id="969" w:name="__RefHeading___Toc3585247_3650668749"/>
      <w:bookmarkStart w:id="970" w:name="_Toc420"/>
      <w:bookmarkEnd w:id="968"/>
      <w:bookmarkEnd w:id="969"/>
      <w:r>
        <w:rPr>
          <w:rtl w:val="true"/>
        </w:rPr>
        <w:t xml:space="preserve">چهارم </w:t>
      </w:r>
      <w:r>
        <w:rPr>
          <w:rtl w:val="true"/>
        </w:rPr>
        <w:t xml:space="preserve">- </w:t>
      </w:r>
      <w:r>
        <w:rPr>
          <w:rtl w:val="true"/>
        </w:rPr>
        <w:t>جبّانه اتبر</w:t>
      </w:r>
      <w:bookmarkEnd w:id="970"/>
    </w:p>
    <w:p>
      <w:pPr>
        <w:pStyle w:val="BookText"/>
        <w:rPr/>
      </w:pPr>
      <w:r>
        <w:rPr>
          <w:rFonts w:ascii="IRNazanin" w:hAnsi="IRNazanin" w:eastAsia="IRNazanin"/>
          <w:color w:val="111111"/>
          <w:sz w:val="28"/>
          <w:sz w:val="28"/>
          <w:szCs w:val="28"/>
          <w:rtl w:val="true"/>
          <w:lang w:bidi="fa-IR"/>
        </w:rPr>
        <w:t>از اين جبّانه نيز در بخش صحراها سخن گفته‌ايم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نقشه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971" w:name="__RefHeading___Toc3585249_3650668749"/>
      <w:bookmarkStart w:id="972" w:name="_Toc421"/>
      <w:bookmarkEnd w:id="971"/>
      <w:r>
        <w:rPr>
          <w:rtl w:val="true"/>
        </w:rPr>
        <w:t xml:space="preserve">سه </w:t>
      </w:r>
      <w:r>
        <w:rPr>
          <w:rtl w:val="true"/>
        </w:rPr>
        <w:t xml:space="preserve">- </w:t>
      </w:r>
      <w:r>
        <w:rPr>
          <w:rtl w:val="true"/>
        </w:rPr>
        <w:t>آرامگاه‌هاى خارج از جبانات</w:t>
      </w:r>
      <w:bookmarkEnd w:id="972"/>
    </w:p>
    <w:p>
      <w:pPr>
        <w:pStyle w:val="Heading6"/>
        <w:numPr>
          <w:ilvl w:val="5"/>
          <w:numId w:val="1"/>
        </w:numPr>
        <w:rPr/>
      </w:pPr>
      <w:bookmarkStart w:id="973" w:name="__RefHeading___Toc3585251_3650668749"/>
      <w:bookmarkStart w:id="974" w:name="_Toc422"/>
      <w:bookmarkEnd w:id="973"/>
      <w:r>
        <w:rPr>
          <w:rtl w:val="true"/>
        </w:rPr>
        <w:t>اشاره</w:t>
      </w:r>
      <w:bookmarkEnd w:id="974"/>
    </w:p>
    <w:p>
      <w:pPr>
        <w:pStyle w:val="BookText"/>
        <w:rPr/>
      </w:pPr>
      <w:r>
        <w:rPr>
          <w:rFonts w:ascii="IRNazanin" w:hAnsi="IRNazanin" w:eastAsia="IRNazanin"/>
          <w:color w:val="111111"/>
          <w:sz w:val="28"/>
          <w:sz w:val="28"/>
          <w:szCs w:val="28"/>
          <w:rtl w:val="true"/>
          <w:lang w:bidi="fa-IR"/>
        </w:rPr>
        <w:t>در شهر كوفه آرامگاه‌هايى وجود داشته كه خارج از جبّانات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عبارت‌اند از</w:t>
      </w:r>
      <w:r>
        <w:rPr>
          <w:rFonts w:eastAsia="IRNazanin" w:cs="IRNazanin"/>
          <w:color w:val="111111"/>
          <w:sz w:val="28"/>
          <w:szCs w:val="28"/>
          <w:rtl w:val="true"/>
          <w:lang w:bidi="fa-IR"/>
        </w:rPr>
        <w:t>:</w:t>
      </w:r>
    </w:p>
    <w:p>
      <w:pPr>
        <w:pStyle w:val="Heading6"/>
        <w:numPr>
          <w:ilvl w:val="5"/>
          <w:numId w:val="1"/>
        </w:numPr>
        <w:rPr/>
      </w:pPr>
      <w:bookmarkStart w:id="975" w:name="__RefHeading___Toc3585253_3650668749"/>
      <w:bookmarkStart w:id="976" w:name="_Toc423"/>
      <w:bookmarkEnd w:id="975"/>
      <w:r>
        <w:rPr>
          <w:rtl w:val="true"/>
        </w:rPr>
        <w:t xml:space="preserve">يك </w:t>
      </w:r>
      <w:r>
        <w:rPr>
          <w:rtl w:val="true"/>
        </w:rPr>
        <w:t xml:space="preserve">- </w:t>
      </w:r>
      <w:r>
        <w:rPr>
          <w:rtl w:val="true"/>
        </w:rPr>
        <w:t>آرامگاه مسلم بن عقيل</w:t>
      </w:r>
      <w:r>
        <w:rPr/>
        <w:t>٧</w:t>
      </w:r>
      <w:bookmarkEnd w:id="976"/>
    </w:p>
    <w:p>
      <w:pPr>
        <w:pStyle w:val="BookText"/>
        <w:rPr/>
      </w:pPr>
      <w:r>
        <w:rPr>
          <w:rFonts w:ascii="IRNazanin" w:hAnsi="IRNazanin" w:eastAsia="IRNazanin"/>
          <w:color w:val="111111"/>
          <w:sz w:val="28"/>
          <w:sz w:val="28"/>
          <w:szCs w:val="28"/>
          <w:rtl w:val="true"/>
          <w:lang w:bidi="fa-IR"/>
        </w:rPr>
        <w:t>قبر مسلم در جهت شرق مسجد جامع كوفه و در جنب ديوار شرقى مسجد قرار دارد كه هم اكنون گنبدى روى آن بنا شده است</w:t>
      </w:r>
      <w:r>
        <w:rPr>
          <w:rFonts w:eastAsia="IRNazanin" w:cs="IRNazanin"/>
          <w:color w:val="111111"/>
          <w:sz w:val="28"/>
          <w:szCs w:val="28"/>
          <w:rtl w:val="true"/>
          <w:lang w:bidi="fa-IR"/>
        </w:rPr>
        <w:t xml:space="preserve">. </w:t>
      </w:r>
      <w:r>
        <w:rPr>
          <w:rStyle w:val="FootnoteAnchor"/>
          <w:rtl w:val="true"/>
        </w:rPr>
        <w:footnoteReference w:id="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تصويرهاى شماره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6"/>
        <w:numPr>
          <w:ilvl w:val="5"/>
          <w:numId w:val="1"/>
        </w:numPr>
        <w:rPr/>
      </w:pPr>
      <w:bookmarkStart w:id="977" w:name="__RefHeading___Toc3585255_3650668749"/>
      <w:bookmarkStart w:id="978" w:name="_Toc424"/>
      <w:bookmarkEnd w:id="977"/>
      <w:r>
        <w:rPr>
          <w:rtl w:val="true"/>
        </w:rPr>
        <w:t xml:space="preserve">دو </w:t>
      </w:r>
      <w:r>
        <w:rPr>
          <w:rtl w:val="true"/>
        </w:rPr>
        <w:t xml:space="preserve">- </w:t>
      </w:r>
      <w:r>
        <w:rPr>
          <w:rtl w:val="true"/>
        </w:rPr>
        <w:t>آرامگاه هانى بن عروه</w:t>
      </w:r>
      <w:bookmarkEnd w:id="978"/>
    </w:p>
    <w:p>
      <w:pPr>
        <w:pStyle w:val="BookText"/>
        <w:rPr/>
      </w:pPr>
      <w:r>
        <w:rPr>
          <w:rFonts w:ascii="IRNazanin" w:hAnsi="IRNazanin" w:eastAsia="IRNazanin"/>
          <w:color w:val="111111"/>
          <w:sz w:val="28"/>
          <w:sz w:val="28"/>
          <w:szCs w:val="28"/>
          <w:rtl w:val="true"/>
          <w:lang w:bidi="fa-IR"/>
        </w:rPr>
        <w:t>اين آرامگاه در كنار آرامگاه مسلم و در غرب آن قرار دارد و روى آن نيز گنبدى بنا شده است</w:t>
      </w:r>
      <w:r>
        <w:rPr>
          <w:rFonts w:eastAsia="IRNazanin" w:cs="IRNazanin"/>
          <w:color w:val="111111"/>
          <w:sz w:val="28"/>
          <w:szCs w:val="28"/>
          <w:rtl w:val="true"/>
          <w:lang w:bidi="fa-IR"/>
        </w:rPr>
        <w:t xml:space="preserve">. </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تصويرهاى شماره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6"/>
        <w:numPr>
          <w:ilvl w:val="5"/>
          <w:numId w:val="1"/>
        </w:numPr>
        <w:rPr/>
      </w:pPr>
      <w:bookmarkStart w:id="979" w:name="__RefHeading___Toc3585257_3650668749"/>
      <w:bookmarkStart w:id="980" w:name="_Toc425"/>
      <w:bookmarkEnd w:id="979"/>
      <w:r>
        <w:rPr>
          <w:rtl w:val="true"/>
        </w:rPr>
        <w:t xml:space="preserve">سه </w:t>
      </w:r>
      <w:r>
        <w:rPr>
          <w:rtl w:val="true"/>
        </w:rPr>
        <w:t xml:space="preserve">- </w:t>
      </w:r>
      <w:r>
        <w:rPr>
          <w:rtl w:val="true"/>
        </w:rPr>
        <w:t>آرامگاه مختار بن عبيد ثقفي</w:t>
      </w:r>
      <w:bookmarkEnd w:id="980"/>
    </w:p>
    <w:p>
      <w:pPr>
        <w:pStyle w:val="BookText"/>
        <w:rPr/>
      </w:pPr>
      <w:r>
        <w:rPr>
          <w:rFonts w:ascii="IRNazanin" w:hAnsi="IRNazanin" w:eastAsia="IRNazanin"/>
          <w:color w:val="111111"/>
          <w:sz w:val="28"/>
          <w:sz w:val="28"/>
          <w:szCs w:val="28"/>
          <w:rtl w:val="true"/>
          <w:lang w:bidi="fa-IR"/>
        </w:rPr>
        <w:t xml:space="preserve">اين آرامگاه نيز نزديك آرامگاه مسلم و در سمت شرق مسجد جامع و در جنب ديوار جنوبى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 شده است</w:t>
      </w:r>
      <w:r>
        <w:rPr>
          <w:rFonts w:eastAsia="IRNazanin" w:cs="IRNazanin"/>
          <w:color w:val="111111"/>
          <w:sz w:val="28"/>
          <w:szCs w:val="28"/>
          <w:rtl w:val="true"/>
          <w:lang w:bidi="fa-IR"/>
        </w:rPr>
        <w:t xml:space="preserve">. </w:t>
      </w:r>
      <w:r>
        <w:rPr>
          <w:rStyle w:val="FootnoteAnchor"/>
          <w:rtl w:val="true"/>
        </w:rPr>
        <w:footnoteReference w:id="783"/>
      </w:r>
    </w:p>
    <w:p>
      <w:pPr>
        <w:pStyle w:val="Heading6"/>
        <w:numPr>
          <w:ilvl w:val="5"/>
          <w:numId w:val="1"/>
        </w:numPr>
        <w:rPr/>
      </w:pPr>
      <w:bookmarkStart w:id="981" w:name="__RefHeading___Toc3585259_3650668749"/>
      <w:bookmarkStart w:id="982" w:name="_Toc426"/>
      <w:bookmarkEnd w:id="981"/>
      <w:r>
        <w:rPr>
          <w:rtl w:val="true"/>
        </w:rPr>
        <w:t xml:space="preserve">چهار </w:t>
      </w:r>
      <w:r>
        <w:rPr>
          <w:rtl w:val="true"/>
        </w:rPr>
        <w:t xml:space="preserve">- </w:t>
      </w:r>
      <w:r>
        <w:rPr>
          <w:rtl w:val="true"/>
        </w:rPr>
        <w:t>قبر رُشَيد هَجري</w:t>
      </w:r>
      <w:bookmarkEnd w:id="98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آرامگاه اين يار مخلص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نُخَيله و نزديك روستاى ذاالكفل واقع شده است</w:t>
      </w:r>
      <w:r>
        <w:rPr>
          <w:rFonts w:eastAsia="IRNazanin" w:cs="IRNazanin"/>
          <w:color w:val="111111"/>
          <w:sz w:val="28"/>
          <w:szCs w:val="28"/>
          <w:rtl w:val="true"/>
          <w:lang w:bidi="fa-IR"/>
        </w:rPr>
        <w:t xml:space="preserve">. </w:t>
      </w:r>
      <w:r>
        <w:rPr>
          <w:rStyle w:val="FootnoteAnchor"/>
          <w:rtl w:val="true"/>
        </w:rPr>
        <w:footnoteReference w:id="784"/>
      </w:r>
      <w:bookmarkStart w:id="983" w:name="pg1964_19618"/>
    </w:p>
    <w:p>
      <w:pPr>
        <w:pStyle w:val="Heading6"/>
        <w:numPr>
          <w:ilvl w:val="5"/>
          <w:numId w:val="1"/>
        </w:numPr>
        <w:rPr/>
      </w:pPr>
      <w:bookmarkStart w:id="984" w:name="__RefHeading___Toc3585261_3650668749"/>
      <w:bookmarkStart w:id="985" w:name="_Toc427"/>
      <w:bookmarkEnd w:id="983"/>
      <w:bookmarkEnd w:id="984"/>
      <w:r>
        <w:rPr>
          <w:rtl w:val="true"/>
        </w:rPr>
        <w:t xml:space="preserve">پنج </w:t>
      </w:r>
      <w:r>
        <w:rPr>
          <w:rtl w:val="true"/>
        </w:rPr>
        <w:t xml:space="preserve">- </w:t>
      </w:r>
      <w:r>
        <w:rPr>
          <w:rtl w:val="true"/>
        </w:rPr>
        <w:t>قبر عبدالله بن عفيف اَزْدي</w:t>
      </w:r>
      <w:bookmarkEnd w:id="985"/>
    </w:p>
    <w:p>
      <w:pPr>
        <w:pStyle w:val="BookText"/>
        <w:rPr/>
      </w:pPr>
      <w:r>
        <w:rPr>
          <w:rFonts w:ascii="Amiri" w:hAnsi="Amiri" w:eastAsia="Amiri" w:cs="Amiri"/>
          <w:color w:val="111111"/>
          <w:sz w:val="28"/>
          <w:sz w:val="28"/>
          <w:szCs w:val="28"/>
          <w:rtl w:val="true"/>
          <w:lang w:bidi="ar-SA"/>
        </w:rPr>
        <w:t xml:space="preserve">اين يار فداكار و روشندل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اعتراض به عمل عبيدالله بن زياد در به شهادت رساندن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شهادت رسيد، در سبخه در شمال غربى كوفه نزديك مقام يونس مدفون شده است</w:t>
      </w:r>
      <w:r>
        <w:rPr>
          <w:rFonts w:eastAsia="Amiri" w:cs="Amiri" w:ascii="Amiri" w:hAnsi="Amiri"/>
          <w:color w:val="111111"/>
          <w:sz w:val="28"/>
          <w:szCs w:val="28"/>
          <w:rtl w:val="true"/>
          <w:lang w:bidi="ar-SA"/>
        </w:rPr>
        <w:t xml:space="preserve">. </w:t>
      </w:r>
      <w:r>
        <w:rPr>
          <w:rStyle w:val="FootnoteAnchor"/>
          <w:rtl w:val="true"/>
        </w:rPr>
        <w:footnoteReference w:id="785"/>
      </w:r>
    </w:p>
    <w:p>
      <w:pPr>
        <w:pStyle w:val="Heading6"/>
        <w:numPr>
          <w:ilvl w:val="5"/>
          <w:numId w:val="1"/>
        </w:numPr>
        <w:rPr/>
      </w:pPr>
      <w:bookmarkStart w:id="986" w:name="__RefHeading___Toc3585263_3650668749"/>
      <w:bookmarkStart w:id="987" w:name="_Toc428"/>
      <w:bookmarkEnd w:id="986"/>
      <w:r>
        <w:rPr>
          <w:rtl w:val="true"/>
        </w:rPr>
        <w:t xml:space="preserve">شش </w:t>
      </w:r>
      <w:r>
        <w:rPr>
          <w:rtl w:val="true"/>
        </w:rPr>
        <w:t xml:space="preserve">- </w:t>
      </w:r>
      <w:r>
        <w:rPr>
          <w:rtl w:val="true"/>
        </w:rPr>
        <w:t>قبر ميثم تمّار</w:t>
      </w:r>
      <w:bookmarkEnd w:id="987"/>
    </w:p>
    <w:p>
      <w:pPr>
        <w:pStyle w:val="BookText"/>
        <w:rPr/>
      </w:pPr>
      <w:r>
        <w:rPr>
          <w:rFonts w:ascii="IRNazanin" w:hAnsi="IRNazanin" w:eastAsia="IRNazanin"/>
          <w:color w:val="111111"/>
          <w:sz w:val="28"/>
          <w:sz w:val="28"/>
          <w:szCs w:val="28"/>
          <w:rtl w:val="true"/>
          <w:lang w:bidi="fa-IR"/>
        </w:rPr>
        <w:t xml:space="preserve">قبر اين يار بزرگوار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دست عبيدالله بن زياد به شهادت رسيد، نزديك خانه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Style w:val="FootnoteAnchor"/>
          <w:rtl w:val="true"/>
        </w:rPr>
        <w:footnoteReference w:id="786"/>
      </w:r>
    </w:p>
    <w:p>
      <w:pPr>
        <w:pStyle w:val="Heading4"/>
        <w:numPr>
          <w:ilvl w:val="3"/>
          <w:numId w:val="1"/>
        </w:numPr>
        <w:rPr/>
      </w:pPr>
      <w:bookmarkStart w:id="988" w:name="__RefHeading___Toc3585265_3650668749"/>
      <w:bookmarkStart w:id="989" w:name="_Toc429"/>
      <w:bookmarkEnd w:id="988"/>
      <w:r>
        <w:rPr>
          <w:rtl w:val="true"/>
        </w:rPr>
        <w:t>ب</w:t>
      </w:r>
      <w:r>
        <w:rPr>
          <w:rtl w:val="true"/>
        </w:rPr>
        <w:t xml:space="preserve">) </w:t>
      </w:r>
      <w:r>
        <w:rPr>
          <w:rtl w:val="true"/>
        </w:rPr>
        <w:t>صحراها</w:t>
      </w:r>
      <w:bookmarkEnd w:id="989"/>
    </w:p>
    <w:p>
      <w:pPr>
        <w:pStyle w:val="Heading5"/>
        <w:numPr>
          <w:ilvl w:val="4"/>
          <w:numId w:val="1"/>
        </w:numPr>
        <w:rPr/>
      </w:pPr>
      <w:bookmarkStart w:id="990" w:name="__RefHeading___Toc3585267_3650668749"/>
      <w:bookmarkStart w:id="991" w:name="_Toc430"/>
      <w:bookmarkEnd w:id="990"/>
      <w:r>
        <w:rPr>
          <w:rtl w:val="true"/>
        </w:rPr>
        <w:t>اشاره</w:t>
      </w:r>
      <w:bookmarkEnd w:id="991"/>
    </w:p>
    <w:p>
      <w:pPr>
        <w:pStyle w:val="BookText"/>
        <w:rPr/>
      </w:pPr>
      <w:r>
        <w:rPr>
          <w:rFonts w:ascii="IRNazanin" w:hAnsi="IRNazanin" w:eastAsia="IRNazanin"/>
          <w:color w:val="111111"/>
          <w:sz w:val="28"/>
          <w:sz w:val="28"/>
          <w:szCs w:val="28"/>
          <w:rtl w:val="true"/>
          <w:lang w:bidi="fa-IR"/>
        </w:rPr>
        <w:t>صحرا در لغت عرب به معناى زمين وسيعى است كه در آن نه روييدنى مانند درخت و گياه باشد و نه كوه</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هنگام بررسى جغرافيايى كوفه با نام صحراهايى آشنا مى‌شويم كه منتسب به اشخاص يا تيره‌هاى قبايل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صحراها گرچه معمولاً به عنوان گورستان استفاده مى‌شد، اما از آنجا كه در كتاب‌هاى تاريخى از آنها با عنوان صحرا ياد شده، آن را مستقل از بخش جبّانات ذكر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فقط به ذكر صحراهايى مى‌پردازيم كه در زمان مورد نظر ما با نام صحرا معروف بوده‌اند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كوفه‌پژوهان تفاوت صحرا را با جبّانه در اين دانسته‌اند كه صحرا محل برگزارى جشن‌ها بوده در حالى‌كه از جبّانه براى تدفين و آرايش‌هاى نظامى استفاده مى‌شده است</w:t>
      </w:r>
      <w:r>
        <w:rPr>
          <w:rFonts w:eastAsia="IRNazanin" w:cs="IRNazanin"/>
          <w:color w:val="111111"/>
          <w:sz w:val="28"/>
          <w:szCs w:val="28"/>
          <w:rtl w:val="true"/>
          <w:lang w:bidi="fa-IR"/>
        </w:rPr>
        <w:t xml:space="preserve">. </w:t>
      </w:r>
      <w:r>
        <w:rPr>
          <w:rStyle w:val="FootnoteAnchor"/>
          <w:rtl w:val="true"/>
        </w:rPr>
        <w:footnoteReference w:id="788"/>
      </w:r>
      <w:bookmarkStart w:id="992" w:name="pg1964_19619"/>
    </w:p>
    <w:p>
      <w:pPr>
        <w:pStyle w:val="Heading5"/>
        <w:numPr>
          <w:ilvl w:val="4"/>
          <w:numId w:val="1"/>
        </w:numPr>
        <w:rPr/>
      </w:pPr>
      <w:bookmarkStart w:id="993" w:name="__RefHeading___Toc3585269_3650668749"/>
      <w:bookmarkStart w:id="994" w:name="_Toc431"/>
      <w:bookmarkEnd w:id="992"/>
      <w:bookmarkEnd w:id="993"/>
      <w:r>
        <w:rPr>
          <w:rtl w:val="true"/>
        </w:rPr>
        <w:t xml:space="preserve">يك </w:t>
      </w:r>
      <w:r>
        <w:rPr>
          <w:rtl w:val="true"/>
        </w:rPr>
        <w:t xml:space="preserve">- </w:t>
      </w:r>
      <w:r>
        <w:rPr>
          <w:rtl w:val="true"/>
        </w:rPr>
        <w:t xml:space="preserve">صحراى اُثَير </w:t>
      </w:r>
      <w:r>
        <w:rPr>
          <w:rtl w:val="true"/>
        </w:rPr>
        <w:t>(</w:t>
      </w:r>
      <w:r>
        <w:rPr>
          <w:rtl w:val="true"/>
        </w:rPr>
        <w:t>بني‌اُثَير</w:t>
      </w:r>
      <w:r>
        <w:rPr>
          <w:rtl w:val="true"/>
        </w:rPr>
        <w:t>)</w:t>
      </w:r>
      <w:bookmarkEnd w:id="994"/>
    </w:p>
    <w:p>
      <w:pPr>
        <w:pStyle w:val="BookText"/>
        <w:rPr/>
      </w:pPr>
      <w:r>
        <w:rPr>
          <w:rFonts w:ascii="IRNazanin" w:hAnsi="IRNazanin" w:eastAsia="IRNazanin"/>
          <w:color w:val="111111"/>
          <w:sz w:val="28"/>
          <w:sz w:val="28"/>
          <w:szCs w:val="28"/>
          <w:rtl w:val="true"/>
          <w:lang w:bidi="fa-IR"/>
        </w:rPr>
        <w:t>گاهى از اين صحرا با عنوان جبّانه ياد مى‌شود</w:t>
      </w:r>
      <w:r>
        <w:rPr>
          <w:rFonts w:eastAsia="IRNazanin" w:cs="IRNazanin"/>
          <w:color w:val="111111"/>
          <w:sz w:val="28"/>
          <w:szCs w:val="28"/>
          <w:rtl w:val="true"/>
          <w:lang w:bidi="fa-IR"/>
        </w:rPr>
        <w:t xml:space="preserve">. </w:t>
      </w:r>
      <w:r>
        <w:rPr>
          <w:rStyle w:val="FootnoteAnchor"/>
          <w:rtl w:val="true"/>
        </w:rPr>
        <w:footnoteReference w:id="789"/>
      </w:r>
      <w:r>
        <w:rPr>
          <w:rFonts w:ascii="Amiri" w:hAnsi="Amiri" w:eastAsia="Amiri" w:cs="Amiri"/>
          <w:color w:val="111111"/>
          <w:sz w:val="28"/>
          <w:sz w:val="28"/>
          <w:szCs w:val="28"/>
          <w:rtl w:val="true"/>
          <w:lang w:bidi="ar-SA"/>
        </w:rPr>
        <w:t xml:space="preserve">اين صحرا متعلق به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در جنوب غربى كوفه </w:t>
      </w:r>
      <w:r>
        <w:rPr>
          <w:rStyle w:val="FootnoteAnchor"/>
          <w:rtl w:val="true"/>
        </w:rPr>
        <w:footnoteReference w:id="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محدوده اين قبيله و در داخل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نقشه شماره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نقشه شماره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995" w:name="__RefHeading___Toc3585271_3650668749"/>
      <w:bookmarkStart w:id="996" w:name="_Toc432"/>
      <w:bookmarkEnd w:id="995"/>
      <w:r>
        <w:rPr>
          <w:rtl w:val="true"/>
        </w:rPr>
        <w:t xml:space="preserve">دو </w:t>
      </w:r>
      <w:r>
        <w:rPr>
          <w:rtl w:val="true"/>
        </w:rPr>
        <w:t xml:space="preserve">- </w:t>
      </w:r>
      <w:r>
        <w:rPr>
          <w:rtl w:val="true"/>
        </w:rPr>
        <w:t>صحراى بني‌عامر</w:t>
      </w:r>
      <w:bookmarkEnd w:id="996"/>
    </w:p>
    <w:p>
      <w:pPr>
        <w:pStyle w:val="BookText"/>
        <w:rPr/>
      </w:pPr>
      <w:r>
        <w:rPr>
          <w:rFonts w:ascii="IRNazanin" w:hAnsi="IRNazanin" w:eastAsia="IRNazanin"/>
          <w:color w:val="111111"/>
          <w:sz w:val="28"/>
          <w:sz w:val="28"/>
          <w:szCs w:val="28"/>
          <w:rtl w:val="true"/>
          <w:lang w:bidi="fa-IR"/>
        </w:rPr>
        <w:t xml:space="preserve">اين صحرا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محدوده سهم آنها واقع در شرق كوفه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صحرا صحراى بنى‌جعفر بن كلاب نيز گفته مى‌شد</w:t>
      </w:r>
      <w:r>
        <w:rPr>
          <w:rFonts w:eastAsia="IRNazanin" w:cs="IRNazanin"/>
          <w:color w:val="111111"/>
          <w:sz w:val="28"/>
          <w:szCs w:val="28"/>
          <w:rtl w:val="true"/>
          <w:lang w:bidi="fa-IR"/>
        </w:rPr>
        <w:t xml:space="preserve">. </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5"/>
        <w:numPr>
          <w:ilvl w:val="4"/>
          <w:numId w:val="1"/>
        </w:numPr>
        <w:rPr/>
      </w:pPr>
      <w:bookmarkStart w:id="997" w:name="__RefHeading___Toc3585273_3650668749"/>
      <w:bookmarkStart w:id="998" w:name="_Toc433"/>
      <w:bookmarkEnd w:id="997"/>
      <w:r>
        <w:rPr>
          <w:rtl w:val="true"/>
        </w:rPr>
        <w:t xml:space="preserve">سه </w:t>
      </w:r>
      <w:r>
        <w:rPr>
          <w:rtl w:val="true"/>
        </w:rPr>
        <w:t xml:space="preserve">- </w:t>
      </w:r>
      <w:r>
        <w:rPr>
          <w:rtl w:val="true"/>
        </w:rPr>
        <w:t>صحراى بني‌يَشْكُر</w:t>
      </w:r>
      <w:bookmarkEnd w:id="998"/>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صحراى بني‌يَشْكُر </w:t>
      </w:r>
      <w:r>
        <w:rPr>
          <w:rStyle w:val="FootnoteAnchor"/>
          <w:rtl w:val="true"/>
        </w:rPr>
        <w:footnoteReference w:id="792"/>
      </w:r>
    </w:p>
    <w:p>
      <w:pPr>
        <w:pStyle w:val="Heading5"/>
        <w:numPr>
          <w:ilvl w:val="4"/>
          <w:numId w:val="1"/>
        </w:numPr>
        <w:rPr/>
      </w:pPr>
      <w:bookmarkStart w:id="999" w:name="__RefHeading___Toc3585275_3650668749"/>
      <w:bookmarkStart w:id="1000" w:name="_Toc434"/>
      <w:bookmarkEnd w:id="999"/>
      <w:r>
        <w:rPr>
          <w:rtl w:val="true"/>
        </w:rPr>
        <w:t xml:space="preserve">چهار </w:t>
      </w:r>
      <w:r>
        <w:rPr>
          <w:rtl w:val="true"/>
        </w:rPr>
        <w:t xml:space="preserve">- </w:t>
      </w:r>
      <w:r>
        <w:rPr>
          <w:rtl w:val="true"/>
        </w:rPr>
        <w:t>صحراى بَرْدَخْت</w:t>
      </w:r>
      <w:bookmarkEnd w:id="1000"/>
    </w:p>
    <w:p>
      <w:pPr>
        <w:pStyle w:val="BookText"/>
        <w:rPr/>
      </w:pPr>
      <w:r>
        <w:rPr>
          <w:rFonts w:ascii="Amiri" w:hAnsi="Amiri" w:eastAsia="Amiri" w:cs="Amiri"/>
          <w:color w:val="111111"/>
          <w:sz w:val="28"/>
          <w:sz w:val="28"/>
          <w:szCs w:val="28"/>
          <w:rtl w:val="true"/>
          <w:lang w:bidi="ar-SA"/>
        </w:rPr>
        <w:t xml:space="preserve">اين صحرا كه به قبيله ضَبّه تعلق داشت و منسوب به على بن خالد شاعر منبّى، عروف به بَرْدَخت بود، در محدوده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جنوب غربى كوفه قرار داشت</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5"/>
        <w:numPr>
          <w:ilvl w:val="4"/>
          <w:numId w:val="1"/>
        </w:numPr>
        <w:rPr/>
      </w:pPr>
      <w:bookmarkStart w:id="1001" w:name="__RefHeading___Toc3585277_3650668749"/>
      <w:bookmarkStart w:id="1002" w:name="_Toc435"/>
      <w:bookmarkEnd w:id="1001"/>
      <w:r>
        <w:rPr>
          <w:rtl w:val="true"/>
        </w:rPr>
        <w:t xml:space="preserve">پنج </w:t>
      </w:r>
      <w:r>
        <w:rPr>
          <w:rtl w:val="true"/>
        </w:rPr>
        <w:t xml:space="preserve">- </w:t>
      </w:r>
      <w:r>
        <w:rPr>
          <w:rtl w:val="true"/>
        </w:rPr>
        <w:t>صحراى بني‌قَرار</w:t>
      </w:r>
      <w:bookmarkEnd w:id="100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صحرا نيز كه متعلق به قبيله ضَبّه بود، در جنوب غربى كوفه قرار داشت</w:t>
      </w:r>
      <w:r>
        <w:rPr>
          <w:rFonts w:eastAsia="Amiri" w:cs="Amiri" w:ascii="Amiri" w:hAnsi="Amiri"/>
          <w:color w:val="111111"/>
          <w:sz w:val="28"/>
          <w:szCs w:val="28"/>
          <w:rtl w:val="true"/>
          <w:lang w:bidi="ar-SA"/>
        </w:rPr>
        <w:t xml:space="preserve">. </w:t>
      </w:r>
      <w:r>
        <w:rPr>
          <w:rStyle w:val="FootnoteAnchor"/>
          <w:rtl w:val="true"/>
        </w:rPr>
        <w:footnoteReference w:id="794"/>
      </w:r>
      <w:bookmarkStart w:id="1003" w:name="pg1964_19620"/>
    </w:p>
    <w:p>
      <w:pPr>
        <w:pStyle w:val="Heading5"/>
        <w:numPr>
          <w:ilvl w:val="4"/>
          <w:numId w:val="1"/>
        </w:numPr>
        <w:rPr/>
      </w:pPr>
      <w:bookmarkStart w:id="1004" w:name="__RefHeading___Toc3585279_3650668749"/>
      <w:bookmarkStart w:id="1005" w:name="_Toc436"/>
      <w:bookmarkEnd w:id="1003"/>
      <w:bookmarkEnd w:id="1004"/>
      <w:r>
        <w:rPr>
          <w:rtl w:val="true"/>
        </w:rPr>
        <w:t xml:space="preserve">شش </w:t>
      </w:r>
      <w:r>
        <w:rPr>
          <w:rtl w:val="true"/>
        </w:rPr>
        <w:t xml:space="preserve">- </w:t>
      </w:r>
      <w:r>
        <w:rPr>
          <w:rtl w:val="true"/>
        </w:rPr>
        <w:t>صحراى شَبَث</w:t>
      </w:r>
      <w:bookmarkEnd w:id="1005"/>
    </w:p>
    <w:p>
      <w:pPr>
        <w:pStyle w:val="BookText"/>
        <w:rPr/>
      </w:pPr>
      <w:r>
        <w:rPr>
          <w:rFonts w:ascii="Amiri" w:hAnsi="Amiri" w:eastAsia="Amiri" w:cs="Amiri"/>
          <w:color w:val="111111"/>
          <w:sz w:val="28"/>
          <w:sz w:val="28"/>
          <w:szCs w:val="28"/>
          <w:rtl w:val="true"/>
          <w:lang w:bidi="ar-SA"/>
        </w:rPr>
        <w:t xml:space="preserve">اين صحرا منسوب به شَبَث بن رَبْعى يكى از رؤساى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در محدوده اين قبيله، واقع در جنوب غربى كوفه قرار داشت</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5"/>
        <w:numPr>
          <w:ilvl w:val="4"/>
          <w:numId w:val="1"/>
        </w:numPr>
        <w:rPr/>
      </w:pPr>
      <w:bookmarkStart w:id="1006" w:name="__RefHeading___Toc3585281_3650668749"/>
      <w:bookmarkStart w:id="1007" w:name="_Toc437"/>
      <w:bookmarkEnd w:id="1006"/>
      <w:r>
        <w:rPr>
          <w:rtl w:val="true"/>
        </w:rPr>
        <w:t xml:space="preserve">هفت </w:t>
      </w:r>
      <w:r>
        <w:rPr>
          <w:rtl w:val="true"/>
        </w:rPr>
        <w:t xml:space="preserve">- </w:t>
      </w:r>
      <w:r>
        <w:rPr>
          <w:rtl w:val="true"/>
        </w:rPr>
        <w:t>صحراى سالم</w:t>
      </w:r>
      <w:bookmarkEnd w:id="1007"/>
    </w:p>
    <w:p>
      <w:pPr>
        <w:pStyle w:val="BookText"/>
        <w:rPr/>
      </w:pPr>
      <w:r>
        <w:rPr>
          <w:rFonts w:ascii="IRNazanin" w:hAnsi="IRNazanin" w:eastAsia="IRNazanin"/>
          <w:color w:val="111111"/>
          <w:sz w:val="28"/>
          <w:sz w:val="28"/>
          <w:szCs w:val="28"/>
          <w:rtl w:val="true"/>
          <w:lang w:bidi="fa-IR"/>
        </w:rPr>
        <w:t>از اين صحرا گاهى با عنوان جبّانه سالم و گاهى با تعبير جبّانه بنى‌سلول ياد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جبّانه يا صحرا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در سمت مشرق كوفه قرار داشت</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نقشه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1008" w:name="__RefHeading___Toc3585283_3650668749"/>
      <w:bookmarkStart w:id="1009" w:name="_Toc438"/>
      <w:bookmarkEnd w:id="1008"/>
      <w:r>
        <w:rPr>
          <w:rtl w:val="true"/>
        </w:rPr>
        <w:t xml:space="preserve">هشت </w:t>
      </w:r>
      <w:r>
        <w:rPr>
          <w:rtl w:val="true"/>
        </w:rPr>
        <w:t xml:space="preserve">- </w:t>
      </w:r>
      <w:r>
        <w:rPr>
          <w:rtl w:val="true"/>
        </w:rPr>
        <w:t>صحراى عَبْدالقِيْس</w:t>
      </w:r>
      <w:bookmarkEnd w:id="1009"/>
    </w:p>
    <w:p>
      <w:pPr>
        <w:pStyle w:val="BookText"/>
        <w:rPr/>
      </w:pPr>
      <w:r>
        <w:rPr>
          <w:rFonts w:ascii="Amiri" w:hAnsi="Amiri" w:eastAsia="Amiri" w:cs="Amiri"/>
          <w:color w:val="111111"/>
          <w:sz w:val="28"/>
          <w:sz w:val="28"/>
          <w:szCs w:val="28"/>
          <w:rtl w:val="true"/>
          <w:lang w:bidi="ar-SA"/>
        </w:rPr>
        <w:t xml:space="preserve">اين صحرا متعلق به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در شمال غربى كوفه قرار داشت</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1010" w:name="__RefHeading___Toc3585285_3650668749"/>
      <w:bookmarkStart w:id="1011" w:name="_Toc439"/>
      <w:bookmarkEnd w:id="1010"/>
      <w:r>
        <w:rPr>
          <w:rtl w:val="true"/>
        </w:rPr>
        <w:t>ج</w:t>
      </w:r>
      <w:r>
        <w:rPr>
          <w:rtl w:val="true"/>
        </w:rPr>
        <w:t xml:space="preserve">) </w:t>
      </w:r>
      <w:r>
        <w:rPr>
          <w:rtl w:val="true"/>
        </w:rPr>
        <w:t>كُناسَه</w:t>
      </w:r>
      <w:bookmarkEnd w:id="101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كناسه در لغت به معناى زباله مى‌باشد</w:t>
      </w:r>
      <w:r>
        <w:rPr>
          <w:rFonts w:eastAsia="Amiri" w:cs="Amiri" w:ascii="Amiri" w:hAnsi="Amiri"/>
          <w:color w:val="111111"/>
          <w:sz w:val="28"/>
          <w:szCs w:val="28"/>
          <w:rtl w:val="true"/>
          <w:lang w:bidi="ar-SA"/>
        </w:rPr>
        <w:t xml:space="preserve">. </w:t>
      </w:r>
      <w:r>
        <w:rPr>
          <w:rStyle w:val="FootnoteAnchor"/>
          <w:rtl w:val="true"/>
        </w:rPr>
        <w:footnoteReference w:id="798"/>
      </w:r>
      <w:r>
        <w:rPr>
          <w:rFonts w:ascii="IRNazanin" w:hAnsi="IRNazanin" w:eastAsia="IRNazanin"/>
          <w:color w:val="111111"/>
          <w:sz w:val="28"/>
          <w:sz w:val="28"/>
          <w:szCs w:val="28"/>
          <w:rtl w:val="true"/>
          <w:lang w:bidi="fa-IR"/>
        </w:rPr>
        <w:t>دليل نامگذارى اين محل به اين نام اين بود كه در ابتدا به عنوان زباله‌دانى قبيله بنى‌اسد از آن استفاده مى‌شد</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 xml:space="preserve">اين مكان كه به ناحيه‌اى وسيع و باز، در ناحيه غرب و شمال غربى و بين مسجد كوفه و مسجد سهله گفته مى‌شد </w:t>
      </w:r>
      <w:r>
        <w:rPr>
          <w:rStyle w:val="FootnoteAnchor"/>
          <w:rtl w:val="true"/>
        </w:rPr>
        <w:footnoteReference w:id="800"/>
      </w:r>
      <w:r>
        <w:rPr>
          <w:rFonts w:ascii="Amiri" w:hAnsi="Amiri" w:eastAsia="Amiri" w:cs="Amiri"/>
          <w:color w:val="111111"/>
          <w:sz w:val="28"/>
          <w:sz w:val="28"/>
          <w:szCs w:val="28"/>
          <w:rtl w:val="true"/>
          <w:lang w:bidi="ar-SA"/>
        </w:rPr>
        <w:t xml:space="preserve">، در زمان زياد يكى از بازارهاى مهم كوفه بود </w:t>
      </w:r>
      <w:r>
        <w:rPr>
          <w:rStyle w:val="FootnoteAnchor"/>
          <w:rtl w:val="true"/>
        </w:rPr>
        <w:footnoteReference w:id="801"/>
      </w:r>
      <w:r>
        <w:rPr>
          <w:rFonts w:ascii="Amiri" w:hAnsi="Amiri" w:eastAsia="Amiri" w:cs="Amiri"/>
          <w:color w:val="111111"/>
          <w:sz w:val="28"/>
          <w:sz w:val="28"/>
          <w:szCs w:val="28"/>
          <w:rtl w:val="true"/>
          <w:lang w:bidi="ar-SA"/>
        </w:rPr>
        <w:t xml:space="preserve">و به عنوان بارانداز كاروان‌هاى عربستان و نيز سر آغاز جادّه تجارتى كوفه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اهميت به سزايى</w:t>
      </w:r>
      <w:bookmarkStart w:id="1012" w:name="pg1964_19621"/>
    </w:p>
    <w:p>
      <w:pPr>
        <w:pStyle w:val="BookText"/>
        <w:rPr/>
      </w:pPr>
      <w:bookmarkEnd w:id="1012"/>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همچنين به عنوان بازار اصلى خريد و فروش چهارپايان و به خصوص شتر از آن استفاده مى‌شد</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نيز در اين مكان، غنايم جنگى خريد و فروش مى‌شد</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ماسينيون معتقد است كه در اين محل، خريد و فروش بردگان نيز صورت مى‌گرفته است</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به‌طور خلاصه مى‌توان اين مكان را محل باراندازى و بارگيرى واردات و صادرات كوفه معرفى كرد</w:t>
      </w:r>
      <w:r>
        <w:rPr>
          <w:rFonts w:eastAsia="IRNazanin" w:cs="IRNazanin"/>
          <w:color w:val="111111"/>
          <w:sz w:val="28"/>
          <w:szCs w:val="28"/>
          <w:rtl w:val="true"/>
          <w:lang w:bidi="fa-IR"/>
        </w:rPr>
        <w:t xml:space="preserve">. </w:t>
      </w:r>
      <w:r>
        <w:rPr>
          <w:rStyle w:val="FootnoteAnchor"/>
          <w:rtl w:val="true"/>
        </w:rPr>
        <w:footnoteReference w:id="806"/>
      </w:r>
      <w:r>
        <w:rPr>
          <w:rFonts w:ascii="Amiri" w:hAnsi="Amiri" w:eastAsia="Amiri" w:cs="Amiri"/>
          <w:color w:val="111111"/>
          <w:sz w:val="28"/>
          <w:sz w:val="28"/>
          <w:szCs w:val="28"/>
          <w:rtl w:val="true"/>
          <w:lang w:bidi="ar-SA"/>
        </w:rPr>
        <w:t>بعدها اين مكان در جريان قيام‌هاى مختار و نيز قيام زيد بن على نقش نظامى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مكان زيد در سال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دار آويخته شد</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دور نيست كه اين مكان، نقش ميدان اعدام را در آن زمان داشته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نقشه‌هاى شماره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013" w:name="__RefHeading___Toc3585287_3650668749"/>
      <w:bookmarkStart w:id="1014" w:name="_Toc440"/>
      <w:bookmarkEnd w:id="1013"/>
      <w:r>
        <w:rPr>
          <w:rtl w:val="true"/>
        </w:rPr>
        <w:t>د</w:t>
      </w:r>
      <w:r>
        <w:rPr>
          <w:rtl w:val="true"/>
        </w:rPr>
        <w:t xml:space="preserve">) </w:t>
      </w:r>
      <w:r>
        <w:rPr>
          <w:rtl w:val="true"/>
        </w:rPr>
        <w:t>سَبْخَه</w:t>
      </w:r>
      <w:bookmarkEnd w:id="1014"/>
    </w:p>
    <w:p>
      <w:pPr>
        <w:pStyle w:val="BookText"/>
        <w:rPr/>
      </w:pPr>
      <w:r>
        <w:rPr>
          <w:rFonts w:ascii="Amiri" w:hAnsi="Amiri" w:eastAsia="Amiri" w:cs="Amiri"/>
          <w:color w:val="111111"/>
          <w:sz w:val="28"/>
          <w:sz w:val="28"/>
          <w:szCs w:val="28"/>
          <w:rtl w:val="true"/>
          <w:lang w:bidi="ar-SA"/>
        </w:rPr>
        <w:t>سبخه نيز يكى از مكان‌هاى كوفه بود كه محل تجمع و نيز آرايش‌ها و عمليات نظامى بود</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اين كلمه در لغت به معناى زمين شوره‌زار و نيز به معناى جلبك‌ها و سبزه‌هاى جمع شده روى سطح آب مى‌باشد</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به نظر مى‌رسد كه در اينجا معناى دوم مناسب‌تر است؛ زيرا اين منطقه در منتهى‌اليه شمال شرقى كوفه و در مجاورت نهر فرات قرار داشته است </w:t>
      </w:r>
      <w:r>
        <w:rPr>
          <w:rStyle w:val="FootnoteAnchor"/>
          <w:rtl w:val="true"/>
        </w:rPr>
        <w:footnoteReference w:id="810"/>
      </w:r>
      <w:r>
        <w:rPr>
          <w:rFonts w:ascii="Amiri" w:hAnsi="Amiri" w:eastAsia="Amiri" w:cs="Amiri"/>
          <w:color w:val="111111"/>
          <w:sz w:val="28"/>
          <w:sz w:val="28"/>
          <w:szCs w:val="28"/>
          <w:rtl w:val="true"/>
          <w:lang w:bidi="ar-SA"/>
        </w:rPr>
        <w:t>و طبيعى است آب در آنجا جمع شده و به صورت مرداب در مى‌آمده، بنابراين، تصور معناى شوره‌زار در كنار فرات بسيار بعيد است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ناحيه، بوستان زايده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ناحيه خارج از كوفه و ميدانى بود كه به سوى كوفه آغوش گشوده بود و در محلى كه فرات از همه‌جا به شهر</w:t>
      </w:r>
      <w:bookmarkStart w:id="1015" w:name="pg1964_19622"/>
    </w:p>
    <w:p>
      <w:pPr>
        <w:pStyle w:val="BookText"/>
        <w:rPr/>
      </w:pPr>
      <w:bookmarkEnd w:id="1015"/>
      <w:r>
        <w:rPr>
          <w:rFonts w:ascii="IRNazanin" w:hAnsi="IRNazanin" w:eastAsia="IRNazanin"/>
          <w:color w:val="111111"/>
          <w:sz w:val="28"/>
          <w:sz w:val="28"/>
          <w:szCs w:val="28"/>
          <w:rtl w:val="true"/>
          <w:lang w:bidi="fa-IR"/>
        </w:rPr>
        <w:t>نزديك‌تر مى‌شد،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ناحيه در مقاطع مختلف تاريخ كوفه، مانند قيام مختار و نيز درگيرى بين مصعب و مختار، استفاده نظامى مى‌شد</w:t>
      </w:r>
      <w:r>
        <w:rPr>
          <w:rFonts w:eastAsia="IRNazanin" w:cs="IRNazanin"/>
          <w:color w:val="111111"/>
          <w:sz w:val="28"/>
          <w:szCs w:val="28"/>
          <w:rtl w:val="true"/>
          <w:lang w:bidi="fa-IR"/>
        </w:rPr>
        <w:t xml:space="preserve">. </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نقشه‌هاى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1016" w:name="__RefHeading___Toc3585289_3650668749"/>
      <w:bookmarkStart w:id="1017" w:name="_Toc441"/>
      <w:bookmarkEnd w:id="1016"/>
      <w:r>
        <w:rPr>
          <w:rtl w:val="true"/>
        </w:rPr>
        <w:t>ه</w:t>
      </w:r>
      <w:r>
        <w:rPr>
          <w:rtl w:val="true"/>
        </w:rPr>
        <w:t xml:space="preserve">) </w:t>
      </w:r>
      <w:r>
        <w:rPr>
          <w:rtl w:val="true"/>
        </w:rPr>
        <w:t>دارالرزق</w:t>
      </w:r>
      <w:bookmarkEnd w:id="1017"/>
    </w:p>
    <w:p>
      <w:pPr>
        <w:pStyle w:val="BookText"/>
        <w:rPr/>
      </w:pPr>
      <w:r>
        <w:rPr>
          <w:rFonts w:ascii="IRNazanin" w:hAnsi="IRNazanin" w:eastAsia="IRNazanin"/>
          <w:color w:val="111111"/>
          <w:sz w:val="28"/>
          <w:sz w:val="28"/>
          <w:szCs w:val="28"/>
          <w:rtl w:val="true"/>
          <w:lang w:bidi="fa-IR"/>
        </w:rPr>
        <w:t>دارالرزق ساختمان وسيعى بود در منتهى‌اليه شمال شرقى، نزديك رود فرات و بالاتر از پل كوفه كه ابتدا به منظور انبار كردن غنايم جنگى و توزيع آن بنا شده بود، سپس به عنوان محلى براى تقسيم ارزاق مردم كوفه مورد استفاده قرار گرفت</w:t>
      </w:r>
      <w:r>
        <w:rPr>
          <w:rFonts w:eastAsia="IRNazanin" w:cs="IRNazanin"/>
          <w:color w:val="111111"/>
          <w:sz w:val="28"/>
          <w:szCs w:val="28"/>
          <w:rtl w:val="true"/>
          <w:lang w:bidi="fa-IR"/>
        </w:rPr>
        <w:t xml:space="preserve">. </w:t>
      </w:r>
      <w:r>
        <w:rPr>
          <w:rStyle w:val="FootnoteAnchor"/>
          <w:rtl w:val="true"/>
        </w:rPr>
        <w:footnoteReference w:id="812"/>
      </w:r>
      <w:r>
        <w:rPr>
          <w:rFonts w:ascii="Amiri" w:hAnsi="Amiri" w:eastAsia="Amiri" w:cs="Amiri"/>
          <w:color w:val="111111"/>
          <w:sz w:val="28"/>
          <w:sz w:val="28"/>
          <w:szCs w:val="28"/>
          <w:rtl w:val="true"/>
          <w:lang w:bidi="ar-SA"/>
        </w:rPr>
        <w:t>بعضى زمان تأسيس اين ساختمان را در زمان زياد مى‌دانند</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اين بنا و محل آن علاوه بر نقش اقتصادى عظيمى كه ايفا مى‌كرده، خاطره‌ها و جريان‌هاى مختلفى از مقاطع تاريخ كوفه را در خود جاى داده است</w:t>
      </w:r>
      <w:r>
        <w:rPr>
          <w:rFonts w:eastAsia="Amiri" w:cs="Amiri" w:ascii="Amiri" w:hAnsi="Amiri"/>
          <w:color w:val="111111"/>
          <w:sz w:val="28"/>
          <w:szCs w:val="28"/>
          <w:rtl w:val="true"/>
          <w:lang w:bidi="ar-SA"/>
        </w:rPr>
        <w:t xml:space="preserve">. </w:t>
      </w:r>
      <w:r>
        <w:rPr>
          <w:rStyle w:val="FootnoteAnchor"/>
          <w:rtl w:val="true"/>
        </w:rPr>
        <w:footnoteReference w:id="814"/>
      </w:r>
    </w:p>
    <w:p>
      <w:pPr>
        <w:pStyle w:val="Heading4"/>
        <w:numPr>
          <w:ilvl w:val="3"/>
          <w:numId w:val="1"/>
        </w:numPr>
        <w:rPr/>
      </w:pPr>
      <w:bookmarkStart w:id="1018" w:name="__RefHeading___Toc3585291_3650668749"/>
      <w:bookmarkStart w:id="1019" w:name="_Toc442"/>
      <w:bookmarkEnd w:id="1018"/>
      <w:r>
        <w:rPr>
          <w:rtl w:val="true"/>
        </w:rPr>
        <w:t>و</w:t>
      </w:r>
      <w:r>
        <w:rPr>
          <w:rtl w:val="true"/>
        </w:rPr>
        <w:t xml:space="preserve">) </w:t>
      </w:r>
      <w:r>
        <w:rPr>
          <w:rtl w:val="true"/>
        </w:rPr>
        <w:t xml:space="preserve">جسر كوفه </w:t>
      </w:r>
      <w:r>
        <w:rPr>
          <w:rtl w:val="true"/>
        </w:rPr>
        <w:t>(</w:t>
      </w:r>
      <w:r>
        <w:rPr>
          <w:rtl w:val="true"/>
        </w:rPr>
        <w:t>پُل كوفه</w:t>
      </w:r>
      <w:r>
        <w:rPr>
          <w:rtl w:val="true"/>
        </w:rPr>
        <w:t>)</w:t>
      </w:r>
      <w:bookmarkEnd w:id="1019"/>
    </w:p>
    <w:p>
      <w:pPr>
        <w:pStyle w:val="BookText"/>
        <w:rPr/>
      </w:pPr>
      <w:r>
        <w:rPr>
          <w:rFonts w:ascii="IRNazanin" w:hAnsi="IRNazanin" w:eastAsia="IRNazanin"/>
          <w:color w:val="111111"/>
          <w:sz w:val="28"/>
          <w:sz w:val="28"/>
          <w:szCs w:val="28"/>
          <w:rtl w:val="true"/>
          <w:lang w:bidi="fa-IR"/>
        </w:rPr>
        <w:t>از بحث‌هاى قبل چنين به دست آمد كه اين پل كه شايد پل اصلى فرات بوده است، در شمال شرقى كوفه و بين سبخه و دارالرزق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منابع، قدمت اين پل را به دوران ساسانى‌ها مى‌رسانند و بازسازى آن را به زياد نسبت مى‌دهند</w:t>
      </w:r>
      <w:r>
        <w:rPr>
          <w:rFonts w:eastAsia="IRNazanin" w:cs="IRNazanin"/>
          <w:color w:val="111111"/>
          <w:sz w:val="28"/>
          <w:szCs w:val="28"/>
          <w:rtl w:val="true"/>
          <w:lang w:bidi="fa-IR"/>
        </w:rPr>
        <w:t xml:space="preserve">. </w:t>
      </w:r>
      <w:r>
        <w:rPr>
          <w:rStyle w:val="FootnoteAnchor"/>
          <w:rtl w:val="true"/>
        </w:rPr>
        <w:footnoteReference w:id="81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پل كه در زمان زياد، از قايق‌هايى كه در كنار هم قرار داشتند و مردم از روى آنها عبور مى‌كردند، تشكيل شده بود، از اين‌رو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 الزوارق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قايق‌ها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مى‌شود</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 xml:space="preserve">طبق روايتى كه طبرى نقل مى‌كند،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پل پيش از دوران حكومت زياد از درون مسجد ديده مى‌شد</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و اين نشانه آن است كه پل</w:t>
      </w:r>
      <w:bookmarkStart w:id="1020" w:name="pg1964_19623"/>
    </w:p>
    <w:p>
      <w:pPr>
        <w:pStyle w:val="BookText"/>
        <w:rPr/>
      </w:pPr>
      <w:bookmarkEnd w:id="1020"/>
      <w:r>
        <w:rPr>
          <w:rFonts w:ascii="IRNazanin" w:hAnsi="IRNazanin" w:eastAsia="IRNazanin"/>
          <w:color w:val="111111"/>
          <w:sz w:val="28"/>
          <w:sz w:val="28"/>
          <w:szCs w:val="28"/>
          <w:rtl w:val="true"/>
          <w:lang w:bidi="fa-IR"/>
        </w:rPr>
        <w:t>در آن زمان در داشته و احتمالاً مأمورانى مراقب آن بوده‌اند</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 xml:space="preserve">اين پل محل عبور مردم به سوى سواد و باغستان‌هاى كوفه، واقع در سمت ديگر فرات و نيز راه ارتباطى كوفه با شهرهاى ايران، مانند تيسفون بود، </w:t>
      </w:r>
      <w:r>
        <w:rPr>
          <w:rStyle w:val="FootnoteAnchor"/>
          <w:rtl w:val="true"/>
        </w:rPr>
        <w:footnoteReference w:id="819"/>
      </w:r>
      <w:r>
        <w:rPr>
          <w:rFonts w:ascii="IRNazanin" w:hAnsi="IRNazanin" w:eastAsia="IRNazanin"/>
          <w:color w:val="111111"/>
          <w:sz w:val="28"/>
          <w:sz w:val="28"/>
          <w:szCs w:val="28"/>
          <w:rtl w:val="true"/>
          <w:lang w:bidi="fa-IR"/>
        </w:rPr>
        <w:t xml:space="preserve">اين پل در سال‌هاى حكومت عُمَر بن هُبَيره بر كوفه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مصالحى محكم تجديد بنا شد</w:t>
      </w:r>
      <w:r>
        <w:rPr>
          <w:rFonts w:eastAsia="IRNazanin" w:cs="IRNazanin"/>
          <w:color w:val="111111"/>
          <w:sz w:val="28"/>
          <w:szCs w:val="28"/>
          <w:rtl w:val="true"/>
          <w:lang w:bidi="fa-IR"/>
        </w:rPr>
        <w:t xml:space="preserve">. </w:t>
      </w:r>
      <w:r>
        <w:rPr>
          <w:rStyle w:val="FootnoteAnchor"/>
          <w:rtl w:val="true"/>
        </w:rPr>
        <w:footnoteReference w:id="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نقشه‌هاى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1021" w:name="__RefHeading___Toc3585293_3650668749"/>
      <w:bookmarkStart w:id="1022" w:name="_Toc443"/>
      <w:bookmarkEnd w:id="1021"/>
      <w:r>
        <w:rPr>
          <w:rtl w:val="true"/>
        </w:rPr>
        <w:t>ز</w:t>
      </w:r>
      <w:r>
        <w:rPr>
          <w:rtl w:val="true"/>
        </w:rPr>
        <w:t xml:space="preserve">) </w:t>
      </w:r>
      <w:r>
        <w:rPr>
          <w:rtl w:val="true"/>
        </w:rPr>
        <w:t xml:space="preserve">سيل‌بند كوفه </w:t>
      </w:r>
      <w:r>
        <w:rPr>
          <w:rtl w:val="true"/>
        </w:rPr>
        <w:t>(</w:t>
      </w:r>
      <w:r>
        <w:rPr>
          <w:rtl w:val="true"/>
        </w:rPr>
        <w:t>مُسَنّاة جابر</w:t>
      </w:r>
      <w:r>
        <w:rPr>
          <w:rtl w:val="true"/>
        </w:rPr>
        <w:t>)</w:t>
      </w:r>
      <w:bookmarkEnd w:id="1022"/>
    </w:p>
    <w:p>
      <w:pPr>
        <w:pStyle w:val="BookText"/>
        <w:rPr/>
      </w:pPr>
      <w:r>
        <w:rPr>
          <w:rFonts w:ascii="IRNazanin" w:hAnsi="IRNazanin" w:eastAsia="IRNazanin"/>
          <w:color w:val="111111"/>
          <w:sz w:val="28"/>
          <w:sz w:val="28"/>
          <w:szCs w:val="28"/>
          <w:rtl w:val="true"/>
          <w:lang w:bidi="fa-IR"/>
        </w:rPr>
        <w:t>مسنّاة جابر به گودال بزرگى در سمت شمال شرقى كوفه و در محلّه مُزَينه گفته مى‌شد كه بعدها ديوار دروازه كوفه در زمان منصور در آن بنا شد</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جابر نام فردى بوده است كه قبل از اسلام در اين ناحيه زندگى مى‌كرد</w:t>
      </w:r>
      <w:r>
        <w:rPr>
          <w:rFonts w:eastAsia="IRNazanin" w:cs="IRNazanin"/>
          <w:color w:val="111111"/>
          <w:sz w:val="28"/>
          <w:szCs w:val="28"/>
          <w:rtl w:val="true"/>
          <w:lang w:bidi="fa-IR"/>
        </w:rPr>
        <w:t xml:space="preserve">. </w:t>
      </w:r>
      <w:r>
        <w:rPr>
          <w:rStyle w:val="FootnoteAnchor"/>
          <w:rtl w:val="true"/>
        </w:rPr>
        <w:footnoteReference w:id="822"/>
      </w:r>
      <w:r>
        <w:rPr>
          <w:rFonts w:ascii="Amiri" w:hAnsi="Amiri" w:eastAsia="Amiri" w:cs="Amiri"/>
          <w:color w:val="111111"/>
          <w:sz w:val="28"/>
          <w:sz w:val="28"/>
          <w:szCs w:val="28"/>
          <w:rtl w:val="true"/>
          <w:lang w:bidi="ar-SA"/>
        </w:rPr>
        <w:t>بنابراين، اين سيل‌بند قبل از اسلام در اين ناحيه وجود داشته و احتمالاً به صورت كانالى بوده كه در مواقع طغيان آب فرات، مقدار اضافى آن آب را در خود جاى مى‌داده است</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3585295_3650668749"/>
      <w:bookmarkStart w:id="1024" w:name="_Toc444"/>
      <w:bookmarkEnd w:id="1023"/>
      <w:r>
        <w:rPr>
          <w:rtl w:val="true"/>
        </w:rPr>
        <w:t>ح</w:t>
      </w:r>
      <w:r>
        <w:rPr>
          <w:rtl w:val="true"/>
        </w:rPr>
        <w:t xml:space="preserve">) </w:t>
      </w:r>
      <w:r>
        <w:rPr>
          <w:rtl w:val="true"/>
        </w:rPr>
        <w:t xml:space="preserve">عاقول </w:t>
      </w:r>
      <w:r>
        <w:rPr>
          <w:rtl w:val="true"/>
        </w:rPr>
        <w:t>(</w:t>
      </w:r>
      <w:r>
        <w:rPr>
          <w:rtl w:val="true"/>
        </w:rPr>
        <w:t>شاهجان</w:t>
      </w:r>
      <w:r>
        <w:rPr>
          <w:rtl w:val="true"/>
        </w:rPr>
        <w:t>)</w:t>
      </w:r>
      <w:bookmarkEnd w:id="102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عاقول مكانى در شمال كوفه و در سمت رود فرات و خارج از محدوده شهر و چراگاه تابستانى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ييلاق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اسب‌هاى حكومت بوده است</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 xml:space="preserve">طبرى لغت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مورد اين مكان به‌كار برده و آن را به معناى چراگاه ايران ترجمه مى‌كند و ناظر بر اين مكان را شخصى به نام سلمان بن ربيعه باهلى معرفى مى‌نمايد</w:t>
      </w:r>
      <w:r>
        <w:rPr>
          <w:rFonts w:eastAsia="IRNazanin" w:cs="IRNazanin"/>
          <w:color w:val="111111"/>
          <w:sz w:val="28"/>
          <w:szCs w:val="28"/>
          <w:rtl w:val="true"/>
          <w:lang w:bidi="fa-IR"/>
        </w:rPr>
        <w:t xml:space="preserve">. </w:t>
      </w:r>
      <w:r>
        <w:rPr>
          <w:rStyle w:val="FootnoteAnchor"/>
          <w:rtl w:val="true"/>
        </w:rPr>
        <w:footnoteReference w:id="824"/>
      </w:r>
      <w:bookmarkStart w:id="1025" w:name="pg1964_19625"/>
    </w:p>
    <w:p>
      <w:pPr>
        <w:pStyle w:val="Heading2"/>
        <w:numPr>
          <w:ilvl w:val="1"/>
          <w:numId w:val="1"/>
        </w:numPr>
        <w:rPr/>
      </w:pPr>
      <w:bookmarkStart w:id="1026" w:name="__RefHeading___Toc3585297_3650668749"/>
      <w:bookmarkStart w:id="1027" w:name="_Toc445"/>
      <w:bookmarkEnd w:id="1025"/>
      <w:bookmarkEnd w:id="1026"/>
      <w:r>
        <w:rPr>
          <w:rtl w:val="true"/>
        </w:rPr>
        <w:t>فصل سوم</w:t>
      </w:r>
      <w:r>
        <w:rPr>
          <w:rtl w:val="true"/>
        </w:rPr>
        <w:t xml:space="preserve">: </w:t>
      </w:r>
      <w:r>
        <w:rPr>
          <w:rtl w:val="true"/>
        </w:rPr>
        <w:t>مردم‌شناسى و روان‌شناسى مردم</w:t>
      </w:r>
      <w:bookmarkEnd w:id="1027"/>
    </w:p>
    <w:p>
      <w:pPr>
        <w:pStyle w:val="Heading3"/>
        <w:numPr>
          <w:ilvl w:val="2"/>
          <w:numId w:val="1"/>
        </w:numPr>
        <w:rPr/>
      </w:pPr>
      <w:bookmarkStart w:id="1028" w:name="__RefHeading___Toc3585299_3650668749"/>
      <w:bookmarkStart w:id="1029" w:name="_Toc446"/>
      <w:bookmarkEnd w:id="1028"/>
      <w:r>
        <w:rPr>
          <w:rtl w:val="true"/>
        </w:rPr>
        <w:t>كوفه</w:t>
      </w:r>
      <w:bookmarkEnd w:id="102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0" w:name="__RefHeading___Toc3585301_3650668749"/>
      <w:bookmarkStart w:id="1031" w:name="_Toc447"/>
      <w:bookmarkEnd w:id="1030"/>
      <w:r>
        <w:rPr>
          <w:rtl w:val="true"/>
        </w:rPr>
        <w:t>اشاره</w:t>
      </w:r>
      <w:bookmarkStart w:id="1032" w:name="pg1964_19627"/>
      <w:bookmarkEnd w:id="1031"/>
    </w:p>
    <w:p>
      <w:pPr>
        <w:pStyle w:val="Heading4"/>
        <w:numPr>
          <w:ilvl w:val="3"/>
          <w:numId w:val="1"/>
        </w:numPr>
        <w:rPr/>
      </w:pPr>
      <w:bookmarkStart w:id="1033" w:name="__RefHeading___Toc3585303_3650668749"/>
      <w:bookmarkStart w:id="1034" w:name="_Toc448"/>
      <w:bookmarkEnd w:id="1032"/>
      <w:bookmarkEnd w:id="1033"/>
      <w:r>
        <w:rPr/>
        <w:t>١</w:t>
      </w:r>
      <w:r>
        <w:rPr>
          <w:rtl w:val="true"/>
        </w:rPr>
        <w:t xml:space="preserve">. </w:t>
      </w:r>
      <w:r>
        <w:rPr>
          <w:rtl w:val="true"/>
        </w:rPr>
        <w:t>خلقيات روحى و روانى</w:t>
      </w:r>
      <w:bookmarkEnd w:id="1034"/>
    </w:p>
    <w:p>
      <w:pPr>
        <w:pStyle w:val="Heading5"/>
        <w:numPr>
          <w:ilvl w:val="4"/>
          <w:numId w:val="1"/>
        </w:numPr>
        <w:rPr/>
      </w:pPr>
      <w:bookmarkStart w:id="1035" w:name="__RefHeading___Toc3585305_3650668749"/>
      <w:bookmarkStart w:id="1036" w:name="_Toc449"/>
      <w:bookmarkEnd w:id="1035"/>
      <w:r>
        <w:rPr>
          <w:rtl w:val="true"/>
        </w:rPr>
        <w:t>اشاره</w:t>
      </w:r>
      <w:bookmarkEnd w:id="1036"/>
    </w:p>
    <w:p>
      <w:pPr>
        <w:pStyle w:val="BookText"/>
        <w:rPr/>
      </w:pPr>
      <w:r>
        <w:rPr>
          <w:rFonts w:ascii="IRNazanin" w:hAnsi="IRNazanin" w:eastAsia="IRNazanin"/>
          <w:color w:val="111111"/>
          <w:sz w:val="28"/>
          <w:sz w:val="28"/>
          <w:szCs w:val="28"/>
          <w:rtl w:val="true"/>
          <w:lang w:bidi="fa-IR"/>
        </w:rPr>
        <w:t>هر ملت و امتى ممكن است تلفيقى از صفات و خلقيات مثبت و منفى را داشته باشد كه به تناسب زمان و در مقاطع مختلف تاريخ يك يا چند صفت او بروز نموده و صفات ديگر را تحت‌الشعاع قرار داده و باعث به وجود آمدن حوادثى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خواهد شد كه تاريخ، مردم آن سامان را با آن صفت يا ويژگى‌ها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شهر كوفه نيز در مقطع تاريخى مورد بحث، هر دو دسته صفات، فضايل و رذايل را داشتند، اما از آنجا كه صفات و خلقيات منفى آنها در برخورد با امامان شيعه همانند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اهل بيت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نقش ماندگار زشتى روى اين شهر به جاى گذاشت، لذا بيشتر نويسندگان و تحليل‌گران تاريخ اسلام، اين صفات را به عنوان ويژگى‌هاى كوفيان ذكر مى‌كنند و از صفات مثبت آنان غافل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ميان بعضى از نويسندگان، از ظلم تاريخى بر كوفه برآشفته و براى رفع ظلم، كتاب‌هايى در فضيلت كوفه و اهل آن نگاشته و از صفات و ويژگى‌هاى منفى اين مردم چشم پوشيده‌اند</w:t>
      </w:r>
      <w:r>
        <w:rPr>
          <w:rFonts w:eastAsia="IRNazanin" w:cs="IRNazanin"/>
          <w:color w:val="111111"/>
          <w:sz w:val="28"/>
          <w:szCs w:val="28"/>
          <w:rtl w:val="true"/>
          <w:lang w:bidi="fa-IR"/>
        </w:rPr>
        <w:t xml:space="preserve">. </w:t>
      </w:r>
      <w:r>
        <w:rPr>
          <w:rStyle w:val="FootnoteAnchor"/>
          <w:rtl w:val="true"/>
        </w:rPr>
        <w:footnoteReference w:id="82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عقيده نگارنده، شناخت جامع خلقيات اهل كوفه، مبتنى بر آگاهى از صفات منفى و مثبت آنهاست و اين مهم جز با بررسى مقاطع مختلف تاريخى امكان نمى‌يابد؛ زيرا در برهه‌اى از تاريخ، صفات نيك آن مردم بروز نموده و در برهه‌اى</w:t>
      </w:r>
      <w:bookmarkStart w:id="1037" w:name="pg1964_19628"/>
    </w:p>
    <w:p>
      <w:pPr>
        <w:pStyle w:val="BookText"/>
        <w:rPr/>
      </w:pPr>
      <w:bookmarkEnd w:id="1037"/>
      <w:r>
        <w:rPr>
          <w:rFonts w:ascii="IRNazanin" w:hAnsi="IRNazanin" w:eastAsia="IRNazanin"/>
          <w:color w:val="111111"/>
          <w:sz w:val="28"/>
          <w:sz w:val="28"/>
          <w:szCs w:val="28"/>
          <w:rtl w:val="true"/>
          <w:lang w:bidi="fa-IR"/>
        </w:rPr>
        <w:t>ديگر، صفات زشت آنها تجلى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 كه صفات زشت كوفيان آثار دهشت‌بارى در قرن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پديد آورد، ازاين‌رو سهم بيشترى از اين تحقيق به بررسى اين صفات، اختصاص يافته است</w:t>
      </w:r>
      <w:r>
        <w:rPr>
          <w:rFonts w:eastAsia="IRNazanin" w:cs="IRNazanin"/>
          <w:color w:val="111111"/>
          <w:sz w:val="28"/>
          <w:szCs w:val="28"/>
          <w:rtl w:val="true"/>
          <w:lang w:bidi="fa-IR"/>
        </w:rPr>
        <w:t>.</w:t>
      </w:r>
    </w:p>
    <w:p>
      <w:pPr>
        <w:pStyle w:val="Heading5"/>
        <w:numPr>
          <w:ilvl w:val="4"/>
          <w:numId w:val="1"/>
        </w:numPr>
        <w:rPr/>
      </w:pPr>
      <w:bookmarkStart w:id="1038" w:name="__RefHeading___Toc3585307_3650668749"/>
      <w:bookmarkStart w:id="1039" w:name="_Toc450"/>
      <w:bookmarkEnd w:id="1038"/>
      <w:r>
        <w:rPr>
          <w:rtl w:val="true"/>
        </w:rPr>
        <w:t>الف</w:t>
      </w:r>
      <w:r>
        <w:rPr>
          <w:rtl w:val="true"/>
        </w:rPr>
        <w:t xml:space="preserve">) </w:t>
      </w:r>
      <w:r>
        <w:rPr>
          <w:rtl w:val="true"/>
        </w:rPr>
        <w:t>ويژگى‌هاى مثبت كوفيان</w:t>
      </w:r>
      <w:bookmarkEnd w:id="1039"/>
    </w:p>
    <w:p>
      <w:pPr>
        <w:pStyle w:val="Heading6"/>
        <w:numPr>
          <w:ilvl w:val="5"/>
          <w:numId w:val="1"/>
        </w:numPr>
        <w:rPr/>
      </w:pPr>
      <w:bookmarkStart w:id="1040" w:name="__RefHeading___Toc3585309_3650668749"/>
      <w:bookmarkStart w:id="1041" w:name="_Toc451"/>
      <w:bookmarkEnd w:id="1040"/>
      <w:r>
        <w:rPr>
          <w:rtl w:val="true"/>
        </w:rPr>
        <w:t xml:space="preserve">يك </w:t>
      </w:r>
      <w:r>
        <w:rPr>
          <w:rtl w:val="true"/>
        </w:rPr>
        <w:t xml:space="preserve">- </w:t>
      </w:r>
      <w:r>
        <w:rPr>
          <w:rtl w:val="true"/>
        </w:rPr>
        <w:t>شجاعت</w:t>
      </w:r>
      <w:bookmarkEnd w:id="1041"/>
    </w:p>
    <w:p>
      <w:pPr>
        <w:pStyle w:val="BookText"/>
        <w:rPr/>
      </w:pPr>
      <w:r>
        <w:rPr>
          <w:rFonts w:ascii="IRNazanin" w:hAnsi="IRNazanin" w:eastAsia="IRNazanin"/>
          <w:color w:val="111111"/>
          <w:sz w:val="28"/>
          <w:sz w:val="28"/>
          <w:szCs w:val="28"/>
          <w:rtl w:val="true"/>
          <w:lang w:bidi="fa-IR"/>
        </w:rPr>
        <w:t>مى‌دانيم كه هسته اوليه جمعيت كوفه را مردمى تشكيل مى‌دادند كه براى جنگ با امپراطورى پر قدرت ايران از سراسر شبه جزيره عربستان به سمت مرزهاى ايران سرازير شده بودند</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اين مردم با سلاح‌هاى ابتدايى در مقابل سپاه تا دندان مسلح ايران با شجاعت تمام جنگيدند و در معركه‌هايى، همانند قادسيه، نهاوند، جلولاء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سپاهيان ايرانى را شكست دادند و سرانجام موجبات سقوط اين پادشاهى 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بصره وقتى سپاهيان كوفه در ذى‌قار به ايشان پيوستند، به آنها خوش آمد گفته و شجاعت آنان را در شكستن شوكت عجم يادآور شد</w:t>
      </w:r>
      <w:r>
        <w:rPr>
          <w:rFonts w:eastAsia="IRNazanin" w:cs="IRNazanin"/>
          <w:color w:val="111111"/>
          <w:sz w:val="28"/>
          <w:szCs w:val="28"/>
          <w:rtl w:val="true"/>
          <w:lang w:bidi="fa-IR"/>
        </w:rPr>
        <w:t xml:space="preserve">. </w:t>
      </w:r>
      <w:r>
        <w:rPr>
          <w:rStyle w:val="FootnoteAnchor"/>
          <w:rtl w:val="true"/>
        </w:rPr>
        <w:footnoteReference w:id="82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عنصر در جنگ‌هاى سه‌گانه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جنگ جمل،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پيش از جريان بالا بردن قرآن بر سرنيزه توسط سپاهيان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نهروان، به يارى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باعث پيروزى سپاه ايشان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واقع شدن اختلاف در ميان آنان در جنگ صفين، اين عنصر كم‌كم از دست رفت، به‌گونه‌اى كه ترس از سپاه شام در دل آنها جاى گرفت، ازاين‌رو در مقابل غارت‌هاى شاميان به شهرهاى تحت فرمان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عكس‌العمل مناسبى از خود نشان نداد و همين امر باعث گلايه و شكايت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شد، به گونه‌اى كه خطاب به آنان مى‌فرمود</w:t>
      </w:r>
      <w:r>
        <w:rPr>
          <w:rFonts w:eastAsia="IRNazanin" w:cs="IRNazanin"/>
          <w:color w:val="111111"/>
          <w:sz w:val="28"/>
          <w:szCs w:val="28"/>
          <w:rtl w:val="true"/>
          <w:lang w:bidi="fa-IR"/>
        </w:rPr>
        <w:t>:</w:t>
      </w:r>
      <w:bookmarkStart w:id="1042" w:name="pg1964_19629"/>
    </w:p>
    <w:p>
      <w:pPr>
        <w:pStyle w:val="BookText"/>
        <w:rPr/>
      </w:pPr>
      <w:bookmarkEnd w:id="1042"/>
      <w:r>
        <w:rPr>
          <w:rFonts w:ascii="IRNazanin" w:hAnsi="IRNazanin" w:eastAsia="IRNazanin"/>
          <w:color w:val="111111"/>
          <w:sz w:val="28"/>
          <w:sz w:val="28"/>
          <w:szCs w:val="28"/>
          <w:rtl w:val="true"/>
          <w:lang w:bidi="fa-IR"/>
        </w:rPr>
        <w:t xml:space="preserve">اى اهل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حركت لشكرى از سپاه شام را مى‌شنويد، به خانه‌هاى خود پناه مى‌بريد و درِ خانه را به روى خود مى‌بنديد، چنان‌كه سوسمار و كفتار به خانه‌هاى خود مى‌خزند</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اين عنصر در زمان حكومت عبيدالله بر كوفه، به علت دنياپرستى نيز كارآيى خود را از دست داد و باعث تنها گذاشتن مسلم در مقابل سپاه عبيدالله شد</w:t>
      </w:r>
      <w:r>
        <w:rPr>
          <w:rFonts w:eastAsia="IRNazanin" w:cs="IRNazanin"/>
          <w:color w:val="111111"/>
          <w:sz w:val="28"/>
          <w:szCs w:val="28"/>
          <w:rtl w:val="true"/>
          <w:lang w:bidi="fa-IR"/>
        </w:rPr>
        <w:t xml:space="preserve">. </w:t>
      </w:r>
      <w:r>
        <w:rPr>
          <w:rStyle w:val="FootnoteAnchor"/>
          <w:rtl w:val="true"/>
        </w:rPr>
        <w:footnoteReference w:id="829"/>
      </w:r>
      <w:r>
        <w:rPr>
          <w:rFonts w:ascii="Amiri" w:hAnsi="Amiri" w:eastAsia="Amiri" w:cs="Amiri"/>
          <w:color w:val="111111"/>
          <w:sz w:val="28"/>
          <w:sz w:val="28"/>
          <w:szCs w:val="28"/>
          <w:rtl w:val="true"/>
          <w:lang w:bidi="ar-SA"/>
        </w:rPr>
        <w:t>بعد از جريان كربلا، در قيام‌هايى همانند قيام توابين و قيام مختار مشاهده مى‌شود</w:t>
      </w:r>
      <w:r>
        <w:rPr>
          <w:rFonts w:eastAsia="Amiri" w:cs="Amiri" w:ascii="Amiri" w:hAnsi="Amiri"/>
          <w:color w:val="111111"/>
          <w:sz w:val="28"/>
          <w:szCs w:val="28"/>
          <w:rtl w:val="true"/>
          <w:lang w:bidi="ar-SA"/>
        </w:rPr>
        <w:t>.</w:t>
      </w:r>
    </w:p>
    <w:p>
      <w:pPr>
        <w:pStyle w:val="Heading6"/>
        <w:numPr>
          <w:ilvl w:val="5"/>
          <w:numId w:val="1"/>
        </w:numPr>
        <w:rPr/>
      </w:pPr>
      <w:bookmarkStart w:id="1043" w:name="__RefHeading___Toc3585311_3650668749"/>
      <w:bookmarkStart w:id="1044" w:name="_Toc452"/>
      <w:bookmarkEnd w:id="1043"/>
      <w:r>
        <w:rPr>
          <w:rtl w:val="true"/>
        </w:rPr>
        <w:t xml:space="preserve">دو </w:t>
      </w:r>
      <w:r>
        <w:rPr>
          <w:rtl w:val="true"/>
        </w:rPr>
        <w:t xml:space="preserve">- </w:t>
      </w:r>
      <w:r>
        <w:rPr>
          <w:rtl w:val="true"/>
        </w:rPr>
        <w:t>ايمان و حميت دينى</w:t>
      </w:r>
      <w:bookmarkEnd w:id="1044"/>
    </w:p>
    <w:p>
      <w:pPr>
        <w:pStyle w:val="BookText"/>
        <w:rPr/>
      </w:pPr>
      <w:r>
        <w:rPr>
          <w:rFonts w:ascii="IRNazanin" w:hAnsi="IRNazanin" w:eastAsia="IRNazanin"/>
          <w:color w:val="111111"/>
          <w:sz w:val="28"/>
          <w:sz w:val="28"/>
          <w:szCs w:val="28"/>
          <w:rtl w:val="true"/>
          <w:lang w:bidi="fa-IR"/>
        </w:rPr>
        <w:t>ايمان اعراب، نقش عظيمى در پيروزى آنان بر سپاه ايران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ايمان و حميت دينى آنان بود كه در سال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باعث عزل فرماندار شراب‌خوار و فاسق كوفه، يعنى وليد بن عُقْبَه شد، حتى عثمان، خليفه سوم را مجبور كردند تا در مدينه بر او حد شرب خمر جارى كند</w:t>
      </w:r>
      <w:r>
        <w:rPr>
          <w:rFonts w:eastAsia="IRNazanin" w:cs="IRNazanin"/>
          <w:color w:val="111111"/>
          <w:sz w:val="28"/>
          <w:szCs w:val="28"/>
          <w:rtl w:val="true"/>
          <w:lang w:bidi="fa-IR"/>
        </w:rPr>
        <w:t xml:space="preserve">. </w:t>
      </w:r>
      <w:r>
        <w:rPr>
          <w:rStyle w:val="FootnoteAnchor"/>
          <w:rtl w:val="true"/>
        </w:rPr>
        <w:footnoteReference w:id="830"/>
      </w:r>
      <w:r>
        <w:rPr>
          <w:rFonts w:ascii="IRNazanin" w:hAnsi="IRNazanin" w:eastAsia="IRNazanin"/>
          <w:color w:val="111111"/>
          <w:sz w:val="28"/>
          <w:sz w:val="28"/>
          <w:szCs w:val="28"/>
          <w:rtl w:val="true"/>
          <w:lang w:bidi="fa-IR"/>
        </w:rPr>
        <w:t>اين حميت و تعصب دينى آنان باعث شد تا كوفيان با ديدن خلاف‌كارى‌هاى عثمان، به صورت يكى از كارگردانان قيام عليه او در آيند و عاقبت، او را از خلافت عزل كنند</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جنگ جمل، علت كمك خواستن خود را از كوفيان، ايمان آنان، يعنى محبت و دوستى آنان با خدا و رسولش عنوان مى‌كند</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 xml:space="preserve">همچنين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شروع جنگ صفين، كوفيان را براى معاويه اين‌گونه معرفى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شام نسبت به دنيا حريص‌تر از اهل كوفه نسبت به آخرت نيستند</w:t>
      </w:r>
      <w:r>
        <w:rPr>
          <w:rFonts w:eastAsia="IRNazanin" w:cs="IRNazanin"/>
          <w:color w:val="111111"/>
          <w:sz w:val="28"/>
          <w:szCs w:val="28"/>
          <w:rtl w:val="true"/>
          <w:lang w:bidi="fa-IR"/>
        </w:rPr>
        <w:t xml:space="preserve">» . </w:t>
      </w:r>
      <w:r>
        <w:rPr>
          <w:rStyle w:val="FootnoteAnchor"/>
          <w:rtl w:val="true"/>
        </w:rPr>
        <w:footnoteReference w:id="83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اين ايمان و حميت دينى با مسلط شدن بنى‌اميه و تبليغات آنان و نيز قبل از آن به وسيله اجتهادات و سستى‌هاى آنان در دفاع از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بالاخره بر</w:t>
      </w:r>
      <w:bookmarkStart w:id="1045" w:name="pg1964_19630"/>
    </w:p>
    <w:p>
      <w:pPr>
        <w:pStyle w:val="BookText"/>
        <w:rPr/>
      </w:pPr>
      <w:bookmarkEnd w:id="1045"/>
      <w:r>
        <w:rPr>
          <w:rFonts w:ascii="IRNazanin" w:hAnsi="IRNazanin" w:eastAsia="IRNazanin"/>
          <w:color w:val="111111"/>
          <w:sz w:val="28"/>
          <w:sz w:val="28"/>
          <w:szCs w:val="28"/>
          <w:rtl w:val="true"/>
          <w:lang w:bidi="fa-IR"/>
        </w:rPr>
        <w:t xml:space="preserve">اثر تمايل آنان به دنيا هر چه كم رنگ‌تر شد، به گونه‌اى كه در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فرزند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گذاشته و بلكه با او ستيز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 ايمان سخت بدون بينش صحيح را در پيدايش گروهى همانند خوارج كه نقش عظيمى در اضمحلال حكومت حق ايفا كردند، مؤثر دانست</w:t>
      </w:r>
      <w:r>
        <w:rPr>
          <w:rFonts w:eastAsia="IRNazanin" w:cs="IRNazanin"/>
          <w:color w:val="111111"/>
          <w:sz w:val="28"/>
          <w:szCs w:val="28"/>
          <w:rtl w:val="true"/>
          <w:lang w:bidi="fa-IR"/>
        </w:rPr>
        <w:t>.</w:t>
      </w:r>
    </w:p>
    <w:p>
      <w:pPr>
        <w:pStyle w:val="Heading6"/>
        <w:numPr>
          <w:ilvl w:val="5"/>
          <w:numId w:val="1"/>
        </w:numPr>
        <w:rPr/>
      </w:pPr>
      <w:bookmarkStart w:id="1046" w:name="__RefHeading___Toc3585313_3650668749"/>
      <w:bookmarkStart w:id="1047" w:name="_Toc453"/>
      <w:bookmarkEnd w:id="1046"/>
      <w:r>
        <w:rPr>
          <w:rtl w:val="true"/>
        </w:rPr>
        <w:t xml:space="preserve">سه </w:t>
      </w:r>
      <w:r>
        <w:rPr>
          <w:rtl w:val="true"/>
        </w:rPr>
        <w:t xml:space="preserve">- </w:t>
      </w:r>
      <w:r>
        <w:rPr>
          <w:rtl w:val="true"/>
        </w:rPr>
        <w:t>علم</w:t>
      </w:r>
      <w:bookmarkEnd w:id="1047"/>
    </w:p>
    <w:p>
      <w:pPr>
        <w:pStyle w:val="BookText"/>
        <w:rPr/>
      </w:pPr>
      <w:r>
        <w:rPr>
          <w:rFonts w:ascii="IRNazanin" w:hAnsi="IRNazanin" w:eastAsia="IRNazanin"/>
          <w:color w:val="111111"/>
          <w:sz w:val="28"/>
          <w:sz w:val="28"/>
          <w:szCs w:val="28"/>
          <w:rtl w:val="true"/>
          <w:lang w:bidi="fa-IR"/>
        </w:rPr>
        <w:t xml:space="preserve">كوفه بر خلاف شام شهرى بود مملو از عالمان به قرآن و حديث؛ زيرا اين شهر نوبنياد به وسيله سپاهى ساخته شده بود كه بسيارى از آنان دوران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كرده و به وسيله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معارف اسلامى آشنا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مطلب آن است كه عمر، خليفه دوم هنگامى كه بعضى از انصار عازم به كوفه را مشايعت مى‌كرد، خطاب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سمت گروهى مى‌رويد كه قرآن در سينه‌هاى آنان است و صداى قرآن خواندن آنان همانند همهمه زنبوران عسل به گوش مى‌رسد</w:t>
      </w:r>
      <w:r>
        <w:rPr>
          <w:rFonts w:eastAsia="IRNazanin" w:cs="IRNazanin"/>
          <w:color w:val="111111"/>
          <w:sz w:val="28"/>
          <w:szCs w:val="28"/>
          <w:rtl w:val="true"/>
          <w:lang w:bidi="fa-IR"/>
        </w:rPr>
        <w:t xml:space="preserve">» .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به هرحال، شهر كوفه در مقايسه با ديگر شهرهاى بزرگ اسلامى، رشد بيشترى يافت، به گونه‌اى كه تعداد اصحاب شركت كننده در جنگ صفين را </w:t>
      </w: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نوشته‌اند كه نهصد نفر آنان از شركت‌كنندگان در بيعت شجره 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آنان از شركت‌كنندگان در جنگ بدر بودند</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 xml:space="preserve">در باره رشد علوم اسلامى تذكر همين نكته كافى است كه بدانيم بيشتر گروه دوازده‌هزار نفرى خوارج را كه بعد از جنگ صفين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گزيدند، قراء، يعنى قاريان قرآن تشكيل مى‌دادند</w:t>
      </w:r>
      <w:r>
        <w:rPr>
          <w:rFonts w:eastAsia="IRNazanin" w:cs="IRNazanin"/>
          <w:color w:val="111111"/>
          <w:sz w:val="28"/>
          <w:szCs w:val="28"/>
          <w:rtl w:val="true"/>
          <w:lang w:bidi="fa-IR"/>
        </w:rPr>
        <w:t xml:space="preserve">. </w:t>
      </w:r>
      <w:r>
        <w:rPr>
          <w:rStyle w:val="FootnoteAnchor"/>
          <w:rtl w:val="true"/>
        </w:rPr>
        <w:footnoteReference w:id="83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مى‌رسد مجموع صفات و ويژگى‌هاى سه‌گانه‌اى كه گفته شد باعث ورود رواياتى از زبان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كوفه شده است؛ رواياتى كه در آنها از كوفه</w:t>
      </w:r>
      <w:bookmarkStart w:id="1048" w:name="pg1964_19631"/>
    </w:p>
    <w:p>
      <w:pPr>
        <w:pStyle w:val="BookText"/>
        <w:rPr/>
      </w:pPr>
      <w:bookmarkEnd w:id="1048"/>
      <w:r>
        <w:rPr>
          <w:rFonts w:ascii="IRNazanin" w:hAnsi="IRNazanin" w:eastAsia="IRNazanin"/>
          <w:color w:val="111111"/>
          <w:sz w:val="28"/>
          <w:sz w:val="28"/>
          <w:szCs w:val="28"/>
          <w:rtl w:val="true"/>
          <w:lang w:bidi="fa-IR"/>
        </w:rPr>
        <w:t xml:space="preserve">با عنوان‌هايى،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جُمْجُمَة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شمشير و نيزه خدا كه آن را هرجا بخواهد قرار مى‌دهد، ياد شده است</w:t>
      </w:r>
      <w:r>
        <w:rPr>
          <w:rFonts w:eastAsia="IRNazanin" w:cs="IRNazanin"/>
          <w:color w:val="111111"/>
          <w:sz w:val="28"/>
          <w:szCs w:val="28"/>
          <w:rtl w:val="true"/>
          <w:lang w:bidi="fa-IR"/>
        </w:rPr>
        <w:t xml:space="preserve">. </w:t>
      </w:r>
      <w:r>
        <w:rPr>
          <w:rStyle w:val="FootnoteAnchor"/>
          <w:rtl w:val="true"/>
        </w:rPr>
        <w:footnoteReference w:id="837"/>
      </w:r>
    </w:p>
    <w:p>
      <w:pPr>
        <w:pStyle w:val="Heading5"/>
        <w:numPr>
          <w:ilvl w:val="4"/>
          <w:numId w:val="1"/>
        </w:numPr>
        <w:rPr/>
      </w:pPr>
      <w:bookmarkStart w:id="1049" w:name="__RefHeading___Toc3585315_3650668749"/>
      <w:bookmarkStart w:id="1050" w:name="_Toc454"/>
      <w:bookmarkEnd w:id="1049"/>
      <w:r>
        <w:rPr>
          <w:rtl w:val="true"/>
        </w:rPr>
        <w:t>ب</w:t>
      </w:r>
      <w:r>
        <w:rPr>
          <w:rtl w:val="true"/>
        </w:rPr>
        <w:t xml:space="preserve">) </w:t>
      </w:r>
      <w:r>
        <w:rPr>
          <w:rtl w:val="true"/>
        </w:rPr>
        <w:t>ويژگى‌ها و صفت‌هاى منفى كوفيان</w:t>
      </w:r>
      <w:bookmarkEnd w:id="1050"/>
    </w:p>
    <w:p>
      <w:pPr>
        <w:pStyle w:val="Heading6"/>
        <w:numPr>
          <w:ilvl w:val="5"/>
          <w:numId w:val="1"/>
        </w:numPr>
        <w:rPr/>
      </w:pPr>
      <w:bookmarkStart w:id="1051" w:name="__RefHeading___Toc3585317_3650668749"/>
      <w:bookmarkStart w:id="1052" w:name="_Toc455"/>
      <w:bookmarkEnd w:id="1051"/>
      <w:r>
        <w:rPr>
          <w:rtl w:val="true"/>
        </w:rPr>
        <w:t>اشاره</w:t>
      </w:r>
      <w:bookmarkEnd w:id="1052"/>
    </w:p>
    <w:p>
      <w:pPr>
        <w:pStyle w:val="BookText"/>
        <w:rPr/>
      </w:pPr>
      <w:r>
        <w:rPr>
          <w:rFonts w:ascii="IRNazanin" w:hAnsi="IRNazanin" w:eastAsia="IRNazanin"/>
          <w:color w:val="111111"/>
          <w:sz w:val="28"/>
          <w:sz w:val="28"/>
          <w:szCs w:val="28"/>
          <w:rtl w:val="true"/>
          <w:lang w:bidi="fa-IR"/>
        </w:rPr>
        <w:t>نويسندگان مختلف، ويژگى‌هاى منفى فراوانى براى مردمان كوفه در مقطع تاريخى مورد بحث يادآور شده‌اند كه به ذكر آنها پرداخته مى‌شود و پيش از آن، دو نكته يادآورى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صفت‌ها و ويژگى‌ها به همه اهل كوفه مربوط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صفات در مرحله خاصى بروز داده شده است و چه بسا در مراحل ديگر به ضد اين صفات در ميان كوفيان برخورد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اين ويژگى‌ها عبارت‌اند از</w:t>
      </w:r>
      <w:r>
        <w:rPr>
          <w:rFonts w:eastAsia="IRNazanin" w:cs="IRNazanin"/>
          <w:color w:val="111111"/>
          <w:sz w:val="28"/>
          <w:szCs w:val="28"/>
          <w:rtl w:val="true"/>
          <w:lang w:bidi="fa-IR"/>
        </w:rPr>
        <w:t>:</w:t>
      </w:r>
    </w:p>
    <w:p>
      <w:pPr>
        <w:pStyle w:val="Heading6"/>
        <w:numPr>
          <w:ilvl w:val="5"/>
          <w:numId w:val="1"/>
        </w:numPr>
        <w:rPr/>
      </w:pPr>
      <w:bookmarkStart w:id="1053" w:name="__RefHeading___Toc3585319_3650668749"/>
      <w:bookmarkStart w:id="1054" w:name="_Toc456"/>
      <w:bookmarkEnd w:id="1053"/>
      <w:r>
        <w:rPr>
          <w:rtl w:val="true"/>
        </w:rPr>
        <w:t xml:space="preserve">يك </w:t>
      </w:r>
      <w:r>
        <w:rPr>
          <w:rtl w:val="true"/>
        </w:rPr>
        <w:t xml:space="preserve">- </w:t>
      </w:r>
      <w:r>
        <w:rPr>
          <w:rtl w:val="true"/>
        </w:rPr>
        <w:t>دنياطلبى</w:t>
      </w:r>
      <w:bookmarkEnd w:id="1054"/>
    </w:p>
    <w:p>
      <w:pPr>
        <w:pStyle w:val="BookText"/>
        <w:rPr/>
      </w:pPr>
      <w:r>
        <w:rPr>
          <w:rFonts w:ascii="IRNazanin" w:hAnsi="IRNazanin" w:eastAsia="IRNazanin"/>
          <w:color w:val="111111"/>
          <w:sz w:val="28"/>
          <w:sz w:val="28"/>
          <w:szCs w:val="28"/>
          <w:rtl w:val="true"/>
          <w:lang w:bidi="fa-IR"/>
        </w:rPr>
        <w:t>از همان ابتداى شروع جنگ‌هاى ايران و مسلمانان، گروه‌هايى از قبايل مختلف اعراب به طمع گردآورى غنايم به دنبال سپاه راه افتادند</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اين عده پس از بنيان شدن شهر كوفه، در آن ساكن شده و بر اخلاقيات ديگر مردمان نيز تأثير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اين خصيصه در كوفيان باعث شده بود تا روحيه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به نرخ روز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آورند و از هر جريان و حكومتى كه دنياى آنان را تأمين كند، طرف‌دارى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مختلف تاريخى مؤيد اين مدعاست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جمل كه احتمال پيروزى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سپاه دشمن كم بود، تعداد كمى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پيوستند؛ يعنى دوازده‌هزار نفر كه شايد حدود ده درصد جمعيت كوفه را تشكيل مى‌داد</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گرچه اين تعداد كم از ميان افراد شجاع و</w:t>
      </w:r>
    </w:p>
    <w:p>
      <w:pPr>
        <w:pStyle w:val="BookText"/>
        <w:rPr/>
      </w:pPr>
      <w:r>
        <w:rPr>
          <w:rFonts w:ascii="IRNazanin" w:hAnsi="IRNazanin" w:eastAsia="IRNazanin"/>
          <w:color w:val="111111"/>
          <w:sz w:val="28"/>
          <w:sz w:val="28"/>
          <w:szCs w:val="28"/>
          <w:rtl w:val="true"/>
          <w:lang w:bidi="fa-IR"/>
        </w:rPr>
        <w:t xml:space="preserve">با ايمان كوفه بودند و توانستند سرنوشت جنگ را تغيير دهند، اما پس از پيروزى يكى از اعتراضات اصلى برخى از آنها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تقسيم غنايم بود</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در جنگ صفين كه پايه‌هاى حكومت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شده و احتمال پيروزى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بود، كوفيان رغبت بيشترى به حضور در جنگ نشان دادند، به‌گونه‌اى كه تعداد سپاهيان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هزار نوشته‌اند كه تعداد افراد غير كوفى آن ناچيز بود</w:t>
      </w:r>
      <w:r>
        <w:rPr>
          <w:rFonts w:eastAsia="IRNazanin" w:cs="IRNazanin"/>
          <w:color w:val="111111"/>
          <w:sz w:val="28"/>
          <w:szCs w:val="28"/>
          <w:rtl w:val="true"/>
          <w:lang w:bidi="fa-IR"/>
        </w:rPr>
        <w:t xml:space="preserve">. </w:t>
      </w:r>
      <w:r>
        <w:rPr>
          <w:rStyle w:val="FootnoteAnchor"/>
          <w:rtl w:val="true"/>
        </w:rPr>
        <w:footnoteReference w:id="84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فراوانى از كوفيان به سپاه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پيوستند، اما هنگامى كه ضعف سپاه آن حضرت را مشاهده نمودند، دسته‌دسته خود را بيرون كشيدند</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 xml:space="preserve">تعداد فراوان بيعت كنندگان با حضرت مسلم را كه بين دوازده تا چهل‌هزار نوشته‌اند </w:t>
      </w:r>
      <w:r>
        <w:rPr>
          <w:rStyle w:val="FootnoteAnchor"/>
          <w:rtl w:val="true"/>
        </w:rPr>
        <w:footnoteReference w:id="843"/>
      </w:r>
      <w:r>
        <w:rPr>
          <w:rFonts w:ascii="IRNazanin" w:hAnsi="IRNazanin" w:eastAsia="IRNazanin"/>
          <w:color w:val="111111"/>
          <w:sz w:val="28"/>
          <w:sz w:val="28"/>
          <w:szCs w:val="28"/>
          <w:rtl w:val="true"/>
          <w:lang w:bidi="fa-IR"/>
        </w:rPr>
        <w:t>نيز مى‌توان طبق همين اصل توجيه كرد؛ زيرا در آن هنگام، از سويى به علت مرگ معاويه و جوانى يزيد حكومت مركزى شام را در ضعف مى‌ديدند و از سوى ديگر به علت ضعف فرماندار كوفه، يعنى نعمان بن بشير، او را قادر به مقابله با يك قيام جدى نمى‌ديدند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آن معنا نيست كه همه بيعت‌كنندگان را افرادى دنياطلب بدانيم، بلكه شروع كنندگان به بيعت، افرادى همانند سليمان بن صرد خزاعى بودند كه فردى مخلص و با ايمان و شجاع بود، اما پس از بالا گرفتن كار آنها بسيارى از دنياطلبان به آنها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مردم پس از ورود عبيدالله به كوفه هنوز اميد پيروزى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تعداد زيادى به همراه مسلم در محاصره قصر عبيدالله شركت جستند </w:t>
      </w:r>
      <w:r>
        <w:rPr>
          <w:rStyle w:val="FootnoteAnchor"/>
          <w:rtl w:val="true"/>
        </w:rPr>
        <w:footnoteReference w:id="844"/>
      </w:r>
      <w:r>
        <w:rPr>
          <w:rFonts w:ascii="IRNazanin" w:hAnsi="IRNazanin" w:eastAsia="IRNazanin"/>
          <w:color w:val="111111"/>
          <w:sz w:val="28"/>
          <w:sz w:val="28"/>
          <w:szCs w:val="28"/>
          <w:rtl w:val="true"/>
          <w:lang w:bidi="fa-IR"/>
        </w:rPr>
        <w:t>، اما هنگامى كه احساس خطر نمودند، مسلم و هانى را تنها گذاشته و به خانه‌هاى خود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خطر هنگامى شدت</w:t>
      </w:r>
      <w:bookmarkStart w:id="1055" w:name="pg1964_19633"/>
    </w:p>
    <w:p>
      <w:pPr>
        <w:pStyle w:val="BookText"/>
        <w:rPr/>
      </w:pPr>
      <w:bookmarkEnd w:id="1055"/>
      <w:r>
        <w:rPr>
          <w:rFonts w:ascii="IRNazanin" w:hAnsi="IRNazanin" w:eastAsia="IRNazanin"/>
          <w:color w:val="111111"/>
          <w:sz w:val="28"/>
          <w:sz w:val="28"/>
          <w:szCs w:val="28"/>
          <w:rtl w:val="true"/>
          <w:lang w:bidi="fa-IR"/>
        </w:rPr>
        <w:t>گرفت كه شايعه حركت سپاه شام از سوى طرف‌داران سپاه عبيدالله ميان مردم پخش شد كه ترس از سپاه شام، خود يكى از نتايج دنياطلبى كوفيان مى‌باشد</w:t>
      </w:r>
      <w:r>
        <w:rPr>
          <w:rFonts w:eastAsia="IRNazanin" w:cs="IRNazanin"/>
          <w:color w:val="111111"/>
          <w:sz w:val="28"/>
          <w:szCs w:val="28"/>
          <w:rtl w:val="true"/>
          <w:lang w:bidi="fa-IR"/>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در سرزمين كربلا اين چنين به دنياطلبى كوفيان تصريح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بندگان دنيايند و دين مانند امرى ليسيدنى بر زبان آنها افتاده است، تا هنگامى دنبال دين مى‌روند كه معيشت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برقرار باشد، اما هنگامى كه در امتحان افتند، دين‌داران اندك خواهند بود</w:t>
      </w:r>
      <w:r>
        <w:rPr>
          <w:rFonts w:eastAsia="IRNazanin" w:cs="IRNazanin"/>
          <w:color w:val="111111"/>
          <w:sz w:val="28"/>
          <w:szCs w:val="28"/>
          <w:rtl w:val="true"/>
          <w:lang w:bidi="fa-IR"/>
        </w:rPr>
        <w:t xml:space="preserve">. </w:t>
      </w:r>
      <w:r>
        <w:rPr>
          <w:rStyle w:val="FootnoteAnchor"/>
          <w:rtl w:val="true"/>
        </w:rPr>
        <w:footnoteReference w:id="846"/>
      </w:r>
    </w:p>
    <w:p>
      <w:pPr>
        <w:pStyle w:val="Heading6"/>
        <w:numPr>
          <w:ilvl w:val="5"/>
          <w:numId w:val="1"/>
        </w:numPr>
        <w:rPr/>
      </w:pPr>
      <w:bookmarkStart w:id="1056" w:name="__RefHeading___Toc3585321_3650668749"/>
      <w:bookmarkStart w:id="1057" w:name="_Toc457"/>
      <w:bookmarkEnd w:id="1056"/>
      <w:r>
        <w:rPr>
          <w:rtl w:val="true"/>
        </w:rPr>
        <w:t xml:space="preserve">دو </w:t>
      </w:r>
      <w:r>
        <w:rPr>
          <w:rtl w:val="true"/>
        </w:rPr>
        <w:t xml:space="preserve">- </w:t>
      </w:r>
      <w:r>
        <w:rPr>
          <w:rtl w:val="true"/>
        </w:rPr>
        <w:t>نظام‌ناپذيرى</w:t>
      </w:r>
      <w:bookmarkEnd w:id="1057"/>
    </w:p>
    <w:p>
      <w:pPr>
        <w:pStyle w:val="BookText"/>
        <w:rPr/>
      </w:pPr>
      <w:r>
        <w:rPr>
          <w:rFonts w:ascii="Amiri" w:hAnsi="Amiri" w:eastAsia="Amiri" w:cs="Amiri"/>
          <w:color w:val="111111"/>
          <w:sz w:val="28"/>
          <w:sz w:val="28"/>
          <w:szCs w:val="28"/>
          <w:rtl w:val="true"/>
          <w:lang w:bidi="ar-SA"/>
        </w:rPr>
        <w:t xml:space="preserve">بيشتر ساكنان كوفه را مردمى تشكيل مى‌دادند كه قبل از شهرنشين شدن، در ميان قبايل خود و در صحراها و بيابان‌ها ساكن بودند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نقشه‌هاى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بدويت عربى بر آنها حاكم بود و اين اولين بار بود كه تجربه شهرنشينى را آزمايش مى‌كردند</w:t>
      </w:r>
      <w:r>
        <w:rPr>
          <w:rFonts w:eastAsia="Amiri" w:cs="Amiri" w:ascii="Amiri" w:hAnsi="Amiri"/>
          <w:color w:val="111111"/>
          <w:sz w:val="28"/>
          <w:szCs w:val="28"/>
          <w:rtl w:val="true"/>
          <w:lang w:bidi="ar-SA"/>
        </w:rPr>
        <w:t xml:space="preserve">. </w:t>
      </w:r>
      <w:r>
        <w:rPr>
          <w:rStyle w:val="FootnoteAnchor"/>
          <w:rtl w:val="true"/>
        </w:rPr>
        <w:footnoteReference w:id="847"/>
      </w:r>
      <w:r>
        <w:rPr>
          <w:rFonts w:ascii="IRNazanin" w:hAnsi="IRNazanin" w:eastAsia="IRNazanin"/>
          <w:color w:val="111111"/>
          <w:sz w:val="28"/>
          <w:sz w:val="28"/>
          <w:szCs w:val="28"/>
          <w:rtl w:val="true"/>
          <w:lang w:bidi="fa-IR"/>
        </w:rPr>
        <w:t>يكى از صفت‌هاى اين صحرانشينان، آزادى بى‌حدّ و حصرى بود كه در صحرا و بيابان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باعث مى‌شد تا در مقابل قوانين يك نظام منسجم، تحمل كمترى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مردم شام كه قرن‌ها از شهرنشينى آنها مى‌گذشت، ازاين‌رو در مقابل حكومت، مردمى مطيع و آرام بودند</w:t>
      </w:r>
      <w:r>
        <w:rPr>
          <w:rFonts w:eastAsia="IRNazanin" w:cs="IRNazanin"/>
          <w:color w:val="111111"/>
          <w:sz w:val="28"/>
          <w:szCs w:val="28"/>
          <w:rtl w:val="true"/>
          <w:lang w:bidi="fa-IR"/>
        </w:rPr>
        <w:t xml:space="preserve">. </w:t>
      </w:r>
      <w:r>
        <w:rPr>
          <w:rStyle w:val="FootnoteAnchor"/>
          <w:rtl w:val="true"/>
        </w:rPr>
        <w:footnoteReference w:id="84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صفت كوفيان باعث مى‌شد تا آنان دائماً با اميران و واليان خود نزاع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همين ويژگى بود كه خليفه دوم، عمر بن خطاب را از دست خود به ستوه آوردند، به‌طورى كه در مقام گلايه و شكوه از آنان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مصيبتى بالاتر از اينكه با صد هزار جمعيت روبه‌رو باشى كه نه آنها از اميران خود خشنودند و نه اميران از دست آنان رضايت دارند</w:t>
      </w:r>
      <w:r>
        <w:rPr>
          <w:rFonts w:eastAsia="IRNazanin" w:cs="IRNazanin"/>
          <w:color w:val="111111"/>
          <w:sz w:val="28"/>
          <w:szCs w:val="28"/>
          <w:rtl w:val="true"/>
          <w:lang w:bidi="fa-IR"/>
        </w:rPr>
        <w:t xml:space="preserve">» .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در اينجا نمونه‌هايى چند از برخورد كوفيان را با اميران خود، اعم از اينكه حق با آنان بوده يا نبوده است، يادآور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كوفيان به اولين امير خود، سعد بن ابى‌وقاص با اين بهانه كه او نماز را نيكو نمى‌خواند </w:t>
      </w:r>
      <w:r>
        <w:rPr>
          <w:rStyle w:val="FootnoteAnchor"/>
          <w:rtl w:val="true"/>
        </w:rPr>
        <w:footnoteReference w:id="850"/>
      </w:r>
      <w:r>
        <w:rPr>
          <w:rFonts w:ascii="IRNazanin" w:hAnsi="IRNazanin" w:eastAsia="IRNazanin"/>
          <w:color w:val="111111"/>
          <w:sz w:val="28"/>
          <w:sz w:val="28"/>
          <w:szCs w:val="28"/>
          <w:rtl w:val="true"/>
          <w:lang w:bidi="fa-IR"/>
        </w:rPr>
        <w:t>و نيز بيت‌المال را به‌طور مساوات تقسيم نمى‌كند و در ميان رعيت به عدالت رفتار نمى‌نمايد و خود هنگام جنگ در صحنه نبرد حاضر نمى‌شود، اعتراض كردند و سعد در مقابل، كوفيان را اين چنين نفرين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هيچ اميرى را از آنان راضى نگردان و آنان را نيز از اميرانشان خشنود نفرما</w:t>
      </w:r>
      <w:r>
        <w:rPr>
          <w:rFonts w:eastAsia="IRNazanin" w:cs="IRNazanin"/>
          <w:color w:val="111111"/>
          <w:sz w:val="28"/>
          <w:szCs w:val="28"/>
          <w:rtl w:val="true"/>
          <w:lang w:bidi="fa-IR"/>
        </w:rPr>
        <w:t xml:space="preserve">» . </w:t>
      </w:r>
      <w:r>
        <w:rPr>
          <w:rStyle w:val="FootnoteAnchor"/>
          <w:rtl w:val="true"/>
        </w:rPr>
        <w:footnoteReference w:id="8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پس از شكايات مردم، سعد را عزل نمود و عمار ياسر، اين صحابى بزرگوار را جانشين او ساخت، اما مردم از او نيز با اين بهانه كه ضعيف است و سياست نمى‌داند، شكايت كردند، ازاين‌رو عمر پس از يك سال و نه ماه او را عزل كرد</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عمار، ابوموسى اشعرى از سوى عُمر جانشين او شد و يك سال بر آنان حكومت راند، اما مردم كوفه پس از يك‌سال به بهانه اينكه غلام او در محل پل كوفه به خريد و فروش علف مشغول شده، از او نزد عمر شكايت كردند و عمر نيز او را بركنار و به سمت فرماندارى بصره منصوب كرد</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كوفيان در حضور والى خود سعيد بن عاص و در مجلس او، رئيس شرطه او را چنان كتك زدند كه از هوش رفت</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نوشتيم كه به علت شراب‌خوارگى وليد بن عقبه، والى كوفه در زمان عثمان، به حق به عثمان شكايت كرده و زمينه عزل و حد خوردن او را فراهم كردند</w:t>
      </w:r>
      <w:r>
        <w:rPr>
          <w:rFonts w:eastAsia="IRNazanin" w:cs="IRNazanin"/>
          <w:color w:val="111111"/>
          <w:sz w:val="28"/>
          <w:szCs w:val="28"/>
          <w:rtl w:val="true"/>
          <w:lang w:bidi="fa-IR"/>
        </w:rPr>
        <w:t xml:space="preserve">. </w:t>
      </w:r>
      <w:r>
        <w:rPr>
          <w:rStyle w:val="FootnoteAnchor"/>
          <w:rtl w:val="true"/>
        </w:rPr>
        <w:footnoteReference w:id="855"/>
      </w:r>
      <w:bookmarkStart w:id="1058" w:name="pg1964_19635"/>
    </w:p>
    <w:p>
      <w:pPr>
        <w:pStyle w:val="BookText"/>
        <w:rPr/>
      </w:pPr>
      <w:bookmarkEnd w:id="1058"/>
      <w:r>
        <w:rPr>
          <w:rFonts w:ascii="Amiri" w:hAnsi="Amiri" w:eastAsia="Amiri" w:cs="Amiri"/>
          <w:color w:val="111111"/>
          <w:sz w:val="28"/>
          <w:sz w:val="28"/>
          <w:szCs w:val="28"/>
          <w:rtl w:val="true"/>
          <w:lang w:bidi="ar-SA"/>
        </w:rPr>
        <w:t xml:space="preserve">با توجه به همين روحيه كوفيان بود كه تنها واليانى توانستند در كوفه دوام بياورند كه يا مانند مغيرة بن شعبه </w:t>
      </w:r>
      <w:r>
        <w:rPr>
          <w:rStyle w:val="FootnoteAnchor"/>
          <w:rtl w:val="true"/>
        </w:rPr>
        <w:footnoteReference w:id="856"/>
      </w:r>
      <w:r>
        <w:rPr>
          <w:rFonts w:ascii="Amiri" w:hAnsi="Amiri" w:eastAsia="Amiri" w:cs="Amiri"/>
          <w:color w:val="111111"/>
          <w:sz w:val="28"/>
          <w:sz w:val="28"/>
          <w:szCs w:val="28"/>
          <w:rtl w:val="true"/>
          <w:lang w:bidi="ar-SA"/>
        </w:rPr>
        <w:t xml:space="preserve">و نعمان بن بشير </w:t>
      </w:r>
      <w:r>
        <w:rPr>
          <w:rStyle w:val="FootnoteAnchor"/>
          <w:rtl w:val="true"/>
        </w:rPr>
        <w:footnoteReference w:id="857"/>
      </w:r>
      <w:r>
        <w:rPr>
          <w:rFonts w:ascii="IRNazanin" w:hAnsi="IRNazanin" w:eastAsia="IRNazanin"/>
          <w:color w:val="111111"/>
          <w:sz w:val="28"/>
          <w:sz w:val="28"/>
          <w:szCs w:val="28"/>
          <w:rtl w:val="true"/>
          <w:lang w:bidi="fa-IR"/>
        </w:rPr>
        <w:t>به‌گونه‌اى رفتار نمايند كه كمترين برخورد را با عقايد گروه‌هاى مختلف كوفه داشته باشند و يا مانند زياد و عبيدالله پسرش با شدت عمل و ديكتاتورى حكمرانى كنند</w:t>
      </w:r>
      <w:r>
        <w:rPr>
          <w:rFonts w:eastAsia="IRNazanin" w:cs="IRNazanin"/>
          <w:color w:val="111111"/>
          <w:sz w:val="28"/>
          <w:szCs w:val="28"/>
          <w:rtl w:val="true"/>
          <w:lang w:bidi="fa-IR"/>
        </w:rPr>
        <w:t>.</w:t>
      </w:r>
    </w:p>
    <w:p>
      <w:pPr>
        <w:pStyle w:val="Heading6"/>
        <w:numPr>
          <w:ilvl w:val="5"/>
          <w:numId w:val="1"/>
        </w:numPr>
        <w:rPr/>
      </w:pPr>
      <w:bookmarkStart w:id="1059" w:name="__RefHeading___Toc3585323_3650668749"/>
      <w:bookmarkStart w:id="1060" w:name="_Toc458"/>
      <w:bookmarkEnd w:id="1059"/>
      <w:r>
        <w:rPr>
          <w:rtl w:val="true"/>
        </w:rPr>
        <w:t xml:space="preserve">سه </w:t>
      </w:r>
      <w:r>
        <w:rPr>
          <w:rtl w:val="true"/>
        </w:rPr>
        <w:t xml:space="preserve">- </w:t>
      </w:r>
      <w:r>
        <w:rPr>
          <w:rtl w:val="true"/>
        </w:rPr>
        <w:t>اجتهادات نابجا</w:t>
      </w:r>
      <w:bookmarkEnd w:id="1060"/>
    </w:p>
    <w:p>
      <w:pPr>
        <w:pStyle w:val="BookText"/>
        <w:rPr/>
      </w:pPr>
      <w:r>
        <w:rPr>
          <w:rFonts w:ascii="IRNazanin" w:hAnsi="IRNazanin" w:eastAsia="IRNazanin"/>
          <w:color w:val="111111"/>
          <w:sz w:val="28"/>
          <w:sz w:val="28"/>
          <w:szCs w:val="28"/>
          <w:rtl w:val="true"/>
          <w:lang w:bidi="fa-IR"/>
        </w:rPr>
        <w:t>اين خصيصه را در حقيقت مى‌توان از نتايج خصيصه قبل دانست، اما به اين دليل آن را جداگانه يادآور شديم كه در اين خصيصه، علم با نظام ناپذيرى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كه در ميان آنها صحابه و قاريان فراوانى موجود بودند، خود را در بيشتر مسائل حكومتى و جنگى صاحب‌نظر دانسته و در مقابلِ حكومت بر نظر خود پافشارى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اين اجتهاد نابجا را مى‌توان در جنگ صفين كه باعث مخالفت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تشكيل گروه خوارج شد، مشاهده كرد</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 xml:space="preserve">همچنين در جريان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اظهارنظر گروه‌هاى مختلف در مقابل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 xml:space="preserve">. </w:t>
      </w:r>
      <w:r>
        <w:rPr>
          <w:rStyle w:val="FootnoteAnchor"/>
          <w:rtl w:val="true"/>
        </w:rPr>
        <w:footnoteReference w:id="859"/>
      </w:r>
    </w:p>
    <w:p>
      <w:pPr>
        <w:pStyle w:val="Heading6"/>
        <w:numPr>
          <w:ilvl w:val="5"/>
          <w:numId w:val="1"/>
        </w:numPr>
        <w:rPr/>
      </w:pPr>
      <w:bookmarkStart w:id="1061" w:name="__RefHeading___Toc3585325_3650668749"/>
      <w:bookmarkStart w:id="1062" w:name="_Toc459"/>
      <w:bookmarkEnd w:id="1061"/>
      <w:r>
        <w:rPr>
          <w:rtl w:val="true"/>
        </w:rPr>
        <w:t xml:space="preserve">چهار </w:t>
      </w:r>
      <w:r>
        <w:rPr>
          <w:rtl w:val="true"/>
        </w:rPr>
        <w:t xml:space="preserve">- </w:t>
      </w:r>
      <w:r>
        <w:rPr>
          <w:rtl w:val="true"/>
        </w:rPr>
        <w:t>تابع احساسات بودن</w:t>
      </w:r>
      <w:bookmarkEnd w:id="106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خصيصه را مى‌توان با مطالعه مقاطع مختلف حيات كوفه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بسيارى از جريان‌ها نشان مى‌دهد كه احساسات كوفيان به وسيله سخنرانى سخنرانان يا هر عامل ديگرى تحريك شده و آنها را وادار به انجام كارى كرده، اما پس از فروكش نمودن احساسات، از عزم خود برگشته و از ادامه آن كار منصرف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را مى‌توان در بيعت با مسلم و حمله به قصر و تنها</w:t>
      </w:r>
      <w:bookmarkStart w:id="1063" w:name="pg1964_19636"/>
    </w:p>
    <w:p>
      <w:pPr>
        <w:pStyle w:val="BookText"/>
        <w:rPr/>
      </w:pPr>
      <w:bookmarkEnd w:id="1063"/>
      <w:r>
        <w:rPr>
          <w:rFonts w:ascii="IRNazanin" w:hAnsi="IRNazanin" w:eastAsia="IRNazanin"/>
          <w:color w:val="111111"/>
          <w:sz w:val="28"/>
          <w:sz w:val="28"/>
          <w:szCs w:val="28"/>
          <w:rtl w:val="true"/>
          <w:lang w:bidi="fa-IR"/>
        </w:rPr>
        <w:t>گذاشتن او مشاهده كرد</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همچنين محاصره قصر عبيدالله به وسيله قبيله مذحج در اعتراض به دست‌گيرى هانى را مى‌توان شاهد خوبى بر اين مدعا دانست</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 xml:space="preserve">و نيز گريه كردن كوفيان بعد از جريان كربلا به وسيله سخنرانى ام‌كلثوم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نمونه ديگرى از اين ويژگى آنها به شمار آورد</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ابن‌كوّاء در باره اين صفت كوفيان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كارها با هم متفق شده و سپس دسته‌دسته خود را از آن بيرون مى‌كشند</w:t>
      </w:r>
      <w:r>
        <w:rPr>
          <w:rFonts w:eastAsia="IRNazanin" w:cs="IRNazanin"/>
          <w:color w:val="111111"/>
          <w:sz w:val="28"/>
          <w:szCs w:val="28"/>
          <w:rtl w:val="true"/>
          <w:lang w:bidi="fa-IR"/>
        </w:rPr>
        <w:t xml:space="preserve">» .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اين خصيصه در ميان كوفيان تا به آن حد رسيده بود كه فرماندهان و حكمرانان لايقى، همچون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تشويق و ترغيب مردم به جنگ، چاره‌اى جز استفاده از ابزار تحريك كننده احساسات، يعنى سخنرانى و سخنرانان و خطبا نداشتند، همانند آنچه پيش از جنگ جمل انجام شد</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طبعاً هرگاه طرف مقابل نيز از ابزار تحريك كننده احساسات استفاده مى‌كرد، اين فرماندهان دچار مشكل مى‌شدند، چنان‌كه اين امر را مى‌توان در جنگ صفين هنگام برافراشتن قرآن‌ها بر سرنيزه‌ها مشاهده كرد</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شايد يكى از علل اصلى اين خصيصه، رسوخ نكردن ايمان در قلب‌هاى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از افراد و قبايلى كه با ديدن شوكت اسلام به آن پيوستند و براى دنياى خود به جنگ رفتند، انتظارى جز اين نمى‌توان داشت</w:t>
      </w:r>
      <w:r>
        <w:rPr>
          <w:rFonts w:eastAsia="IRNazanin" w:cs="IRNazanin"/>
          <w:color w:val="111111"/>
          <w:sz w:val="28"/>
          <w:szCs w:val="28"/>
          <w:rtl w:val="true"/>
          <w:lang w:bidi="fa-IR"/>
        </w:rPr>
        <w:t>.</w:t>
      </w:r>
    </w:p>
    <w:p>
      <w:pPr>
        <w:pStyle w:val="Heading6"/>
        <w:numPr>
          <w:ilvl w:val="5"/>
          <w:numId w:val="1"/>
        </w:numPr>
        <w:rPr/>
      </w:pPr>
      <w:bookmarkStart w:id="1064" w:name="__RefHeading___Toc3585327_3650668749"/>
      <w:bookmarkStart w:id="1065" w:name="_Toc460"/>
      <w:bookmarkEnd w:id="1064"/>
      <w:r>
        <w:rPr>
          <w:rtl w:val="true"/>
        </w:rPr>
        <w:t xml:space="preserve">پنج </w:t>
      </w:r>
      <w:r>
        <w:rPr>
          <w:rtl w:val="true"/>
        </w:rPr>
        <w:t xml:space="preserve">- </w:t>
      </w:r>
      <w:r>
        <w:rPr>
          <w:rtl w:val="true"/>
        </w:rPr>
        <w:t>غَدَر و فريب‌كارى</w:t>
      </w:r>
      <w:bookmarkEnd w:id="106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خصيصه به قدرى در ميان كوفيان مشهور بود كه عرب، ضرب‌المثل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اَغْدَرُ مِنَ الكوفى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فريب‌كارتر از 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آن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خصيصه را مى‌توان معلول</w:t>
      </w:r>
    </w:p>
    <w:p>
      <w:pPr>
        <w:pStyle w:val="BookText"/>
        <w:rPr/>
      </w:pPr>
      <w:r>
        <w:rPr>
          <w:rFonts w:ascii="IRNazanin" w:hAnsi="IRNazanin" w:eastAsia="IRNazanin"/>
          <w:color w:val="111111"/>
          <w:sz w:val="28"/>
          <w:sz w:val="28"/>
          <w:szCs w:val="28"/>
          <w:rtl w:val="true"/>
          <w:lang w:bidi="fa-IR"/>
        </w:rPr>
        <w:t>دنياطلبى و احساساتى بودن آنان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عبارت‌هاى تاريخى، عبارت‌هايى مشاهده مى‌شود كه وجود اين صفت را در كوفيان يادآور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ذكر چند نمونه از آنها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كوفيان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هنگام آرامش مانند شيريد و هنگام جنگ به روباه شبيه مى‌شويد</w:t>
      </w:r>
      <w:r>
        <w:rPr>
          <w:rFonts w:eastAsia="IRNazanin" w:cs="IRNazanin"/>
          <w:color w:val="111111"/>
          <w:sz w:val="28"/>
          <w:szCs w:val="28"/>
          <w:rtl w:val="true"/>
          <w:lang w:bidi="fa-IR"/>
        </w:rPr>
        <w:t xml:space="preserve">» . </w:t>
      </w:r>
      <w:r>
        <w:rPr>
          <w:rStyle w:val="FootnoteAnchor"/>
          <w:rtl w:val="true"/>
        </w:rPr>
        <w:footnoteReference w:id="8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شكايت به خدواند از كوفيان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با هرچه براى آنان خيرخواهى كردم، جواب مرا با فريب دادند و هرگاه آنان را امين شمردم به من خيانت كردند</w:t>
      </w:r>
      <w:r>
        <w:rPr>
          <w:rFonts w:eastAsia="IRNazanin" w:cs="IRNazanin"/>
          <w:color w:val="111111"/>
          <w:sz w:val="28"/>
          <w:szCs w:val="28"/>
          <w:rtl w:val="true"/>
          <w:lang w:bidi="fa-IR"/>
        </w:rPr>
        <w:t xml:space="preserve">» . </w:t>
      </w:r>
      <w:r>
        <w:rPr>
          <w:rStyle w:val="FootnoteAnchor"/>
          <w:rtl w:val="true"/>
        </w:rPr>
        <w:footnoteReference w:id="8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در باره كوفيان طى جريانى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قَوْمٌ خَدِع </w:t>
      </w:r>
      <w:r>
        <w:rPr>
          <w:rFonts w:eastAsia="IRNazanin" w:cs="IRNazanin"/>
          <w:color w:val="111111"/>
          <w:sz w:val="28"/>
          <w:szCs w:val="28"/>
          <w:rtl w:val="true"/>
          <w:lang w:bidi="fa-IR"/>
        </w:rPr>
        <w:t xml:space="preserve">» </w:t>
      </w:r>
      <w:r>
        <w:rPr>
          <w:rStyle w:val="FootnoteAnchor"/>
          <w:rtl w:val="true"/>
        </w:rPr>
        <w:footnoteReference w:id="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مردمى فريب‌كارند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طى نصيحت‌هاى خود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باز داشتن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حركت به سمت كوفه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أْهلَ الْعَراقِ قَوْمٌ غُدَرٌ فَلا تَقْرِبَنَّهُمْ </w:t>
      </w:r>
      <w:r>
        <w:rPr>
          <w:rFonts w:eastAsia="IRNazanin" w:cs="IRNazanin"/>
          <w:color w:val="111111"/>
          <w:sz w:val="28"/>
          <w:szCs w:val="28"/>
          <w:rtl w:val="true"/>
          <w:lang w:bidi="fa-IR"/>
        </w:rPr>
        <w:t xml:space="preserve">» </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اهل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فريب‌كارند، پس مبادا كه نزديك آنان شوى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آخرين ساعت‌هاى حيات خود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أهْلَ الْعَراقِ غَرُّوني و خَدَعُوني</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همانا اهل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فريب دادند و از راه خدعه و نيرنگ وارد شدند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لحظات حيات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تو خود ميان ما و گروهى كه ما را فريب داده و تكذيب نمودند و آن‌گاه ما را خوار كرده و كشتند، حكم فرما</w:t>
      </w:r>
      <w:r>
        <w:rPr>
          <w:rFonts w:eastAsia="IRNazanin" w:cs="IRNazanin"/>
          <w:color w:val="111111"/>
          <w:sz w:val="28"/>
          <w:szCs w:val="28"/>
          <w:rtl w:val="true"/>
          <w:lang w:bidi="fa-IR"/>
        </w:rPr>
        <w:t xml:space="preserve">» . </w:t>
      </w:r>
      <w:r>
        <w:rPr>
          <w:rStyle w:val="FootnoteAnchor"/>
          <w:rtl w:val="true"/>
        </w:rPr>
        <w:footnoteReference w:id="871"/>
      </w:r>
      <w:bookmarkStart w:id="1066" w:name="pg1964_19638"/>
    </w:p>
    <w:p>
      <w:pPr>
        <w:pStyle w:val="BookText"/>
        <w:rPr/>
      </w:pPr>
      <w:bookmarkEnd w:id="1066"/>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سخنرانى خود خطاب به كوفيان، هنگام ورود اسراى كربلا به كوفه، اين خصيصه آنان را يادآور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سخنرانى، كوفيان كه احساساتشان به جوش آمده بود،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كه رهبرى آنان را بر عهده گيرد و خود را تسليم دستورات او دانستند،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اَيُّها الغَدَرَةُ المَكَرَة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فريب‌كاران مكار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رد به سينه آنان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067" w:name="__RefHeading___Toc3585329_3650668749"/>
      <w:bookmarkStart w:id="1068" w:name="_Toc461"/>
      <w:bookmarkEnd w:id="1067"/>
      <w:r>
        <w:rPr>
          <w:rtl w:val="true"/>
        </w:rPr>
        <w:t xml:space="preserve">شش </w:t>
      </w:r>
      <w:r>
        <w:rPr>
          <w:rtl w:val="true"/>
        </w:rPr>
        <w:t xml:space="preserve">- </w:t>
      </w:r>
      <w:r>
        <w:rPr>
          <w:rtl w:val="true"/>
        </w:rPr>
        <w:t>بخل</w:t>
      </w:r>
      <w:bookmarkEnd w:id="1068"/>
    </w:p>
    <w:p>
      <w:pPr>
        <w:pStyle w:val="BookText"/>
        <w:rPr/>
      </w:pPr>
      <w:r>
        <w:rPr>
          <w:rFonts w:ascii="IRNazanin" w:hAnsi="IRNazanin" w:eastAsia="IRNazanin"/>
          <w:color w:val="111111"/>
          <w:sz w:val="28"/>
          <w:sz w:val="28"/>
          <w:szCs w:val="28"/>
          <w:rtl w:val="true"/>
          <w:lang w:bidi="fa-IR"/>
        </w:rPr>
        <w:t>اين صفت از سوى حُذَيفه به كوفيان نسبت داده شده و گفته است كه آن را از فارسيان گرفته‌اند</w:t>
      </w:r>
      <w:r>
        <w:rPr>
          <w:rFonts w:eastAsia="IRNazanin" w:cs="IRNazanin"/>
          <w:color w:val="111111"/>
          <w:sz w:val="28"/>
          <w:szCs w:val="28"/>
          <w:rtl w:val="true"/>
          <w:lang w:bidi="fa-IR"/>
        </w:rPr>
        <w:t xml:space="preserve">. </w:t>
      </w:r>
      <w:r>
        <w:rPr>
          <w:rStyle w:val="FootnoteAnchor"/>
          <w:rtl w:val="true"/>
        </w:rPr>
        <w:footnoteReference w:id="872"/>
      </w:r>
    </w:p>
    <w:p>
      <w:pPr>
        <w:pStyle w:val="Heading6"/>
        <w:numPr>
          <w:ilvl w:val="5"/>
          <w:numId w:val="1"/>
        </w:numPr>
        <w:rPr/>
      </w:pPr>
      <w:bookmarkStart w:id="1069" w:name="__RefHeading___Toc3585331_3650668749"/>
      <w:bookmarkStart w:id="1070" w:name="_Toc462"/>
      <w:bookmarkEnd w:id="1069"/>
      <w:r>
        <w:rPr>
          <w:rtl w:val="true"/>
        </w:rPr>
        <w:t xml:space="preserve">هفت </w:t>
      </w:r>
      <w:r>
        <w:rPr>
          <w:rtl w:val="true"/>
        </w:rPr>
        <w:t xml:space="preserve">- </w:t>
      </w:r>
      <w:r>
        <w:rPr>
          <w:rtl w:val="true"/>
        </w:rPr>
        <w:t>خيانت‌گرى</w:t>
      </w:r>
      <w:bookmarkEnd w:id="1070"/>
    </w:p>
    <w:p>
      <w:pPr>
        <w:pStyle w:val="BookText"/>
        <w:rPr/>
      </w:pPr>
      <w:r>
        <w:rPr>
          <w:rFonts w:ascii="Amiri" w:hAnsi="Amiri" w:eastAsia="Amiri" w:cs="Amiri"/>
          <w:color w:val="111111"/>
          <w:sz w:val="28"/>
          <w:sz w:val="28"/>
          <w:szCs w:val="28"/>
          <w:rtl w:val="true"/>
          <w:lang w:bidi="ar-SA"/>
        </w:rPr>
        <w:t>اين صفت نيز از سوى حذيفه به كوفيان نسبت داده شده و اكتساب آن را از نَبطيان دانسته است</w:t>
      </w:r>
      <w:r>
        <w:rPr>
          <w:rFonts w:eastAsia="Amiri" w:cs="Amiri" w:ascii="Amiri" w:hAnsi="Amiri"/>
          <w:color w:val="111111"/>
          <w:sz w:val="28"/>
          <w:szCs w:val="28"/>
          <w:rtl w:val="true"/>
          <w:lang w:bidi="ar-SA"/>
        </w:rPr>
        <w:t xml:space="preserve">. </w:t>
      </w:r>
      <w:r>
        <w:rPr>
          <w:rStyle w:val="FootnoteAnchor"/>
          <w:rtl w:val="true"/>
        </w:rPr>
        <w:footnoteReference w:id="873"/>
      </w:r>
    </w:p>
    <w:p>
      <w:pPr>
        <w:pStyle w:val="Heading4"/>
        <w:numPr>
          <w:ilvl w:val="3"/>
          <w:numId w:val="1"/>
        </w:numPr>
        <w:rPr/>
      </w:pPr>
      <w:bookmarkStart w:id="1071" w:name="__RefHeading___Toc3585333_3650668749"/>
      <w:bookmarkStart w:id="1072" w:name="_Toc463"/>
      <w:bookmarkEnd w:id="1071"/>
      <w:r>
        <w:rPr/>
        <w:t>٢</w:t>
      </w:r>
      <w:r>
        <w:rPr>
          <w:rtl w:val="true"/>
        </w:rPr>
        <w:t xml:space="preserve">. </w:t>
      </w:r>
      <w:r>
        <w:rPr>
          <w:rtl w:val="true"/>
        </w:rPr>
        <w:t>مناسبات انسانى</w:t>
      </w:r>
      <w:bookmarkEnd w:id="1072"/>
    </w:p>
    <w:p>
      <w:pPr>
        <w:pStyle w:val="Heading5"/>
        <w:numPr>
          <w:ilvl w:val="4"/>
          <w:numId w:val="1"/>
        </w:numPr>
        <w:rPr/>
      </w:pPr>
      <w:bookmarkStart w:id="1073" w:name="__RefHeading___Toc3585335_3650668749"/>
      <w:bookmarkStart w:id="1074" w:name="_Toc464"/>
      <w:bookmarkEnd w:id="1073"/>
      <w:r>
        <w:rPr>
          <w:rtl w:val="true"/>
        </w:rPr>
        <w:t>اشاره</w:t>
      </w:r>
      <w:bookmarkEnd w:id="107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مناسبات انسانى شامل رفتارها و برخوردهاى معمولى و روزمره مردم با يكديگر مى‌شود، در ميان كتاب‌هاى تاريخى، كمتر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از گوشه‌اى از اين مناسبات، ناچار بايد از كتب روايى خود و رواياتى كه در ابواب مختلف معاشرت وارد شده است، استفاده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دقيق‌تر شدن بحث، خود را محدود به استفاده از رواياتى مى‌نماييم كه از زبان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مقاطع تاريخى مورد بحث، يعنى از صدر اسلام تا ابتداى نيمه دوم قرن اول هجرى صادر شده است</w:t>
      </w:r>
      <w:r>
        <w:rPr>
          <w:rFonts w:eastAsia="IRNazanin" w:cs="IRNazanin"/>
          <w:color w:val="111111"/>
          <w:sz w:val="28"/>
          <w:szCs w:val="28"/>
          <w:rtl w:val="true"/>
          <w:lang w:bidi="fa-IR"/>
        </w:rPr>
        <w:t>.</w:t>
      </w:r>
      <w:bookmarkStart w:id="1075" w:name="pg1964_19639"/>
    </w:p>
    <w:p>
      <w:pPr>
        <w:pStyle w:val="Heading5"/>
        <w:numPr>
          <w:ilvl w:val="4"/>
          <w:numId w:val="1"/>
        </w:numPr>
        <w:rPr/>
      </w:pPr>
      <w:bookmarkStart w:id="1076" w:name="__RefHeading___Toc3585337_3650668749"/>
      <w:bookmarkStart w:id="1077" w:name="_Toc465"/>
      <w:bookmarkEnd w:id="1075"/>
      <w:bookmarkEnd w:id="1076"/>
      <w:r>
        <w:rPr>
          <w:rtl w:val="true"/>
        </w:rPr>
        <w:t>الف</w:t>
      </w:r>
      <w:r>
        <w:rPr>
          <w:rtl w:val="true"/>
        </w:rPr>
        <w:t xml:space="preserve">) </w:t>
      </w:r>
      <w:r>
        <w:rPr>
          <w:rtl w:val="true"/>
        </w:rPr>
        <w:t>سلام كردن</w:t>
      </w:r>
      <w:bookmarkEnd w:id="1077"/>
    </w:p>
    <w:p>
      <w:pPr>
        <w:pStyle w:val="BookText"/>
        <w:rPr/>
      </w:pPr>
      <w:r>
        <w:rPr>
          <w:rFonts w:ascii="Amiri" w:hAnsi="Amiri" w:eastAsia="Amiri" w:cs="Amiri"/>
          <w:color w:val="111111"/>
          <w:sz w:val="28"/>
          <w:sz w:val="28"/>
          <w:szCs w:val="28"/>
          <w:rtl w:val="true"/>
          <w:lang w:bidi="ar-SA"/>
        </w:rPr>
        <w:t>سلام نمودن يكى از آداب اسلامى است كه در قرآن نيز به آن سفارش شده است</w:t>
      </w:r>
      <w:r>
        <w:rPr>
          <w:rFonts w:eastAsia="Amiri" w:cs="Amiri" w:ascii="Amiri" w:hAnsi="Amiri"/>
          <w:color w:val="111111"/>
          <w:sz w:val="28"/>
          <w:szCs w:val="28"/>
          <w:rtl w:val="true"/>
          <w:lang w:bidi="ar-SA"/>
        </w:rPr>
        <w:t xml:space="preserve">. </w:t>
      </w:r>
      <w:r>
        <w:rPr>
          <w:rStyle w:val="FootnoteAnchor"/>
          <w:rtl w:val="true"/>
        </w:rPr>
        <w:footnoteReference w:id="874"/>
      </w:r>
      <w:r>
        <w:rPr>
          <w:rFonts w:ascii="IRNazanin" w:hAnsi="IRNazanin" w:eastAsia="IRNazanin"/>
          <w:color w:val="111111"/>
          <w:sz w:val="28"/>
          <w:sz w:val="28"/>
          <w:szCs w:val="28"/>
          <w:rtl w:val="true"/>
          <w:lang w:bidi="fa-IR"/>
        </w:rPr>
        <w:t xml:space="preserve">در اسلام به قدرى بر اين سنت تأكيد شده كه از زبان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نقل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كسى قبل از سلام نمودن شروع به سخن گفتن كرد، جواب او را ندهيد</w:t>
      </w:r>
      <w:r>
        <w:rPr>
          <w:rFonts w:eastAsia="IRNazanin" w:cs="IRNazanin"/>
          <w:color w:val="111111"/>
          <w:sz w:val="28"/>
          <w:szCs w:val="28"/>
          <w:rtl w:val="true"/>
          <w:lang w:bidi="fa-IR"/>
        </w:rPr>
        <w:t xml:space="preserve">» . </w:t>
      </w:r>
      <w:r>
        <w:rPr>
          <w:rStyle w:val="FootnoteAnchor"/>
          <w:rtl w:val="true"/>
        </w:rPr>
        <w:footnoteReference w:id="875"/>
      </w:r>
      <w:r>
        <w:rPr>
          <w:rFonts w:ascii="IRNazanin" w:hAnsi="IRNazanin" w:eastAsia="IRNazanin"/>
          <w:color w:val="111111"/>
          <w:sz w:val="28"/>
          <w:sz w:val="28"/>
          <w:szCs w:val="28"/>
          <w:rtl w:val="true"/>
          <w:lang w:bidi="fa-IR"/>
        </w:rPr>
        <w:t xml:space="preserve">همچنين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بخيل‌ترين مردم را كسى دانسته است كه به سلام كردن بخل ورزد</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يكى از آداب سلام نمودن، افشاى سلام، يعنى با صداى بلند سلام كردن مى‌باشد كه از سوى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سفارش شده است</w:t>
      </w:r>
      <w:r>
        <w:rPr>
          <w:rFonts w:eastAsia="IRNazanin" w:cs="IRNazanin"/>
          <w:color w:val="111111"/>
          <w:sz w:val="28"/>
          <w:szCs w:val="28"/>
          <w:rtl w:val="true"/>
          <w:lang w:bidi="fa-IR"/>
        </w:rPr>
        <w:t xml:space="preserve">. </w:t>
      </w:r>
      <w:r>
        <w:rPr>
          <w:rStyle w:val="FootnoteAnchor"/>
          <w:rtl w:val="true"/>
        </w:rPr>
        <w:footnoteReference w:id="877"/>
      </w:r>
      <w:r>
        <w:rPr>
          <w:rFonts w:ascii="Amiri" w:hAnsi="Amiri" w:eastAsia="Amiri" w:cs="Amiri"/>
          <w:color w:val="111111"/>
          <w:sz w:val="28"/>
          <w:sz w:val="28"/>
          <w:szCs w:val="28"/>
          <w:rtl w:val="true"/>
          <w:lang w:bidi="ar-SA"/>
        </w:rPr>
        <w:t>در مورد عبارت سلام، دو عبارت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حَيّاكَ اللهُ بِالسَّلام </w:t>
      </w:r>
      <w:r>
        <w:rPr>
          <w:rFonts w:eastAsia="Amiri" w:cs="Amiri" w:ascii="Amiri" w:hAnsi="Amiri"/>
          <w:color w:val="111111"/>
          <w:sz w:val="28"/>
          <w:szCs w:val="28"/>
          <w:rtl w:val="true"/>
          <w:lang w:bidi="ar-SA"/>
        </w:rPr>
        <w:t xml:space="preserve">» </w:t>
      </w:r>
      <w:r>
        <w:rPr>
          <w:rStyle w:val="FootnoteAnchor"/>
          <w:rtl w:val="true"/>
        </w:rPr>
        <w:footnoteReference w:id="879"/>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بعضى روايات، زن بهتر است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عَلَيكُمُ السَّلام </w:t>
      </w:r>
      <w:r>
        <w:rPr>
          <w:rFonts w:eastAsia="IRNazanin" w:cs="IRNazanin"/>
          <w:color w:val="111111"/>
          <w:sz w:val="28"/>
          <w:szCs w:val="28"/>
          <w:rtl w:val="true"/>
          <w:lang w:bidi="fa-IR"/>
        </w:rPr>
        <w:t xml:space="preserve">» . </w:t>
      </w:r>
      <w:r>
        <w:rPr>
          <w:rStyle w:val="FootnoteAnchor"/>
          <w:rtl w:val="true"/>
        </w:rPr>
        <w:footnoteReference w:id="880"/>
      </w:r>
      <w:r>
        <w:rPr>
          <w:rFonts w:ascii="IRNazanin" w:hAnsi="IRNazanin" w:eastAsia="IRNazanin"/>
          <w:color w:val="111111"/>
          <w:sz w:val="28"/>
          <w:sz w:val="28"/>
          <w:szCs w:val="28"/>
          <w:rtl w:val="true"/>
          <w:lang w:bidi="fa-IR"/>
        </w:rPr>
        <w:t xml:space="preserve">همچنين در مورد برخورد با اهل كتاب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نقل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به آنها سلام ننماييد و هرگاه آنان به شما سلام كردند، در جواب فقط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w:t>
      </w:r>
      <w:r>
        <w:rPr>
          <w:rFonts w:eastAsia="IRNazanin" w:cs="IRNazanin"/>
          <w:color w:val="111111"/>
          <w:sz w:val="28"/>
          <w:szCs w:val="28"/>
          <w:rtl w:val="true"/>
          <w:lang w:bidi="fa-IR"/>
        </w:rPr>
        <w:t xml:space="preserve">» . </w:t>
      </w:r>
      <w:r>
        <w:rPr>
          <w:rStyle w:val="FootnoteAnchor"/>
          <w:rtl w:val="true"/>
        </w:rPr>
        <w:footnoteReference w:id="881"/>
      </w:r>
      <w:r>
        <w:rPr>
          <w:rFonts w:ascii="IRNazanin" w:hAnsi="IRNazanin" w:eastAsia="IRNazanin"/>
          <w:color w:val="111111"/>
          <w:sz w:val="28"/>
          <w:sz w:val="28"/>
          <w:szCs w:val="28"/>
          <w:rtl w:val="true"/>
          <w:lang w:bidi="fa-IR"/>
        </w:rPr>
        <w:t>در بعضى روايات چنين وارد شده است كه اگر كسى داخل خانه‌اش شد و كسى در خانه نبود، بهتر است اين چنين بر خود سلام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عَلَيْنا مِنْ رَبِّنا</w:t>
      </w:r>
      <w:r>
        <w:rPr>
          <w:rFonts w:eastAsia="IRNazanin" w:cs="IRNazanin"/>
          <w:color w:val="111111"/>
          <w:sz w:val="28"/>
          <w:szCs w:val="28"/>
          <w:rtl w:val="true"/>
          <w:lang w:bidi="fa-IR"/>
        </w:rPr>
        <w:t xml:space="preserve">» . </w:t>
      </w:r>
      <w:r>
        <w:rPr>
          <w:rStyle w:val="FootnoteAnchor"/>
          <w:rtl w:val="true"/>
        </w:rPr>
        <w:footnoteReference w:id="88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سلام نمودن به هر مسلمانى در روايات به آن سفارش شده است </w:t>
      </w:r>
      <w:r>
        <w:rPr>
          <w:rStyle w:val="FootnoteAnchor"/>
          <w:rtl w:val="true"/>
        </w:rPr>
        <w:footnoteReference w:id="883"/>
      </w:r>
      <w:r>
        <w:rPr>
          <w:rFonts w:ascii="IRNazanin" w:hAnsi="IRNazanin" w:eastAsia="IRNazanin"/>
          <w:color w:val="111111"/>
          <w:sz w:val="28"/>
          <w:sz w:val="28"/>
          <w:szCs w:val="28"/>
          <w:rtl w:val="true"/>
          <w:lang w:bidi="fa-IR"/>
        </w:rPr>
        <w:t>، اما در بعضى روايات چنين آمده است كه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به پياده </w:t>
      </w:r>
      <w:r>
        <w:rPr>
          <w:rStyle w:val="FootnoteAnchor"/>
          <w:rtl w:val="true"/>
        </w:rPr>
        <w:footnoteReference w:id="884"/>
      </w:r>
      <w:r>
        <w:rPr>
          <w:rFonts w:ascii="Amiri" w:hAnsi="Amiri" w:eastAsia="Amiri" w:cs="Amiri"/>
          <w:color w:val="111111"/>
          <w:sz w:val="28"/>
          <w:sz w:val="28"/>
          <w:szCs w:val="28"/>
          <w:rtl w:val="true"/>
          <w:lang w:bidi="ar-SA"/>
        </w:rPr>
        <w:t>، و ايستاده به نشسته سلام كند</w:t>
      </w:r>
      <w:r>
        <w:rPr>
          <w:rFonts w:eastAsia="Amiri" w:cs="Amiri" w:ascii="Amiri" w:hAnsi="Amiri"/>
          <w:color w:val="111111"/>
          <w:sz w:val="28"/>
          <w:szCs w:val="28"/>
          <w:rtl w:val="true"/>
          <w:lang w:bidi="ar-SA"/>
        </w:rPr>
        <w:t xml:space="preserve">. </w:t>
      </w:r>
      <w:r>
        <w:rPr>
          <w:rStyle w:val="FootnoteAnchor"/>
          <w:rtl w:val="true"/>
        </w:rPr>
        <w:footnoteReference w:id="885"/>
      </w:r>
      <w:bookmarkStart w:id="1078" w:name="pg1964_19640"/>
    </w:p>
    <w:p>
      <w:pPr>
        <w:pStyle w:val="Heading5"/>
        <w:numPr>
          <w:ilvl w:val="4"/>
          <w:numId w:val="1"/>
        </w:numPr>
        <w:rPr/>
      </w:pPr>
      <w:bookmarkStart w:id="1079" w:name="__RefHeading___Toc3585339_3650668749"/>
      <w:bookmarkStart w:id="1080" w:name="_Toc466"/>
      <w:bookmarkEnd w:id="1078"/>
      <w:bookmarkEnd w:id="1079"/>
      <w:r>
        <w:rPr>
          <w:rtl w:val="true"/>
        </w:rPr>
        <w:t>ب</w:t>
      </w:r>
      <w:r>
        <w:rPr>
          <w:rtl w:val="true"/>
        </w:rPr>
        <w:t xml:space="preserve">) </w:t>
      </w:r>
      <w:r>
        <w:rPr>
          <w:rtl w:val="true"/>
        </w:rPr>
        <w:t>مصافحه</w:t>
      </w:r>
      <w:bookmarkEnd w:id="1080"/>
    </w:p>
    <w:p>
      <w:pPr>
        <w:pStyle w:val="BookText"/>
        <w:rPr/>
      </w:pPr>
      <w:r>
        <w:rPr>
          <w:rFonts w:ascii="IRNazanin" w:hAnsi="IRNazanin" w:eastAsia="IRNazanin"/>
          <w:color w:val="111111"/>
          <w:sz w:val="28"/>
          <w:sz w:val="28"/>
          <w:szCs w:val="28"/>
          <w:rtl w:val="true"/>
          <w:lang w:bidi="fa-IR"/>
        </w:rPr>
        <w:t>مصافحه و دست يكديگر را گرفتن هنگام ملاقات نيز يكى از سنت‌هايى است كه در اسلام به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نقل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ملاقات، با سلام و مصافحه با يكديگر برخورد كنيد</w:t>
      </w:r>
      <w:r>
        <w:rPr>
          <w:rFonts w:eastAsia="IRNazanin" w:cs="IRNazanin"/>
          <w:color w:val="111111"/>
          <w:sz w:val="28"/>
          <w:szCs w:val="28"/>
          <w:rtl w:val="true"/>
          <w:lang w:bidi="fa-IR"/>
        </w:rPr>
        <w:t xml:space="preserve">» . </w:t>
      </w:r>
      <w:r>
        <w:rPr>
          <w:rStyle w:val="FootnoteAnchor"/>
          <w:rtl w:val="true"/>
        </w:rPr>
        <w:footnoteReference w:id="886"/>
      </w:r>
      <w:r>
        <w:rPr>
          <w:rFonts w:ascii="IRNazanin" w:hAnsi="IRNazanin" w:eastAsia="IRNazanin"/>
          <w:color w:val="111111"/>
          <w:sz w:val="28"/>
          <w:sz w:val="28"/>
          <w:szCs w:val="28"/>
          <w:rtl w:val="true"/>
          <w:lang w:bidi="fa-IR"/>
        </w:rPr>
        <w:t xml:space="preserve">همچنين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برادران خود را ملاقات نموديد، با هم مصافحه كنيد و شادى خود را اظهار نماييد و با بشاشت برخورد كنيد و حتى در برخورد با دشمن خود نيز با او مصافحه كنيد، اگر چه او از اين كار خوشش نيايد</w:t>
      </w:r>
      <w:r>
        <w:rPr>
          <w:rFonts w:eastAsia="IRNazanin" w:cs="IRNazanin"/>
          <w:color w:val="111111"/>
          <w:sz w:val="28"/>
          <w:szCs w:val="28"/>
          <w:rtl w:val="true"/>
          <w:lang w:bidi="fa-IR"/>
        </w:rPr>
        <w:t xml:space="preserve">. </w:t>
      </w:r>
      <w:r>
        <w:rPr>
          <w:rStyle w:val="FootnoteAnchor"/>
          <w:rtl w:val="true"/>
        </w:rPr>
        <w:footnoteReference w:id="887"/>
      </w:r>
    </w:p>
    <w:p>
      <w:pPr>
        <w:pStyle w:val="Heading5"/>
        <w:numPr>
          <w:ilvl w:val="4"/>
          <w:numId w:val="1"/>
        </w:numPr>
        <w:rPr/>
      </w:pPr>
      <w:bookmarkStart w:id="1081" w:name="__RefHeading___Toc3585341_3650668749"/>
      <w:bookmarkStart w:id="1082" w:name="_Toc467"/>
      <w:bookmarkEnd w:id="1081"/>
      <w:r>
        <w:rPr>
          <w:rtl w:val="true"/>
        </w:rPr>
        <w:t>ج</w:t>
      </w:r>
      <w:r>
        <w:rPr>
          <w:rtl w:val="true"/>
        </w:rPr>
        <w:t xml:space="preserve">) </w:t>
      </w:r>
      <w:r>
        <w:rPr>
          <w:rtl w:val="true"/>
        </w:rPr>
        <w:t>معانقه</w:t>
      </w:r>
      <w:bookmarkEnd w:id="1082"/>
    </w:p>
    <w:p>
      <w:pPr>
        <w:pStyle w:val="BookText"/>
        <w:rPr/>
      </w:pPr>
      <w:r>
        <w:rPr>
          <w:rFonts w:ascii="IRNazanin" w:hAnsi="IRNazanin" w:eastAsia="IRNazanin"/>
          <w:color w:val="111111"/>
          <w:sz w:val="28"/>
          <w:sz w:val="28"/>
          <w:szCs w:val="28"/>
          <w:rtl w:val="true"/>
          <w:lang w:bidi="fa-IR"/>
        </w:rPr>
        <w:t xml:space="preserve">معانقه و در آغوش گرفتن مسلمان هنگام ملاقات، از سوى اسلام تأييد شده است و دليل آن را معانقه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جعفر طيار هنگام رجوع از حبشه دانسته‌اند</w:t>
      </w:r>
      <w:r>
        <w:rPr>
          <w:rFonts w:eastAsia="IRNazanin" w:cs="IRNazanin"/>
          <w:color w:val="111111"/>
          <w:sz w:val="28"/>
          <w:szCs w:val="28"/>
          <w:rtl w:val="true"/>
          <w:lang w:bidi="fa-IR"/>
        </w:rPr>
        <w:t xml:space="preserve">. </w:t>
      </w:r>
      <w:r>
        <w:rPr>
          <w:rStyle w:val="FootnoteAnchor"/>
          <w:rtl w:val="true"/>
        </w:rPr>
        <w:footnoteReference w:id="888"/>
      </w:r>
    </w:p>
    <w:p>
      <w:pPr>
        <w:pStyle w:val="Heading5"/>
        <w:numPr>
          <w:ilvl w:val="4"/>
          <w:numId w:val="1"/>
        </w:numPr>
        <w:rPr/>
      </w:pPr>
      <w:bookmarkStart w:id="1083" w:name="__RefHeading___Toc3585343_3650668749"/>
      <w:bookmarkStart w:id="1084" w:name="_Toc468"/>
      <w:bookmarkEnd w:id="1083"/>
      <w:r>
        <w:rPr>
          <w:rtl w:val="true"/>
        </w:rPr>
        <w:t>د</w:t>
      </w:r>
      <w:r>
        <w:rPr>
          <w:rtl w:val="true"/>
        </w:rPr>
        <w:t xml:space="preserve">) </w:t>
      </w:r>
      <w:r>
        <w:rPr>
          <w:rtl w:val="true"/>
        </w:rPr>
        <w:t>خداحافظى كردن</w:t>
      </w:r>
      <w:bookmarkEnd w:id="1084"/>
    </w:p>
    <w:p>
      <w:pPr>
        <w:pStyle w:val="BookText"/>
        <w:rPr/>
      </w:pPr>
      <w:r>
        <w:rPr>
          <w:rFonts w:ascii="IRNazanin" w:hAnsi="IRNazanin" w:eastAsia="IRNazanin"/>
          <w:color w:val="111111"/>
          <w:sz w:val="28"/>
          <w:sz w:val="28"/>
          <w:szCs w:val="28"/>
          <w:rtl w:val="true"/>
          <w:lang w:bidi="fa-IR"/>
        </w:rPr>
        <w:t xml:space="preserve">در رواياتى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نقل شده است كه هنگام خداحافظى، به وسيله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خداحافظى نماييد</w:t>
      </w:r>
      <w:r>
        <w:rPr>
          <w:rFonts w:eastAsia="IRNazanin" w:cs="IRNazanin"/>
          <w:color w:val="111111"/>
          <w:sz w:val="28"/>
          <w:szCs w:val="28"/>
          <w:rtl w:val="true"/>
          <w:lang w:bidi="fa-IR"/>
        </w:rPr>
        <w:t xml:space="preserve">. </w:t>
      </w:r>
      <w:r>
        <w:rPr>
          <w:rStyle w:val="FootnoteAnchor"/>
          <w:rtl w:val="true"/>
        </w:rPr>
        <w:footnoteReference w:id="889"/>
      </w:r>
      <w:r>
        <w:rPr>
          <w:rFonts w:ascii="IRNazanin" w:hAnsi="IRNazanin" w:eastAsia="IRNazanin"/>
          <w:color w:val="111111"/>
          <w:sz w:val="28"/>
          <w:sz w:val="28"/>
          <w:szCs w:val="28"/>
          <w:rtl w:val="true"/>
          <w:lang w:bidi="fa-IR"/>
        </w:rPr>
        <w:t xml:space="preserve">در روايات ديگرى از آن حضرت چنين آمده است كه به وسيله طلب غفران براى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شويد</w:t>
      </w:r>
      <w:r>
        <w:rPr>
          <w:rFonts w:eastAsia="IRNazanin" w:cs="IRNazanin"/>
          <w:color w:val="111111"/>
          <w:sz w:val="28"/>
          <w:szCs w:val="28"/>
          <w:rtl w:val="true"/>
          <w:lang w:bidi="fa-IR"/>
        </w:rPr>
        <w:t xml:space="preserve">. </w:t>
      </w:r>
      <w:r>
        <w:rPr>
          <w:rStyle w:val="FootnoteAnchor"/>
          <w:rtl w:val="true"/>
        </w:rPr>
        <w:footnoteReference w:id="890"/>
      </w:r>
    </w:p>
    <w:p>
      <w:pPr>
        <w:pStyle w:val="Heading5"/>
        <w:numPr>
          <w:ilvl w:val="4"/>
          <w:numId w:val="1"/>
        </w:numPr>
        <w:rPr/>
      </w:pPr>
      <w:bookmarkStart w:id="1085" w:name="__RefHeading___Toc3585345_3650668749"/>
      <w:bookmarkStart w:id="1086" w:name="_Toc469"/>
      <w:bookmarkEnd w:id="1085"/>
      <w:r>
        <w:rPr>
          <w:rtl w:val="true"/>
        </w:rPr>
        <w:t>ه</w:t>
      </w:r>
      <w:r>
        <w:rPr>
          <w:rtl w:val="true"/>
        </w:rPr>
        <w:t xml:space="preserve">) </w:t>
      </w:r>
      <w:r>
        <w:rPr>
          <w:rtl w:val="true"/>
        </w:rPr>
        <w:t>ايستادن براى احترام</w:t>
      </w:r>
      <w:bookmarkEnd w:id="108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از ايستادن براى احترام نيز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 كه آن حضرت خطاب به انصار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رئيس و سيد شما بر شما وارد شد،</w:t>
      </w:r>
      <w:bookmarkStart w:id="1087" w:name="pg1964_19641"/>
    </w:p>
    <w:p>
      <w:pPr>
        <w:pStyle w:val="BookText"/>
        <w:rPr/>
      </w:pPr>
      <w:bookmarkEnd w:id="1087"/>
      <w:r>
        <w:rPr>
          <w:rFonts w:ascii="IRNazanin" w:hAnsi="IRNazanin" w:eastAsia="IRNazanin"/>
          <w:color w:val="111111"/>
          <w:sz w:val="28"/>
          <w:sz w:val="28"/>
          <w:szCs w:val="28"/>
          <w:rtl w:val="true"/>
          <w:lang w:bidi="fa-IR"/>
        </w:rPr>
        <w:t>بايستيد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در سيره آن حضرت وارد شده است كه هنگام ورود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مى‌ايستاد و نيز هنگام قدوم جعفر از حبشه، و عكرم بن ابى‌جهل از يمن ايستاد</w:t>
      </w:r>
      <w:r>
        <w:rPr>
          <w:rFonts w:eastAsia="IRNazanin" w:cs="IRNazanin"/>
          <w:color w:val="111111"/>
          <w:sz w:val="28"/>
          <w:szCs w:val="28"/>
          <w:rtl w:val="true"/>
          <w:lang w:bidi="fa-IR"/>
        </w:rPr>
        <w:t xml:space="preserve">. </w:t>
      </w:r>
      <w:r>
        <w:rPr>
          <w:rStyle w:val="FootnoteAnchor"/>
          <w:rtl w:val="true"/>
        </w:rPr>
        <w:footnoteReference w:id="891"/>
      </w:r>
    </w:p>
    <w:p>
      <w:pPr>
        <w:pStyle w:val="Heading5"/>
        <w:numPr>
          <w:ilvl w:val="4"/>
          <w:numId w:val="1"/>
        </w:numPr>
        <w:rPr/>
      </w:pPr>
      <w:bookmarkStart w:id="1088" w:name="__RefHeading___Toc3585347_3650668749"/>
      <w:bookmarkStart w:id="1089" w:name="_Toc470"/>
      <w:bookmarkEnd w:id="1088"/>
      <w:r>
        <w:rPr>
          <w:rtl w:val="true"/>
        </w:rPr>
        <w:t>و</w:t>
      </w:r>
      <w:r>
        <w:rPr>
          <w:rtl w:val="true"/>
        </w:rPr>
        <w:t xml:space="preserve">) </w:t>
      </w:r>
      <w:r>
        <w:rPr>
          <w:rtl w:val="true"/>
        </w:rPr>
        <w:t>عطسه نمودن</w:t>
      </w:r>
      <w:bookmarkEnd w:id="1089"/>
    </w:p>
    <w:p>
      <w:pPr>
        <w:pStyle w:val="BookText"/>
        <w:rPr/>
      </w:pPr>
      <w:r>
        <w:rPr>
          <w:rFonts w:ascii="IRNazanin" w:hAnsi="IRNazanin" w:eastAsia="IRNazanin"/>
          <w:color w:val="111111"/>
          <w:sz w:val="28"/>
          <w:sz w:val="28"/>
          <w:szCs w:val="28"/>
          <w:rtl w:val="true"/>
          <w:lang w:bidi="fa-IR"/>
        </w:rPr>
        <w:t>در روايات سفارش شده است كه عطسه كننده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الْعالَمينَ عَلى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آنان‌كه همراه اويند به او بگويند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يَرْحَمُكُمُ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جواب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يَغفِرُ اللهُ لَكُم وَ يَرحَمُكُم </w:t>
      </w:r>
      <w:r>
        <w:rPr>
          <w:rFonts w:eastAsia="IRNazanin" w:cs="IRNazanin"/>
          <w:color w:val="111111"/>
          <w:sz w:val="28"/>
          <w:szCs w:val="28"/>
          <w:rtl w:val="true"/>
          <w:lang w:bidi="fa-IR"/>
        </w:rPr>
        <w:t xml:space="preserve">» . </w:t>
      </w:r>
      <w:r>
        <w:rPr>
          <w:rStyle w:val="FootnoteAnchor"/>
          <w:rtl w:val="true"/>
        </w:rPr>
        <w:footnoteReference w:id="892"/>
      </w:r>
      <w:r>
        <w:rPr>
          <w:rFonts w:ascii="IRNazanin" w:hAnsi="IRNazanin" w:eastAsia="IRNazanin"/>
          <w:color w:val="111111"/>
          <w:sz w:val="28"/>
          <w:sz w:val="28"/>
          <w:szCs w:val="28"/>
          <w:rtl w:val="true"/>
          <w:lang w:bidi="fa-IR"/>
        </w:rPr>
        <w:t xml:space="preserve">به اين عمل در اصطلاح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تسميت عاطس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در بعضى روايات يكى از حقوق مؤمنان بر يكديگر شمرده شده است</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 xml:space="preserve">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تا سه مرتبه در جواب عطسه كننده چنين بگويند و اگر عطسه چهارم را نمود، دليل بر مرض او مى‌باشد و در جواب او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شَفاكَ الله </w:t>
      </w:r>
      <w:r>
        <w:rPr>
          <w:rFonts w:eastAsia="IRNazanin" w:cs="IRNazanin"/>
          <w:color w:val="111111"/>
          <w:sz w:val="28"/>
          <w:szCs w:val="28"/>
          <w:rtl w:val="true"/>
          <w:lang w:bidi="fa-IR"/>
        </w:rPr>
        <w:t xml:space="preserve">» . </w:t>
      </w:r>
      <w:r>
        <w:rPr>
          <w:rStyle w:val="FootnoteAnchor"/>
          <w:rtl w:val="true"/>
        </w:rPr>
        <w:footnoteReference w:id="894"/>
      </w:r>
    </w:p>
    <w:p>
      <w:pPr>
        <w:pStyle w:val="Heading5"/>
        <w:numPr>
          <w:ilvl w:val="4"/>
          <w:numId w:val="1"/>
        </w:numPr>
        <w:rPr/>
      </w:pPr>
      <w:bookmarkStart w:id="1090" w:name="__RefHeading___Toc3585349_3650668749"/>
      <w:bookmarkStart w:id="1091" w:name="_Toc471"/>
      <w:bookmarkEnd w:id="1090"/>
      <w:r>
        <w:rPr>
          <w:rtl w:val="true"/>
        </w:rPr>
        <w:t>ز</w:t>
      </w:r>
      <w:r>
        <w:rPr>
          <w:rtl w:val="true"/>
        </w:rPr>
        <w:t xml:space="preserve">) </w:t>
      </w:r>
      <w:r>
        <w:rPr>
          <w:rtl w:val="true"/>
        </w:rPr>
        <w:t>مناسبات ديگر</w:t>
      </w:r>
      <w:bookmarkEnd w:id="1091"/>
    </w:p>
    <w:p>
      <w:pPr>
        <w:pStyle w:val="BookText"/>
        <w:rPr/>
      </w:pPr>
      <w:r>
        <w:rPr>
          <w:rFonts w:ascii="IRNazanin" w:hAnsi="IRNazanin" w:eastAsia="IRNazanin"/>
          <w:color w:val="111111"/>
          <w:sz w:val="28"/>
          <w:sz w:val="28"/>
          <w:szCs w:val="28"/>
          <w:rtl w:val="true"/>
          <w:lang w:bidi="fa-IR"/>
        </w:rPr>
        <w:t>در كتاب‌هاى روايى، احاديث فراوانى در باره مناسبات مختلف در جوامع اسلامى، همانند نيكى به پدر و مادر، رعايت حقوق همسايگان، حسن معاشرت با مسلمانان، عيادت مريضان مسلمان، تشييع جنازه مسلمانان، برقرارى مجالس اطعام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وارد شده است كه به سبب وضوح آنها از ذكر آن روايات خوددارى مى‌شود</w:t>
      </w:r>
      <w:r>
        <w:rPr>
          <w:rFonts w:eastAsia="IRNazanin" w:cs="IRNazanin"/>
          <w:color w:val="111111"/>
          <w:sz w:val="28"/>
          <w:szCs w:val="28"/>
          <w:rtl w:val="true"/>
          <w:lang w:bidi="fa-IR"/>
        </w:rPr>
        <w:t xml:space="preserve">. </w:t>
      </w:r>
      <w:r>
        <w:rPr>
          <w:rStyle w:val="FootnoteAnchor"/>
          <w:rtl w:val="true"/>
        </w:rPr>
        <w:footnoteReference w:id="895"/>
      </w:r>
    </w:p>
    <w:p>
      <w:pPr>
        <w:pStyle w:val="Heading4"/>
        <w:numPr>
          <w:ilvl w:val="3"/>
          <w:numId w:val="1"/>
        </w:numPr>
        <w:rPr/>
      </w:pPr>
      <w:bookmarkStart w:id="1092" w:name="__RefHeading___Toc3585351_3650668749"/>
      <w:bookmarkStart w:id="1093" w:name="_Toc472"/>
      <w:bookmarkEnd w:id="1092"/>
      <w:r>
        <w:rPr/>
        <w:t>٣</w:t>
      </w:r>
      <w:r>
        <w:rPr>
          <w:rtl w:val="true"/>
        </w:rPr>
        <w:t xml:space="preserve">. </w:t>
      </w:r>
      <w:r>
        <w:rPr>
          <w:rtl w:val="true"/>
        </w:rPr>
        <w:t>دسته‌بندى طبقات مختلف اجتماعى</w:t>
      </w:r>
      <w:bookmarkEnd w:id="1093"/>
    </w:p>
    <w:p>
      <w:pPr>
        <w:pStyle w:val="Heading5"/>
        <w:numPr>
          <w:ilvl w:val="4"/>
          <w:numId w:val="1"/>
        </w:numPr>
        <w:rPr/>
      </w:pPr>
      <w:bookmarkStart w:id="1094" w:name="__RefHeading___Toc3585353_3650668749"/>
      <w:bookmarkStart w:id="1095" w:name="_Toc473"/>
      <w:bookmarkEnd w:id="1094"/>
      <w:r>
        <w:rPr>
          <w:rtl w:val="true"/>
        </w:rPr>
        <w:t>اشاره</w:t>
      </w:r>
      <w:bookmarkEnd w:id="109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زمان مورد بحث، دسته‌بندى‌هاى مختلفى در ميان جامعه كوفه وجود داشته كه بحث و بررسى در باره همه آنها ضرورت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دسته‌بندى‌ها عبارت است از</w:t>
      </w:r>
      <w:r>
        <w:rPr>
          <w:rFonts w:eastAsia="Amiri" w:cs="Amiri" w:ascii="Amiri" w:hAnsi="Amiri"/>
          <w:color w:val="111111"/>
          <w:sz w:val="28"/>
          <w:szCs w:val="28"/>
          <w:rtl w:val="true"/>
          <w:lang w:bidi="ar-SA"/>
        </w:rPr>
        <w:t>:</w:t>
      </w:r>
      <w:bookmarkStart w:id="1096" w:name="pg1964_19642"/>
    </w:p>
    <w:p>
      <w:pPr>
        <w:pStyle w:val="BookText"/>
        <w:rPr/>
      </w:pPr>
      <w:bookmarkEnd w:id="1096"/>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دسته‌بندى قبيله‌اى؛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دسته‌بندى نژادى؛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دسته‌بندى دينى؛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دسته‌بندى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دسته‌بندى طبقاتى</w:t>
      </w:r>
      <w:r>
        <w:rPr>
          <w:rFonts w:eastAsia="IRNazanin" w:cs="IRNazanin"/>
          <w:color w:val="111111"/>
          <w:sz w:val="28"/>
          <w:szCs w:val="28"/>
          <w:rtl w:val="true"/>
          <w:lang w:bidi="fa-IR"/>
        </w:rPr>
        <w:t>.</w:t>
      </w:r>
    </w:p>
    <w:p>
      <w:pPr>
        <w:pStyle w:val="Heading5"/>
        <w:numPr>
          <w:ilvl w:val="4"/>
          <w:numId w:val="1"/>
        </w:numPr>
        <w:rPr/>
      </w:pPr>
      <w:bookmarkStart w:id="1097" w:name="__RefHeading___Toc3585355_3650668749"/>
      <w:bookmarkStart w:id="1098" w:name="_Toc474"/>
      <w:bookmarkEnd w:id="1097"/>
      <w:r>
        <w:rPr>
          <w:rtl w:val="true"/>
        </w:rPr>
        <w:t>الف</w:t>
      </w:r>
      <w:r>
        <w:rPr>
          <w:rtl w:val="true"/>
        </w:rPr>
        <w:t xml:space="preserve">) </w:t>
      </w:r>
      <w:r>
        <w:rPr>
          <w:rtl w:val="true"/>
        </w:rPr>
        <w:t>دسته‌بندى قبيله‌اى</w:t>
      </w:r>
      <w:bookmarkEnd w:id="1098"/>
    </w:p>
    <w:p>
      <w:pPr>
        <w:pStyle w:val="BookText"/>
        <w:rPr/>
      </w:pPr>
      <w:r>
        <w:rPr>
          <w:rFonts w:ascii="IRNazanin" w:hAnsi="IRNazanin" w:eastAsia="IRNazanin"/>
          <w:color w:val="111111"/>
          <w:sz w:val="28"/>
          <w:sz w:val="28"/>
          <w:szCs w:val="28"/>
          <w:rtl w:val="true"/>
          <w:lang w:bidi="fa-IR"/>
        </w:rPr>
        <w:t>به‌طور كلى ساكنان عرب كوفه را دو گروه بزرگ قبايل قحطانى و عدنانى تشكيل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قبايل قحطانى قبايلى بودند كه نَسَب آنان به قحطان، فرزند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اصلى اين قبايل در يمن بود و از يمن به كوفه كوچ كرده بودند، از اين رو اصطلاحاً به آنان قبايل يمنى نيز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نقشه‌هاى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قبايل عدنانى به قبايلى گفته مى‌شد كه نَسَب آنان به عدنان، فرزند ديگر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 مكه و اطراف آن، عموماً عدنانى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نقشه‌هاى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اين قبايل با عنوان قبايل مُضَرى ياد مى‌شود</w:t>
      </w:r>
      <w:r>
        <w:rPr>
          <w:rFonts w:eastAsia="IRNazanin" w:cs="IRNazanin"/>
          <w:color w:val="111111"/>
          <w:sz w:val="28"/>
          <w:szCs w:val="28"/>
          <w:rtl w:val="true"/>
          <w:lang w:bidi="fa-IR"/>
        </w:rPr>
        <w:t xml:space="preserve">. </w:t>
      </w:r>
      <w:r>
        <w:rPr>
          <w:rStyle w:val="FootnoteAnchor"/>
          <w:rtl w:val="true"/>
        </w:rPr>
        <w:footnoteReference w:id="896"/>
      </w:r>
      <w:r>
        <w:rPr>
          <w:rFonts w:ascii="Amiri" w:hAnsi="Amiri" w:eastAsia="Amiri" w:cs="Amiri"/>
          <w:color w:val="111111"/>
          <w:sz w:val="28"/>
          <w:sz w:val="28"/>
          <w:szCs w:val="28"/>
          <w:rtl w:val="true"/>
          <w:lang w:bidi="ar-SA"/>
        </w:rPr>
        <w:t>قبايل اَوْس و خَزْرَج، هَمْدان، اَزْد، خَثْعَم، بَجيلَه، مِذْحَج، مراد، زُبَيد، نَخَع، كِنْده، كَلب، طَى، جُهَينَه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قحطانى شمرده شده‌اند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قبايل رَبيعه، بكر بن وائل، بنى‌تَميم، بنى‌رُباب، ثَقيف، اَسَد، كَنانه، قُرَيش، هَوازِن، غَطْفان، بنى‌ضَبَّ، بنى‌يرْبُوع، بنى‌ثَعْلَبَه، بنى‌جُشَم، خُزاعَه، هُذَيل، تَيم، تَغْلِب، حَنيفَه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عدنانى به حساب آمده‌اند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بعضى از منابع چنين آمده است كه در اوايل تأسيس كوفه دوازده‌هزار خانه به قحطانى‌ها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هشت‌هزار خانه به عدنانى‌ها اختصاص داشته است</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بعضى نويسندگان از دسته سومى از قبايل با عنوان قبايل تَنُوخيه ياد كرده و آنان را اتحاديه‌اى از عدنانى‌ها و قحطانى‌ها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قبايل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خُزاعه، اَوْس، خَزْرج و غَساسَنَه از قبيله بزرگ اَزْد؛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عَنْزَه از قبيله ربيعه؛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بن وائل؛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تَغْلِب؛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غَطْفان؛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كِنْده؛</w:t>
      </w:r>
      <w:bookmarkStart w:id="1099" w:name="pg1964_19643"/>
    </w:p>
    <w:p>
      <w:pPr>
        <w:pStyle w:val="BookText"/>
        <w:rPr/>
      </w:pPr>
      <w:bookmarkEnd w:id="1099"/>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نَجّدَه؛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لِحْيان؛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 قبيله‌اى است از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كُنانَه؛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نكته مهم و قابل توجه اينكه هنگام مهاجرت اعراب به شهرهاى عراق و شام، تيره‌هاى مختلف اين قبايل به شهرهاى مختلف مهاجرت نمودند، ازاين‌رو جنگ‌هاى اين دوره، همانند جنگ‌هاى جمل، صفين و نهروان به جاى جنگ قبيله‌اى، جنگ شهرى بود و در اين جنگ‌ها ممكن بود، تيره‌هاى مختلف يك قبيله در مقابل هم قرار گيرند</w:t>
      </w:r>
      <w:r>
        <w:rPr>
          <w:rFonts w:eastAsia="IRNazanin" w:cs="IRNazanin"/>
          <w:color w:val="111111"/>
          <w:sz w:val="28"/>
          <w:szCs w:val="28"/>
          <w:rtl w:val="true"/>
          <w:lang w:bidi="fa-IR"/>
        </w:rPr>
        <w:t xml:space="preserve">. </w:t>
      </w:r>
      <w:r>
        <w:rPr>
          <w:rStyle w:val="FootnoteAnchor"/>
          <w:rtl w:val="true"/>
        </w:rPr>
        <w:footnoteReference w:id="898"/>
      </w:r>
      <w:r>
        <w:rPr>
          <w:rFonts w:ascii="IRNazanin" w:hAnsi="IRNazanin" w:eastAsia="IRNazanin"/>
          <w:color w:val="111111"/>
          <w:sz w:val="28"/>
          <w:sz w:val="28"/>
          <w:szCs w:val="28"/>
          <w:rtl w:val="true"/>
          <w:lang w:bidi="fa-IR"/>
        </w:rPr>
        <w:t xml:space="preserve">در مقاطعى از تاريخ، قبايلى همچون اَزْد </w:t>
      </w:r>
      <w:r>
        <w:rPr>
          <w:rStyle w:val="FootnoteAnchor"/>
          <w:rtl w:val="true"/>
        </w:rPr>
        <w:footnoteReference w:id="899"/>
      </w:r>
      <w:r>
        <w:rPr>
          <w:rFonts w:ascii="Amiri" w:hAnsi="Amiri" w:eastAsia="Amiri" w:cs="Amiri"/>
          <w:color w:val="111111"/>
          <w:sz w:val="28"/>
          <w:sz w:val="28"/>
          <w:szCs w:val="28"/>
          <w:rtl w:val="true"/>
          <w:lang w:bidi="ar-SA"/>
        </w:rPr>
        <w:t xml:space="preserve">، هَمْدان </w:t>
      </w:r>
      <w:r>
        <w:rPr>
          <w:rStyle w:val="FootnoteAnchor"/>
          <w:rtl w:val="true"/>
        </w:rPr>
        <w:footnoteReference w:id="900"/>
      </w:r>
      <w:r>
        <w:rPr>
          <w:rFonts w:ascii="Amiri" w:hAnsi="Amiri" w:eastAsia="Amiri" w:cs="Amiri"/>
          <w:color w:val="111111"/>
          <w:sz w:val="28"/>
          <w:sz w:val="28"/>
          <w:szCs w:val="28"/>
          <w:rtl w:val="true"/>
          <w:lang w:bidi="ar-SA"/>
        </w:rPr>
        <w:t xml:space="preserve">، بنى‌شاكر </w:t>
      </w:r>
      <w:r>
        <w:rPr>
          <w:rStyle w:val="FootnoteAnchor"/>
          <w:rtl w:val="true"/>
        </w:rPr>
        <w:footnoteReference w:id="901"/>
      </w:r>
      <w:r>
        <w:rPr>
          <w:rFonts w:ascii="Amiri" w:hAnsi="Amiri" w:eastAsia="Amiri" w:cs="Amiri"/>
          <w:color w:val="111111"/>
          <w:sz w:val="28"/>
          <w:sz w:val="28"/>
          <w:szCs w:val="28"/>
          <w:rtl w:val="true"/>
          <w:lang w:bidi="ar-SA"/>
        </w:rPr>
        <w:t xml:space="preserve">و ربيعه </w:t>
      </w:r>
      <w:r>
        <w:rPr>
          <w:rStyle w:val="FootnoteAnchor"/>
          <w:rtl w:val="true"/>
        </w:rPr>
        <w:footnoteReference w:id="902"/>
      </w:r>
      <w:r>
        <w:rPr>
          <w:rFonts w:ascii="IRNazanin" w:hAnsi="IRNazanin" w:eastAsia="IRNazanin"/>
          <w:color w:val="111111"/>
          <w:sz w:val="28"/>
          <w:sz w:val="28"/>
          <w:szCs w:val="28"/>
          <w:rtl w:val="true"/>
          <w:lang w:bidi="fa-IR"/>
        </w:rPr>
        <w:t xml:space="preserve">كه در ركاب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جنگ‌هاى مختلف فداكارى فراوانى نمودند، مورد مدح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و قبايل مُضَر و به خصوص بنى‌تميم مورد مذمت آن حضرت واقع شدند</w:t>
      </w:r>
      <w:r>
        <w:rPr>
          <w:rFonts w:eastAsia="IRNazanin" w:cs="IRNazanin"/>
          <w:color w:val="111111"/>
          <w:sz w:val="28"/>
          <w:szCs w:val="28"/>
          <w:rtl w:val="true"/>
          <w:lang w:bidi="fa-IR"/>
        </w:rPr>
        <w:t xml:space="preserve">. </w:t>
      </w:r>
      <w:r>
        <w:rPr>
          <w:rStyle w:val="FootnoteAnchor"/>
          <w:rtl w:val="true"/>
        </w:rPr>
        <w:footnoteReference w:id="903"/>
      </w:r>
    </w:p>
    <w:p>
      <w:pPr>
        <w:pStyle w:val="Heading5"/>
        <w:numPr>
          <w:ilvl w:val="4"/>
          <w:numId w:val="1"/>
        </w:numPr>
        <w:rPr/>
      </w:pPr>
      <w:bookmarkStart w:id="1100" w:name="__RefHeading___Toc3585357_3650668749"/>
      <w:bookmarkStart w:id="1101" w:name="_Toc475"/>
      <w:bookmarkEnd w:id="1100"/>
      <w:r>
        <w:rPr>
          <w:rtl w:val="true"/>
        </w:rPr>
        <w:t>ب</w:t>
      </w:r>
      <w:r>
        <w:rPr>
          <w:rtl w:val="true"/>
        </w:rPr>
        <w:t xml:space="preserve">) </w:t>
      </w:r>
      <w:r>
        <w:rPr>
          <w:rtl w:val="true"/>
        </w:rPr>
        <w:t>دسته‌بندى نژادى</w:t>
      </w:r>
      <w:bookmarkEnd w:id="1101"/>
    </w:p>
    <w:p>
      <w:pPr>
        <w:pStyle w:val="BookText"/>
        <w:rPr/>
      </w:pPr>
      <w:r>
        <w:rPr>
          <w:rFonts w:ascii="IRNazanin" w:hAnsi="IRNazanin" w:eastAsia="IRNazanin"/>
          <w:color w:val="111111"/>
          <w:sz w:val="28"/>
          <w:sz w:val="28"/>
          <w:szCs w:val="28"/>
          <w:rtl w:val="true"/>
          <w:lang w:bidi="fa-IR"/>
        </w:rPr>
        <w:t>به‌طور كلى مى‌توان جمعيت كوفه را از نظر نژادى به دو بخش عرب و غيرعرب كه عرب‌ها به آن عجم مى‌گويند،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نيز به دو دسته تقسيم مى‌شدند كه بخش اعظم آنها را اعرابى تشكيل مى‌دادند كه از شبه جزيره عربستان به قصد شركت در جنگ با ايرانيان به سمت عراق كوچ كرده و سرانجام پس از پايان فتوحات، در كوفه و بصره مسكن گزيدند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ديگرى از عرب‌ها را قبايل و تيره‌هايى، همچون بنى‌تَغْلِب، اَنْمار، قُضاعه، جُهَينَه، طَى، بنى‌نَيهان، بنى‌سُنْبُس، جُدَيلَ، بنى‌تَميم، بنى‌بَكر بن وائل، رَبيعه، مِذْحَج،</w:t>
      </w:r>
    </w:p>
    <w:p>
      <w:pPr>
        <w:pStyle w:val="BookText"/>
        <w:rPr/>
      </w:pPr>
      <w:r>
        <w:rPr>
          <w:rFonts w:ascii="IRNazanin" w:hAnsi="IRNazanin" w:eastAsia="IRNazanin"/>
          <w:color w:val="111111"/>
          <w:sz w:val="28"/>
          <w:sz w:val="28"/>
          <w:szCs w:val="28"/>
          <w:rtl w:val="true"/>
          <w:lang w:bidi="fa-IR"/>
        </w:rPr>
        <w:t>زُبَيد، اَوْد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تشكيل مى‌دادند كه قبل از اسلام از شبه جزيره عربستان كوچ كرده و در سرزمين‌هاى مختلف عراق ساكن شده بودند</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اين قبايل كه قبلاً درگيرى‌هاى مختلف و پراكنده‌اى با ايرانيان داشتند، با شروع جنگ اعراب و ايران، به يارى مسلمانان عرب شتافته و پس از پيروزى و ساخته شدن دو شهر بصره و كوفه در آنها ساكن شدند</w:t>
      </w:r>
      <w:r>
        <w:rPr>
          <w:rFonts w:eastAsia="IRNazanin" w:cs="IRNazanin"/>
          <w:color w:val="111111"/>
          <w:sz w:val="28"/>
          <w:szCs w:val="28"/>
          <w:rtl w:val="true"/>
          <w:lang w:bidi="fa-IR"/>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عجم‌ها شامل ايرانيان، رومى‌ها، ترك‌ها، نبطى‌ها و سريانى‌ها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گروه ايرانيان را يك گروه چهارهزار نفرى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به معناى قرمز رنگ، عنوان عامى بود كه عرب‌ها براى ايرانيان به‌كار مى‌بردند؛ زيرا رنگ پوست آنها را در مقايسه با خود قرمزتر و با آب و رنگ بيشترى حس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ديلم، نام رهبر اين گروه چهار هزار نفرى بود كه قبل از پايان فتوحات، لشكر خود را به سپاه اسلام تحت رهبرى سعد بن ابى‌وقاص ملحق كرد و در كنار مسلمانان به جنگ با ايرانيان پرداخت</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پس از پايان يافتن فتوحات و مسلمان شدن ايرانيان، گروه‌هاى ديگرى از ايرانيان در شهر كوفه ساكن شدند كه بعضى از آنان به صورت داوطلب به اين شهر مهاجرت نموده و بعضى از آنها نيز اسيرانى بودند كه در جنگ به اسارت در آمده و به صورت برده به اين شهر آورده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رومى‌ها معمولاً بردگانى بودند كه در جنگ‌هاى بين سپاه شام و روميان اسير شده و براى فروش به اين شهر آورده شده بودند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ترك‌ها نيز ايرانيانى بودند كه معمولاً در جنگ‌هاى بين سپاه عراق و ايران اسير شده بودند بعضى منابع از رُشَيد تُركى نام برده كه به عنوان غلام عبيدالله بن زياد خدمت مى‌كرد و هانى بن عروه به دست او كشته شد</w:t>
      </w:r>
      <w:r>
        <w:rPr>
          <w:rFonts w:eastAsia="IRNazanin" w:cs="IRNazanin"/>
          <w:color w:val="111111"/>
          <w:sz w:val="28"/>
          <w:szCs w:val="28"/>
          <w:rtl w:val="true"/>
          <w:lang w:bidi="fa-IR"/>
        </w:rPr>
        <w:t xml:space="preserve">. </w:t>
      </w:r>
      <w:r>
        <w:rPr>
          <w:rStyle w:val="FootnoteAnchor"/>
          <w:rtl w:val="true"/>
        </w:rPr>
        <w:footnoteReference w:id="907"/>
      </w:r>
      <w:bookmarkStart w:id="1102" w:name="pg1964_19645"/>
    </w:p>
    <w:p>
      <w:pPr>
        <w:pStyle w:val="BookText"/>
        <w:rPr/>
      </w:pPr>
      <w:bookmarkEnd w:id="1102"/>
      <w:r>
        <w:rPr>
          <w:rFonts w:ascii="Amiri" w:hAnsi="Amiri" w:eastAsia="Amiri" w:cs="Amiri"/>
          <w:color w:val="111111"/>
          <w:sz w:val="28"/>
          <w:sz w:val="28"/>
          <w:szCs w:val="28"/>
          <w:rtl w:val="true"/>
          <w:lang w:bidi="ar-SA"/>
        </w:rPr>
        <w:t xml:space="preserve">نبطى‌ها كه بعضى آنها را نوعى از عرب مى‌دانند </w:t>
      </w:r>
      <w:r>
        <w:rPr>
          <w:rStyle w:val="FootnoteAnchor"/>
          <w:rtl w:val="true"/>
        </w:rPr>
        <w:footnoteReference w:id="908"/>
      </w:r>
      <w:r>
        <w:rPr>
          <w:rFonts w:ascii="IRNazanin" w:hAnsi="IRNazanin" w:eastAsia="IRNazanin"/>
          <w:color w:val="111111"/>
          <w:sz w:val="28"/>
          <w:sz w:val="28"/>
          <w:szCs w:val="28"/>
          <w:rtl w:val="true"/>
          <w:lang w:bidi="fa-IR"/>
        </w:rPr>
        <w:t>، به كسانى گفته مى‌شد كه قبل از فتوحات در اطراف و اكناف عراق و در سرزمين‌هاى جلگه‌اى به كشاورزى مشغول بودند و پس از تأسيس كوفه به اين شهر آمده و شغل كشاورزى خود را در آن ادامه دادند</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سريانى‌ها به قومى سامى‌نژاد گفته مى‌شد كه با اقوام آرامى خويشاوند بوده و در منطقه بين‌النهرين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 سكونت داشتند</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بخش‌هايى از اين قوم نيز در ديرهاى اطراف حيره زندگى مى‌كردند و مذهب مسيحيت را پذيرفته بودند كه بعد از ساخته شدن كوفه به اين شهر كوچ كردند</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عجم‌ها و به خصوص ايرانيان، ممكن بود كه به شكل گروهى يا شخصى با بعضى از قبايل عرب ساكن كوفه پيمان ببندند و تحت عنوان نام آنها و با بهره‌بردارى از بعضى از حقوق اجتماعى آنان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كه بحث بيشتر در باره آن در بخش طبقه‌بندى اجتماعى خواهدآمد</w:t>
      </w:r>
      <w:r>
        <w:rPr>
          <w:rFonts w:eastAsia="IRNazanin" w:cs="IRNazanin"/>
          <w:color w:val="111111"/>
          <w:sz w:val="28"/>
          <w:szCs w:val="28"/>
          <w:rtl w:val="true"/>
          <w:lang w:bidi="fa-IR"/>
        </w:rPr>
        <w:t>.</w:t>
      </w:r>
    </w:p>
    <w:p>
      <w:pPr>
        <w:pStyle w:val="Heading5"/>
        <w:numPr>
          <w:ilvl w:val="4"/>
          <w:numId w:val="1"/>
        </w:numPr>
        <w:rPr/>
      </w:pPr>
      <w:bookmarkStart w:id="1103" w:name="__RefHeading___Toc3585359_3650668749"/>
      <w:bookmarkStart w:id="1104" w:name="_Toc476"/>
      <w:bookmarkEnd w:id="1103"/>
      <w:r>
        <w:rPr>
          <w:rtl w:val="true"/>
        </w:rPr>
        <w:t>ج</w:t>
      </w:r>
      <w:r>
        <w:rPr>
          <w:rtl w:val="true"/>
        </w:rPr>
        <w:t xml:space="preserve">) </w:t>
      </w:r>
      <w:r>
        <w:rPr>
          <w:rtl w:val="true"/>
        </w:rPr>
        <w:t>دسته‌بندى دينى</w:t>
      </w:r>
      <w:bookmarkEnd w:id="1104"/>
    </w:p>
    <w:p>
      <w:pPr>
        <w:pStyle w:val="BookText"/>
        <w:rPr/>
      </w:pPr>
      <w:r>
        <w:rPr>
          <w:rFonts w:ascii="IRNazanin" w:hAnsi="IRNazanin" w:eastAsia="IRNazanin"/>
          <w:color w:val="111111"/>
          <w:sz w:val="28"/>
          <w:sz w:val="28"/>
          <w:szCs w:val="28"/>
          <w:rtl w:val="true"/>
          <w:lang w:bidi="fa-IR"/>
        </w:rPr>
        <w:t xml:space="preserve">اديان موجود در كوفه را مى‌توان دين‌هاى اسلام، مسيحيت، يهوديت و مجوسيت دانست كه به سه دين اخير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مسلمانان كه اكثريت قريب به اتفاق جمعيت اين شهر را تشكيل مى‌دادند، متشكل از اعراب و عجم‌هايى بودند كه تازه مسلمان شده و بيشتر اين عجم‌ها را ايرانيان تشكيل مى‌دادند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مسيحيان كوفه را مى‌توان متشكل از سريانى‌ها، بنى‌تَغْلب از اعراب، و نصاراى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زمان عُمَر به كوفه كوچ نموده و در محله‌اى از كوفه ساكن شدند كه</w:t>
      </w:r>
      <w:bookmarkStart w:id="1105" w:name="pg1964_19646"/>
    </w:p>
    <w:p>
      <w:pPr>
        <w:pStyle w:val="BookText"/>
        <w:rPr/>
      </w:pPr>
      <w:bookmarkEnd w:id="1105"/>
      <w:r>
        <w:rPr>
          <w:rFonts w:ascii="Amiri" w:hAnsi="Amiri" w:eastAsia="Amiri" w:cs="Amiri"/>
          <w:color w:val="111111"/>
          <w:sz w:val="28"/>
          <w:sz w:val="28"/>
          <w:szCs w:val="28"/>
          <w:rtl w:val="true"/>
          <w:lang w:bidi="ar-SA"/>
        </w:rPr>
        <w:t>به مناسبت سكونت آنان، نجرانيه ناميده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w:t>
      </w:r>
      <w:r>
        <w:rPr>
          <w:rFonts w:eastAsia="Amiri" w:cs="Amiri" w:ascii="Amiri" w:hAnsi="Amiri"/>
          <w:color w:val="111111"/>
          <w:sz w:val="28"/>
          <w:szCs w:val="28"/>
          <w:rtl w:val="true"/>
          <w:lang w:bidi="ar-SA"/>
        </w:rPr>
        <w:t xml:space="preserve">. </w:t>
      </w:r>
      <w:r>
        <w:rPr>
          <w:rStyle w:val="FootnoteAnchor"/>
          <w:rtl w:val="true"/>
        </w:rPr>
        <w:footnoteReference w:id="912"/>
      </w:r>
      <w:r>
        <w:rPr>
          <w:rFonts w:ascii="IRNazanin" w:hAnsi="IRNazanin" w:eastAsia="IRNazanin"/>
          <w:color w:val="111111"/>
          <w:sz w:val="28"/>
          <w:sz w:val="28"/>
          <w:szCs w:val="28"/>
          <w:rtl w:val="true"/>
          <w:lang w:bidi="fa-IR"/>
        </w:rPr>
        <w:t>نصاراى كوفه به دو گروه مذهبى نَسْطورى و يعْقوبى تقسيم مى‌شدند</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 xml:space="preserve">يهوديان كوفه عمدتاً گروهى بودند كه در سال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عُمَر مجبور به كوچ اجبارى از مدينه شده و در كوفه محله‌اى به نام خود بنا كردند</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مجوسيان كوفه را ايرانيانى تشكيل مى‌دادند كه به اين شهر مهاجرت كرده و هنوز دين اسلام را نپذيرفته بودند</w:t>
      </w:r>
      <w:r>
        <w:rPr>
          <w:rFonts w:eastAsia="IRNazanin" w:cs="IRNazanin"/>
          <w:color w:val="111111"/>
          <w:sz w:val="28"/>
          <w:szCs w:val="28"/>
          <w:rtl w:val="true"/>
          <w:lang w:bidi="fa-IR"/>
        </w:rPr>
        <w:t xml:space="preserve">. </w:t>
      </w:r>
      <w:r>
        <w:rPr>
          <w:rStyle w:val="FootnoteAnchor"/>
          <w:rtl w:val="true"/>
        </w:rPr>
        <w:footnoteReference w:id="915"/>
      </w:r>
    </w:p>
    <w:p>
      <w:pPr>
        <w:pStyle w:val="Heading5"/>
        <w:numPr>
          <w:ilvl w:val="4"/>
          <w:numId w:val="1"/>
        </w:numPr>
        <w:rPr/>
      </w:pPr>
      <w:bookmarkStart w:id="1106" w:name="__RefHeading___Toc3585361_3650668749"/>
      <w:bookmarkStart w:id="1107" w:name="_Toc477"/>
      <w:bookmarkEnd w:id="1106"/>
      <w:r>
        <w:rPr>
          <w:rtl w:val="true"/>
        </w:rPr>
        <w:t>د</w:t>
      </w:r>
      <w:r>
        <w:rPr>
          <w:rtl w:val="true"/>
        </w:rPr>
        <w:t xml:space="preserve">) </w:t>
      </w:r>
      <w:r>
        <w:rPr>
          <w:rtl w:val="true"/>
        </w:rPr>
        <w:t xml:space="preserve">دسته‌بندى سياسى </w:t>
      </w:r>
      <w:r>
        <w:rPr>
          <w:rtl w:val="true"/>
        </w:rPr>
        <w:t xml:space="preserve">- </w:t>
      </w:r>
      <w:r>
        <w:rPr>
          <w:rtl w:val="true"/>
        </w:rPr>
        <w:t>مذهبى مسلمانان</w:t>
      </w:r>
      <w:bookmarkEnd w:id="1107"/>
    </w:p>
    <w:p>
      <w:pPr>
        <w:pStyle w:val="BookText"/>
        <w:rPr/>
      </w:pPr>
      <w:r>
        <w:rPr>
          <w:rFonts w:ascii="IRNazanin" w:hAnsi="IRNazanin" w:eastAsia="IRNazanin"/>
          <w:color w:val="111111"/>
          <w:sz w:val="28"/>
          <w:sz w:val="28"/>
          <w:szCs w:val="28"/>
          <w:rtl w:val="true"/>
          <w:lang w:bidi="fa-IR"/>
        </w:rPr>
        <w:t>گروه‌هاى مختلف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مسلمان را كه در زمان مورد بحث در كوفه مطرح بودند، مى‌توان شامل سه گروه اصلى شيعه علوى، افراد حزب اموى و خوارج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را مى‌توان به دو بخش بزرگان و شيعيان عادى تقسيم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شيعه مى‌توان از افرادى، همچون ميثم تمّار، كميل بن زياد، رشيد هجرى، سليمان‌بن صُرَد خُزاعى، مُسَيب بن نَجْبه فَزارى، مسلم بن عَوْسَجَه اسدى، حبيب‌بن مظاهر اسدى، ابوثَمامه صايدى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نام برد كه از ياران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صفين و ديگر جنگ‌ها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عميقاً به خاندان اهل‌بيت نبوت عشق مى‌ورزيدند و بعضى از همين افراد بودند كه پس از مرگ معاويه، ابتدا باب نامه‌نگارى 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گشودند</w:t>
      </w:r>
      <w:r>
        <w:rPr>
          <w:rFonts w:eastAsia="IRNazanin" w:cs="IRNazanin"/>
          <w:color w:val="111111"/>
          <w:sz w:val="28"/>
          <w:szCs w:val="28"/>
          <w:rtl w:val="true"/>
          <w:lang w:bidi="fa-IR"/>
        </w:rPr>
        <w:t xml:space="preserve">. </w:t>
      </w:r>
      <w:r>
        <w:rPr>
          <w:rStyle w:val="FootnoteAnchor"/>
          <w:rtl w:val="true"/>
        </w:rPr>
        <w:footnoteReference w:id="91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عادى كه درصد قابل توجهى از مردم كوفه را تشكيل مى‌دادند، گرچه به خاندان اهل بيت عصمت علاقه وافرى داشتند، اما رفتار واليانى، همچون زياد و</w:t>
      </w:r>
    </w:p>
    <w:p>
      <w:pPr>
        <w:pStyle w:val="BookText"/>
        <w:rPr/>
      </w:pPr>
      <w:r>
        <w:rPr>
          <w:rFonts w:ascii="IRNazanin" w:hAnsi="IRNazanin" w:eastAsia="IRNazanin"/>
          <w:color w:val="111111"/>
          <w:sz w:val="28"/>
          <w:sz w:val="28"/>
          <w:szCs w:val="28"/>
          <w:rtl w:val="true"/>
          <w:lang w:bidi="fa-IR"/>
        </w:rPr>
        <w:t>پسرش با آنان و نيز سياست‌هاى كلى امويان در شيعه‌زدايى جامعه كوفه، از آنان زهر چشم سختى گرفته بود به گونه‌اى كه تا احتمال پيروزى نهضتى را نمى‌دادند، با آن همكارى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همان‌هايى هستند كه فرزدق آنان را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توصيف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قلب‌هاى آنان با توست و شمشيرهايشان عليه تو كشيده شده است</w:t>
      </w:r>
      <w:r>
        <w:rPr>
          <w:rFonts w:eastAsia="IRNazanin" w:cs="IRNazanin"/>
          <w:color w:val="111111"/>
          <w:sz w:val="28"/>
          <w:szCs w:val="28"/>
          <w:rtl w:val="true"/>
          <w:lang w:bidi="fa-IR"/>
        </w:rPr>
        <w:t xml:space="preserve">» .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اما افراد حزب اموى را افرادى همانند عمرو بن حجاج زُبَيدى، يزيد بن حَرَث، عمرو بن حُرَيث، عبدالله بن مسلم، عُمارة بن عقبه، عُمَر بن سعد و مسلم بن عمرو باهلى تشكيل مى‌دادند</w:t>
      </w:r>
      <w:r>
        <w:rPr>
          <w:rFonts w:eastAsia="Amiri" w:cs="Amiri" w:ascii="Amiri" w:hAnsi="Amiri"/>
          <w:color w:val="111111"/>
          <w:sz w:val="28"/>
          <w:szCs w:val="28"/>
          <w:rtl w:val="true"/>
          <w:lang w:bidi="ar-SA"/>
        </w:rPr>
        <w:t xml:space="preserve">. </w:t>
      </w:r>
      <w:r>
        <w:rPr>
          <w:rStyle w:val="FootnoteAnchor"/>
          <w:rtl w:val="true"/>
        </w:rPr>
        <w:footnoteReference w:id="918"/>
      </w:r>
      <w:r>
        <w:rPr>
          <w:rFonts w:ascii="IRNazanin" w:hAnsi="IRNazanin" w:eastAsia="IRNazanin"/>
          <w:color w:val="111111"/>
          <w:sz w:val="28"/>
          <w:sz w:val="28"/>
          <w:szCs w:val="28"/>
          <w:rtl w:val="true"/>
          <w:lang w:bidi="fa-IR"/>
        </w:rPr>
        <w:t xml:space="preserve">اين حزب در زمان نهضت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قابل توجهى از مردم كوفه را به خود اختصاص داده بود؛ زيرا تا آن زمان بيست سال از حكومت اموى‌ها در كوفه مى‌گذشت، علاوه بر اين، رؤسا و متنفذان بيشتر قبايل از اين حزب بودند، ازاين‌رو بسيارى از مردم به سمت آنان گرايش پيدا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كوفه گروه متعصب مذهبى بودند كه در پايان جنگ صفين و پس از ماجراى حكميت به وجود آمدند و باعث پديد آمدن حوادث خون‌بار فراوانى در تاريخ صدر اسلام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پس از سركوب شدن در جنگ نهروان به دست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نابودى مى‌رفتند، اما در دوران حكومت معاويه كه ناراضيان فراوانى فراهم آورده بود، قدرت گرفتند و در سال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فرماندارى مغير بن شعبه در كوفه، قيامى را به رهبرى مُسْتَوْرد بن عُلْفَه ترتيب دادند كه به شكست انجاميد</w:t>
      </w:r>
      <w:r>
        <w:rPr>
          <w:rFonts w:eastAsia="IRNazanin" w:cs="IRNazanin"/>
          <w:color w:val="111111"/>
          <w:sz w:val="28"/>
          <w:szCs w:val="28"/>
          <w:rtl w:val="true"/>
          <w:lang w:bidi="fa-IR"/>
        </w:rPr>
        <w:t xml:space="preserve">. </w:t>
      </w:r>
      <w:r>
        <w:rPr>
          <w:rStyle w:val="FootnoteAnchor"/>
          <w:rtl w:val="true"/>
        </w:rPr>
        <w:footnoteReference w:id="91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زياد بن ابيه پس از به عهده گرفتن فرماندارى كوفه در سال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نقش عظيمى در سركوب آنان ايفا كرد</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 xml:space="preserve">اما پنج سال پس از مرگ زياد و در سال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قيام ديگرى از آنان به رهبرى حَيان بن ظَبْيان صورت گرفت كه به وسيله عبيدالله سركوب شد</w:t>
      </w:r>
      <w:r>
        <w:rPr>
          <w:rFonts w:eastAsia="IRNazanin" w:cs="IRNazanin"/>
          <w:color w:val="111111"/>
          <w:sz w:val="28"/>
          <w:szCs w:val="28"/>
          <w:rtl w:val="true"/>
          <w:lang w:bidi="fa-IR"/>
        </w:rPr>
        <w:t xml:space="preserve">. </w:t>
      </w:r>
      <w:r>
        <w:rPr>
          <w:rStyle w:val="FootnoteAnchor"/>
          <w:rtl w:val="true"/>
        </w:rPr>
        <w:footnoteReference w:id="921"/>
      </w:r>
      <w:bookmarkStart w:id="1108" w:name="pg1964_19648"/>
    </w:p>
    <w:p>
      <w:pPr>
        <w:pStyle w:val="BookText"/>
        <w:rPr/>
      </w:pPr>
      <w:bookmarkEnd w:id="1108"/>
      <w:r>
        <w:rPr>
          <w:rFonts w:ascii="IRNazanin" w:hAnsi="IRNazanin" w:eastAsia="IRNazanin"/>
          <w:color w:val="111111"/>
          <w:sz w:val="28"/>
          <w:sz w:val="28"/>
          <w:szCs w:val="28"/>
          <w:rtl w:val="true"/>
          <w:lang w:bidi="fa-IR"/>
        </w:rPr>
        <w:t>در اينجا شايد بتوان از گروه چهارمى نيز نام برد كه بيشتر جمعيت كوفه را تشكيل مى‌دادند، اين گروه همان بى‌تفاوتان و موج سوارانى بودند كه همتى جز پر كردن شكم خود و رسيدن به شهواتشان نداشتند و در راه رسيدن به ماديات، به دنبال جريانات حاكم قوى راه مى‌افتادند، چنان‌كه وقتى احتمال پيروزى لشكر مسلم را فراوان ديدند، به او پيوستند و با ظهور آثار شكست، به سرعت صحنه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اينها بودند كه در پى وعده و وعيدهاى ابن‌زياد، به سپاه كوفه در كربلا پيوستند و با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به واسطه غلبه جوّ نامه‌نگارى از او دعوت نموده بودند، جنگ كردند</w:t>
      </w:r>
      <w:r>
        <w:rPr>
          <w:rFonts w:eastAsia="IRNazanin" w:cs="IRNazanin"/>
          <w:color w:val="111111"/>
          <w:sz w:val="28"/>
          <w:szCs w:val="28"/>
          <w:rtl w:val="true"/>
          <w:lang w:bidi="fa-IR"/>
        </w:rPr>
        <w:t>.</w:t>
      </w:r>
    </w:p>
    <w:p>
      <w:pPr>
        <w:pStyle w:val="Heading5"/>
        <w:numPr>
          <w:ilvl w:val="4"/>
          <w:numId w:val="1"/>
        </w:numPr>
        <w:rPr/>
      </w:pPr>
      <w:bookmarkStart w:id="1109" w:name="__RefHeading___Toc3585363_3650668749"/>
      <w:bookmarkStart w:id="1110" w:name="_Toc478"/>
      <w:bookmarkEnd w:id="1109"/>
      <w:r>
        <w:rPr>
          <w:rtl w:val="true"/>
        </w:rPr>
        <w:t>ه</w:t>
      </w:r>
      <w:r>
        <w:rPr>
          <w:rtl w:val="true"/>
        </w:rPr>
        <w:t xml:space="preserve">) </w:t>
      </w:r>
      <w:r>
        <w:rPr>
          <w:rtl w:val="true"/>
        </w:rPr>
        <w:t>دسته‌بندى طبقاتى</w:t>
      </w:r>
      <w:bookmarkEnd w:id="1110"/>
    </w:p>
    <w:p>
      <w:pPr>
        <w:pStyle w:val="BookText"/>
        <w:rPr/>
      </w:pPr>
      <w:r>
        <w:rPr>
          <w:rFonts w:ascii="IRNazanin" w:hAnsi="IRNazanin" w:eastAsia="IRNazanin"/>
          <w:color w:val="111111"/>
          <w:sz w:val="28"/>
          <w:sz w:val="28"/>
          <w:szCs w:val="28"/>
          <w:rtl w:val="true"/>
          <w:lang w:bidi="fa-IR"/>
        </w:rPr>
        <w:t>از بعضى از گزارش‌هاى تاريخى مى‌توان استفاده كرد كه مردم كوفه در زمان مورد بحث، به دو گروه اجتماعى اشراف و مردم عادى تقسيم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عبارت‌هاى تاريخى از زبان يكى از ياران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وقتى در كربلا به امام پيوست و امام احوال كوفيان را از او پرسيد، در جواب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اشراف مردم به وسيله رشوه‌هاى عظيم، محبت آنان به حكومت خريده شده است و اما ساير مردم دل‌هايشان با تو و شمشيرهايشان فردا عليه تو كشيده خواهد شد</w:t>
      </w:r>
      <w:r>
        <w:rPr>
          <w:rFonts w:eastAsia="IRNazanin" w:cs="IRNazanin"/>
          <w:color w:val="111111"/>
          <w:sz w:val="28"/>
          <w:szCs w:val="28"/>
          <w:rtl w:val="true"/>
          <w:lang w:bidi="fa-IR"/>
        </w:rPr>
        <w:t xml:space="preserve">» .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اشراف كوفه را بزرگان قبايل و نيز ثروتمندان كوفه تشكيل مى‌دادند كه به عنوان مثال مى‌توان از افرادى، همچون عمرو بن حُرَيث، اشعث بن قيس و شَبَث‌بن ربعى نام برد</w:t>
      </w:r>
      <w:r>
        <w:rPr>
          <w:rFonts w:eastAsia="IRNazanin" w:cs="IRNazanin"/>
          <w:color w:val="111111"/>
          <w:sz w:val="28"/>
          <w:szCs w:val="28"/>
          <w:rtl w:val="true"/>
          <w:lang w:bidi="fa-IR"/>
        </w:rPr>
        <w:t xml:space="preserve">. </w:t>
      </w:r>
      <w:r>
        <w:rPr>
          <w:rStyle w:val="FootnoteAnchor"/>
          <w:rtl w:val="true"/>
        </w:rPr>
        <w:footnoteReference w:id="92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بعضى نصوص، از سه خانواده شريف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بيوتات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قبايل مختلف كوفه از قرار زير نام برده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عَبْدالمَدان در بنى‌حارث؛</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زُرارة بن عَدَس در بنى‌تميم؛</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حُذَيفة بن بَدْر در خَراره</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و اما مهم‌ترين طبقه اجتماعى موجود در كوفه طبقه موالى بودند كه يكى از ضعيف‌ترين طبقات اجتماعى كوفه به شمار مى‌رفتند و بعد از آنان طبقه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موالى جمع مَولا و در اصطلاح آن روز كوفه به عجم‌هايى گفته مى‌شد كه با قبايل عرب پيمان بسته و جزء آن قبيله شمرده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عجم‌ها، يا ايرانيانى همانند سپاه چهارهزار نفرى حمراء ديلم بودند كه به سپاه اسلام پيوسته و سپس با قبيله بنى‌تميم پيمان بسته و تحت ولاء آنها در آمدند و موالى آنها ناميده شدند </w:t>
      </w:r>
      <w:r>
        <w:rPr>
          <w:rStyle w:val="FootnoteAnchor"/>
          <w:rtl w:val="true"/>
        </w:rPr>
        <w:footnoteReference w:id="925"/>
      </w:r>
      <w:r>
        <w:rPr>
          <w:rFonts w:ascii="IRNazanin" w:hAnsi="IRNazanin" w:eastAsia="IRNazanin"/>
          <w:color w:val="111111"/>
          <w:sz w:val="28"/>
          <w:sz w:val="28"/>
          <w:szCs w:val="28"/>
          <w:rtl w:val="true"/>
          <w:lang w:bidi="fa-IR"/>
        </w:rPr>
        <w:t xml:space="preserve">، يا ايرانيان و ديگر مليت‌هايى بودند كه داوطلبانه به كوفه هجرت كرده و در آن شهر ساكن شده و سپس براى بهره‌بردارى از حقوق اجتماعى، ولاء قبيله‌اى از قبايل عرب را پذيرفته بودند و يا بردگانى كه پس از مدتى به وسيله مالك خود آزاد مى‌شدند و پس از آزادى، ولاء او را قبول مى‌كردند كه به اين نوع موالى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92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بنيان‌گذارى شهر كوفه، علاوه بر حمراء ديلم جمعيت زيادى از عجم‌ها كه عمدتاً ايرانى بودند، به شهر كوفه مهاجرت كرده و نظام ولاء با قبايل را پذيرفتند تا جايى كه گفته شده است در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آنان حدود جمعيت كوفه را تشكيل مى‌داد</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زمان حكومت معاويه جمعيت آنان حدود بيست هزار نفر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معاويه را به وحشت انداخت، ازاين‌رو قصد كشتار آنان را نمود، اما سپس از قصد خود بازگشت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 به زياد بن ابيه حاكم كوفه دستور داد آنان را از</w:t>
      </w:r>
    </w:p>
    <w:p>
      <w:pPr>
        <w:pStyle w:val="BookText"/>
        <w:rPr/>
      </w:pPr>
      <w:r>
        <w:rPr>
          <w:rFonts w:ascii="Amiri" w:hAnsi="Amiri" w:eastAsia="Amiri" w:cs="Amiri"/>
          <w:color w:val="111111"/>
          <w:sz w:val="28"/>
          <w:sz w:val="28"/>
          <w:szCs w:val="28"/>
          <w:rtl w:val="true"/>
          <w:lang w:bidi="ar-SA"/>
        </w:rPr>
        <w:t>كوفه كه مركز انقلاب عليه حكومت اموى بود، بيرون نموده و به بصره و شام منتقل كند</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 xml:space="preserve">مهم‌ترين بهره‌اى كه موالى از پيمان بستن با قبايل اعراب مى‌بردند، آن بود كه هنگام ارتكاب جنايت و محكوم شدن به ديه، افراد قبيله به يارى او مى‌شتافتند </w:t>
      </w:r>
      <w:r>
        <w:rPr>
          <w:rStyle w:val="FootnoteAnchor"/>
          <w:rtl w:val="true"/>
        </w:rPr>
        <w:footnoteReference w:id="929"/>
      </w:r>
      <w:r>
        <w:rPr>
          <w:rFonts w:ascii="IRNazanin" w:hAnsi="IRNazanin" w:eastAsia="IRNazanin"/>
          <w:color w:val="111111"/>
          <w:sz w:val="28"/>
          <w:sz w:val="28"/>
          <w:szCs w:val="28"/>
          <w:rtl w:val="true"/>
          <w:lang w:bidi="fa-IR"/>
        </w:rPr>
        <w:t>، همچنان‌كه در جنگ‌ها همراه قبيله هم‌پيمان خود مى‌جنگيدند</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 xml:space="preserve">اما با آنكه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 القَومِ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 هر قومى همانند افراد آن قوم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عرب‌ها آنها را از بسيارى از حقوق اجتماعى، محروم مى‌كردند</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 xml:space="preserve">يكى از مهم‌ترين حقوق اجتماعى كه موالى از آن محروم بودند، مساوات در بيت‌المال بود، ازاين‌رو هنگامى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اولين بار موالى را با ديگر كوفيان در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قرار داد، با اعتراض شديد كوفيان عرب روبه‌رو شد كه در جواب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مرا فرمان مى‌دهيد كه پيروزى خود را با جور و ظلم به دست آورم</w:t>
      </w:r>
      <w:r>
        <w:rPr>
          <w:rFonts w:eastAsia="IRNazanin" w:cs="IRNazanin"/>
          <w:color w:val="111111"/>
          <w:sz w:val="28"/>
          <w:szCs w:val="28"/>
          <w:rtl w:val="true"/>
          <w:lang w:bidi="fa-IR"/>
        </w:rPr>
        <w:t xml:space="preserve">» .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يكى ديگر از تبعيضاتى كه نسبت به موالى انجام مى‌شد، تبعيض در امر ازدواج بود؛ بدين ترتيب كه از آنها زن مى‌گرفتند، اما به آنها زن عرب نمى‌دادند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تبعيض، در روايتى كه در جوامع روايى شيعه نقل شده است، به وضوح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روايت كه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آن حضرت مى‌فرمايد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حكومت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موالى نزد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اين عرب‌ها به تو شكايت مى‌كنيم؛ زيرا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عطايى مساوى عرب مى‌داد و سلمان، بلال و صهيب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غير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زنان عرب تزويج نمود، اما اينها با ما چنين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اعراب رفت و مشكل موالى را با آنها در ميان گذاشت، اما اعراب فرياد زدند كه ما زير بار چنين كارهايى نمى‌رويم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حالى‌كه غضبناك بود، نزد موالى بازگشت و به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عرب‌ها شما را به منزله يهود و نصارا قرار داده‌اند، از شما زن مى‌گيرند، اما به شما زن نمى‌دهند و شما را در گرفتن عطا از بيت‌المال مساوى خود قرار نمى‌دهند، پس شما تجارت كنيد كه خدا بركت به شما بدهد؛ زيرا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ده جزء است، نُه جزء آن در تجارت و يك جزء ديگر در كارهاى ديگر است</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اين تبعيض‌ها در زمان تسلط بنى‌اميه بر حكومت اسلامى، بسيار بيشتر شد كه در اينجا به نمونه‌هايى از آن اشاره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اجازه نمى‌دادند كه موالى با آنان در يك صف حركت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توهين به موالى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تنها سه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مى‌كند 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سگ و مولا</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كُنيه كه نشانه احترام فرد بود، آنها را صدا نمى‌زدند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حضور بر سفره‌ها، موالى را كنارى قرار مى‌دادند تا براى حاضران، مولا بودن آنها مشخص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موالى اجازه نماز خواندن بر مردگان را در صورت حضور يك عرب نمى‌دادند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مواقع در محاكم قضايى، شهادت و گواهى موالى را معتبر نمى‌دانستند </w:t>
      </w:r>
      <w:r>
        <w:rPr>
          <w:rStyle w:val="FootnoteAnchor"/>
          <w:rtl w:val="true"/>
        </w:rPr>
        <w:footnoteReference w:id="935"/>
      </w:r>
      <w:r>
        <w:rPr>
          <w:rFonts w:ascii="IRNazanin" w:hAnsi="IRNazanin" w:eastAsia="IRNazanin"/>
          <w:color w:val="111111"/>
          <w:sz w:val="28"/>
          <w:sz w:val="28"/>
          <w:szCs w:val="28"/>
          <w:rtl w:val="true"/>
          <w:lang w:bidi="fa-IR"/>
        </w:rPr>
        <w:t xml:space="preserve">چنان‌كه در باره شريح قاضى چنين نقل شده </w:t>
      </w:r>
      <w:r>
        <w:rPr>
          <w:rStyle w:val="FootnoteAnchor"/>
          <w:rtl w:val="true"/>
        </w:rPr>
        <w:footnoteReference w:id="936"/>
      </w:r>
      <w:r>
        <w:rPr>
          <w:rFonts w:ascii="IRNazanin" w:hAnsi="IRNazanin" w:eastAsia="IRNazanin"/>
          <w:color w:val="111111"/>
          <w:sz w:val="28"/>
          <w:sz w:val="28"/>
          <w:szCs w:val="28"/>
          <w:rtl w:val="true"/>
          <w:lang w:bidi="fa-IR"/>
        </w:rPr>
        <w:t>با اينكه گفته شده كه خود وى از موالى بوده است</w:t>
      </w:r>
      <w:r>
        <w:rPr>
          <w:rFonts w:eastAsia="IRNazanin" w:cs="IRNazanin"/>
          <w:color w:val="111111"/>
          <w:sz w:val="28"/>
          <w:szCs w:val="28"/>
          <w:rtl w:val="true"/>
          <w:lang w:bidi="fa-IR"/>
        </w:rPr>
        <w:t xml:space="preserve">. </w:t>
      </w:r>
      <w:r>
        <w:rPr>
          <w:rStyle w:val="FootnoteAnchor"/>
          <w:rtl w:val="true"/>
        </w:rPr>
        <w:footnoteReference w:id="93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جنگ‌ها به آنها اجازه سوار شدن بر اسب نمى‌دادند و از آنها به عنوان پياده نظام استفاده مى‌كردند، ازاين‌رو، وقتى مختار به موالى اجازه سوار شدن بر اسب را داد، جمع زيادى از موالى را به طرف خود جذب كرد</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عهده گرفتن امورى، همچون فرماندهى لشكر را به آنها نمى‌دادند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آنها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خر وحشى فربه ياد مى‌كردند</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 xml:space="preserve">اين تبعيض‌ها باعث مى‌شد تا موالى به جريان‌ها و شورش‌هاى مخالف حكومت اموى، مانند خوارج و قيام‌هاى علوى بپيوندند </w:t>
      </w:r>
      <w:r>
        <w:rPr>
          <w:rStyle w:val="FootnoteAnchor"/>
          <w:rtl w:val="true"/>
        </w:rPr>
        <w:footnoteReference w:id="940"/>
      </w:r>
      <w:r>
        <w:rPr>
          <w:rFonts w:ascii="IRNazanin" w:hAnsi="IRNazanin" w:eastAsia="IRNazanin"/>
          <w:color w:val="111111"/>
          <w:sz w:val="28"/>
          <w:sz w:val="28"/>
          <w:szCs w:val="28"/>
          <w:rtl w:val="true"/>
          <w:lang w:bidi="fa-IR"/>
        </w:rPr>
        <w:t>و حتى بعضى از آنها به كينه‌اى كه از بنى‌اميه داشتند، از اسلام رويگردان و مرتد مى‌شدند</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 xml:space="preserve">اما از نظر اقتصادى، موالى وقتى خود را از دريافت عطاى مناسب محروم ديدند، تصميم گرفتند به فرمايش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به‌كارهايى، همچون نظافت جاده‌ها، كفش‌دوزى، لباس‌دوزى، حجامت‌گرى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پرداختند </w:t>
      </w:r>
      <w:r>
        <w:rPr>
          <w:rStyle w:val="FootnoteAnchor"/>
          <w:rtl w:val="true"/>
        </w:rPr>
        <w:footnoteReference w:id="942"/>
      </w:r>
      <w:r>
        <w:rPr>
          <w:rFonts w:ascii="Amiri" w:hAnsi="Amiri" w:eastAsia="Amiri" w:cs="Amiri"/>
          <w:color w:val="111111"/>
          <w:sz w:val="28"/>
          <w:sz w:val="28"/>
          <w:szCs w:val="28"/>
          <w:rtl w:val="true"/>
          <w:lang w:bidi="ar-SA"/>
        </w:rPr>
        <w:t>، اما طولى نكشيد كه به علت مهارت آنان در امر صنعت و تجارت و نيز سرباز زدن عرب از صنعت و حرفه، بيشتر كارهاى صنعتى و تجارتى كوفه به دست آنان افتاد</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اما بردگان و كنيزكان با استفاده از راه‌هاى مختلفى به كوفه منتقل مى‌شدند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جنگ‌ها اسير مى‌شدند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خراج از سوى خراج گزاران به كوفه كه يكى از مراكز اصلى دنياى اسلام بود، منتقل مى‌شدند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جزيه پرداخت مى‌شدند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عنوان سهم خمس حكومت از غنايم، به كوفه آورده مى‌شدند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بالاخره برده‌فروشان كه بازار برده را داغ مى‌ديدند، برده‌ها را از راه‌هاى دور براى فروش به كوفه مى‌آوردند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بردگان در كارهاى دولتى، همچون پاسدارى از شهر و مؤسسه‌هاى دولتى مانند زندان و بيت‌المال، حفر كانال‌ها و جوى‌هاى آب و قنات‌ها گمارده مى‌شدند، بدون آنكه مزدى به آنها پرداخت شود يا اينكه پايين‌ترين دستمزد به آنها داده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برده‌ها به سبب مهارتشان در حرفه‌هاى مختلف، به حرفه‌هايى، همچون پارچه‌بافى، نجّارى، زيورسازى، آهنگرى، دباغى، سفال‌گرى، كفش‌دوزى و خياطى مشغول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بيشتر درآمد آنها نصيب اربابانشان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بعضى از كارهاى پست اجتماعى، مانند حجامت‌گرى و نظافت جاده‌ها به آنها واگذار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بسيارى از آنها در خانه‌هاى مالكان خود به‌كارهاى خانه، همچون آشپزى و نانوايى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كنيزكان براى كارهايى، همچون كارهاى خانه و نيز آوازه‌خوانى و همچنين استفاده جنسى نگهدارى مى‌شدند</w:t>
      </w:r>
      <w:r>
        <w:rPr>
          <w:rFonts w:eastAsia="IRNazanin" w:cs="IRNazanin"/>
          <w:color w:val="111111"/>
          <w:sz w:val="28"/>
          <w:szCs w:val="28"/>
          <w:rtl w:val="true"/>
          <w:lang w:bidi="fa-IR"/>
        </w:rPr>
        <w:t xml:space="preserve">. </w:t>
      </w:r>
      <w:r>
        <w:rPr>
          <w:rStyle w:val="FootnoteAnchor"/>
          <w:rtl w:val="true"/>
        </w:rPr>
        <w:footnoteReference w:id="94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 حال، نگهدارى برده و كنيز در جامعه آن روز كوفه امرى شايع بود به‌طورى كه در باره جامعه آن‌روز كوفه گفته شده است كه بعضى مواقع هنگام خروج يك مرد كوفى از خانه، همراه او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و مولا بودند</w:t>
      </w:r>
      <w:r>
        <w:rPr>
          <w:rFonts w:eastAsia="IRNazanin" w:cs="IRNazanin"/>
          <w:color w:val="111111"/>
          <w:sz w:val="28"/>
          <w:szCs w:val="28"/>
          <w:rtl w:val="true"/>
          <w:lang w:bidi="fa-IR"/>
        </w:rPr>
        <w:t xml:space="preserve">. </w:t>
      </w:r>
      <w:r>
        <w:rPr>
          <w:rStyle w:val="FootnoteAnchor"/>
          <w:rtl w:val="true"/>
        </w:rPr>
        <w:footnoteReference w:id="945"/>
      </w:r>
      <w:bookmarkStart w:id="1111" w:name="pg1964_19655"/>
    </w:p>
    <w:p>
      <w:pPr>
        <w:pStyle w:val="Heading2"/>
        <w:numPr>
          <w:ilvl w:val="1"/>
          <w:numId w:val="1"/>
        </w:numPr>
        <w:rPr/>
      </w:pPr>
      <w:bookmarkStart w:id="1112" w:name="__RefHeading___Toc3585365_3650668749"/>
      <w:bookmarkStart w:id="1113" w:name="_Toc479"/>
      <w:bookmarkEnd w:id="1111"/>
      <w:bookmarkEnd w:id="1112"/>
      <w:r>
        <w:rPr>
          <w:rtl w:val="true"/>
        </w:rPr>
        <w:t>فصل چهارم</w:t>
      </w:r>
      <w:r>
        <w:rPr>
          <w:rtl w:val="true"/>
        </w:rPr>
        <w:t xml:space="preserve">: </w:t>
      </w:r>
      <w:r>
        <w:rPr>
          <w:rtl w:val="true"/>
        </w:rPr>
        <w:t>وضعيت اقتصادى كوفه</w:t>
      </w:r>
      <w:bookmarkEnd w:id="111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4" w:name="__RefHeading___Toc3585367_3650668749"/>
      <w:bookmarkStart w:id="1115" w:name="_Toc480"/>
      <w:bookmarkEnd w:id="1114"/>
      <w:r>
        <w:rPr>
          <w:rtl w:val="true"/>
        </w:rPr>
        <w:t>اشاره</w:t>
      </w:r>
      <w:bookmarkStart w:id="1116" w:name="pg1964_19657"/>
      <w:bookmarkEnd w:id="1115"/>
    </w:p>
    <w:p>
      <w:pPr>
        <w:pStyle w:val="Heading3"/>
        <w:numPr>
          <w:ilvl w:val="2"/>
          <w:numId w:val="1"/>
        </w:numPr>
        <w:rPr/>
      </w:pPr>
      <w:bookmarkStart w:id="1117" w:name="__RefHeading___Toc3585369_3650668749"/>
      <w:bookmarkStart w:id="1118" w:name="_Toc481"/>
      <w:bookmarkEnd w:id="1116"/>
      <w:bookmarkEnd w:id="1117"/>
      <w:r>
        <w:rPr/>
        <w:t>١</w:t>
      </w:r>
      <w:r>
        <w:rPr>
          <w:rtl w:val="true"/>
        </w:rPr>
        <w:t xml:space="preserve">. </w:t>
      </w:r>
      <w:r>
        <w:rPr>
          <w:rtl w:val="true"/>
        </w:rPr>
        <w:t>چگونگى داد و ستد و معاملات</w:t>
      </w:r>
      <w:bookmarkEnd w:id="1118"/>
    </w:p>
    <w:p>
      <w:pPr>
        <w:pStyle w:val="Heading4"/>
        <w:numPr>
          <w:ilvl w:val="3"/>
          <w:numId w:val="1"/>
        </w:numPr>
        <w:rPr/>
      </w:pPr>
      <w:bookmarkStart w:id="1119" w:name="__RefHeading___Toc3585371_3650668749"/>
      <w:bookmarkStart w:id="1120" w:name="_Toc482"/>
      <w:bookmarkEnd w:id="1119"/>
      <w:r>
        <w:rPr>
          <w:rtl w:val="true"/>
        </w:rPr>
        <w:t>الف</w:t>
      </w:r>
      <w:r>
        <w:rPr>
          <w:rtl w:val="true"/>
        </w:rPr>
        <w:t xml:space="preserve">) </w:t>
      </w:r>
      <w:r>
        <w:rPr>
          <w:rtl w:val="true"/>
        </w:rPr>
        <w:t>نوع پول رايج</w:t>
      </w:r>
      <w:bookmarkEnd w:id="1120"/>
    </w:p>
    <w:p>
      <w:pPr>
        <w:pStyle w:val="Heading5"/>
        <w:numPr>
          <w:ilvl w:val="4"/>
          <w:numId w:val="1"/>
        </w:numPr>
        <w:rPr/>
      </w:pPr>
      <w:bookmarkStart w:id="1121" w:name="__RefHeading___Toc3585373_3650668749"/>
      <w:bookmarkStart w:id="1122" w:name="_Toc483"/>
      <w:bookmarkEnd w:id="1121"/>
      <w:r>
        <w:rPr>
          <w:rtl w:val="true"/>
        </w:rPr>
        <w:t>اشاره</w:t>
      </w:r>
      <w:bookmarkEnd w:id="1122"/>
    </w:p>
    <w:p>
      <w:pPr>
        <w:pStyle w:val="BookText"/>
        <w:rPr/>
      </w:pPr>
      <w:r>
        <w:rPr>
          <w:rFonts w:ascii="IRNazanin" w:hAnsi="IRNazanin" w:eastAsia="IRNazanin"/>
          <w:color w:val="111111"/>
          <w:sz w:val="28"/>
          <w:sz w:val="28"/>
          <w:szCs w:val="28"/>
          <w:rtl w:val="true"/>
          <w:lang w:bidi="fa-IR"/>
        </w:rPr>
        <w:t>معاملات مردم كوفه در زمان مورد بحث عمدتاً به صورت پرداخت پول در مقابل جنس صورت مى‌گرفت و كمتر به صورت پاياپاى يا كالا به كالا انجام مى‌شد</w:t>
      </w:r>
      <w:r>
        <w:rPr>
          <w:rFonts w:eastAsia="IRNazanin" w:cs="IRNazanin"/>
          <w:color w:val="111111"/>
          <w:sz w:val="28"/>
          <w:szCs w:val="28"/>
          <w:rtl w:val="true"/>
          <w:lang w:bidi="fa-IR"/>
        </w:rPr>
        <w:t xml:space="preserve">. </w:t>
      </w:r>
      <w:r>
        <w:rPr>
          <w:rStyle w:val="FootnoteAnchor"/>
          <w:rtl w:val="true"/>
        </w:rPr>
        <w:footnoteReference w:id="946"/>
      </w:r>
      <w:r>
        <w:rPr>
          <w:rFonts w:ascii="IRNazanin" w:hAnsi="IRNazanin" w:eastAsia="IRNazanin"/>
          <w:color w:val="111111"/>
          <w:sz w:val="28"/>
          <w:sz w:val="28"/>
          <w:szCs w:val="28"/>
          <w:rtl w:val="true"/>
          <w:lang w:bidi="fa-IR"/>
        </w:rPr>
        <w:t>پول رايج آن زمان، سكه‌هاى طلا و نقره بود كه اصطلاحاً به آنها دينار و درهم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براى روشن شدن بحث، مطالبى براساس محورهاى زير آورده مى‌شود</w:t>
      </w:r>
      <w:r>
        <w:rPr>
          <w:rFonts w:eastAsia="IRNazanin" w:cs="IRNazanin"/>
          <w:color w:val="111111"/>
          <w:sz w:val="28"/>
          <w:szCs w:val="28"/>
          <w:rtl w:val="true"/>
          <w:lang w:bidi="fa-IR"/>
        </w:rPr>
        <w:t>:</w:t>
      </w:r>
    </w:p>
    <w:p>
      <w:pPr>
        <w:pStyle w:val="Heading5"/>
        <w:numPr>
          <w:ilvl w:val="4"/>
          <w:numId w:val="1"/>
        </w:numPr>
        <w:rPr/>
      </w:pPr>
      <w:bookmarkStart w:id="1123" w:name="__RefHeading___Toc3585375_3650668749"/>
      <w:bookmarkStart w:id="1124" w:name="_Toc484"/>
      <w:bookmarkEnd w:id="1123"/>
      <w:r>
        <w:rPr>
          <w:rtl w:val="true"/>
        </w:rPr>
        <w:t xml:space="preserve">يك </w:t>
      </w:r>
      <w:r>
        <w:rPr>
          <w:rtl w:val="true"/>
        </w:rPr>
        <w:t xml:space="preserve">- </w:t>
      </w:r>
      <w:r>
        <w:rPr>
          <w:rtl w:val="true"/>
        </w:rPr>
        <w:t>كيفيت سكه زدن</w:t>
      </w:r>
      <w:bookmarkEnd w:id="112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سكه در لغت به قطعه آهنى گفته مى‌شد كه در آن، كلمات و نقوشى كه بايد روى قطعه‌هاى طلا و نقره نقش مى‌بست، به صورت وارونه، حك شده بود</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كيفيت سكه زدن از اين قرار بود كه قطعه‌هاى شمش طلا و نقره را به وزن دينار و درهم تقسيم نموده و آن‌گاه آن قطعه آهن را روى يكايك آنها قرار داده و با چكش بزرگى بر روى آن مى‌كوبيدند و بدين وسيله، نقش آن قطعه آهن روى طلا يا نقره حك مى‌شد، سپس به اثر آن قطعه آهن روى طلا و نقره، سكه گفتند و پس از آن</w:t>
      </w:r>
      <w:bookmarkStart w:id="1125" w:name="pg1964_19658"/>
    </w:p>
    <w:p>
      <w:pPr>
        <w:pStyle w:val="BookText"/>
        <w:rPr/>
      </w:pPr>
      <w:bookmarkEnd w:id="1125"/>
      <w:r>
        <w:rPr>
          <w:rFonts w:ascii="IRNazanin" w:hAnsi="IRNazanin" w:eastAsia="IRNazanin"/>
          <w:color w:val="111111"/>
          <w:sz w:val="28"/>
          <w:sz w:val="28"/>
          <w:szCs w:val="28"/>
          <w:rtl w:val="true"/>
          <w:lang w:bidi="fa-IR"/>
        </w:rPr>
        <w:t>سكه به خود پول‌هاى طلايى و نقره‌اى كه اصطلاحاً به آنها دينار و درهم گفته مى‌شد، اطلاق گرديد</w:t>
      </w:r>
      <w:r>
        <w:rPr>
          <w:rFonts w:eastAsia="IRNazanin" w:cs="IRNazanin"/>
          <w:color w:val="111111"/>
          <w:sz w:val="28"/>
          <w:szCs w:val="28"/>
          <w:rtl w:val="true"/>
          <w:lang w:bidi="fa-IR"/>
        </w:rPr>
        <w:t xml:space="preserve">. </w:t>
      </w:r>
      <w:r>
        <w:rPr>
          <w:rStyle w:val="FootnoteAnchor"/>
          <w:rtl w:val="true"/>
        </w:rPr>
        <w:footnoteReference w:id="948"/>
      </w:r>
      <w:r>
        <w:rPr>
          <w:rFonts w:ascii="Amiri" w:hAnsi="Amiri" w:eastAsia="Amiri" w:cs="Amiri"/>
          <w:color w:val="111111"/>
          <w:sz w:val="28"/>
          <w:sz w:val="28"/>
          <w:szCs w:val="28"/>
          <w:rtl w:val="true"/>
          <w:lang w:bidi="ar-SA"/>
        </w:rPr>
        <w:t>بنابراين، روشن مى‌شود كه سكه زدن در آن زمان، مكانيسم مشكل و دشوارى نداشته است و هر دولت يا حكومتى به راحتى مى‌توانست سكه ضرب كند</w:t>
      </w:r>
      <w:r>
        <w:rPr>
          <w:rFonts w:eastAsia="Amiri" w:cs="Amiri" w:ascii="Amiri" w:hAnsi="Amiri"/>
          <w:color w:val="111111"/>
          <w:sz w:val="28"/>
          <w:szCs w:val="28"/>
          <w:rtl w:val="true"/>
          <w:lang w:bidi="ar-SA"/>
        </w:rPr>
        <w:t>.</w:t>
      </w:r>
    </w:p>
    <w:p>
      <w:pPr>
        <w:pStyle w:val="Heading5"/>
        <w:numPr>
          <w:ilvl w:val="4"/>
          <w:numId w:val="1"/>
        </w:numPr>
        <w:rPr/>
      </w:pPr>
      <w:bookmarkStart w:id="1126" w:name="__RefHeading___Toc3585377_3650668749"/>
      <w:bookmarkStart w:id="1127" w:name="_Toc485"/>
      <w:bookmarkEnd w:id="1126"/>
      <w:r>
        <w:rPr>
          <w:rtl w:val="true"/>
        </w:rPr>
        <w:t xml:space="preserve">دو </w:t>
      </w:r>
      <w:r>
        <w:rPr>
          <w:rtl w:val="true"/>
        </w:rPr>
        <w:t xml:space="preserve">- </w:t>
      </w:r>
      <w:r>
        <w:rPr>
          <w:rtl w:val="true"/>
        </w:rPr>
        <w:t>سكه در صدر اسلام</w:t>
      </w:r>
      <w:bookmarkEnd w:id="1127"/>
    </w:p>
    <w:p>
      <w:pPr>
        <w:pStyle w:val="BookText"/>
        <w:rPr/>
      </w:pPr>
      <w:r>
        <w:rPr>
          <w:rFonts w:ascii="IRNazanin" w:hAnsi="IRNazanin" w:eastAsia="IRNazanin"/>
          <w:color w:val="111111"/>
          <w:sz w:val="28"/>
          <w:sz w:val="28"/>
          <w:szCs w:val="28"/>
          <w:rtl w:val="true"/>
          <w:lang w:bidi="fa-IR"/>
        </w:rPr>
        <w:t xml:space="preserve">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مسلمانان با سكه‌هايى انجام مى‌گرفت كه از سوى دو امپراطورى بزرگ آن روز جهان، يعنى ايران و روم زده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امپراطورى، سكه‌هاى طلا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سكه‌هاى نقره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عرب سكه‌هاى ايرانى را سكه‌هاى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سكه‌هاى رومى را سكه‌هاى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Style w:val="FootnoteAnchor"/>
          <w:rtl w:val="true"/>
        </w:rPr>
        <w:footnoteReference w:id="949"/>
      </w:r>
      <w:r>
        <w:rPr>
          <w:rFonts w:ascii="IRNazanin" w:hAnsi="IRNazanin" w:eastAsia="IRNazanin"/>
          <w:color w:val="111111"/>
          <w:sz w:val="28"/>
          <w:sz w:val="28"/>
          <w:szCs w:val="28"/>
          <w:rtl w:val="true"/>
          <w:lang w:bidi="fa-IR"/>
        </w:rPr>
        <w:t>گرچه هر چهار نوع سكه كم و بيش در ميان آنها معمول بود، اما بيشتر معاملات با دينار رومى و درهم ايرانى انجام مى‌گرفت</w:t>
      </w:r>
      <w:r>
        <w:rPr>
          <w:rFonts w:eastAsia="IRNazanin" w:cs="IRNazanin"/>
          <w:color w:val="111111"/>
          <w:sz w:val="28"/>
          <w:szCs w:val="28"/>
          <w:rtl w:val="true"/>
          <w:lang w:bidi="fa-IR"/>
        </w:rPr>
        <w:t xml:space="preserve">. </w:t>
      </w:r>
      <w:r>
        <w:rPr>
          <w:rStyle w:val="FootnoteAnchor"/>
          <w:rtl w:val="true"/>
        </w:rPr>
        <w:footnoteReference w:id="9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ابوبكر نيز وضع به همين منوال بود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اولين بار ضرب سكه در اسلام به خالد بن وليد، فرمانده سپاه فتوحات در ايران نسبت داده شده كه گفته شده است در سال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طبرستان اقدام به اين كار نمود</w:t>
      </w:r>
      <w:r>
        <w:rPr>
          <w:rFonts w:eastAsia="IRNazanin" w:cs="IRNazanin"/>
          <w:color w:val="111111"/>
          <w:sz w:val="28"/>
          <w:szCs w:val="28"/>
          <w:rtl w:val="true"/>
          <w:lang w:bidi="fa-IR"/>
        </w:rPr>
        <w:t xml:space="preserve">. </w:t>
      </w:r>
      <w:r>
        <w:rPr>
          <w:rStyle w:val="FootnoteAnchor"/>
          <w:rtl w:val="true"/>
        </w:rPr>
        <w:footnoteReference w:id="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كار را روى دينارهاى رومى انجام داد؛ بدين ترتيب كه يك طرف دينار را كه روى آن نقوش صليب، تاج و چوگان بود، به حال خود گذاشت و در طرف ديگر، نام خود را با حروف يونانى چنين نگاشت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Xa ved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سپس سه حرف زير را حك كرد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IY Bou</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كه بعضى گفته‌اند، علامت اختصارى ابوسليمان، كنيه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وى ضرب سكه به خليفه عُمر نسبت داده شده است كه در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روى درهم‌هاى فارسى اين كار را انجام داده </w:t>
      </w:r>
      <w:r>
        <w:rPr>
          <w:rStyle w:val="FootnoteAnchor"/>
          <w:rtl w:val="true"/>
        </w:rPr>
        <w:footnoteReference w:id="952"/>
      </w:r>
      <w:r>
        <w:rPr>
          <w:rFonts w:ascii="IRNazanin" w:hAnsi="IRNazanin" w:eastAsia="IRNazanin"/>
          <w:color w:val="111111"/>
          <w:sz w:val="28"/>
          <w:sz w:val="28"/>
          <w:szCs w:val="28"/>
          <w:rtl w:val="true"/>
          <w:lang w:bidi="fa-IR"/>
        </w:rPr>
        <w:t xml:space="preserve">بدين‌ترتيب كه نقوش درهم را كه سر تاج‌دار پادشاه ايران بود، به حال خود گذاشت و در بعضى از سكه‌ها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ديگر،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كرد</w:t>
      </w:r>
      <w:r>
        <w:rPr>
          <w:rFonts w:eastAsia="IRNazanin" w:cs="IRNazanin"/>
          <w:color w:val="111111"/>
          <w:sz w:val="28"/>
          <w:szCs w:val="28"/>
          <w:rtl w:val="true"/>
          <w:lang w:bidi="fa-IR"/>
        </w:rPr>
        <w:t xml:space="preserve">. </w:t>
      </w:r>
      <w:r>
        <w:rPr>
          <w:rStyle w:val="FootnoteAnchor"/>
          <w:rtl w:val="true"/>
        </w:rPr>
        <w:footnoteReference w:id="953"/>
      </w:r>
      <w:r>
        <w:rPr>
          <w:rFonts w:ascii="IRNazanin" w:hAnsi="IRNazanin" w:eastAsia="IRNazanin"/>
          <w:color w:val="111111"/>
          <w:sz w:val="28"/>
          <w:sz w:val="28"/>
          <w:szCs w:val="28"/>
          <w:rtl w:val="true"/>
          <w:lang w:bidi="fa-IR"/>
        </w:rPr>
        <w:t xml:space="preserve">پس از وى عثمان نيز از او تقليد نمود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روى بعضى درهم‌ها حك كرد</w:t>
      </w:r>
      <w:r>
        <w:rPr>
          <w:rFonts w:eastAsia="IRNazanin" w:cs="IRNazanin"/>
          <w:color w:val="111111"/>
          <w:sz w:val="28"/>
          <w:szCs w:val="28"/>
          <w:rtl w:val="true"/>
          <w:lang w:bidi="fa-IR"/>
        </w:rPr>
        <w:t xml:space="preserve">. </w:t>
      </w:r>
      <w:r>
        <w:rPr>
          <w:rStyle w:val="FootnoteAnchor"/>
          <w:rtl w:val="true"/>
        </w:rPr>
        <w:footnoteReference w:id="954"/>
      </w:r>
      <w:r>
        <w:rPr>
          <w:rFonts w:ascii="IRNazanin" w:hAnsi="IRNazanin" w:eastAsia="IRNazanin"/>
          <w:color w:val="111111"/>
          <w:sz w:val="28"/>
          <w:sz w:val="28"/>
          <w:szCs w:val="28"/>
          <w:rtl w:val="true"/>
          <w:lang w:bidi="fa-IR"/>
        </w:rPr>
        <w:t xml:space="preserve">در باره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شده است كه آن جناب سكه‌هايى نقره‌اى در سال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بصره زد كه روى آنها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كوفى حك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ضرب‌هايى در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پس از آن و در زمان حكومت زياد بر كوفه و بصره و به پيشنهاد او، معاويه سكه‌هاى نقره با وزنى كمتر از وزن معمول زد و نيز دينارهايى ضرب نمود كه روى آنها قيافه او در حالى‌كه شمشيرى به ميان بسته بود، حك شده بود</w:t>
      </w:r>
      <w:r>
        <w:rPr>
          <w:rFonts w:eastAsia="IRNazanin" w:cs="IRNazanin"/>
          <w:color w:val="111111"/>
          <w:sz w:val="28"/>
          <w:szCs w:val="28"/>
          <w:rtl w:val="true"/>
          <w:lang w:bidi="fa-IR"/>
        </w:rPr>
        <w:t xml:space="preserve">. </w:t>
      </w:r>
      <w:r>
        <w:rPr>
          <w:rStyle w:val="FootnoteAnchor"/>
          <w:rtl w:val="true"/>
        </w:rPr>
        <w:footnoteReference w:id="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نظر مى‌رسد كه همه اين سكه‌ها غير مدور و بلكه چهارگوش بوده؛ زيرا گفته شده است كه براى اولين بار در اسلام سكه‌هاى دايره‌اى شكل در زمان عبدالله بن زبير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w:t>
      </w:r>
      <w:r>
        <w:rPr>
          <w:rFonts w:eastAsia="IRNazanin" w:cs="IRNazanin"/>
          <w:color w:val="111111"/>
          <w:sz w:val="28"/>
          <w:szCs w:val="28"/>
          <w:rtl w:val="true"/>
          <w:lang w:bidi="fa-IR"/>
        </w:rPr>
        <w:t xml:space="preserve">. </w:t>
      </w:r>
      <w:r>
        <w:rPr>
          <w:rStyle w:val="FootnoteAnchor"/>
          <w:rtl w:val="true"/>
        </w:rPr>
        <w:footnoteReference w:id="957"/>
      </w:r>
      <w:r>
        <w:rPr>
          <w:rFonts w:ascii="IRNazanin" w:hAnsi="IRNazanin" w:eastAsia="IRNazanin"/>
          <w:color w:val="111111"/>
          <w:sz w:val="28"/>
          <w:sz w:val="28"/>
          <w:szCs w:val="28"/>
          <w:rtl w:val="true"/>
          <w:lang w:bidi="fa-IR"/>
        </w:rPr>
        <w:t xml:space="preserve">وى روى يك طرف سكه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طرف ديگر سكه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امرالله بالوفاء و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حك كرد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و قابل توجه اينكه در تمام اين زمان‌ها با سكه‌هاى طلا و نقره با عنوان وزنشان معامله مى‌شد و نقش سكه تأثير چندانى در قيمت آن نداشت</w:t>
      </w:r>
      <w:r>
        <w:rPr>
          <w:rFonts w:eastAsia="IRNazanin" w:cs="IRNazanin"/>
          <w:color w:val="111111"/>
          <w:sz w:val="28"/>
          <w:szCs w:val="28"/>
          <w:rtl w:val="true"/>
          <w:lang w:bidi="fa-IR"/>
        </w:rPr>
        <w:t xml:space="preserve">. </w:t>
      </w:r>
      <w:r>
        <w:rPr>
          <w:rStyle w:val="FootnoteAnchor"/>
          <w:rtl w:val="true"/>
        </w:rPr>
        <w:footnoteReference w:id="958"/>
      </w:r>
      <w:bookmarkStart w:id="1128" w:name="pg1964_19660"/>
    </w:p>
    <w:p>
      <w:pPr>
        <w:pStyle w:val="BookText"/>
        <w:rPr/>
      </w:pPr>
      <w:bookmarkEnd w:id="1128"/>
      <w:r>
        <w:rPr>
          <w:rFonts w:ascii="Amiri" w:hAnsi="Amiri" w:eastAsia="Amiri" w:cs="Amiri"/>
          <w:color w:val="111111"/>
          <w:sz w:val="28"/>
          <w:sz w:val="28"/>
          <w:szCs w:val="28"/>
          <w:rtl w:val="true"/>
          <w:lang w:bidi="ar-SA"/>
        </w:rPr>
        <w:t xml:space="preserve">اما اينكه مشهور است كه اولين سكه‌هاى اسلامى در سال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به وسيله عبدالملك بن مروان زده شد </w:t>
      </w:r>
      <w:r>
        <w:rPr>
          <w:rStyle w:val="FootnoteAnchor"/>
          <w:rtl w:val="true"/>
        </w:rPr>
        <w:footnoteReference w:id="9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علت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رسماً سكه‌هاى طلا و نقره ضرب كرد و در سرتاسر مملكت اسلامى اعلان نمود كه معاملات بايد فقط و فقط به وسيله سكه‌هاى اسلامى صورت گيرد و معامله با سكه‌هاى ديگر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سكه‌هاى اسلامى را كاملاً مستقل نمود و چيزى از نقوش كسروى و رومى روى سكه‌ها باقى نگذاشت؛ به عبارت ديگر، او سكه را از شمش زد، نه اينكه روى سكه‌هاى رايج، نقشى اضافى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زمان مردم طلاها و نقرهاى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مى‌بردند و در آنجا در مقابل پرداخت از وزن طلا يا نقره مسكوكات طلا و نقره تحويل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زمان نقش سكه ارزشى معادل سكّه پيدا كرد</w:t>
      </w:r>
      <w:r>
        <w:rPr>
          <w:rFonts w:eastAsia="IRNazanin" w:cs="IRNazanin"/>
          <w:color w:val="111111"/>
          <w:sz w:val="28"/>
          <w:szCs w:val="28"/>
          <w:rtl w:val="true"/>
          <w:lang w:bidi="fa-IR"/>
        </w:rPr>
        <w:t xml:space="preserve">. </w:t>
      </w:r>
      <w:r>
        <w:rPr>
          <w:rStyle w:val="FootnoteAnchor"/>
          <w:rtl w:val="true"/>
        </w:rPr>
        <w:footnoteReference w:id="960"/>
      </w:r>
      <w:r>
        <w:rPr>
          <w:rFonts w:ascii="IRNazanin" w:hAnsi="IRNazanin" w:eastAsia="IRNazanin"/>
          <w:color w:val="111111"/>
          <w:sz w:val="28"/>
          <w:sz w:val="28"/>
          <w:szCs w:val="28"/>
          <w:rtl w:val="true"/>
          <w:lang w:bidi="fa-IR"/>
        </w:rPr>
        <w:t xml:space="preserve">به اجرت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درآمد نصيب حكومت مى‌شد</w:t>
      </w:r>
      <w:r>
        <w:rPr>
          <w:rFonts w:eastAsia="IRNazanin" w:cs="IRNazanin"/>
          <w:color w:val="111111"/>
          <w:sz w:val="28"/>
          <w:szCs w:val="28"/>
          <w:rtl w:val="true"/>
          <w:lang w:bidi="fa-IR"/>
        </w:rPr>
        <w:t xml:space="preserve">. </w:t>
      </w:r>
      <w:r>
        <w:rPr>
          <w:rStyle w:val="FootnoteAnchor"/>
          <w:rtl w:val="true"/>
        </w:rPr>
        <w:footnoteReference w:id="961"/>
      </w:r>
    </w:p>
    <w:p>
      <w:pPr>
        <w:pStyle w:val="Heading5"/>
        <w:numPr>
          <w:ilvl w:val="4"/>
          <w:numId w:val="1"/>
        </w:numPr>
        <w:rPr/>
      </w:pPr>
      <w:bookmarkStart w:id="1129" w:name="__RefHeading___Toc3585379_3650668749"/>
      <w:bookmarkStart w:id="1130" w:name="_Toc486"/>
      <w:bookmarkEnd w:id="1129"/>
      <w:r>
        <w:rPr>
          <w:rtl w:val="true"/>
        </w:rPr>
        <w:t xml:space="preserve">سه </w:t>
      </w:r>
      <w:r>
        <w:rPr>
          <w:rtl w:val="true"/>
        </w:rPr>
        <w:t xml:space="preserve">- </w:t>
      </w:r>
      <w:r>
        <w:rPr>
          <w:rtl w:val="true"/>
        </w:rPr>
        <w:t>انواع سكه‌ها و وزن آنها</w:t>
      </w:r>
      <w:bookmarkEnd w:id="1130"/>
    </w:p>
    <w:p>
      <w:pPr>
        <w:pStyle w:val="Heading6"/>
        <w:numPr>
          <w:ilvl w:val="5"/>
          <w:numId w:val="1"/>
        </w:numPr>
        <w:rPr/>
      </w:pPr>
      <w:bookmarkStart w:id="1131" w:name="__RefHeading___Toc3585381_3650668749"/>
      <w:bookmarkStart w:id="1132" w:name="_Toc487"/>
      <w:bookmarkEnd w:id="1131"/>
      <w:r>
        <w:rPr>
          <w:rtl w:val="true"/>
        </w:rPr>
        <w:t>اشاره</w:t>
      </w:r>
      <w:bookmarkEnd w:id="113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بحث‌هاى گذشته روشن شد كه در مقطع مورد بحث ما كه عمدتاً تا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شامل مى‌شود غير از دينارهاى معاويه كه فراگير نبوده، در دينار تغييرى ايجاد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در اين زمان كه شامل يك مثقال طلا بود، به گفته بيشتر نويسندگان، وزنى معادل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داشت</w:t>
      </w:r>
      <w:r>
        <w:rPr>
          <w:rFonts w:eastAsia="IRNazanin" w:cs="IRNazanin"/>
          <w:color w:val="111111"/>
          <w:sz w:val="28"/>
          <w:szCs w:val="28"/>
          <w:rtl w:val="true"/>
          <w:lang w:bidi="fa-IR"/>
        </w:rPr>
        <w:t xml:space="preserve">. </w:t>
      </w:r>
      <w:r>
        <w:rPr>
          <w:rStyle w:val="FootnoteAnchor"/>
          <w:rtl w:val="true"/>
        </w:rPr>
        <w:footnoteReference w:id="962"/>
      </w:r>
      <w:r>
        <w:rPr>
          <w:rFonts w:ascii="IRNazanin" w:hAnsi="IRNazanin" w:eastAsia="IRNazanin"/>
          <w:color w:val="111111"/>
          <w:sz w:val="28"/>
          <w:sz w:val="28"/>
          <w:szCs w:val="28"/>
          <w:rtl w:val="true"/>
          <w:lang w:bidi="fa-IR"/>
        </w:rPr>
        <w:t xml:space="preserve">البته رقم دقيق‌تر آن را بعضى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گرم </w:t>
      </w:r>
      <w:r>
        <w:rPr>
          <w:rStyle w:val="FootnoteAnchor"/>
          <w:rtl w:val="true"/>
        </w:rPr>
        <w:footnoteReference w:id="963"/>
      </w:r>
      <w:r>
        <w:rPr>
          <w:rFonts w:ascii="IRNazanin" w:hAnsi="IRNazanin" w:eastAsia="IRNazanin"/>
          <w:color w:val="111111"/>
          <w:sz w:val="28"/>
          <w:sz w:val="28"/>
          <w:szCs w:val="28"/>
          <w:rtl w:val="true"/>
          <w:lang w:bidi="fa-IR"/>
        </w:rPr>
        <w:t xml:space="preserve">و بعضى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Style w:val="FootnoteAnchor"/>
          <w:rtl w:val="true"/>
        </w:rPr>
        <w:footnoteReference w:id="964"/>
      </w:r>
      <w:r>
        <w:rPr>
          <w:rFonts w:ascii="Amiri" w:hAnsi="Amiri" w:eastAsia="Amiri" w:cs="Amiri"/>
          <w:color w:val="111111"/>
          <w:sz w:val="28"/>
          <w:sz w:val="28"/>
          <w:szCs w:val="28"/>
          <w:rtl w:val="true"/>
          <w:lang w:bidi="ar-SA"/>
        </w:rPr>
        <w:t>ذكر كرده‌اند</w:t>
      </w:r>
      <w:r>
        <w:rPr>
          <w:rFonts w:eastAsia="Amiri" w:cs="Amiri" w:ascii="Amiri" w:hAnsi="Amiri"/>
          <w:color w:val="111111"/>
          <w:sz w:val="28"/>
          <w:szCs w:val="28"/>
          <w:rtl w:val="true"/>
          <w:lang w:bidi="ar-SA"/>
        </w:rPr>
        <w:t>.</w:t>
      </w:r>
      <w:bookmarkStart w:id="1133" w:name="pg1964_19661"/>
    </w:p>
    <w:p>
      <w:pPr>
        <w:pStyle w:val="BookText"/>
        <w:rPr/>
      </w:pPr>
      <w:bookmarkEnd w:id="1133"/>
      <w:r>
        <w:rPr>
          <w:rFonts w:ascii="Amiri" w:hAnsi="Amiri" w:eastAsia="Amiri" w:cs="Amiri"/>
          <w:color w:val="111111"/>
          <w:sz w:val="28"/>
          <w:sz w:val="28"/>
          <w:szCs w:val="28"/>
          <w:rtl w:val="true"/>
          <w:lang w:bidi="ar-SA"/>
        </w:rPr>
        <w:t xml:space="preserve">قطر دينار اموى كه در زمان عبدالملك ضرب شد، حدود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ميلى‌متر بوده است </w:t>
      </w:r>
      <w:r>
        <w:rPr>
          <w:rStyle w:val="FootnoteAnchor"/>
          <w:rtl w:val="true"/>
        </w:rPr>
        <w:footnoteReference w:id="965"/>
      </w:r>
      <w:r>
        <w:rPr>
          <w:rFonts w:ascii="Amiri" w:hAnsi="Amiri" w:eastAsia="Amiri" w:cs="Amiri"/>
          <w:color w:val="111111"/>
          <w:sz w:val="28"/>
          <w:sz w:val="28"/>
          <w:szCs w:val="28"/>
          <w:rtl w:val="true"/>
          <w:lang w:bidi="ar-SA"/>
        </w:rPr>
        <w:t>كه از اين قطر مى‌توان قطر تقريبى دينارهاى زمان مورد بحث را به دست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درهم تا زمان عمر اوزان و انواع مختلفى داشت كه سه نوع آن از همه مشهورتر بود، اين سه نوع عبارت بود از</w:t>
      </w:r>
      <w:r>
        <w:rPr>
          <w:rFonts w:eastAsia="Amiri" w:cs="Amiri" w:ascii="Amiri" w:hAnsi="Amiri"/>
          <w:color w:val="111111"/>
          <w:sz w:val="28"/>
          <w:szCs w:val="28"/>
          <w:rtl w:val="true"/>
          <w:lang w:bidi="ar-SA"/>
        </w:rPr>
        <w:t>:</w:t>
      </w:r>
    </w:p>
    <w:p>
      <w:pPr>
        <w:pStyle w:val="Heading6"/>
        <w:numPr>
          <w:ilvl w:val="5"/>
          <w:numId w:val="1"/>
        </w:numPr>
        <w:rPr/>
      </w:pPr>
      <w:bookmarkStart w:id="1134" w:name="__RefHeading___Toc3585383_3650668749"/>
      <w:bookmarkStart w:id="1135" w:name="_Toc488"/>
      <w:bookmarkEnd w:id="1134"/>
      <w:r>
        <w:rPr>
          <w:rtl w:val="true"/>
        </w:rPr>
        <w:t xml:space="preserve">اول </w:t>
      </w:r>
      <w:r>
        <w:rPr>
          <w:rtl w:val="true"/>
        </w:rPr>
        <w:t xml:space="preserve">- </w:t>
      </w:r>
      <w:r>
        <w:rPr>
          <w:rtl w:val="true"/>
        </w:rPr>
        <w:t>درهم‌هاى بَغْلي</w:t>
      </w:r>
      <w:bookmarkEnd w:id="1135"/>
    </w:p>
    <w:p>
      <w:pPr>
        <w:pStyle w:val="BookText"/>
        <w:rPr/>
      </w:pPr>
      <w:r>
        <w:rPr>
          <w:rFonts w:ascii="Amiri" w:hAnsi="Amiri" w:eastAsia="Amiri" w:cs="Amiri"/>
          <w:color w:val="111111"/>
          <w:sz w:val="28"/>
          <w:sz w:val="28"/>
          <w:szCs w:val="28"/>
          <w:rtl w:val="true"/>
          <w:lang w:bidi="ar-SA"/>
        </w:rPr>
        <w:t>اين درهم منسوب به شخصى به نام رأس‌البَغل بود كه براى عُمر سكه ضرب مى‌كرد</w:t>
      </w:r>
      <w:r>
        <w:rPr>
          <w:rFonts w:eastAsia="Amiri" w:cs="Amiri" w:ascii="Amiri" w:hAnsi="Amiri"/>
          <w:color w:val="111111"/>
          <w:sz w:val="28"/>
          <w:szCs w:val="28"/>
          <w:rtl w:val="true"/>
          <w:lang w:bidi="ar-SA"/>
        </w:rPr>
        <w:t xml:space="preserve">. </w:t>
      </w:r>
      <w:r>
        <w:rPr>
          <w:rStyle w:val="FootnoteAnchor"/>
          <w:rtl w:val="true"/>
        </w:rPr>
        <w:footnoteReference w:id="966"/>
      </w:r>
      <w:r>
        <w:rPr>
          <w:rFonts w:ascii="IRNazanin" w:hAnsi="IRNazanin" w:eastAsia="IRNazanin"/>
          <w:color w:val="111111"/>
          <w:sz w:val="28"/>
          <w:sz w:val="28"/>
          <w:szCs w:val="28"/>
          <w:rtl w:val="true"/>
          <w:lang w:bidi="fa-IR"/>
        </w:rPr>
        <w:t>روى اين درهم‌ها كه نقش كسروى خود را حفظ كرده بود، قيافه تاج‌دار پادشاه ايران در حالى‌كه روى تخت نشسته، حك شده بود و زير آن با كلمات فارسى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بخور</w:t>
      </w:r>
      <w:r>
        <w:rPr>
          <w:rFonts w:eastAsia="IRNazanin" w:cs="IRNazanin"/>
          <w:color w:val="111111"/>
          <w:sz w:val="28"/>
          <w:szCs w:val="28"/>
          <w:rtl w:val="true"/>
          <w:lang w:bidi="fa-IR"/>
        </w:rPr>
        <w:t xml:space="preserve">» . </w:t>
      </w:r>
      <w:r>
        <w:rPr>
          <w:rStyle w:val="FootnoteAnchor"/>
          <w:rtl w:val="true"/>
        </w:rPr>
        <w:footnoteReference w:id="967"/>
      </w:r>
      <w:r>
        <w:rPr>
          <w:rFonts w:ascii="IRNazanin" w:hAnsi="IRNazanin" w:eastAsia="IRNazanin"/>
          <w:color w:val="111111"/>
          <w:sz w:val="28"/>
          <w:sz w:val="28"/>
          <w:szCs w:val="28"/>
          <w:rtl w:val="true"/>
          <w:lang w:bidi="fa-IR"/>
        </w:rPr>
        <w:t>وزن اين درهم‌ها حدود سى قيراط ذكر شده است، كه هر قيراط را گرم دانسته‌اند</w:t>
      </w:r>
      <w:r>
        <w:rPr>
          <w:rFonts w:eastAsia="IRNazanin" w:cs="IRNazanin"/>
          <w:color w:val="111111"/>
          <w:sz w:val="28"/>
          <w:szCs w:val="28"/>
          <w:rtl w:val="true"/>
          <w:lang w:bidi="fa-IR"/>
        </w:rPr>
        <w:t xml:space="preserve">. </w:t>
      </w:r>
      <w:r>
        <w:rPr>
          <w:rStyle w:val="FootnoteAnchor"/>
          <w:rtl w:val="true"/>
        </w:rPr>
        <w:footnoteReference w:id="968"/>
      </w:r>
      <w:r>
        <w:rPr>
          <w:rFonts w:ascii="IRNazanin" w:hAnsi="IRNazanin" w:eastAsia="IRNazanin"/>
          <w:color w:val="111111"/>
          <w:sz w:val="28"/>
          <w:sz w:val="28"/>
          <w:szCs w:val="28"/>
          <w:rtl w:val="true"/>
          <w:lang w:bidi="fa-IR"/>
        </w:rPr>
        <w:t>البته وزن قيراط در شهرهاى مختلف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بيست قيراط معادل چهار گرم مى‌شود</w:t>
      </w:r>
      <w:r>
        <w:rPr>
          <w:rFonts w:eastAsia="IRNazanin" w:cs="IRNazanin"/>
          <w:color w:val="111111"/>
          <w:sz w:val="28"/>
          <w:szCs w:val="28"/>
          <w:rtl w:val="true"/>
          <w:lang w:bidi="fa-IR"/>
        </w:rPr>
        <w:t>.</w:t>
      </w:r>
    </w:p>
    <w:p>
      <w:pPr>
        <w:pStyle w:val="Heading6"/>
        <w:numPr>
          <w:ilvl w:val="5"/>
          <w:numId w:val="1"/>
        </w:numPr>
        <w:rPr/>
      </w:pPr>
      <w:bookmarkStart w:id="1136" w:name="__RefHeading___Toc3585385_3650668749"/>
      <w:bookmarkStart w:id="1137" w:name="_Toc489"/>
      <w:bookmarkEnd w:id="1136"/>
      <w:r>
        <w:rPr>
          <w:rtl w:val="true"/>
        </w:rPr>
        <w:t xml:space="preserve">دوم </w:t>
      </w:r>
      <w:r>
        <w:rPr>
          <w:rtl w:val="true"/>
        </w:rPr>
        <w:t xml:space="preserve">- </w:t>
      </w:r>
      <w:r>
        <w:rPr>
          <w:rtl w:val="true"/>
        </w:rPr>
        <w:t>درهم‌هاى طبرى</w:t>
      </w:r>
      <w:bookmarkEnd w:id="1137"/>
    </w:p>
    <w:p>
      <w:pPr>
        <w:pStyle w:val="BookText"/>
        <w:rPr/>
      </w:pPr>
      <w:r>
        <w:rPr>
          <w:rFonts w:ascii="IRNazanin" w:hAnsi="IRNazanin" w:eastAsia="IRNazanin"/>
          <w:color w:val="111111"/>
          <w:sz w:val="28"/>
          <w:sz w:val="28"/>
          <w:szCs w:val="28"/>
          <w:rtl w:val="true"/>
          <w:lang w:bidi="fa-IR"/>
        </w:rPr>
        <w:t>اين درهم‌ها منسوب به طبرستان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وزن اين درهم‌ها حدود دوازده قيراط، يعنى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بوده است</w:t>
      </w:r>
      <w:r>
        <w:rPr>
          <w:rFonts w:eastAsia="IRNazanin" w:cs="IRNazanin"/>
          <w:color w:val="111111"/>
          <w:sz w:val="28"/>
          <w:szCs w:val="28"/>
          <w:rtl w:val="true"/>
          <w:lang w:bidi="fa-IR"/>
        </w:rPr>
        <w:t>.</w:t>
      </w:r>
    </w:p>
    <w:p>
      <w:pPr>
        <w:pStyle w:val="Heading6"/>
        <w:numPr>
          <w:ilvl w:val="5"/>
          <w:numId w:val="1"/>
        </w:numPr>
        <w:rPr/>
      </w:pPr>
      <w:bookmarkStart w:id="1138" w:name="__RefHeading___Toc3585387_3650668749"/>
      <w:bookmarkStart w:id="1139" w:name="_Toc490"/>
      <w:bookmarkEnd w:id="1138"/>
      <w:r>
        <w:rPr>
          <w:rtl w:val="true"/>
        </w:rPr>
        <w:t xml:space="preserve">سوم </w:t>
      </w:r>
      <w:r>
        <w:rPr>
          <w:rtl w:val="true"/>
        </w:rPr>
        <w:t xml:space="preserve">- </w:t>
      </w:r>
      <w:r>
        <w:rPr>
          <w:rtl w:val="true"/>
        </w:rPr>
        <w:t>درهم‌هاى جَوارقي</w:t>
      </w:r>
      <w:bookmarkEnd w:id="113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درهم‌ها منسوب به جورقان يكى از نواحى همدان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اين درهم‌ها ظاهراً چهارده قيراط، يعنى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بوده است</w:t>
      </w:r>
      <w:r>
        <w:rPr>
          <w:rFonts w:eastAsia="IRNazanin" w:cs="IRNazanin"/>
          <w:color w:val="111111"/>
          <w:sz w:val="28"/>
          <w:szCs w:val="28"/>
          <w:rtl w:val="true"/>
          <w:lang w:bidi="fa-IR"/>
        </w:rPr>
        <w:t xml:space="preserve">. </w:t>
      </w:r>
      <w:r>
        <w:rPr>
          <w:rStyle w:val="FootnoteAnchor"/>
          <w:rtl w:val="true"/>
        </w:rPr>
        <w:footnoteReference w:id="969"/>
      </w:r>
      <w:bookmarkStart w:id="1140" w:name="pg1964_19662"/>
    </w:p>
    <w:p>
      <w:pPr>
        <w:pStyle w:val="BookText"/>
        <w:rPr/>
      </w:pPr>
      <w:bookmarkEnd w:id="1140"/>
      <w:r>
        <w:rPr>
          <w:rFonts w:ascii="IRNazanin" w:hAnsi="IRNazanin" w:eastAsia="IRNazanin"/>
          <w:color w:val="111111"/>
          <w:sz w:val="28"/>
          <w:sz w:val="28"/>
          <w:szCs w:val="28"/>
          <w:rtl w:val="true"/>
          <w:lang w:bidi="fa-IR"/>
        </w:rPr>
        <w:t xml:space="preserve">در زمان عُمر يا بعد از آن از اين سه وزن معدل گرفتند كه معدل آنها چهارده شد، ازاين‌رو درهم‌هايى با وزن چهارده قيراط، يعنى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زدند و آن را براى پرداخت زكات، ديات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نمودند</w:t>
      </w:r>
      <w:r>
        <w:rPr>
          <w:rFonts w:eastAsia="IRNazanin" w:cs="IRNazanin"/>
          <w:color w:val="111111"/>
          <w:sz w:val="28"/>
          <w:szCs w:val="28"/>
          <w:rtl w:val="true"/>
          <w:lang w:bidi="fa-IR"/>
        </w:rPr>
        <w:t xml:space="preserve">. </w:t>
      </w:r>
      <w:r>
        <w:rPr>
          <w:rStyle w:val="FootnoteAnchor"/>
          <w:rtl w:val="true"/>
        </w:rPr>
        <w:footnoteReference w:id="970"/>
      </w:r>
      <w:r>
        <w:rPr>
          <w:rFonts w:ascii="IRNazanin" w:hAnsi="IRNazanin" w:eastAsia="IRNazanin"/>
          <w:color w:val="111111"/>
          <w:sz w:val="28"/>
          <w:sz w:val="28"/>
          <w:szCs w:val="28"/>
          <w:rtl w:val="true"/>
          <w:lang w:bidi="fa-IR"/>
        </w:rPr>
        <w:t>البته در اين ميان، اختلافات فراوانى در تعيين وزن اين دو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بعضى نوشته‌ها وزن درهم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 xml:space="preserve">گرم </w:t>
      </w:r>
      <w:r>
        <w:rPr>
          <w:rStyle w:val="FootnoteAnchor"/>
          <w:rtl w:val="true"/>
        </w:rPr>
        <w:footnoteReference w:id="971"/>
      </w:r>
      <w:r>
        <w:rPr>
          <w:rFonts w:ascii="IRNazanin" w:hAnsi="IRNazanin" w:eastAsia="IRNazanin"/>
          <w:color w:val="111111"/>
          <w:sz w:val="28"/>
          <w:sz w:val="28"/>
          <w:szCs w:val="28"/>
          <w:rtl w:val="true"/>
          <w:lang w:bidi="fa-IR"/>
        </w:rPr>
        <w:t xml:space="preserve">و در بعضى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گرم ذكر شده است</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 xml:space="preserve">همچنين در بسيارى از نوشته‌ها ذكر شده كه هر هفت دينار از نظر وزن، معادل ده درهم بوده است </w:t>
      </w:r>
      <w:r>
        <w:rPr>
          <w:rStyle w:val="FootnoteAnchor"/>
          <w:rtl w:val="true"/>
        </w:rPr>
        <w:footnoteReference w:id="973"/>
      </w:r>
      <w:r>
        <w:rPr>
          <w:rFonts w:ascii="IRNazanin" w:hAnsi="IRNazanin" w:eastAsia="IRNazanin"/>
          <w:color w:val="111111"/>
          <w:sz w:val="28"/>
          <w:sz w:val="28"/>
          <w:szCs w:val="28"/>
          <w:rtl w:val="true"/>
          <w:lang w:bidi="fa-IR"/>
        </w:rPr>
        <w:t xml:space="preserve">كه بر اين اساس بايد وزن دينار چهار گرم باشد، 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علت اين اختلاف نسبت چنين گفته شده است كه مقدار وزن هر ده دانه نقره به اندازه دانه گندم، معادل هفت دانه وزن حجم طلا مى‌باشد</w:t>
      </w:r>
      <w:r>
        <w:rPr>
          <w:rFonts w:eastAsia="IRNazanin" w:cs="IRNazanin"/>
          <w:color w:val="111111"/>
          <w:sz w:val="28"/>
          <w:szCs w:val="28"/>
          <w:rtl w:val="true"/>
          <w:lang w:bidi="fa-IR"/>
        </w:rPr>
        <w:t xml:space="preserve">. </w:t>
      </w:r>
      <w:r>
        <w:rPr>
          <w:rStyle w:val="FootnoteAnchor"/>
          <w:rtl w:val="true"/>
        </w:rPr>
        <w:footnoteReference w:id="974"/>
      </w:r>
      <w:r>
        <w:rPr>
          <w:rFonts w:ascii="Amiri" w:hAnsi="Amiri" w:eastAsia="Amiri" w:cs="Amiri"/>
          <w:color w:val="111111"/>
          <w:sz w:val="28"/>
          <w:sz w:val="28"/>
          <w:szCs w:val="28"/>
          <w:rtl w:val="true"/>
          <w:lang w:bidi="ar-SA"/>
        </w:rPr>
        <w:t>به‌هر حال، صرف‌نظر از اين اختلاف‌ها مى‌توان وزن تقريبى درهم و دينار را تصور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باره زمان مورد بحث چنين گفته شده است كه زياد بن ابيه در زمان حكومت بر كوفه، درهم‌هايى با وزن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قيراط ضرب كرد</w:t>
      </w:r>
      <w:r>
        <w:rPr>
          <w:rFonts w:eastAsia="IRNazanin" w:cs="IRNazanin"/>
          <w:color w:val="111111"/>
          <w:sz w:val="28"/>
          <w:szCs w:val="28"/>
          <w:rtl w:val="true"/>
          <w:lang w:bidi="fa-IR"/>
        </w:rPr>
        <w:t xml:space="preserve">.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اما مقايسه ارزش درهم و دينار، به نظر مى‌رسد اين ارزش، تابع مستقيم قيمت طلا و نقره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ارزش هر دينار معادل ده تا پانزده درهم يا بيشتر در نوسان بوده است</w:t>
      </w:r>
      <w:r>
        <w:rPr>
          <w:rFonts w:eastAsia="IRNazanin" w:cs="IRNazanin"/>
          <w:color w:val="111111"/>
          <w:sz w:val="28"/>
          <w:szCs w:val="28"/>
          <w:rtl w:val="true"/>
          <w:lang w:bidi="fa-IR"/>
        </w:rPr>
        <w:t xml:space="preserve">. </w:t>
      </w:r>
      <w:r>
        <w:rPr>
          <w:rStyle w:val="FootnoteAnchor"/>
          <w:rtl w:val="true"/>
        </w:rPr>
        <w:footnoteReference w:id="976"/>
      </w:r>
    </w:p>
    <w:p>
      <w:pPr>
        <w:pStyle w:val="Heading6"/>
        <w:numPr>
          <w:ilvl w:val="5"/>
          <w:numId w:val="1"/>
        </w:numPr>
        <w:rPr/>
      </w:pPr>
      <w:bookmarkStart w:id="1141" w:name="__RefHeading___Toc3585389_3650668749"/>
      <w:bookmarkStart w:id="1142" w:name="_Toc491"/>
      <w:bookmarkEnd w:id="1141"/>
      <w:r>
        <w:rPr>
          <w:rtl w:val="true"/>
        </w:rPr>
        <w:t xml:space="preserve">چهار </w:t>
      </w:r>
      <w:r>
        <w:rPr>
          <w:rtl w:val="true"/>
        </w:rPr>
        <w:t xml:space="preserve">- </w:t>
      </w:r>
      <w:r>
        <w:rPr>
          <w:rtl w:val="true"/>
        </w:rPr>
        <w:t>سكه‌هاى غيرخالص</w:t>
      </w:r>
      <w:bookmarkEnd w:id="1142"/>
    </w:p>
    <w:p>
      <w:pPr>
        <w:pStyle w:val="Heading6"/>
        <w:numPr>
          <w:ilvl w:val="5"/>
          <w:numId w:val="1"/>
        </w:numPr>
        <w:rPr/>
      </w:pPr>
      <w:bookmarkStart w:id="1143" w:name="__RefHeading___Toc3585391_3650668749"/>
      <w:bookmarkStart w:id="1144" w:name="_Toc492"/>
      <w:bookmarkEnd w:id="1143"/>
      <w:r>
        <w:rPr>
          <w:rtl w:val="true"/>
        </w:rPr>
        <w:t>اشاره</w:t>
      </w:r>
      <w:bookmarkEnd w:id="114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موازات رواج معامله با سكه‌هاى طلا و نقره، عده‌اى سودجو دست به تغيير و تبدّل در سكه‌ها زده و باعث پديد آمدن سكه‌هاى غيرخالص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w:t>
      </w:r>
      <w:bookmarkStart w:id="1145" w:name="pg1964_19663"/>
    </w:p>
    <w:p>
      <w:pPr>
        <w:pStyle w:val="BookText"/>
        <w:rPr/>
      </w:pPr>
      <w:bookmarkEnd w:id="1145"/>
      <w:r>
        <w:rPr>
          <w:rFonts w:ascii="IRNazanin" w:hAnsi="IRNazanin" w:eastAsia="IRNazanin"/>
          <w:color w:val="111111"/>
          <w:sz w:val="28"/>
          <w:sz w:val="28"/>
          <w:szCs w:val="28"/>
          <w:rtl w:val="true"/>
          <w:lang w:bidi="fa-IR"/>
        </w:rPr>
        <w:t xml:space="preserve">اعمال اين‌گونه افراد آن بود كه دينار را سوراخ نموده و طلايش را خارج ساخته و سپس فلز ديگرى جايگزين آن مى‌نمودند، آن‌گاه روى آن را مى‌پوشاندند كه به اين عمل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سكه‌هاى غيرخالص كه معمولاً در درهم وجود داشت، عبارت بود از</w:t>
      </w:r>
      <w:r>
        <w:rPr>
          <w:rFonts w:eastAsia="Amiri" w:cs="Amiri" w:ascii="Amiri" w:hAnsi="Amiri"/>
          <w:color w:val="111111"/>
          <w:sz w:val="28"/>
          <w:szCs w:val="28"/>
          <w:rtl w:val="true"/>
          <w:lang w:bidi="ar-SA"/>
        </w:rPr>
        <w:t>:</w:t>
      </w:r>
    </w:p>
    <w:p>
      <w:pPr>
        <w:pStyle w:val="Heading6"/>
        <w:numPr>
          <w:ilvl w:val="5"/>
          <w:numId w:val="1"/>
        </w:numPr>
        <w:rPr/>
      </w:pPr>
      <w:bookmarkStart w:id="1146" w:name="__RefHeading___Toc3585393_3650668749"/>
      <w:bookmarkStart w:id="1147" w:name="_Toc493"/>
      <w:bookmarkEnd w:id="1146"/>
      <w:r>
        <w:rPr>
          <w:rtl w:val="true"/>
        </w:rPr>
        <w:t xml:space="preserve">اول </w:t>
      </w:r>
      <w:r>
        <w:rPr>
          <w:rtl w:val="true"/>
        </w:rPr>
        <w:t xml:space="preserve">- </w:t>
      </w:r>
      <w:r>
        <w:rPr>
          <w:rtl w:val="true"/>
        </w:rPr>
        <w:t>درهم‌هاى بَهْرَجَه</w:t>
      </w:r>
      <w:bookmarkEnd w:id="1147"/>
    </w:p>
    <w:p>
      <w:pPr>
        <w:pStyle w:val="BookText"/>
        <w:rPr/>
      </w:pPr>
      <w:r>
        <w:rPr>
          <w:rFonts w:ascii="Amiri" w:hAnsi="Amiri" w:eastAsia="Amiri" w:cs="Amiri"/>
          <w:color w:val="111111"/>
          <w:sz w:val="28"/>
          <w:sz w:val="28"/>
          <w:szCs w:val="28"/>
          <w:rtl w:val="true"/>
          <w:lang w:bidi="ar-SA"/>
        </w:rPr>
        <w:t>اين عنوان بر درهم‌هايى اطلاق مى‌شد كه از نقره نامرغوب ساخته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 بَهْرَجَه اختصار يافته لغت نَبَهْرَجَه كه عربى شده لغت نَبَهْره فارسى به معناى بى‌بهره مى‌باشد</w:t>
      </w:r>
      <w:r>
        <w:rPr>
          <w:rFonts w:eastAsia="Amiri" w:cs="Amiri" w:ascii="Amiri" w:hAnsi="Amiri"/>
          <w:color w:val="111111"/>
          <w:sz w:val="28"/>
          <w:szCs w:val="28"/>
          <w:rtl w:val="true"/>
          <w:lang w:bidi="ar-SA"/>
        </w:rPr>
        <w:t xml:space="preserve">. </w:t>
      </w:r>
      <w:r>
        <w:rPr>
          <w:rStyle w:val="FootnoteAnchor"/>
          <w:rtl w:val="true"/>
        </w:rPr>
        <w:footnoteReference w:id="978"/>
      </w:r>
      <w:r>
        <w:rPr>
          <w:rFonts w:ascii="IRNazanin" w:hAnsi="IRNazanin" w:eastAsia="IRNazanin"/>
          <w:color w:val="111111"/>
          <w:sz w:val="28"/>
          <w:sz w:val="28"/>
          <w:szCs w:val="28"/>
          <w:rtl w:val="true"/>
          <w:lang w:bidi="fa-IR"/>
        </w:rPr>
        <w:t>اين نوع سكه‌ها را تجّار نمى‌پذيرفتند</w:t>
      </w:r>
      <w:r>
        <w:rPr>
          <w:rFonts w:eastAsia="IRNazanin" w:cs="IRNazanin"/>
          <w:color w:val="111111"/>
          <w:sz w:val="28"/>
          <w:szCs w:val="28"/>
          <w:rtl w:val="true"/>
          <w:lang w:bidi="fa-IR"/>
        </w:rPr>
        <w:t>.</w:t>
      </w:r>
    </w:p>
    <w:p>
      <w:pPr>
        <w:pStyle w:val="Heading6"/>
        <w:numPr>
          <w:ilvl w:val="5"/>
          <w:numId w:val="1"/>
        </w:numPr>
        <w:rPr/>
      </w:pPr>
      <w:bookmarkStart w:id="1148" w:name="__RefHeading___Toc3585395_3650668749"/>
      <w:bookmarkStart w:id="1149" w:name="_Toc494"/>
      <w:bookmarkEnd w:id="1148"/>
      <w:r>
        <w:rPr>
          <w:rtl w:val="true"/>
        </w:rPr>
        <w:t xml:space="preserve">دوم </w:t>
      </w:r>
      <w:r>
        <w:rPr>
          <w:rtl w:val="true"/>
        </w:rPr>
        <w:t xml:space="preserve">- </w:t>
      </w:r>
      <w:r>
        <w:rPr>
          <w:rtl w:val="true"/>
        </w:rPr>
        <w:t>درهم‌هاى مُسْتَوِقَّه</w:t>
      </w:r>
      <w:bookmarkEnd w:id="1149"/>
    </w:p>
    <w:p>
      <w:pPr>
        <w:pStyle w:val="BookText"/>
        <w:rPr/>
      </w:pPr>
      <w:r>
        <w:rPr>
          <w:rFonts w:ascii="Amiri" w:hAnsi="Amiri" w:eastAsia="Amiri" w:cs="Amiri"/>
          <w:color w:val="111111"/>
          <w:sz w:val="28"/>
          <w:sz w:val="28"/>
          <w:szCs w:val="28"/>
          <w:rtl w:val="true"/>
          <w:lang w:bidi="ar-SA"/>
        </w:rPr>
        <w:t>اين اسم به درهم‌هايى اطلاق مى‌شد كه ناخالصى آنها، يعنى فلزات غير از نقره، بيشتر از نقره بود</w:t>
      </w:r>
      <w:r>
        <w:rPr>
          <w:rFonts w:eastAsia="Amiri" w:cs="Amiri" w:ascii="Amiri" w:hAnsi="Amiri"/>
          <w:color w:val="111111"/>
          <w:sz w:val="28"/>
          <w:szCs w:val="28"/>
          <w:rtl w:val="true"/>
          <w:lang w:bidi="ar-SA"/>
        </w:rPr>
        <w:t>.</w:t>
      </w:r>
    </w:p>
    <w:p>
      <w:pPr>
        <w:pStyle w:val="Heading6"/>
        <w:numPr>
          <w:ilvl w:val="5"/>
          <w:numId w:val="1"/>
        </w:numPr>
        <w:rPr/>
      </w:pPr>
      <w:bookmarkStart w:id="1150" w:name="__RefHeading___Toc3585397_3650668749"/>
      <w:bookmarkStart w:id="1151" w:name="_Toc495"/>
      <w:bookmarkEnd w:id="1150"/>
      <w:r>
        <w:rPr>
          <w:rtl w:val="true"/>
        </w:rPr>
        <w:t xml:space="preserve">سوم </w:t>
      </w:r>
      <w:r>
        <w:rPr>
          <w:rtl w:val="true"/>
        </w:rPr>
        <w:t xml:space="preserve">- </w:t>
      </w:r>
      <w:r>
        <w:rPr>
          <w:rtl w:val="true"/>
        </w:rPr>
        <w:t>درهم‌هاى مُزَيَّفَه</w:t>
      </w:r>
      <w:bookmarkEnd w:id="1151"/>
    </w:p>
    <w:p>
      <w:pPr>
        <w:pStyle w:val="BookText"/>
        <w:rPr/>
      </w:pPr>
      <w:r>
        <w:rPr>
          <w:rFonts w:ascii="IRNazanin" w:hAnsi="IRNazanin" w:eastAsia="IRNazanin"/>
          <w:color w:val="111111"/>
          <w:sz w:val="28"/>
          <w:sz w:val="28"/>
          <w:szCs w:val="28"/>
          <w:rtl w:val="true"/>
          <w:lang w:bidi="fa-IR"/>
        </w:rPr>
        <w:t>اين عنوان به درهم‌هايى گفته مى‌شد كه در آنها نقره با مس مخلوط شده بود</w:t>
      </w:r>
      <w:r>
        <w:rPr>
          <w:rFonts w:eastAsia="IRNazanin" w:cs="IRNazanin"/>
          <w:color w:val="111111"/>
          <w:sz w:val="28"/>
          <w:szCs w:val="28"/>
          <w:rtl w:val="true"/>
          <w:lang w:bidi="fa-IR"/>
        </w:rPr>
        <w:t xml:space="preserve">. </w:t>
      </w:r>
      <w:r>
        <w:rPr>
          <w:rStyle w:val="FootnoteAnchor"/>
          <w:rtl w:val="true"/>
        </w:rPr>
        <w:footnoteReference w:id="97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رواج سكه‌هاى غيرخالص و براى تشخيص آن، ضرورت ايجاد وظيفه و شغلى به نام نقد سكه پديد آمد كه سكه‌هاى خالص را از ناخالص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نقد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كه در بازار مى‌نشست و پاسخ‌گوى مردم در اين خصوص بود</w:t>
      </w:r>
      <w:r>
        <w:rPr>
          <w:rFonts w:eastAsia="IRNazanin" w:cs="IRNazanin"/>
          <w:color w:val="111111"/>
          <w:sz w:val="28"/>
          <w:szCs w:val="28"/>
          <w:rtl w:val="true"/>
          <w:lang w:bidi="fa-IR"/>
        </w:rPr>
        <w:t xml:space="preserve">. </w:t>
      </w:r>
      <w:r>
        <w:rPr>
          <w:rStyle w:val="FootnoteAnchor"/>
          <w:rtl w:val="true"/>
        </w:rPr>
        <w:footnoteReference w:id="980"/>
      </w:r>
      <w:r>
        <w:rPr>
          <w:rFonts w:ascii="IRNazanin" w:hAnsi="IRNazanin" w:eastAsia="IRNazanin"/>
          <w:color w:val="111111"/>
          <w:sz w:val="28"/>
          <w:sz w:val="28"/>
          <w:szCs w:val="28"/>
          <w:rtl w:val="true"/>
          <w:lang w:bidi="fa-IR"/>
        </w:rPr>
        <w:t>همين‌طور شغلى به نام صرّافى يا صيرفى براى تبديل سكه‌هاى مختلف به يكديگر پديد آمد</w:t>
      </w:r>
      <w:r>
        <w:rPr>
          <w:rFonts w:eastAsia="IRNazanin" w:cs="IRNazanin"/>
          <w:color w:val="111111"/>
          <w:sz w:val="28"/>
          <w:szCs w:val="28"/>
          <w:rtl w:val="true"/>
          <w:lang w:bidi="fa-IR"/>
        </w:rPr>
        <w:t>.</w:t>
      </w:r>
      <w:bookmarkStart w:id="1152" w:name="pg1964_19664"/>
    </w:p>
    <w:p>
      <w:pPr>
        <w:pStyle w:val="Heading4"/>
        <w:numPr>
          <w:ilvl w:val="3"/>
          <w:numId w:val="1"/>
        </w:numPr>
        <w:rPr/>
      </w:pPr>
      <w:bookmarkStart w:id="1153" w:name="__RefHeading___Toc3585399_3650668749"/>
      <w:bookmarkStart w:id="1154" w:name="_Toc496"/>
      <w:bookmarkEnd w:id="1152"/>
      <w:bookmarkEnd w:id="1153"/>
      <w:r>
        <w:rPr>
          <w:rtl w:val="true"/>
        </w:rPr>
        <w:t>ب</w:t>
      </w:r>
      <w:r>
        <w:rPr>
          <w:rtl w:val="true"/>
        </w:rPr>
        <w:t xml:space="preserve">) </w:t>
      </w:r>
      <w:r>
        <w:rPr>
          <w:rtl w:val="true"/>
        </w:rPr>
        <w:t>چك، سفته و حواله</w:t>
      </w:r>
      <w:bookmarkEnd w:id="1154"/>
    </w:p>
    <w:p>
      <w:pPr>
        <w:pStyle w:val="BookText"/>
        <w:rPr/>
      </w:pPr>
      <w:r>
        <w:rPr>
          <w:rFonts w:ascii="IRNazanin" w:hAnsi="IRNazanin" w:eastAsia="IRNazanin"/>
          <w:color w:val="111111"/>
          <w:sz w:val="28"/>
          <w:sz w:val="28"/>
          <w:szCs w:val="28"/>
          <w:rtl w:val="true"/>
          <w:lang w:bidi="fa-IR"/>
        </w:rPr>
        <w:t>علاوه بر معامله نقدى به وسيله سكه، در آن زمان سه عنوان چك، سفته و حواله نيز گاهى در معاملات به‌كار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آن صَك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 عبارت از آن است كه به وسيله كاغذ نوشته، مقدارى از پول يا مواد غذايى به شخصى كه اسم او در آن كاغذ نوشته شده است،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اولين كسى كه در اسلام از چك استفاده كرد، عمر بن خطاب بود كه زير چك را هم مهر مى‌كرد</w:t>
      </w:r>
      <w:r>
        <w:rPr>
          <w:rFonts w:eastAsia="IRNazanin" w:cs="IRNazanin"/>
          <w:color w:val="111111"/>
          <w:sz w:val="28"/>
          <w:szCs w:val="28"/>
          <w:rtl w:val="true"/>
          <w:lang w:bidi="fa-IR"/>
        </w:rPr>
        <w:t xml:space="preserve">. </w:t>
      </w:r>
      <w:r>
        <w:rPr>
          <w:rStyle w:val="FootnoteAnchor"/>
          <w:rtl w:val="true"/>
        </w:rPr>
        <w:footnoteReference w:id="981"/>
      </w:r>
      <w:r>
        <w:rPr>
          <w:rFonts w:ascii="IRNazanin" w:hAnsi="IRNazanin" w:eastAsia="IRNazanin"/>
          <w:color w:val="111111"/>
          <w:sz w:val="28"/>
          <w:sz w:val="28"/>
          <w:szCs w:val="28"/>
          <w:rtl w:val="true"/>
          <w:lang w:bidi="fa-IR"/>
        </w:rPr>
        <w:t>نيز گفته شده است سعيد بن عاص كه زمانى حاكم كوفه بود، مبلغ نود هزار دينار توسط چك‌هايى كه كشيده بود، به مردم بدهكار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لغتى فارسى است و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سفته عبارت از آن بود كه شخص خريدار در مقابل مالى كه خريده بود، نوشته‌اى به شخص فروشنده مى‌داد كه به وسيله آن او مى‌توانست پول كالا را در شهرى ديگر از نماينده او تحويل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به منظور جلوگيرى از نقل و انتقال پول از شهرى به شهر ديگر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ابن‌عباس گفته شده است كه او درهم را در مكه مى‌گرفت و نوشته‌اى به طرف مى‌داد تا معادل آن را در كوفه از نماينده او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باره عبدالله بن زبير در دوران حكومتش چنين آمده است كه در مكه درهم مى‌گرفت و نوشته‌اى مى‌داد تا طرف مقابل در كوفه يا بصره معادل آن را بگيرد</w:t>
      </w:r>
      <w:r>
        <w:rPr>
          <w:rFonts w:eastAsia="IRNazanin" w:cs="IRNazanin"/>
          <w:color w:val="111111"/>
          <w:sz w:val="28"/>
          <w:szCs w:val="28"/>
          <w:rtl w:val="true"/>
          <w:lang w:bidi="fa-IR"/>
        </w:rPr>
        <w:t xml:space="preserve">. </w:t>
      </w:r>
      <w:r>
        <w:rPr>
          <w:rStyle w:val="FootnoteAnchor"/>
          <w:rtl w:val="true"/>
        </w:rPr>
        <w:footnoteReference w:id="98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بود كه شخص تاجر، پول يا اموال خود را نزد صرّاف به امانت مى‌گذاشت و هنگامى كه معامله‌اى مى‌نمود، به جاى پرداخت پول به فروشنده، نوشته‌اى به او مى‌داد تا پول خود را از آن صراف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مشابه چك‌هاى بانكى امروزى بود كه در اينجا شخص صراف به عنوان بانك خصوصى عمل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روش، به جاى نقل و انتقال پول كه مشكلات فراوانى را دربرداشت، استفاده مى‌شد</w:t>
      </w:r>
      <w:r>
        <w:rPr>
          <w:rFonts w:eastAsia="IRNazanin" w:cs="IRNazanin"/>
          <w:color w:val="111111"/>
          <w:sz w:val="28"/>
          <w:szCs w:val="28"/>
          <w:rtl w:val="true"/>
          <w:lang w:bidi="fa-IR"/>
        </w:rPr>
        <w:t xml:space="preserve">. </w:t>
      </w:r>
      <w:r>
        <w:rPr>
          <w:rStyle w:val="FootnoteAnchor"/>
          <w:rtl w:val="true"/>
        </w:rPr>
        <w:footnoteReference w:id="983"/>
      </w:r>
      <w:bookmarkStart w:id="1155" w:name="pg1964_19665"/>
    </w:p>
    <w:p>
      <w:pPr>
        <w:pStyle w:val="Heading3"/>
        <w:numPr>
          <w:ilvl w:val="2"/>
          <w:numId w:val="1"/>
        </w:numPr>
        <w:rPr/>
      </w:pPr>
      <w:bookmarkStart w:id="1156" w:name="__RefHeading___Toc3585401_3650668749"/>
      <w:bookmarkStart w:id="1157" w:name="_Toc497"/>
      <w:bookmarkEnd w:id="1155"/>
      <w:bookmarkEnd w:id="1156"/>
      <w:r>
        <w:rPr/>
        <w:t>٢</w:t>
      </w:r>
      <w:r>
        <w:rPr>
          <w:rtl w:val="true"/>
        </w:rPr>
        <w:t xml:space="preserve">. </w:t>
      </w:r>
      <w:r>
        <w:rPr>
          <w:rtl w:val="true"/>
        </w:rPr>
        <w:t>تجارت</w:t>
      </w:r>
      <w:bookmarkEnd w:id="1157"/>
    </w:p>
    <w:p>
      <w:pPr>
        <w:pStyle w:val="Heading4"/>
        <w:numPr>
          <w:ilvl w:val="3"/>
          <w:numId w:val="1"/>
        </w:numPr>
        <w:rPr/>
      </w:pPr>
      <w:bookmarkStart w:id="1158" w:name="__RefHeading___Toc3585403_3650668749"/>
      <w:bookmarkStart w:id="1159" w:name="_Toc498"/>
      <w:bookmarkEnd w:id="1158"/>
      <w:r>
        <w:rPr>
          <w:rtl w:val="true"/>
        </w:rPr>
        <w:t>الف</w:t>
      </w:r>
      <w:r>
        <w:rPr>
          <w:rtl w:val="true"/>
        </w:rPr>
        <w:t xml:space="preserve">) </w:t>
      </w:r>
      <w:r>
        <w:rPr>
          <w:rtl w:val="true"/>
        </w:rPr>
        <w:t>فضيلت تجارت</w:t>
      </w:r>
      <w:bookmarkEnd w:id="1159"/>
    </w:p>
    <w:p>
      <w:pPr>
        <w:pStyle w:val="BookText"/>
        <w:rPr/>
      </w:pPr>
      <w:r>
        <w:rPr>
          <w:rFonts w:ascii="IRNazanin" w:hAnsi="IRNazanin" w:eastAsia="IRNazanin"/>
          <w:color w:val="111111"/>
          <w:sz w:val="28"/>
          <w:sz w:val="28"/>
          <w:szCs w:val="28"/>
          <w:rtl w:val="true"/>
          <w:lang w:bidi="fa-IR"/>
        </w:rPr>
        <w:t>تجارت يكى از اعمالى است كه در اسلام به آن سفارش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 كه بركت ده جزء دارد، نه جزء آن در تجارت و جزء آخر در گوسفند است</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همچنين در بعضى روايات، تجارت نمودن باعث ازدياد عقل و ترك آن باعث از بين رفتن عقل دانسته شده است</w:t>
      </w:r>
      <w:r>
        <w:rPr>
          <w:rFonts w:eastAsia="IRNazanin" w:cs="IRNazanin"/>
          <w:color w:val="111111"/>
          <w:sz w:val="28"/>
          <w:szCs w:val="28"/>
          <w:rtl w:val="true"/>
          <w:lang w:bidi="fa-IR"/>
        </w:rPr>
        <w:t xml:space="preserve">. </w:t>
      </w:r>
      <w:r>
        <w:rPr>
          <w:rStyle w:val="FootnoteAnchor"/>
          <w:rtl w:val="true"/>
        </w:rPr>
        <w:footnoteReference w:id="985"/>
      </w:r>
      <w:r>
        <w:rPr>
          <w:rFonts w:ascii="Amiri" w:hAnsi="Amiri" w:eastAsia="Amiri" w:cs="Amiri"/>
          <w:color w:val="111111"/>
          <w:sz w:val="28"/>
          <w:sz w:val="28"/>
          <w:szCs w:val="28"/>
          <w:rtl w:val="true"/>
          <w:lang w:bidi="ar-SA"/>
        </w:rPr>
        <w:t>همين‌طور در بعضى روايات، تجارت حافظ عزّت انسان معرفى شده است</w:t>
      </w:r>
      <w:r>
        <w:rPr>
          <w:rFonts w:eastAsia="Amiri" w:cs="Amiri" w:ascii="Amiri" w:hAnsi="Amiri"/>
          <w:color w:val="111111"/>
          <w:sz w:val="28"/>
          <w:szCs w:val="28"/>
          <w:rtl w:val="true"/>
          <w:lang w:bidi="ar-SA"/>
        </w:rPr>
        <w:t xml:space="preserve">. </w:t>
      </w:r>
      <w:r>
        <w:rPr>
          <w:rStyle w:val="FootnoteAnchor"/>
          <w:rtl w:val="true"/>
        </w:rPr>
        <w:footnoteReference w:id="986"/>
      </w:r>
      <w:r>
        <w:rPr>
          <w:rFonts w:ascii="IRNazanin" w:hAnsi="IRNazanin" w:eastAsia="IRNazanin"/>
          <w:color w:val="111111"/>
          <w:sz w:val="28"/>
          <w:sz w:val="28"/>
          <w:szCs w:val="28"/>
          <w:rtl w:val="true"/>
          <w:lang w:bidi="fa-IR"/>
        </w:rPr>
        <w:t xml:space="preserve">از زبان حضرت‌على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سفارش به تجارت 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تجارت بپردازيد؛ زيرا به وسيله آن از اموال مردم بى‌نياز خواهيد شد و خداوند انسان شاغل امين را دوست دارد</w:t>
      </w:r>
      <w:r>
        <w:rPr>
          <w:rFonts w:eastAsia="IRNazanin" w:cs="IRNazanin"/>
          <w:color w:val="111111"/>
          <w:sz w:val="28"/>
          <w:szCs w:val="28"/>
          <w:rtl w:val="true"/>
          <w:lang w:bidi="fa-IR"/>
        </w:rPr>
        <w:t xml:space="preserve">» .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خاطرنشان مى‌شود كه لغت تجارت در روايات به معناى مطلق كار و كسب يا كسب‌هايى است كه در آنها بدون انجام گرفتن كار اضافى روى كالا، به خريد و فروش آن پرداخته مى‌شود</w:t>
      </w:r>
      <w:r>
        <w:rPr>
          <w:rFonts w:eastAsia="IRNazanin" w:cs="IRNazanin"/>
          <w:color w:val="111111"/>
          <w:sz w:val="28"/>
          <w:szCs w:val="28"/>
          <w:rtl w:val="true"/>
          <w:lang w:bidi="fa-IR"/>
        </w:rPr>
        <w:t>.</w:t>
      </w:r>
    </w:p>
    <w:p>
      <w:pPr>
        <w:pStyle w:val="Heading4"/>
        <w:numPr>
          <w:ilvl w:val="3"/>
          <w:numId w:val="1"/>
        </w:numPr>
        <w:rPr/>
      </w:pPr>
      <w:bookmarkStart w:id="1160" w:name="__RefHeading___Toc3585405_3650668749"/>
      <w:bookmarkStart w:id="1161" w:name="_Toc499"/>
      <w:bookmarkEnd w:id="1160"/>
      <w:r>
        <w:rPr>
          <w:rtl w:val="true"/>
        </w:rPr>
        <w:t>ب</w:t>
      </w:r>
      <w:r>
        <w:rPr>
          <w:rtl w:val="true"/>
        </w:rPr>
        <w:t xml:space="preserve">) </w:t>
      </w:r>
      <w:r>
        <w:rPr>
          <w:rtl w:val="true"/>
        </w:rPr>
        <w:t>آداب تجارت</w:t>
      </w:r>
      <w:bookmarkEnd w:id="116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به دست آوردن آداب تجارت، نبايد سراغ تاريخ رفت؛ زيرا در علم تاريخ به اين امور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تجارت را بايد از كتاب‌هاى حديث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سعى بر آن است كه گوشه‌اى از آداب تجارت را از احاديث، آن هم احاديث منقول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آوريم؛ زيرا احاديث منقول از اين دو بزرگوار به گوش مردم زمان مورد بحث اين نوشته رسيده بود،</w:t>
      </w:r>
    </w:p>
    <w:p>
      <w:pPr>
        <w:pStyle w:val="BookText"/>
        <w:rPr/>
      </w:pPr>
      <w:r>
        <w:rPr>
          <w:rFonts w:ascii="IRNazanin" w:hAnsi="IRNazanin" w:eastAsia="IRNazanin"/>
          <w:color w:val="111111"/>
          <w:sz w:val="28"/>
          <w:sz w:val="28"/>
          <w:szCs w:val="28"/>
          <w:rtl w:val="true"/>
          <w:lang w:bidi="fa-IR"/>
        </w:rPr>
        <w:t>خواه عمل كرده يا عمل نكرده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يادآورى اين آداب، نشانه توجه اسلام به ارزش‌هاى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هنگام تجارت و نيز يادآور اين نكته است كه اسلام ارزش‌ها را فداى اقتصاد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آداب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دانستن مسائل حلال و حرام تجارت قبل از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منبر خطاب به تجّار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فقه را ياد بگيريد و سپس تجارت 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سه بار اين جمله را تكرار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كه ربا در اين امت از راه رفتن مورچه بر سنگ صاف پنهان‌تر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نيز از آن حضرت نقل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تنها كسى بايد در بازار بنشيند كه خريد و فروش را بداند</w:t>
      </w:r>
      <w:r>
        <w:rPr>
          <w:rFonts w:eastAsia="Amiri" w:cs="Amiri" w:ascii="Amiri" w:hAnsi="Amiri"/>
          <w:color w:val="111111"/>
          <w:sz w:val="28"/>
          <w:szCs w:val="28"/>
          <w:rtl w:val="true"/>
          <w:lang w:bidi="ar-SA"/>
        </w:rPr>
        <w:t xml:space="preserve">» . </w:t>
      </w:r>
      <w:r>
        <w:rPr>
          <w:rStyle w:val="FootnoteAnchor"/>
          <w:rtl w:val="true"/>
        </w:rPr>
        <w:footnoteReference w:id="9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نهى از احتكار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فراوانى در نهى از احتكار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پيامبر گرامى اسلام 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كالاى خود را عرضه مى‌كند، رزق او داده مى‌شود، اما محتكر مورد لعنت خداوند واقع مى‌شود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همين‌طور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خود به مالك اشتر به او دستور مى‌دهد از احتكار جلوگيرى كند</w:t>
      </w:r>
      <w:r>
        <w:rPr>
          <w:rFonts w:eastAsia="IRNazanin" w:cs="IRNazanin"/>
          <w:color w:val="111111"/>
          <w:sz w:val="28"/>
          <w:szCs w:val="28"/>
          <w:rtl w:val="true"/>
          <w:lang w:bidi="fa-IR"/>
        </w:rPr>
        <w:t xml:space="preserve">. </w:t>
      </w:r>
      <w:r>
        <w:rPr>
          <w:rStyle w:val="FootnoteAnchor"/>
          <w:rtl w:val="true"/>
        </w:rPr>
        <w:footnoteReference w:id="9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حق تقدّم 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زمان مورد بحث، هنوز دكان‌هاى شخصى در بازار ساخته نشده بود، تجّار هر يك در گوشه‌اى از بازار به كسب و تجارت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بازار مسلمانان مانند مسجد آنان است؛ كسى كه زودتر مكانى را اشغال كرد، تا شب حق تقدّم با اوست</w:t>
      </w:r>
      <w:r>
        <w:rPr>
          <w:rFonts w:eastAsia="IRNazanin" w:cs="IRNazanin"/>
          <w:color w:val="111111"/>
          <w:sz w:val="28"/>
          <w:szCs w:val="28"/>
          <w:rtl w:val="true"/>
          <w:lang w:bidi="fa-IR"/>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نهى از قسم خوردن 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تجّار امت من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دلال‌ها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خوردن را كم نماييد كه آن كالا را از بين مى‌برد و سود را نابود مى‌كند</w:t>
      </w:r>
      <w:r>
        <w:rPr>
          <w:rFonts w:eastAsia="IRNazanin" w:cs="IRNazanin"/>
          <w:color w:val="111111"/>
          <w:sz w:val="28"/>
          <w:szCs w:val="28"/>
          <w:rtl w:val="true"/>
          <w:lang w:bidi="fa-IR"/>
        </w:rPr>
        <w:t xml:space="preserve">» . </w:t>
      </w:r>
      <w:r>
        <w:rPr>
          <w:rStyle w:val="FootnoteAnchor"/>
          <w:rtl w:val="true"/>
        </w:rPr>
        <w:footnoteReference w:id="99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واگذارى قيمت‌گذارى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روايات از قيمت‌گذارى اجبارى از سوى حكومت بر كالا نهى شده است با اين استدلال كه قيمت‌گذارى به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مطلب اشاره به قانون عرضه و تقاضا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چنين نقل شده است كه گروهى از مردم نزد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از آن حضرت درخواست نمودند كه قيمت اجناس را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نمى‌خواهم خداوند را با بدعتى ملاقات نمايم كه اختيار آن به من داده نشده است، پس بگذاريد بندگان خدا از همديگر سود ببرند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همچنين در روايت ديگرى از آن حضرت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قيمت‌گذارى به دست خداوند است، هرگاه بخواهد بالا مى‌برد و هر گاه بخواهد پايين مى‌آورد</w:t>
      </w:r>
      <w:r>
        <w:rPr>
          <w:rFonts w:eastAsia="IRNazanin" w:cs="IRNazanin"/>
          <w:color w:val="111111"/>
          <w:sz w:val="28"/>
          <w:szCs w:val="28"/>
          <w:rtl w:val="true"/>
          <w:lang w:bidi="fa-IR"/>
        </w:rPr>
        <w:t xml:space="preserve">» . </w:t>
      </w:r>
      <w:r>
        <w:rPr>
          <w:rStyle w:val="FootnoteAnchor"/>
          <w:rtl w:val="true"/>
        </w:rPr>
        <w:footnoteReference w:id="99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نماز بر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داستانى مفصّل در باره يكى از اصحاب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 حضرت نقل شده است كه خلاصه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نام سعد بسيار فقير بود، اما هميشه سر وقت براى اداى نماز حاضر بود، حضرت از فقر او ناراحت بود، سرانجام دو درهم به او داد تا با آن به تجارت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چنان وضع اقتصادى او نيكو شد كه بسيارى از اوقات در نماز جماعت حاضر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اين اشتغال او بيش از فقرش ناراحت شد و سرانجام دو درهم اصلى خود را كه باعث بركت شده بود، از او باز پس گرفت و او به حال اول برگشت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162" w:name="pg1964_19670"/>
    </w:p>
    <w:p>
      <w:pPr>
        <w:pStyle w:val="BookText"/>
        <w:rPr/>
      </w:pPr>
      <w:bookmarkEnd w:id="116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امورى كه براى خريد و فروش به آن سفارش شده آن است كه هنگام فروش، كالا را بيشتر از اندازه مورد توافق بدهد و هنگام خريد كمتر از مقدار مورد توافق تحويل بگيرد</w:t>
      </w:r>
      <w:r>
        <w:rPr>
          <w:rFonts w:eastAsia="IRNazanin" w:cs="IRNazanin"/>
          <w:color w:val="111111"/>
          <w:sz w:val="28"/>
          <w:szCs w:val="28"/>
          <w:rtl w:val="true"/>
          <w:lang w:bidi="fa-IR"/>
        </w:rPr>
        <w:t xml:space="preserve">. </w:t>
      </w:r>
      <w:r>
        <w:rPr>
          <w:rStyle w:val="FootnoteAnchor"/>
          <w:rtl w:val="true"/>
        </w:rPr>
        <w:footnoteReference w:id="99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پس‌گرفتن كالا از سوى فروشنده از مشترى پشيمان نيز يكى از امورى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سفارش كرده است</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داخل شدن در معامله خريدار و فروشنده كه در حال رسيدن به توافق مى‌باشند، نهى فرموده است</w:t>
      </w:r>
      <w:r>
        <w:rPr>
          <w:rFonts w:eastAsia="IRNazanin" w:cs="IRNazanin"/>
          <w:color w:val="111111"/>
          <w:sz w:val="28"/>
          <w:szCs w:val="28"/>
          <w:rtl w:val="true"/>
          <w:lang w:bidi="fa-IR"/>
        </w:rPr>
        <w:t xml:space="preserve">. </w:t>
      </w:r>
      <w:r>
        <w:rPr>
          <w:rStyle w:val="FootnoteAnchor"/>
          <w:rtl w:val="true"/>
        </w:rPr>
        <w:footnoteReference w:id="99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Style w:val="FootnoteAnchor"/>
          <w:rtl w:val="true"/>
        </w:rPr>
        <w:footnoteReference w:id="995"/>
      </w:r>
      <w:r>
        <w:rPr>
          <w:rFonts w:ascii="Amiri" w:hAnsi="Amiri" w:eastAsia="Amiri" w:cs="Amiri"/>
          <w:color w:val="111111"/>
          <w:sz w:val="28"/>
          <w:sz w:val="28"/>
          <w:szCs w:val="28"/>
          <w:rtl w:val="true"/>
          <w:lang w:bidi="ar-SA"/>
        </w:rPr>
        <w:t xml:space="preserve">و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زياد كردن قيمت در حراجى‌ها و مزايدات را بدون قصد خريد، نهى فرموده‌اند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فروختن به شخص 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قيمت زيادتر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سوى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شده است</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نهى از دلالى‌هاى 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كالاى روستايى را نفروشد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تفسير اين سخن چنين گفته شده است كه بازاريان بگذارند، روستاييانى كه از روستا ميوه و حبوبات آورده‌اند، خود به مردم بفروشند</w:t>
      </w:r>
      <w:r>
        <w:rPr>
          <w:rFonts w:eastAsia="IRNazanin" w:cs="IRNazanin"/>
          <w:color w:val="111111"/>
          <w:sz w:val="28"/>
          <w:szCs w:val="28"/>
          <w:rtl w:val="true"/>
          <w:lang w:bidi="fa-IR"/>
        </w:rPr>
        <w:t xml:space="preserve">. </w:t>
      </w:r>
      <w:r>
        <w:rPr>
          <w:rStyle w:val="FootnoteAnchor"/>
          <w:rtl w:val="true"/>
        </w:rPr>
        <w:footnoteReference w:id="998"/>
      </w:r>
    </w:p>
    <w:p>
      <w:pPr>
        <w:pStyle w:val="Heading4"/>
        <w:numPr>
          <w:ilvl w:val="3"/>
          <w:numId w:val="1"/>
        </w:numPr>
        <w:rPr/>
      </w:pPr>
      <w:bookmarkStart w:id="1163" w:name="__RefHeading___Toc3585407_3650668749"/>
      <w:bookmarkStart w:id="1164" w:name="_Toc500"/>
      <w:bookmarkEnd w:id="1163"/>
      <w:r>
        <w:rPr>
          <w:rtl w:val="true"/>
        </w:rPr>
        <w:t>ج</w:t>
      </w:r>
      <w:r>
        <w:rPr>
          <w:rtl w:val="true"/>
        </w:rPr>
        <w:t xml:space="preserve">) </w:t>
      </w:r>
      <w:r>
        <w:rPr>
          <w:rtl w:val="true"/>
        </w:rPr>
        <w:t>اجمالى از تاريخ تجارت در كوفه</w:t>
      </w:r>
      <w:bookmarkEnd w:id="1164"/>
    </w:p>
    <w:p>
      <w:pPr>
        <w:pStyle w:val="BookText"/>
        <w:rPr/>
      </w:pPr>
      <w:r>
        <w:rPr>
          <w:rFonts w:ascii="IRNazanin" w:hAnsi="IRNazanin" w:eastAsia="IRNazanin"/>
          <w:color w:val="111111"/>
          <w:sz w:val="28"/>
          <w:sz w:val="28"/>
          <w:szCs w:val="28"/>
          <w:rtl w:val="true"/>
          <w:lang w:bidi="fa-IR"/>
        </w:rPr>
        <w:t xml:space="preserve">هنگام بنيان‌گذارى شهر كوفه در سال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خلافت عمر، تجارت نه تنها در كوفه، بلكه در همه مملكت اسلامى در ركود به سر مى‌برد؛ زيرا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سرگرم فتوحات و كشورگشايى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غنايم و نيز برقرارى حقوق ساليانه عطا به وسيله دولت، نياز مادى آنان را بر طرف مى‌نمود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ابوسفيان كه خود تاجر بزرگى بود، هنگام تصويب برقرارى عطاء به وسيله عُمر، به او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چنين مقررى براى مسلمانان برقرار كنى، آنها به اتكاى آن، تجارت را رها خواهند كرد</w:t>
      </w:r>
      <w:r>
        <w:rPr>
          <w:rFonts w:eastAsia="IRNazanin" w:cs="IRNazanin"/>
          <w:color w:val="111111"/>
          <w:sz w:val="28"/>
          <w:szCs w:val="28"/>
          <w:rtl w:val="true"/>
          <w:lang w:bidi="fa-IR"/>
        </w:rPr>
        <w:t xml:space="preserve">» .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عثمان پس از روى كار آمدن، مردم مدينه را به سرمايه‌گذارى در شهرهاى كوفه و ايران تشويق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اصلى او آن بود كه اصحاب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شهرهاى مختلف پراكنده كند تا هم از مزاحمت آنان براى خود در مدينه بكاهد و هم باعث تضعيف سياست‌مداران شهرهاى ايران شود تا مبادا به طمع حكومت افتند</w:t>
      </w:r>
      <w:r>
        <w:rPr>
          <w:rFonts w:eastAsia="IRNazanin" w:cs="IRNazanin"/>
          <w:color w:val="111111"/>
          <w:sz w:val="28"/>
          <w:szCs w:val="28"/>
          <w:rtl w:val="true"/>
          <w:lang w:bidi="fa-IR"/>
        </w:rPr>
        <w:t xml:space="preserve">. </w:t>
      </w:r>
      <w:r>
        <w:rPr>
          <w:rStyle w:val="FootnoteAnchor"/>
          <w:rtl w:val="true"/>
        </w:rPr>
        <w:footnoteReference w:id="1000"/>
      </w:r>
      <w:r>
        <w:rPr>
          <w:rFonts w:ascii="Amiri" w:hAnsi="Amiri" w:eastAsia="Amiri" w:cs="Amiri"/>
          <w:color w:val="111111"/>
          <w:sz w:val="28"/>
          <w:sz w:val="28"/>
          <w:szCs w:val="28"/>
          <w:rtl w:val="true"/>
          <w:lang w:bidi="ar-SA"/>
        </w:rPr>
        <w:t xml:space="preserve">هم‌زمان با اين سياست، به علت كم شدن فتوحات و به تبع آن، غنايم </w:t>
      </w:r>
      <w:r>
        <w:rPr>
          <w:rStyle w:val="FootnoteAnchor"/>
          <w:rtl w:val="true"/>
        </w:rPr>
        <w:footnoteReference w:id="1001"/>
      </w:r>
      <w:r>
        <w:rPr>
          <w:rFonts w:ascii="IRNazanin" w:hAnsi="IRNazanin" w:eastAsia="IRNazanin"/>
          <w:color w:val="111111"/>
          <w:sz w:val="28"/>
          <w:sz w:val="28"/>
          <w:szCs w:val="28"/>
          <w:rtl w:val="true"/>
          <w:lang w:bidi="fa-IR"/>
        </w:rPr>
        <w:t xml:space="preserve">و نيز وجود پول نقد فراوان در كوفه و رشد جمعيت </w:t>
      </w:r>
      <w:r>
        <w:rPr>
          <w:rStyle w:val="FootnoteAnchor"/>
          <w:rtl w:val="true"/>
        </w:rPr>
        <w:footnoteReference w:id="1002"/>
      </w:r>
      <w:r>
        <w:rPr>
          <w:rFonts w:ascii="IRNazanin" w:hAnsi="IRNazanin" w:eastAsia="IRNazanin"/>
          <w:color w:val="111111"/>
          <w:sz w:val="28"/>
          <w:sz w:val="28"/>
          <w:szCs w:val="28"/>
          <w:rtl w:val="true"/>
          <w:lang w:bidi="fa-IR"/>
        </w:rPr>
        <w:t xml:space="preserve">و همچنين موقعيت استراتژيك كوفه </w:t>
      </w:r>
      <w:r>
        <w:rPr>
          <w:rStyle w:val="FootnoteAnchor"/>
          <w:rtl w:val="true"/>
        </w:rPr>
        <w:footnoteReference w:id="1003"/>
      </w:r>
      <w:r>
        <w:rPr>
          <w:rFonts w:ascii="Amiri" w:hAnsi="Amiri" w:eastAsia="Amiri" w:cs="Amiri"/>
          <w:color w:val="111111"/>
          <w:sz w:val="28"/>
          <w:sz w:val="28"/>
          <w:szCs w:val="28"/>
          <w:rtl w:val="true"/>
          <w:lang w:bidi="ar-SA"/>
        </w:rPr>
        <w:t>، موجبات رشد سريع تجارت در كوفه فراهم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سياست‌هاى حكومت در تشويق تجارت، وجود تعداد فراوانى از ساكنان حيره در كوفه كه به امر تجارت آشنا بودند </w:t>
      </w:r>
      <w:r>
        <w:rPr>
          <w:rStyle w:val="FootnoteAnchor"/>
          <w:rtl w:val="true"/>
        </w:rPr>
        <w:footnoteReference w:id="1004"/>
      </w:r>
      <w:r>
        <w:rPr>
          <w:rFonts w:ascii="IRNazanin" w:hAnsi="IRNazanin" w:eastAsia="IRNazanin"/>
          <w:color w:val="111111"/>
          <w:sz w:val="28"/>
          <w:sz w:val="28"/>
          <w:szCs w:val="28"/>
          <w:rtl w:val="true"/>
          <w:lang w:bidi="fa-IR"/>
        </w:rPr>
        <w:t xml:space="preserve">، كثرت اموال فتوحات، وجود حقوق ثابت پرداختى از سوى حكومت به كوفيان و نبودن بانك در كوفه </w:t>
      </w:r>
      <w:r>
        <w:rPr>
          <w:rStyle w:val="FootnoteAnchor"/>
          <w:rtl w:val="true"/>
        </w:rPr>
        <w:footnoteReference w:id="1005"/>
      </w:r>
      <w:r>
        <w:rPr>
          <w:rFonts w:ascii="Amiri" w:hAnsi="Amiri" w:eastAsia="Amiri" w:cs="Amiri"/>
          <w:color w:val="111111"/>
          <w:sz w:val="28"/>
          <w:sz w:val="28"/>
          <w:szCs w:val="28"/>
          <w:rtl w:val="true"/>
          <w:lang w:bidi="ar-SA"/>
        </w:rPr>
        <w:t>نيز از جمله امورى بود كه به رونق تجارت مى‌افزود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قبل گفته شد يكى از علل رشد سريع تجارت در كوفه، وجود موالى كه عمدتاً ايرانى بودند، در كوفه بود كه پس از نااميدى از جلوگيرى از تبعيضات اعراب نسبت به آنان و نيز در پى سفارش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مبنى بر روى</w:t>
      </w:r>
      <w:bookmarkStart w:id="1165" w:name="pg1964_19674"/>
    </w:p>
    <w:p>
      <w:pPr>
        <w:pStyle w:val="BookText"/>
        <w:rPr/>
      </w:pPr>
      <w:bookmarkEnd w:id="1165"/>
      <w:r>
        <w:rPr>
          <w:rFonts w:ascii="IRNazanin" w:hAnsi="IRNazanin" w:eastAsia="IRNazanin"/>
          <w:color w:val="111111"/>
          <w:sz w:val="28"/>
          <w:sz w:val="28"/>
          <w:szCs w:val="28"/>
          <w:rtl w:val="true"/>
          <w:lang w:bidi="fa-IR"/>
        </w:rPr>
        <w:t xml:space="preserve">آوردن به تجارت </w:t>
      </w:r>
      <w:r>
        <w:rPr>
          <w:rStyle w:val="FootnoteAnchor"/>
          <w:rtl w:val="true"/>
        </w:rPr>
        <w:footnoteReference w:id="1006"/>
      </w:r>
      <w:r>
        <w:rPr>
          <w:rFonts w:ascii="IRNazanin" w:hAnsi="IRNazanin" w:eastAsia="IRNazanin"/>
          <w:color w:val="111111"/>
          <w:sz w:val="28"/>
          <w:sz w:val="28"/>
          <w:szCs w:val="28"/>
          <w:rtl w:val="true"/>
          <w:lang w:bidi="fa-IR"/>
        </w:rPr>
        <w:t>به اين امر مهم پرداختند و پس از مدت كوتاهى نبض تجارى كوفه را در اختيار گرفتند</w:t>
      </w:r>
      <w:r>
        <w:rPr>
          <w:rFonts w:eastAsia="IRNazanin" w:cs="IRNazanin"/>
          <w:color w:val="111111"/>
          <w:sz w:val="28"/>
          <w:szCs w:val="28"/>
          <w:rtl w:val="true"/>
          <w:lang w:bidi="fa-IR"/>
        </w:rPr>
        <w:t>.</w:t>
      </w:r>
    </w:p>
    <w:p>
      <w:pPr>
        <w:pStyle w:val="Heading4"/>
        <w:numPr>
          <w:ilvl w:val="3"/>
          <w:numId w:val="1"/>
        </w:numPr>
        <w:rPr/>
      </w:pPr>
      <w:bookmarkStart w:id="1166" w:name="__RefHeading___Toc3585409_3650668749"/>
      <w:bookmarkStart w:id="1167" w:name="_Toc501"/>
      <w:bookmarkEnd w:id="1166"/>
      <w:r>
        <w:rPr>
          <w:rtl w:val="true"/>
        </w:rPr>
        <w:t>د</w:t>
      </w:r>
      <w:r>
        <w:rPr>
          <w:rtl w:val="true"/>
        </w:rPr>
        <w:t xml:space="preserve">) </w:t>
      </w:r>
      <w:r>
        <w:rPr>
          <w:rtl w:val="true"/>
        </w:rPr>
        <w:t>كاروان‌هاى تجارى</w:t>
      </w:r>
      <w:bookmarkEnd w:id="1167"/>
    </w:p>
    <w:p>
      <w:pPr>
        <w:pStyle w:val="BookText"/>
        <w:rPr/>
      </w:pPr>
      <w:r>
        <w:rPr>
          <w:rFonts w:ascii="IRNazanin" w:hAnsi="IRNazanin" w:eastAsia="IRNazanin"/>
          <w:color w:val="111111"/>
          <w:sz w:val="28"/>
          <w:sz w:val="28"/>
          <w:szCs w:val="28"/>
          <w:rtl w:val="true"/>
          <w:lang w:bidi="fa-IR"/>
        </w:rPr>
        <w:t>كوفه بين راه تجارى مكه و مدينه و بين شام و مصر قرار داشت، ازاين‌رو كاروان‌هاى تجارى فراوانى از اين شهر يا از نزديكى آن عبور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چون كوفه بين راه كاروان‌هاى حج كه از مصر و شام و شمال افريقا به مكه مى‌رفتند و برمى‌گشتند، واقع شده بود، بر اهميت آن 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نزديكى اين شهر به شهرهاى ايران كه بسيارى از آنها تابع كوفه بودند و كالاهاى فراوانى در آنها توليد مى‌شد، اهميت آن را دو چندان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اينكه كوفه مى‌توانست از طريق ايران با كشورهاى هند، چين و كشورهاى آسياى ميانه ارتباط تجارى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اين شهر در كنار ساحل رود فرات، امكان بالقوه‌اى براى ارتباط آن با شهرهاى حلب و انطاكيه و درياى مديترانه و همچنين اقيانوس هند از راه خليج فارس فراهم آورده بود، گرچه در زمان مورد بحث، از اين مكان، كمتر استفاده مى‌شد</w:t>
      </w:r>
      <w:r>
        <w:rPr>
          <w:rFonts w:eastAsia="IRNazanin" w:cs="IRNazanin"/>
          <w:color w:val="111111"/>
          <w:sz w:val="28"/>
          <w:szCs w:val="28"/>
          <w:rtl w:val="true"/>
          <w:lang w:bidi="fa-IR"/>
        </w:rPr>
        <w:t xml:space="preserve">. </w:t>
      </w:r>
      <w:r>
        <w:rPr>
          <w:rStyle w:val="FootnoteAnchor"/>
          <w:rtl w:val="true"/>
        </w:rPr>
        <w:footnoteReference w:id="1007"/>
      </w:r>
      <w:r>
        <w:rPr>
          <w:rFonts w:ascii="IRNazanin" w:hAnsi="IRNazanin" w:eastAsia="IRNazanin"/>
          <w:color w:val="111111"/>
          <w:sz w:val="28"/>
          <w:sz w:val="28"/>
          <w:szCs w:val="28"/>
          <w:rtl w:val="true"/>
          <w:lang w:bidi="fa-IR"/>
        </w:rPr>
        <w:t xml:space="preserve">كاروان‌هاى كوفه براى استفاده از تجارت دريايى ناچار بودند مسير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را طى كنند تا از شهر بصره و به وسيله كشتى‌هاى بزرگ، كالاهاى خود را به نقاط ديگر حمل نمايند</w:t>
      </w:r>
      <w:r>
        <w:rPr>
          <w:rFonts w:eastAsia="IRNazanin" w:cs="IRNazanin"/>
          <w:color w:val="111111"/>
          <w:sz w:val="28"/>
          <w:szCs w:val="28"/>
          <w:rtl w:val="true"/>
          <w:lang w:bidi="fa-IR"/>
        </w:rPr>
        <w:t xml:space="preserve">. </w:t>
      </w:r>
      <w:r>
        <w:rPr>
          <w:rStyle w:val="FootnoteAnchor"/>
          <w:rtl w:val="true"/>
        </w:rPr>
        <w:footnoteReference w:id="100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شهر كوفه اهميت ترانزيتى فراوانى داشت و در بسيارى از مواقع، نقش واسطه‌اى ايفا مى‌كرد؛ بدين‌ترتيب كه كاروان‌ها از نقاط مختلف، كالاهاى خود را به اين شهر آورده و تجّار اين شهر پس از خريد آن كالاها آنها را به نقاط ديگر صادر مى‌كردند</w:t>
      </w:r>
      <w:r>
        <w:rPr>
          <w:rFonts w:eastAsia="IRNazanin" w:cs="IRNazanin"/>
          <w:color w:val="111111"/>
          <w:sz w:val="28"/>
          <w:szCs w:val="28"/>
          <w:rtl w:val="true"/>
          <w:lang w:bidi="fa-IR"/>
        </w:rPr>
        <w:t xml:space="preserve">. </w:t>
      </w:r>
      <w:r>
        <w:rPr>
          <w:rStyle w:val="FootnoteAnchor"/>
          <w:rtl w:val="true"/>
        </w:rPr>
        <w:footnoteReference w:id="1009"/>
      </w:r>
      <w:bookmarkStart w:id="1168" w:name="pg1964_19676"/>
    </w:p>
    <w:p>
      <w:pPr>
        <w:pStyle w:val="Heading4"/>
        <w:numPr>
          <w:ilvl w:val="3"/>
          <w:numId w:val="1"/>
        </w:numPr>
        <w:rPr/>
      </w:pPr>
      <w:bookmarkStart w:id="1169" w:name="__RefHeading___Toc3585411_3650668749"/>
      <w:bookmarkStart w:id="1170" w:name="_Toc502"/>
      <w:bookmarkEnd w:id="1168"/>
      <w:bookmarkEnd w:id="1169"/>
      <w:r>
        <w:rPr>
          <w:rtl w:val="true"/>
        </w:rPr>
        <w:t>ه</w:t>
      </w:r>
      <w:r>
        <w:rPr>
          <w:rtl w:val="true"/>
        </w:rPr>
        <w:t xml:space="preserve">) </w:t>
      </w:r>
      <w:r>
        <w:rPr>
          <w:rtl w:val="true"/>
        </w:rPr>
        <w:t>مسيرهاى تجارى</w:t>
      </w:r>
      <w:bookmarkEnd w:id="1170"/>
    </w:p>
    <w:p>
      <w:pPr>
        <w:pStyle w:val="Heading5"/>
        <w:numPr>
          <w:ilvl w:val="4"/>
          <w:numId w:val="1"/>
        </w:numPr>
        <w:rPr/>
      </w:pPr>
      <w:bookmarkStart w:id="1171" w:name="__RefHeading___Toc3585413_3650668749"/>
      <w:bookmarkStart w:id="1172" w:name="_Toc503"/>
      <w:bookmarkEnd w:id="1171"/>
      <w:r>
        <w:rPr>
          <w:rtl w:val="true"/>
        </w:rPr>
        <w:t>اشاره</w:t>
      </w:r>
      <w:bookmarkEnd w:id="1172"/>
    </w:p>
    <w:p>
      <w:pPr>
        <w:pStyle w:val="BookText"/>
        <w:rPr/>
      </w:pPr>
      <w:r>
        <w:rPr>
          <w:rFonts w:ascii="IRNazanin" w:hAnsi="IRNazanin" w:eastAsia="IRNazanin"/>
          <w:color w:val="111111"/>
          <w:sz w:val="28"/>
          <w:sz w:val="28"/>
          <w:szCs w:val="28"/>
          <w:rtl w:val="true"/>
          <w:lang w:bidi="fa-IR"/>
        </w:rPr>
        <w:t>مسيرهاى اصلى و مهم تجارى كه در زمان مورد بحث و بعد از آن مورد استفاده كاروان‌هاى تجارى مرتبط با كوفه قرار مى‌گرفت، عبارت بود از</w:t>
      </w:r>
      <w:r>
        <w:rPr>
          <w:rFonts w:eastAsia="IRNazanin" w:cs="IRNazanin"/>
          <w:color w:val="111111"/>
          <w:sz w:val="28"/>
          <w:szCs w:val="28"/>
          <w:rtl w:val="true"/>
          <w:lang w:bidi="fa-IR"/>
        </w:rPr>
        <w:t>:</w:t>
      </w:r>
    </w:p>
    <w:p>
      <w:pPr>
        <w:pStyle w:val="Heading5"/>
        <w:numPr>
          <w:ilvl w:val="4"/>
          <w:numId w:val="1"/>
        </w:numPr>
        <w:rPr/>
      </w:pPr>
      <w:bookmarkStart w:id="1173" w:name="__RefHeading___Toc3585415_3650668749"/>
      <w:bookmarkStart w:id="1174" w:name="_Toc504"/>
      <w:bookmarkEnd w:id="1173"/>
      <w:r>
        <w:rPr>
          <w:rtl w:val="true"/>
        </w:rPr>
        <w:t xml:space="preserve">يك </w:t>
      </w:r>
      <w:r>
        <w:rPr>
          <w:rtl w:val="true"/>
        </w:rPr>
        <w:t xml:space="preserve">- </w:t>
      </w:r>
      <w:r>
        <w:rPr>
          <w:rtl w:val="true"/>
        </w:rPr>
        <w:t>مسير شرق كوفه</w:t>
      </w:r>
      <w:bookmarkEnd w:id="1174"/>
    </w:p>
    <w:p>
      <w:pPr>
        <w:pStyle w:val="BookText"/>
        <w:rPr/>
      </w:pPr>
      <w:r>
        <w:rPr>
          <w:rFonts w:ascii="IRNazanin" w:hAnsi="IRNazanin" w:eastAsia="IRNazanin"/>
          <w:color w:val="111111"/>
          <w:sz w:val="28"/>
          <w:sz w:val="28"/>
          <w:szCs w:val="28"/>
          <w:rtl w:val="true"/>
          <w:lang w:bidi="fa-IR"/>
        </w:rPr>
        <w:t>اين مسير، كوفه را با ايران و به خصوص با خراسان و ماوراءالنهر كه از مناطق حياتى آن روز بودند، پيوند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 از شهرهاى همدان، قزوين، رى، نيشابور، مرو، بخارا و سمرقند مى‌گذشت و از آنجا به دو شاخه تقسيم مى‌شد؛ شاخه‌اى به طرف شمال و به سمت خوارزم مى‌رفت و شاخه ديگر، راه شرق را در پيش مى‌گرفت و به چين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كاروان‌هاى ايرانى كه به قصد حجاز تشكيل مى‌شد، از كوفه به عنوان يكى از مراكز ترانزيتى بهره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كاروان‌هاى عازم به هند نيز از اين مسير مى‌گذشتند؛ به اين ترتيب كه از خراسان به سند و سپس به هند مى‌رفتند</w:t>
      </w:r>
      <w:r>
        <w:rPr>
          <w:rFonts w:eastAsia="IRNazanin" w:cs="IRNazanin"/>
          <w:color w:val="111111"/>
          <w:sz w:val="28"/>
          <w:szCs w:val="28"/>
          <w:rtl w:val="true"/>
          <w:lang w:bidi="fa-IR"/>
        </w:rPr>
        <w:t>.</w:t>
      </w:r>
    </w:p>
    <w:p>
      <w:pPr>
        <w:pStyle w:val="Heading5"/>
        <w:numPr>
          <w:ilvl w:val="4"/>
          <w:numId w:val="1"/>
        </w:numPr>
        <w:rPr/>
      </w:pPr>
      <w:bookmarkStart w:id="1175" w:name="__RefHeading___Toc3585417_3650668749"/>
      <w:bookmarkStart w:id="1176" w:name="_Toc505"/>
      <w:bookmarkEnd w:id="1175"/>
      <w:r>
        <w:rPr>
          <w:rtl w:val="true"/>
        </w:rPr>
        <w:t xml:space="preserve">دو </w:t>
      </w:r>
      <w:r>
        <w:rPr>
          <w:rtl w:val="true"/>
        </w:rPr>
        <w:t xml:space="preserve">- </w:t>
      </w:r>
      <w:r>
        <w:rPr>
          <w:rtl w:val="true"/>
        </w:rPr>
        <w:t>مسير جنوب كوفه</w:t>
      </w:r>
      <w:bookmarkEnd w:id="1176"/>
    </w:p>
    <w:p>
      <w:pPr>
        <w:pStyle w:val="BookText"/>
        <w:rPr/>
      </w:pPr>
      <w:r>
        <w:rPr>
          <w:rFonts w:ascii="IRNazanin" w:hAnsi="IRNazanin" w:eastAsia="IRNazanin"/>
          <w:color w:val="111111"/>
          <w:sz w:val="28"/>
          <w:sz w:val="28"/>
          <w:szCs w:val="28"/>
          <w:rtl w:val="true"/>
          <w:lang w:bidi="fa-IR"/>
        </w:rPr>
        <w:t>اين مسير، كوفه را به الجزيره و شام پيوند مى‌داد و به خصوص در ايام حج بسيار پر رفت و آمد بود؛ زيرا كاروان حاجيان اين مناطق از راه كوفه به مكه 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تجارى كوفه با بصره نيز از جنوب كوفه شروع مى‌شد</w:t>
      </w:r>
      <w:r>
        <w:rPr>
          <w:rFonts w:eastAsia="IRNazanin" w:cs="IRNazanin"/>
          <w:color w:val="111111"/>
          <w:sz w:val="28"/>
          <w:szCs w:val="28"/>
          <w:rtl w:val="true"/>
          <w:lang w:bidi="fa-IR"/>
        </w:rPr>
        <w:t>.</w:t>
      </w:r>
    </w:p>
    <w:p>
      <w:pPr>
        <w:pStyle w:val="Heading5"/>
        <w:numPr>
          <w:ilvl w:val="4"/>
          <w:numId w:val="1"/>
        </w:numPr>
        <w:rPr/>
      </w:pPr>
      <w:bookmarkStart w:id="1177" w:name="__RefHeading___Toc3585419_3650668749"/>
      <w:bookmarkStart w:id="1178" w:name="_Toc506"/>
      <w:bookmarkEnd w:id="1177"/>
      <w:r>
        <w:rPr>
          <w:rtl w:val="true"/>
        </w:rPr>
        <w:t xml:space="preserve">سه </w:t>
      </w:r>
      <w:r>
        <w:rPr>
          <w:rtl w:val="true"/>
        </w:rPr>
        <w:t xml:space="preserve">- </w:t>
      </w:r>
      <w:r>
        <w:rPr>
          <w:rtl w:val="true"/>
        </w:rPr>
        <w:t>مسير غرب كوفه</w:t>
      </w:r>
      <w:bookmarkEnd w:id="1178"/>
    </w:p>
    <w:p>
      <w:pPr>
        <w:pStyle w:val="BookText"/>
        <w:rPr/>
      </w:pPr>
      <w:r>
        <w:rPr>
          <w:rFonts w:ascii="IRNazanin" w:hAnsi="IRNazanin" w:eastAsia="IRNazanin"/>
          <w:color w:val="111111"/>
          <w:sz w:val="28"/>
          <w:sz w:val="28"/>
          <w:szCs w:val="28"/>
          <w:rtl w:val="true"/>
          <w:lang w:bidi="fa-IR"/>
        </w:rPr>
        <w:t>اين مسير، كوفه را به كشور مصر و شمال افريقا پيوند مى‌داد</w:t>
      </w:r>
      <w:r>
        <w:rPr>
          <w:rFonts w:eastAsia="IRNazanin" w:cs="IRNazanin"/>
          <w:color w:val="111111"/>
          <w:sz w:val="28"/>
          <w:szCs w:val="28"/>
          <w:rtl w:val="true"/>
          <w:lang w:bidi="fa-IR"/>
        </w:rPr>
        <w:t xml:space="preserve">. </w:t>
      </w:r>
      <w:r>
        <w:rPr>
          <w:rStyle w:val="FootnoteAnchor"/>
          <w:rtl w:val="true"/>
        </w:rPr>
        <w:footnoteReference w:id="1010"/>
      </w:r>
    </w:p>
    <w:p>
      <w:pPr>
        <w:pStyle w:val="Heading3"/>
        <w:numPr>
          <w:ilvl w:val="2"/>
          <w:numId w:val="1"/>
        </w:numPr>
        <w:rPr/>
      </w:pPr>
      <w:bookmarkStart w:id="1179" w:name="__RefHeading___Toc3585421_3650668749"/>
      <w:bookmarkStart w:id="1180" w:name="_Toc507"/>
      <w:bookmarkEnd w:id="1179"/>
      <w:r>
        <w:rPr/>
        <w:t>٣</w:t>
      </w:r>
      <w:r>
        <w:rPr>
          <w:rtl w:val="true"/>
        </w:rPr>
        <w:t xml:space="preserve">. </w:t>
      </w:r>
      <w:r>
        <w:rPr>
          <w:rtl w:val="true"/>
        </w:rPr>
        <w:t>دام‌دارى</w:t>
      </w:r>
      <w:bookmarkEnd w:id="118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اول اين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جغرافياى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در باره حيوانات اهلى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قسمت چنين استفاده شد كه حيوانات اهلى كه مورد توجه</w:t>
      </w:r>
      <w:bookmarkStart w:id="1181" w:name="pg1964_19678"/>
    </w:p>
    <w:p>
      <w:pPr>
        <w:pStyle w:val="BookText"/>
        <w:rPr/>
      </w:pPr>
      <w:bookmarkEnd w:id="1181"/>
      <w:r>
        <w:rPr>
          <w:rFonts w:ascii="IRNazanin" w:hAnsi="IRNazanin" w:eastAsia="IRNazanin"/>
          <w:color w:val="111111"/>
          <w:sz w:val="28"/>
          <w:sz w:val="28"/>
          <w:szCs w:val="28"/>
          <w:rtl w:val="true"/>
          <w:lang w:bidi="fa-IR"/>
        </w:rPr>
        <w:t>كوفيان بود و پرورش مى‌يافت،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گاو، اسب، گوسفند، مرغ، مرغابى، كبوتر، الاغ و قاطر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 از وجود سگ و خوك در آن منطقه چنين استنباط كرد كه اين حيوانات به وسيله اهل كتاب، پرورش مى‌يافتند</w:t>
      </w:r>
      <w:r>
        <w:rPr>
          <w:rFonts w:eastAsia="IRNazanin" w:cs="IRNazanin"/>
          <w:color w:val="111111"/>
          <w:sz w:val="28"/>
          <w:szCs w:val="28"/>
          <w:rtl w:val="true"/>
          <w:lang w:bidi="fa-IR"/>
        </w:rPr>
        <w:t>.</w:t>
      </w:r>
    </w:p>
    <w:p>
      <w:pPr>
        <w:pStyle w:val="Heading3"/>
        <w:numPr>
          <w:ilvl w:val="2"/>
          <w:numId w:val="1"/>
        </w:numPr>
        <w:rPr/>
      </w:pPr>
      <w:bookmarkStart w:id="1182" w:name="__RefHeading___Toc3585423_3650668749"/>
      <w:bookmarkStart w:id="1183" w:name="_Toc508"/>
      <w:bookmarkEnd w:id="1182"/>
      <w:r>
        <w:rPr/>
        <w:t>۴</w:t>
      </w:r>
      <w:r>
        <w:rPr>
          <w:rtl w:val="true"/>
        </w:rPr>
        <w:t xml:space="preserve">. </w:t>
      </w:r>
      <w:r>
        <w:rPr>
          <w:rtl w:val="true"/>
        </w:rPr>
        <w:t>مشاغل</w:t>
      </w:r>
      <w:bookmarkEnd w:id="1183"/>
    </w:p>
    <w:p>
      <w:pPr>
        <w:pStyle w:val="Heading4"/>
        <w:numPr>
          <w:ilvl w:val="3"/>
          <w:numId w:val="1"/>
        </w:numPr>
        <w:rPr/>
      </w:pPr>
      <w:bookmarkStart w:id="1184" w:name="__RefHeading___Toc3585425_3650668749"/>
      <w:bookmarkStart w:id="1185" w:name="_Toc509"/>
      <w:bookmarkEnd w:id="1184"/>
      <w:r>
        <w:rPr>
          <w:rtl w:val="true"/>
        </w:rPr>
        <w:t>اشاره</w:t>
      </w:r>
      <w:bookmarkEnd w:id="1185"/>
    </w:p>
    <w:p>
      <w:pPr>
        <w:pStyle w:val="BookText"/>
        <w:rPr/>
      </w:pPr>
      <w:r>
        <w:rPr>
          <w:rFonts w:ascii="IRNazanin" w:hAnsi="IRNazanin" w:eastAsia="IRNazanin"/>
          <w:color w:val="111111"/>
          <w:sz w:val="28"/>
          <w:sz w:val="28"/>
          <w:szCs w:val="28"/>
          <w:rtl w:val="true"/>
          <w:lang w:bidi="fa-IR"/>
        </w:rPr>
        <w:t>غير از مشاغل دام‌دارى و كشاورزى كه بخش‌هاى ويژه‌اى به آنها تخصيص يافت، بقيه مشاغل كوفه را به سه دسته بزرگ صناعات، مشاغل واسطه‌اى و مشاغل خدماتى مى‌توان تقسيم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صناعات، مشاغلى است كه صاحبان آنها با عمل، بر روى كالا و تغيير شكل آن به درآمدى مى‌رسيدند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مشاغل واسطه‌اى، مشاغلى است كه صاحبان آن به خريد و فروش كالايى مشغول بوده و از راه واسطه‌گرى و تجارت به سود مى‌رسيدند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مشاغل خدماتى، اصولاً پاى كالا و نقل و انتقال آن در ميان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مشاغل مختلف دولتى در فصل هشتم، يعنى نظام قضايى و انتظامى بررسى خواهد شد</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3585427_3650668749"/>
      <w:bookmarkStart w:id="1187" w:name="_Toc510"/>
      <w:bookmarkEnd w:id="1186"/>
      <w:r>
        <w:rPr>
          <w:rtl w:val="true"/>
        </w:rPr>
        <w:t>الف</w:t>
      </w:r>
      <w:r>
        <w:rPr>
          <w:rtl w:val="true"/>
        </w:rPr>
        <w:t xml:space="preserve">) </w:t>
      </w:r>
      <w:r>
        <w:rPr>
          <w:rtl w:val="true"/>
        </w:rPr>
        <w:t>صناعات</w:t>
      </w:r>
      <w:bookmarkEnd w:id="1187"/>
    </w:p>
    <w:p>
      <w:pPr>
        <w:pStyle w:val="Heading5"/>
        <w:numPr>
          <w:ilvl w:val="4"/>
          <w:numId w:val="1"/>
        </w:numPr>
        <w:rPr/>
      </w:pPr>
      <w:bookmarkStart w:id="1188" w:name="__RefHeading___Toc3585429_3650668749"/>
      <w:bookmarkStart w:id="1189" w:name="_Toc511"/>
      <w:bookmarkEnd w:id="1188"/>
      <w:r>
        <w:rPr>
          <w:rtl w:val="true"/>
        </w:rPr>
        <w:t>اشاره</w:t>
      </w:r>
      <w:bookmarkEnd w:id="1189"/>
    </w:p>
    <w:p>
      <w:pPr>
        <w:pStyle w:val="BookText"/>
        <w:rPr/>
      </w:pPr>
      <w:r>
        <w:rPr>
          <w:rFonts w:ascii="Amiri" w:hAnsi="Amiri" w:eastAsia="Amiri" w:cs="Amiri"/>
          <w:color w:val="111111"/>
          <w:sz w:val="28"/>
          <w:sz w:val="28"/>
          <w:szCs w:val="28"/>
          <w:rtl w:val="true"/>
          <w:lang w:bidi="ar-SA"/>
        </w:rPr>
        <w:t>در اينجا صناعاتى ذكر مى‌شود كه با استفاده از قراين يا نصوص تاريخى وجود آنها در زمان مورد بحث يا نزديك آن، ثابت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صناعات عبارت‌اند از</w:t>
      </w:r>
      <w:r>
        <w:rPr>
          <w:rFonts w:eastAsia="Amiri" w:cs="Amiri" w:ascii="Amiri" w:hAnsi="Amiri"/>
          <w:color w:val="111111"/>
          <w:sz w:val="28"/>
          <w:szCs w:val="28"/>
          <w:rtl w:val="true"/>
          <w:lang w:bidi="ar-SA"/>
        </w:rPr>
        <w:t>:</w:t>
      </w:r>
    </w:p>
    <w:p>
      <w:pPr>
        <w:pStyle w:val="Heading5"/>
        <w:numPr>
          <w:ilvl w:val="4"/>
          <w:numId w:val="1"/>
        </w:numPr>
        <w:rPr/>
      </w:pPr>
      <w:bookmarkStart w:id="1190" w:name="__RefHeading___Toc3585431_3650668749"/>
      <w:bookmarkStart w:id="1191" w:name="_Toc512"/>
      <w:bookmarkEnd w:id="1190"/>
      <w:r>
        <w:rPr>
          <w:rtl w:val="true"/>
        </w:rPr>
        <w:t xml:space="preserve">يك </w:t>
      </w:r>
      <w:r>
        <w:rPr>
          <w:rtl w:val="true"/>
        </w:rPr>
        <w:t xml:space="preserve">- </w:t>
      </w:r>
      <w:r>
        <w:rPr>
          <w:rtl w:val="true"/>
        </w:rPr>
        <w:t>بنايى و معمارى</w:t>
      </w:r>
      <w:bookmarkEnd w:id="119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شغل به دليل نو بنياد بودن كوفه و نياز شديد مردم به خانه‌سازى، رايج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ساختن خانه‌هاى اشرافى براى ثروتمندان و نيز ساختن كاخ دارالاماره، تخصص ويژه‌اى را در اين فن، طلب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 و معمارهاى كوفه را عمدتاً افراد متخصص كه از حيره و ايران به اين شهر مهاجرت كرده بودند، تشكيل مى‌دادند</w:t>
      </w:r>
      <w:r>
        <w:rPr>
          <w:rFonts w:eastAsia="IRNazanin" w:cs="IRNazanin"/>
          <w:color w:val="111111"/>
          <w:sz w:val="28"/>
          <w:szCs w:val="28"/>
          <w:rtl w:val="true"/>
          <w:lang w:bidi="fa-IR"/>
        </w:rPr>
        <w:t>.</w:t>
      </w:r>
      <w:bookmarkStart w:id="1192" w:name="pg1964_19680"/>
    </w:p>
    <w:p>
      <w:pPr>
        <w:pStyle w:val="Heading5"/>
        <w:numPr>
          <w:ilvl w:val="4"/>
          <w:numId w:val="1"/>
        </w:numPr>
        <w:rPr/>
      </w:pPr>
      <w:bookmarkStart w:id="1193" w:name="__RefHeading___Toc3585433_3650668749"/>
      <w:bookmarkStart w:id="1194" w:name="_Toc513"/>
      <w:bookmarkEnd w:id="1192"/>
      <w:bookmarkEnd w:id="1193"/>
      <w:r>
        <w:rPr>
          <w:rtl w:val="true"/>
        </w:rPr>
        <w:t xml:space="preserve">دو </w:t>
      </w:r>
      <w:r>
        <w:rPr>
          <w:rtl w:val="true"/>
        </w:rPr>
        <w:t xml:space="preserve">- </w:t>
      </w:r>
      <w:r>
        <w:rPr>
          <w:rtl w:val="true"/>
        </w:rPr>
        <w:t>خشت‌زنى و قالب‌ريزى آجر</w:t>
      </w:r>
      <w:bookmarkEnd w:id="1194"/>
    </w:p>
    <w:p>
      <w:pPr>
        <w:pStyle w:val="BookText"/>
        <w:rPr/>
      </w:pPr>
      <w:r>
        <w:rPr>
          <w:rFonts w:ascii="Amiri" w:hAnsi="Amiri" w:eastAsia="Amiri" w:cs="Amiri"/>
          <w:color w:val="111111"/>
          <w:sz w:val="28"/>
          <w:sz w:val="28"/>
          <w:szCs w:val="28"/>
          <w:rtl w:val="true"/>
          <w:lang w:bidi="ar-SA"/>
        </w:rPr>
        <w:t>در فصل دوم، يعنى معمارى كوفه از وجود جبّانه‌اى به نام جبّانه عَرْزَم نام برده شد كه در آن شخصى به نام عَرْزَم به‌كار خشت‌زنى مشغول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اين شخص به سبب خشت‌هاى نامرغوب وى بود</w:t>
      </w:r>
      <w:r>
        <w:rPr>
          <w:rFonts w:eastAsia="Amiri" w:cs="Amiri" w:ascii="Amiri" w:hAnsi="Amiri"/>
          <w:color w:val="111111"/>
          <w:sz w:val="28"/>
          <w:szCs w:val="28"/>
          <w:rtl w:val="true"/>
          <w:lang w:bidi="ar-SA"/>
        </w:rPr>
        <w:t xml:space="preserve">. </w:t>
      </w:r>
      <w:r>
        <w:rPr>
          <w:rStyle w:val="FootnoteAnchor"/>
          <w:rtl w:val="true"/>
        </w:rPr>
        <w:footnoteReference w:id="1011"/>
      </w:r>
      <w:r>
        <w:rPr>
          <w:rFonts w:ascii="IRNazanin" w:hAnsi="IRNazanin" w:eastAsia="IRNazanin"/>
          <w:color w:val="111111"/>
          <w:sz w:val="28"/>
          <w:sz w:val="28"/>
          <w:szCs w:val="28"/>
          <w:rtl w:val="true"/>
          <w:lang w:bidi="fa-IR"/>
        </w:rPr>
        <w:t>و از اينجا به دست مى‌آيد كه خشت‌زنان و قالب‌ريزان ديگرى نيز بوده‌اند كه به سبب خشت‌هاى مرغوب خود كه اصل هم بر آن بوده است، مشهور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وقتى قوت مى‌گيرد كه به اين نكته توجه نماييم كه تنها در ساليان اول بنيان‌گذارى كوفه، حدود بيست هزار خانه در اين شهر ساخته شد</w:t>
      </w:r>
      <w:r>
        <w:rPr>
          <w:rFonts w:eastAsia="IRNazanin" w:cs="IRNazanin"/>
          <w:color w:val="111111"/>
          <w:sz w:val="28"/>
          <w:szCs w:val="28"/>
          <w:rtl w:val="true"/>
          <w:lang w:bidi="fa-IR"/>
        </w:rPr>
        <w:t xml:space="preserve">. </w:t>
      </w:r>
      <w:r>
        <w:rPr>
          <w:rStyle w:val="FootnoteAnchor"/>
          <w:rtl w:val="true"/>
        </w:rPr>
        <w:footnoteReference w:id="1012"/>
      </w:r>
    </w:p>
    <w:p>
      <w:pPr>
        <w:pStyle w:val="Heading5"/>
        <w:numPr>
          <w:ilvl w:val="4"/>
          <w:numId w:val="1"/>
        </w:numPr>
        <w:rPr/>
      </w:pPr>
      <w:bookmarkStart w:id="1195" w:name="__RefHeading___Toc3585435_3650668749"/>
      <w:bookmarkStart w:id="1196" w:name="_Toc514"/>
      <w:bookmarkEnd w:id="1195"/>
      <w:r>
        <w:rPr>
          <w:rtl w:val="true"/>
        </w:rPr>
        <w:t xml:space="preserve">سه </w:t>
      </w:r>
      <w:r>
        <w:rPr>
          <w:rtl w:val="true"/>
        </w:rPr>
        <w:t xml:space="preserve">- </w:t>
      </w:r>
      <w:r>
        <w:rPr>
          <w:rtl w:val="true"/>
        </w:rPr>
        <w:t>گچ‌كارى</w:t>
      </w:r>
      <w:bookmarkEnd w:id="1196"/>
    </w:p>
    <w:p>
      <w:pPr>
        <w:pStyle w:val="BookText"/>
        <w:rPr/>
      </w:pPr>
      <w:r>
        <w:rPr>
          <w:rFonts w:ascii="IRNazanin" w:hAnsi="IRNazanin" w:eastAsia="IRNazanin"/>
          <w:color w:val="111111"/>
          <w:sz w:val="28"/>
          <w:sz w:val="28"/>
          <w:szCs w:val="28"/>
          <w:rtl w:val="true"/>
          <w:lang w:bidi="fa-IR"/>
        </w:rPr>
        <w:t>كشف گچ‌كارى‌ها در دارالاماره و مسجد جامع، وجود اين شغل را در آن زمان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در بعضى روايات تاريخى از شخصى به نام مسلم جَصّاص، يعنى گچ‌كار كه در زمان ورود اسراى كربلا به كوفه در قصر دارالاماره مشغول گچ‌كارى بوده، ياد شده است</w:t>
      </w:r>
      <w:r>
        <w:rPr>
          <w:rFonts w:eastAsia="IRNazanin" w:cs="IRNazanin"/>
          <w:color w:val="111111"/>
          <w:sz w:val="28"/>
          <w:szCs w:val="28"/>
          <w:rtl w:val="true"/>
          <w:lang w:bidi="fa-IR"/>
        </w:rPr>
        <w:t xml:space="preserve">. </w:t>
      </w:r>
      <w:r>
        <w:rPr>
          <w:rStyle w:val="FootnoteAnchor"/>
          <w:rtl w:val="true"/>
        </w:rPr>
        <w:footnoteReference w:id="1013"/>
      </w:r>
    </w:p>
    <w:p>
      <w:pPr>
        <w:pStyle w:val="Heading5"/>
        <w:numPr>
          <w:ilvl w:val="4"/>
          <w:numId w:val="1"/>
        </w:numPr>
        <w:rPr/>
      </w:pPr>
      <w:bookmarkStart w:id="1197" w:name="__RefHeading___Toc3585437_3650668749"/>
      <w:bookmarkStart w:id="1198" w:name="_Toc515"/>
      <w:bookmarkEnd w:id="1197"/>
      <w:r>
        <w:rPr>
          <w:rtl w:val="true"/>
        </w:rPr>
        <w:t xml:space="preserve">چهار </w:t>
      </w:r>
      <w:r>
        <w:rPr>
          <w:rtl w:val="true"/>
        </w:rPr>
        <w:t xml:space="preserve">- </w:t>
      </w:r>
      <w:r>
        <w:rPr>
          <w:rtl w:val="true"/>
        </w:rPr>
        <w:t>كاشى‌سازى</w:t>
      </w:r>
      <w:bookmarkEnd w:id="119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كشف بعضى از انواع كاشى در خرابه‌هاى دارالاماره، وجود اين شغل را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از كاشى در مصارفى، همچون سنگ‌هاى قبر 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كاوش‌هاى باستان‌شناسى، دو قبر كه يكى از آنها مربوط به سال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مشاهده شده كه با كاشى مفروش و روى آنها عبارتى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قبر اول، اين عبارت با خط كوفى نگاشته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هذا قبر عروة بن ثابت كوفي في شهر رمضان سنة تسع وعشرين للهجره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قبر دوم، اين</w:t>
      </w:r>
      <w:bookmarkStart w:id="1199" w:name="pg1964_19682"/>
    </w:p>
    <w:p>
      <w:pPr>
        <w:pStyle w:val="BookText"/>
        <w:rPr/>
      </w:pPr>
      <w:bookmarkEnd w:id="1199"/>
      <w:r>
        <w:rPr>
          <w:rFonts w:ascii="Amiri" w:hAnsi="Amiri" w:eastAsia="Amiri" w:cs="Amiri"/>
          <w:color w:val="111111"/>
          <w:sz w:val="28"/>
          <w:sz w:val="28"/>
          <w:szCs w:val="28"/>
          <w:rtl w:val="true"/>
          <w:lang w:bidi="ar-SA"/>
        </w:rPr>
        <w:t>عبارت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هذا القبر لعبد الرحمن بن خيرى الحجري، اللهم اغفر له وادخله في رحمة منك و آتِنا معه استغفر له اذا قرأت هذا الكتاب و قل آمين و كتب الكتاب في جمادي الآخر من سنة احدى و ثلثين</w:t>
      </w:r>
      <w:r>
        <w:rPr>
          <w:rFonts w:eastAsia="Amiri" w:cs="Amiri" w:ascii="Amiri" w:hAnsi="Amiri"/>
          <w:color w:val="111111"/>
          <w:sz w:val="28"/>
          <w:szCs w:val="28"/>
          <w:rtl w:val="true"/>
          <w:lang w:bidi="ar-SA"/>
        </w:rPr>
        <w:t xml:space="preserve">» . </w:t>
      </w:r>
      <w:r>
        <w:rPr>
          <w:rStyle w:val="FootnoteAnchor"/>
          <w:rtl w:val="true"/>
        </w:rPr>
        <w:footnoteReference w:id="1014"/>
      </w:r>
    </w:p>
    <w:p>
      <w:pPr>
        <w:pStyle w:val="Heading5"/>
        <w:numPr>
          <w:ilvl w:val="4"/>
          <w:numId w:val="1"/>
        </w:numPr>
        <w:rPr/>
      </w:pPr>
      <w:bookmarkStart w:id="1200" w:name="__RefHeading___Toc3585439_3650668749"/>
      <w:bookmarkStart w:id="1201" w:name="_Toc516"/>
      <w:bookmarkEnd w:id="1200"/>
      <w:r>
        <w:rPr>
          <w:rtl w:val="true"/>
        </w:rPr>
        <w:t xml:space="preserve">پنج </w:t>
      </w:r>
      <w:r>
        <w:rPr>
          <w:rtl w:val="true"/>
        </w:rPr>
        <w:t xml:space="preserve">- </w:t>
      </w:r>
      <w:r>
        <w:rPr>
          <w:rtl w:val="true"/>
        </w:rPr>
        <w:t>شيشه‌گرى</w:t>
      </w:r>
      <w:bookmarkEnd w:id="1201"/>
    </w:p>
    <w:p>
      <w:pPr>
        <w:pStyle w:val="BookText"/>
        <w:rPr/>
      </w:pPr>
      <w:r>
        <w:rPr>
          <w:rFonts w:ascii="Amiri" w:hAnsi="Amiri" w:eastAsia="Amiri" w:cs="Amiri"/>
          <w:color w:val="111111"/>
          <w:sz w:val="28"/>
          <w:sz w:val="28"/>
          <w:szCs w:val="28"/>
          <w:rtl w:val="true"/>
          <w:lang w:bidi="ar-SA"/>
        </w:rPr>
        <w:t>كشف كاشى‌هايى كه روى آنها شيشه‌كارى شده بود، وجود اين شغل را اثبات مى‌كند</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Heading5"/>
        <w:numPr>
          <w:ilvl w:val="4"/>
          <w:numId w:val="1"/>
        </w:numPr>
        <w:rPr/>
      </w:pPr>
      <w:bookmarkStart w:id="1202" w:name="__RefHeading___Toc3585441_3650668749"/>
      <w:bookmarkStart w:id="1203" w:name="_Toc517"/>
      <w:bookmarkEnd w:id="1202"/>
      <w:r>
        <w:rPr>
          <w:rtl w:val="true"/>
        </w:rPr>
        <w:t xml:space="preserve">شش </w:t>
      </w:r>
      <w:r>
        <w:rPr>
          <w:rtl w:val="true"/>
        </w:rPr>
        <w:t xml:space="preserve">- </w:t>
      </w:r>
      <w:r>
        <w:rPr>
          <w:rtl w:val="true"/>
        </w:rPr>
        <w:t>سفال‌گرى</w:t>
      </w:r>
      <w:bookmarkEnd w:id="1203"/>
    </w:p>
    <w:p>
      <w:pPr>
        <w:pStyle w:val="BookText"/>
        <w:rPr/>
      </w:pPr>
      <w:r>
        <w:rPr>
          <w:rFonts w:ascii="IRNazanin" w:hAnsi="IRNazanin" w:eastAsia="IRNazanin"/>
          <w:color w:val="111111"/>
          <w:sz w:val="28"/>
          <w:sz w:val="28"/>
          <w:szCs w:val="28"/>
          <w:rtl w:val="true"/>
          <w:lang w:bidi="fa-IR"/>
        </w:rPr>
        <w:t>صاحبان اين شغل به ساختن انواع ظروف، از جمله كوزه‌هاى بزرگ و كوچك، ظرف‌هاى غذاخورى و زين‌هاى اسب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شغل در عراق قديم نيز وجود داشت و متخصصان اين فن عموماً از حيره و ايران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كوفى‌ها بعد از اقتباس سفال‌گرى ايرانى به تغييراتى در اين فن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تغييرات مى‌توان به نوع نقوش و زينت‌هايى كه روى ظروف و سفال‌هاى ساخته شده به‌كار مى‌بردند، اشاره كرد</w:t>
      </w:r>
      <w:r>
        <w:rPr>
          <w:rFonts w:eastAsia="IRNazanin" w:cs="IRNazanin"/>
          <w:color w:val="111111"/>
          <w:sz w:val="28"/>
          <w:szCs w:val="28"/>
          <w:rtl w:val="true"/>
          <w:lang w:bidi="fa-IR"/>
        </w:rPr>
        <w:t xml:space="preserve">.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بعضى از انواع ظروف سفالى كه از خرابه‌هاى دارالاماره به دست آمده است، پيشرفت بسيارى را در اين فن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اينها ظروف سفالى است كه شيشه‌هاى رنگارنگ روى آن به‌كار رفته و در وسط آن شيشه‌ها، سوراخ‌هايى مانند پنجره تعبيه شده است</w:t>
      </w:r>
      <w:r>
        <w:rPr>
          <w:rFonts w:eastAsia="IRNazanin" w:cs="IRNazanin"/>
          <w:color w:val="111111"/>
          <w:sz w:val="28"/>
          <w:szCs w:val="28"/>
          <w:rtl w:val="true"/>
          <w:lang w:bidi="fa-IR"/>
        </w:rPr>
        <w:t xml:space="preserve">. </w:t>
      </w:r>
      <w:r>
        <w:rPr>
          <w:rStyle w:val="FootnoteAnchor"/>
          <w:rtl w:val="true"/>
        </w:rPr>
        <w:footnoteReference w:id="1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تصويرهاى شماره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1204" w:name="__RefHeading___Toc3585443_3650668749"/>
      <w:bookmarkStart w:id="1205" w:name="_Toc518"/>
      <w:bookmarkEnd w:id="1204"/>
      <w:r>
        <w:rPr>
          <w:rtl w:val="true"/>
        </w:rPr>
        <w:t xml:space="preserve">هفت </w:t>
      </w:r>
      <w:r>
        <w:rPr>
          <w:rtl w:val="true"/>
        </w:rPr>
        <w:t xml:space="preserve">- </w:t>
      </w:r>
      <w:r>
        <w:rPr>
          <w:rtl w:val="true"/>
        </w:rPr>
        <w:t>مس‌گرى</w:t>
      </w:r>
      <w:bookmarkEnd w:id="120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اين صنعت به‌كار ساختن ظروف و ديگ‌هاى مسى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بعضى از ظروف مسى در حفارى‌هاى كوفه، وجود اين صناعت را در كوفه اثبات مى‌كند</w:t>
      </w:r>
      <w:r>
        <w:rPr>
          <w:rFonts w:eastAsia="IRNazanin" w:cs="IRNazanin"/>
          <w:color w:val="111111"/>
          <w:sz w:val="28"/>
          <w:szCs w:val="28"/>
          <w:rtl w:val="true"/>
          <w:lang w:bidi="fa-IR"/>
        </w:rPr>
        <w:t xml:space="preserve">. </w:t>
      </w:r>
      <w:r>
        <w:rPr>
          <w:rStyle w:val="FootnoteAnchor"/>
          <w:rtl w:val="true"/>
        </w:rPr>
        <w:footnoteReference w:id="1018"/>
      </w:r>
      <w:bookmarkStart w:id="1206" w:name="pg1964_19684"/>
    </w:p>
    <w:p>
      <w:pPr>
        <w:pStyle w:val="Heading5"/>
        <w:numPr>
          <w:ilvl w:val="4"/>
          <w:numId w:val="1"/>
        </w:numPr>
        <w:rPr/>
      </w:pPr>
      <w:bookmarkStart w:id="1207" w:name="__RefHeading___Toc3585445_3650668749"/>
      <w:bookmarkStart w:id="1208" w:name="_Toc519"/>
      <w:bookmarkEnd w:id="1206"/>
      <w:bookmarkEnd w:id="1207"/>
      <w:r>
        <w:rPr>
          <w:rtl w:val="true"/>
        </w:rPr>
        <w:t xml:space="preserve">هشت </w:t>
      </w:r>
      <w:r>
        <w:rPr>
          <w:rtl w:val="true"/>
        </w:rPr>
        <w:t xml:space="preserve">- </w:t>
      </w:r>
      <w:r>
        <w:rPr>
          <w:rtl w:val="true"/>
        </w:rPr>
        <w:t>آهن‌گرى</w:t>
      </w:r>
      <w:bookmarkEnd w:id="1208"/>
    </w:p>
    <w:p>
      <w:pPr>
        <w:pStyle w:val="BookText"/>
        <w:rPr/>
      </w:pPr>
      <w:r>
        <w:rPr>
          <w:rFonts w:ascii="IRNazanin" w:hAnsi="IRNazanin" w:eastAsia="IRNazanin"/>
          <w:color w:val="111111"/>
          <w:sz w:val="28"/>
          <w:sz w:val="28"/>
          <w:szCs w:val="28"/>
          <w:rtl w:val="true"/>
          <w:lang w:bidi="fa-IR"/>
        </w:rPr>
        <w:t>از اين صناعت براى ساختن در، چاقو، شمشير، سپر، نيزه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استفاده مى‌شد</w:t>
      </w:r>
      <w:r>
        <w:rPr>
          <w:rFonts w:eastAsia="IRNazanin" w:cs="IRNazanin"/>
          <w:color w:val="111111"/>
          <w:sz w:val="28"/>
          <w:szCs w:val="28"/>
          <w:rtl w:val="true"/>
          <w:lang w:bidi="fa-IR"/>
        </w:rPr>
        <w:t xml:space="preserve">. </w:t>
      </w:r>
      <w:r>
        <w:rPr>
          <w:rStyle w:val="FootnoteAnchor"/>
          <w:rtl w:val="true"/>
        </w:rPr>
        <w:footnoteReference w:id="1019"/>
      </w:r>
      <w:r>
        <w:rPr>
          <w:rFonts w:ascii="IRNazanin" w:hAnsi="IRNazanin" w:eastAsia="IRNazanin"/>
          <w:color w:val="111111"/>
          <w:sz w:val="28"/>
          <w:sz w:val="28"/>
          <w:szCs w:val="28"/>
          <w:rtl w:val="true"/>
          <w:lang w:bidi="fa-IR"/>
        </w:rPr>
        <w:t>اهميت اين شغل وقتى آشكارتر مى‌شود كه دريابيم كوفه در آن زمان يكى از مراكز بزرگ نظامى جهان اسلام به شمار مى‌آمد و طبعاً نياز فراوانى به ساختن و تهيه اسلحه كه عمدتاً از آهن بود، داشت و به همين سبب، اسلحه‌سازى در كوفه رشد فراوانى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خام اين صناعت از مناطقى، همچون دمشق، يمن و هند وارد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آهنگران كوفى كه عمدتاً حيرى و ايرانى بودند، از آهن در موارد مختلف استفاده مى‌كردند</w:t>
      </w:r>
      <w:r>
        <w:rPr>
          <w:rFonts w:eastAsia="IRNazanin" w:cs="IRNazanin"/>
          <w:color w:val="111111"/>
          <w:sz w:val="28"/>
          <w:szCs w:val="28"/>
          <w:rtl w:val="true"/>
          <w:lang w:bidi="fa-IR"/>
        </w:rPr>
        <w:t xml:space="preserve">. </w:t>
      </w:r>
      <w:r>
        <w:rPr>
          <w:rStyle w:val="FootnoteAnchor"/>
          <w:rtl w:val="true"/>
        </w:rPr>
        <w:footnoteReference w:id="1020"/>
      </w:r>
      <w:r>
        <w:rPr>
          <w:rFonts w:ascii="IRNazanin" w:hAnsi="IRNazanin" w:eastAsia="IRNazanin"/>
          <w:color w:val="111111"/>
          <w:sz w:val="28"/>
          <w:sz w:val="28"/>
          <w:szCs w:val="28"/>
          <w:rtl w:val="true"/>
          <w:lang w:bidi="fa-IR"/>
        </w:rPr>
        <w:t xml:space="preserve">در شهر كوفه بازارى خاص براى آهنگران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الحدادين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كه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سوق‌البزازين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بود</w:t>
      </w:r>
      <w:r>
        <w:rPr>
          <w:rFonts w:eastAsia="IRNazanin" w:cs="IRNazanin"/>
          <w:color w:val="111111"/>
          <w:sz w:val="28"/>
          <w:szCs w:val="28"/>
          <w:rtl w:val="true"/>
          <w:lang w:bidi="fa-IR"/>
        </w:rPr>
        <w:t xml:space="preserve">. </w:t>
      </w:r>
      <w:r>
        <w:rPr>
          <w:rStyle w:val="FootnoteAnchor"/>
          <w:rtl w:val="true"/>
        </w:rPr>
        <w:footnoteReference w:id="1021"/>
      </w:r>
    </w:p>
    <w:p>
      <w:pPr>
        <w:pStyle w:val="Heading5"/>
        <w:numPr>
          <w:ilvl w:val="4"/>
          <w:numId w:val="1"/>
        </w:numPr>
        <w:rPr/>
      </w:pPr>
      <w:bookmarkStart w:id="1209" w:name="__RefHeading___Toc3585447_3650668749"/>
      <w:bookmarkStart w:id="1210" w:name="_Toc520"/>
      <w:bookmarkEnd w:id="1209"/>
      <w:r>
        <w:rPr>
          <w:rtl w:val="true"/>
        </w:rPr>
        <w:t xml:space="preserve">نُه </w:t>
      </w:r>
      <w:r>
        <w:rPr>
          <w:rtl w:val="true"/>
        </w:rPr>
        <w:t xml:space="preserve">- </w:t>
      </w:r>
      <w:r>
        <w:rPr>
          <w:rtl w:val="true"/>
        </w:rPr>
        <w:t>نجّارى</w:t>
      </w:r>
      <w:bookmarkEnd w:id="121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نجاران كوفه به ساختن اثاث منزل، مانند چهارپايه، انواع كرسى، انواع در و پنجره و همچنين تهيه الوار براى سقف مشغول بودند</w:t>
      </w:r>
      <w:r>
        <w:rPr>
          <w:rFonts w:eastAsia="IRNazanin" w:cs="IRNazanin"/>
          <w:color w:val="111111"/>
          <w:sz w:val="28"/>
          <w:szCs w:val="28"/>
          <w:rtl w:val="true"/>
          <w:lang w:bidi="fa-IR"/>
        </w:rPr>
        <w:t xml:space="preserve">. </w:t>
      </w:r>
      <w:r>
        <w:rPr>
          <w:rStyle w:val="FootnoteAnchor"/>
          <w:rtl w:val="true"/>
        </w:rPr>
        <w:footnoteReference w:id="1022"/>
      </w:r>
      <w:r>
        <w:rPr>
          <w:rFonts w:ascii="IRNazanin" w:hAnsi="IRNazanin" w:eastAsia="IRNazanin"/>
          <w:color w:val="111111"/>
          <w:sz w:val="28"/>
          <w:sz w:val="28"/>
          <w:szCs w:val="28"/>
          <w:rtl w:val="true"/>
          <w:lang w:bidi="fa-IR"/>
        </w:rPr>
        <w:t xml:space="preserve">همچنين ساختن كاسه‌هاى چوبى نيز از كارهاى نجاران بود كه بعضى از اين كاسه‌ها در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ديرالجماجم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بعضى از ادوات نظامى، مانند چوب نيزه، تير و كمان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توسط نجاران ساخته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حيره‌اى‌ها نقش فراوانى در پيشرفت اين شغل در كوفه داشتند</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 xml:space="preserve">از بعضى روايات تاريخى چنين برمى‌آيد كه مردم آن زمان با 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داشتند</w:t>
      </w:r>
      <w:r>
        <w:rPr>
          <w:rFonts w:eastAsia="IRNazanin" w:cs="IRNazanin"/>
          <w:color w:val="111111"/>
          <w:sz w:val="28"/>
          <w:szCs w:val="28"/>
          <w:rtl w:val="true"/>
          <w:lang w:bidi="fa-IR"/>
        </w:rPr>
        <w:t xml:space="preserve">. </w:t>
      </w:r>
      <w:r>
        <w:rPr>
          <w:rStyle w:val="FootnoteAnchor"/>
          <w:rtl w:val="true"/>
        </w:rPr>
        <w:footnoteReference w:id="1024"/>
      </w:r>
      <w:bookmarkStart w:id="1211" w:name="pg1964_19686"/>
    </w:p>
    <w:p>
      <w:pPr>
        <w:pStyle w:val="Heading5"/>
        <w:numPr>
          <w:ilvl w:val="4"/>
          <w:numId w:val="1"/>
        </w:numPr>
        <w:rPr/>
      </w:pPr>
      <w:bookmarkStart w:id="1212" w:name="__RefHeading___Toc3585449_3650668749"/>
      <w:bookmarkStart w:id="1213" w:name="_Toc521"/>
      <w:bookmarkEnd w:id="1211"/>
      <w:bookmarkEnd w:id="1212"/>
      <w:r>
        <w:rPr>
          <w:rtl w:val="true"/>
        </w:rPr>
        <w:t xml:space="preserve">ده </w:t>
      </w:r>
      <w:r>
        <w:rPr>
          <w:rtl w:val="true"/>
        </w:rPr>
        <w:t xml:space="preserve">- </w:t>
      </w:r>
      <w:r>
        <w:rPr>
          <w:rtl w:val="true"/>
        </w:rPr>
        <w:t>زرگرى</w:t>
      </w:r>
      <w:bookmarkEnd w:id="1213"/>
    </w:p>
    <w:p>
      <w:pPr>
        <w:pStyle w:val="BookText"/>
        <w:rPr/>
      </w:pPr>
      <w:r>
        <w:rPr>
          <w:rFonts w:ascii="IRNazanin" w:hAnsi="IRNazanin" w:eastAsia="IRNazanin"/>
          <w:color w:val="111111"/>
          <w:sz w:val="28"/>
          <w:sz w:val="28"/>
          <w:szCs w:val="28"/>
          <w:rtl w:val="true"/>
          <w:lang w:bidi="fa-IR"/>
        </w:rPr>
        <w:t>با توجه به ثروت بالاى كوفيان و نيز وفور طلاجات غنيمتى در كوفه، اين شغل جايگاه ويژه‌اى در كوفه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تأسيس كوفه، زرگرى شهر حيره مشهور بود و زرگران حيرى به ساختن انواع زينت‌آلات از طلا و نقره و جواهر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بنيان‌گذارى كوفه و رشد آن و با توجه به آنكه پول فراوانى در اين شهر بود و نيز زنان كوفه، گذر از مرحله سادگى به مرحله تجمل را تجربه مى‌كردند، زمينه مهاجرت زرگران حيرى به كوفه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كار زرگران كوفه ساختن زيور آلات براى زنان بود كه در اين مورد مى‌توان از النگو، خلخال پا، دست‌بند، گردن بند، تاج‌هاى كوچك، انگشتر و قلاده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بعضى از ثروتمندان مترف، سفارش ظرف‌هاى طلا و نقره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زرگران آن دوره، ابتكارات جالبى در فن خود به‌كار مى‌بردند، چنان‌كه گفته شده است، به مصعب بن زبير درخت خرمايى از طلا هديه شد كه بر آن، خرماهاى طلايى آويزان شده بود وآن را دو ميليون دينار قيمت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زرگرها بازار مخصوصى در كوفه داشتند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الصاغه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سمت جنوب مسجد جامع واقع شده بود</w:t>
      </w:r>
      <w:r>
        <w:rPr>
          <w:rFonts w:eastAsia="IRNazanin" w:cs="IRNazanin"/>
          <w:color w:val="111111"/>
          <w:sz w:val="28"/>
          <w:szCs w:val="28"/>
          <w:rtl w:val="true"/>
          <w:lang w:bidi="fa-IR"/>
        </w:rPr>
        <w:t xml:space="preserve">. </w:t>
      </w:r>
      <w:r>
        <w:rPr>
          <w:rStyle w:val="FootnoteAnchor"/>
          <w:rtl w:val="true"/>
        </w:rPr>
        <w:footnoteReference w:id="1025"/>
      </w:r>
    </w:p>
    <w:p>
      <w:pPr>
        <w:pStyle w:val="Heading5"/>
        <w:numPr>
          <w:ilvl w:val="4"/>
          <w:numId w:val="1"/>
        </w:numPr>
        <w:rPr/>
      </w:pPr>
      <w:bookmarkStart w:id="1214" w:name="__RefHeading___Toc3585451_3650668749"/>
      <w:bookmarkStart w:id="1215" w:name="_Toc522"/>
      <w:bookmarkEnd w:id="1214"/>
      <w:r>
        <w:rPr>
          <w:rtl w:val="true"/>
        </w:rPr>
        <w:t xml:space="preserve">يازده </w:t>
      </w:r>
      <w:r>
        <w:rPr>
          <w:rtl w:val="true"/>
        </w:rPr>
        <w:t xml:space="preserve">- </w:t>
      </w:r>
      <w:r>
        <w:rPr>
          <w:rtl w:val="true"/>
        </w:rPr>
        <w:t>صابون‌سازى</w:t>
      </w:r>
      <w:bookmarkEnd w:id="121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كوفيان صابون را از زيتونى كه در منطقه عراق فراوان كِشت مى‌شد، مى‌ساختند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استعمال صابون در حمام‌هاى كوفه بود و به خصوص در اعياد و مناسبت‌هاى دينى كاربرد بيشترى داشت</w:t>
      </w:r>
      <w:r>
        <w:rPr>
          <w:rFonts w:eastAsia="Amiri" w:cs="Amiri" w:ascii="Amiri" w:hAnsi="Amiri"/>
          <w:color w:val="111111"/>
          <w:sz w:val="28"/>
          <w:szCs w:val="28"/>
          <w:rtl w:val="true"/>
          <w:lang w:bidi="ar-SA"/>
        </w:rPr>
        <w:t xml:space="preserve">. </w:t>
      </w:r>
      <w:r>
        <w:rPr>
          <w:rStyle w:val="FootnoteAnchor"/>
          <w:rtl w:val="true"/>
        </w:rPr>
        <w:footnoteReference w:id="1026"/>
      </w:r>
      <w:r>
        <w:rPr>
          <w:rFonts w:ascii="IRNazanin" w:hAnsi="IRNazanin" w:eastAsia="IRNazanin"/>
          <w:color w:val="111111"/>
          <w:sz w:val="28"/>
          <w:sz w:val="28"/>
          <w:szCs w:val="28"/>
          <w:rtl w:val="true"/>
          <w:lang w:bidi="fa-IR"/>
        </w:rPr>
        <w:t xml:space="preserve">هنگام يادكرد از بازارها در فصل دوم، از محلى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الصابون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مشغول به‌كار بودند، نام برديم كه نزديك مسجد قرار داشت</w:t>
      </w:r>
      <w:r>
        <w:rPr>
          <w:rFonts w:eastAsia="IRNazanin" w:cs="IRNazanin"/>
          <w:color w:val="111111"/>
          <w:sz w:val="28"/>
          <w:szCs w:val="28"/>
          <w:rtl w:val="true"/>
          <w:lang w:bidi="fa-IR"/>
        </w:rPr>
        <w:t>.</w:t>
      </w:r>
      <w:bookmarkStart w:id="1216" w:name="pg1964_19688"/>
    </w:p>
    <w:p>
      <w:pPr>
        <w:pStyle w:val="Heading5"/>
        <w:numPr>
          <w:ilvl w:val="4"/>
          <w:numId w:val="1"/>
        </w:numPr>
        <w:rPr/>
      </w:pPr>
      <w:bookmarkStart w:id="1217" w:name="__RefHeading___Toc3585453_3650668749"/>
      <w:bookmarkStart w:id="1218" w:name="_Toc523"/>
      <w:bookmarkEnd w:id="1216"/>
      <w:bookmarkEnd w:id="1217"/>
      <w:r>
        <w:rPr>
          <w:rtl w:val="true"/>
        </w:rPr>
        <w:t xml:space="preserve">دوازده </w:t>
      </w:r>
      <w:r>
        <w:rPr>
          <w:rtl w:val="true"/>
        </w:rPr>
        <w:t xml:space="preserve">- </w:t>
      </w:r>
      <w:r>
        <w:rPr>
          <w:rtl w:val="true"/>
        </w:rPr>
        <w:t>عطرسازى</w:t>
      </w:r>
      <w:bookmarkEnd w:id="1218"/>
    </w:p>
    <w:p>
      <w:pPr>
        <w:pStyle w:val="BookText"/>
        <w:rPr/>
      </w:pPr>
      <w:r>
        <w:rPr>
          <w:rFonts w:ascii="IRNazanin" w:hAnsi="IRNazanin" w:eastAsia="IRNazanin"/>
          <w:color w:val="111111"/>
          <w:sz w:val="28"/>
          <w:sz w:val="28"/>
          <w:szCs w:val="28"/>
          <w:rtl w:val="true"/>
          <w:lang w:bidi="fa-IR"/>
        </w:rPr>
        <w:t>در فصل اول، يعنى جغرافياى طبيعى، يادآور شديم كه گل‌هاى فراوانى در نواحى مختلف كوفه و به خصوص در ديرها كاشته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گل‌ها براى عطرسازى پرورش داده مى‌شد كه از آن ميان مى‌توان از گل بنفشه نام برد كه كوفه به عطرسازى از گل بنفشه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از اين گل‌ها در صنعت عطرسازى بهره فراوان مى‌بردند</w:t>
      </w:r>
      <w:r>
        <w:rPr>
          <w:rFonts w:eastAsia="IRNazanin" w:cs="IRNazanin"/>
          <w:color w:val="111111"/>
          <w:sz w:val="28"/>
          <w:szCs w:val="28"/>
          <w:rtl w:val="true"/>
          <w:lang w:bidi="fa-IR"/>
        </w:rPr>
        <w:t xml:space="preserve">. </w:t>
      </w:r>
      <w:r>
        <w:rPr>
          <w:rStyle w:val="FootnoteAnchor"/>
          <w:rtl w:val="true"/>
        </w:rPr>
        <w:footnoteReference w:id="1027"/>
      </w:r>
      <w:r>
        <w:rPr>
          <w:rFonts w:ascii="Amiri" w:hAnsi="Amiri" w:eastAsia="Amiri" w:cs="Amiri"/>
          <w:color w:val="111111"/>
          <w:sz w:val="28"/>
          <w:sz w:val="28"/>
          <w:szCs w:val="28"/>
          <w:rtl w:val="true"/>
          <w:lang w:bidi="ar-SA"/>
        </w:rPr>
        <w:t>در نصوص تاريخى از اين شغل در زمان حضور حبيب بن ظاهر در كوفه نام برده شده است</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Heading5"/>
        <w:numPr>
          <w:ilvl w:val="4"/>
          <w:numId w:val="1"/>
        </w:numPr>
        <w:rPr/>
      </w:pPr>
      <w:bookmarkStart w:id="1219" w:name="__RefHeading___Toc3585455_3650668749"/>
      <w:bookmarkStart w:id="1220" w:name="_Toc524"/>
      <w:bookmarkEnd w:id="1219"/>
      <w:r>
        <w:rPr>
          <w:rtl w:val="true"/>
        </w:rPr>
        <w:t xml:space="preserve">سيزده </w:t>
      </w:r>
      <w:r>
        <w:rPr>
          <w:rtl w:val="true"/>
        </w:rPr>
        <w:t xml:space="preserve">- </w:t>
      </w:r>
      <w:r>
        <w:rPr>
          <w:rtl w:val="true"/>
        </w:rPr>
        <w:t>آسيابانى</w:t>
      </w:r>
      <w:bookmarkEnd w:id="1220"/>
    </w:p>
    <w:p>
      <w:pPr>
        <w:pStyle w:val="BookText"/>
        <w:rPr/>
      </w:pPr>
      <w:r>
        <w:rPr>
          <w:rFonts w:ascii="IRNazanin" w:hAnsi="IRNazanin" w:eastAsia="IRNazanin"/>
          <w:color w:val="111111"/>
          <w:sz w:val="28"/>
          <w:sz w:val="28"/>
          <w:szCs w:val="28"/>
          <w:rtl w:val="true"/>
          <w:lang w:bidi="fa-IR"/>
        </w:rPr>
        <w:t>وجود آسياب در شهرى كه غلات فراوان، به خصوص گندم و جو در آن كشت يا وارد مى‌شود، از ضروريات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نصوص تاريخى از آسيابى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رَحى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آسياب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كه از آنِ عُمارة بن عُقْبةبن ابى‌معيط، برادر وليد بن عقبه بوده است</w:t>
      </w:r>
      <w:r>
        <w:rPr>
          <w:rFonts w:eastAsia="IRNazanin" w:cs="IRNazanin"/>
          <w:color w:val="111111"/>
          <w:sz w:val="28"/>
          <w:szCs w:val="28"/>
          <w:rtl w:val="true"/>
          <w:lang w:bidi="fa-IR"/>
        </w:rPr>
        <w:t xml:space="preserve">. </w:t>
      </w:r>
      <w:r>
        <w:rPr>
          <w:rStyle w:val="FootnoteAnchor"/>
          <w:rtl w:val="true"/>
        </w:rPr>
        <w:footnoteReference w:id="1029"/>
      </w:r>
    </w:p>
    <w:p>
      <w:pPr>
        <w:pStyle w:val="Heading5"/>
        <w:numPr>
          <w:ilvl w:val="4"/>
          <w:numId w:val="1"/>
        </w:numPr>
        <w:rPr/>
      </w:pPr>
      <w:bookmarkStart w:id="1221" w:name="__RefHeading___Toc3585457_3650668749"/>
      <w:bookmarkStart w:id="1222" w:name="_Toc525"/>
      <w:bookmarkEnd w:id="1221"/>
      <w:r>
        <w:rPr>
          <w:rtl w:val="true"/>
        </w:rPr>
        <w:t xml:space="preserve">چهارده </w:t>
      </w:r>
      <w:r>
        <w:rPr>
          <w:rtl w:val="true"/>
        </w:rPr>
        <w:t xml:space="preserve">- </w:t>
      </w:r>
      <w:r>
        <w:rPr>
          <w:rtl w:val="true"/>
        </w:rPr>
        <w:t>روغن‌كشى</w:t>
      </w:r>
      <w:bookmarkEnd w:id="1222"/>
    </w:p>
    <w:p>
      <w:pPr>
        <w:pStyle w:val="BookText"/>
        <w:rPr/>
      </w:pPr>
      <w:r>
        <w:rPr>
          <w:rFonts w:ascii="IRNazanin" w:hAnsi="IRNazanin" w:eastAsia="IRNazanin"/>
          <w:color w:val="111111"/>
          <w:sz w:val="28"/>
          <w:sz w:val="28"/>
          <w:szCs w:val="28"/>
          <w:rtl w:val="true"/>
          <w:lang w:bidi="fa-IR"/>
        </w:rPr>
        <w:t xml:space="preserve">روغن‌كشى از دانه‌هاى روغنى، همانند زيتون، كنجد و پنبه، از صناعات قديم كوفه به شمار مى‌رفت و بازار مخصوصى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الزياتين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صنعت يا فروش محصولات آن اختصاص يافته بود</w:t>
      </w:r>
      <w:r>
        <w:rPr>
          <w:rFonts w:eastAsia="IRNazanin" w:cs="IRNazanin"/>
          <w:color w:val="111111"/>
          <w:sz w:val="28"/>
          <w:szCs w:val="28"/>
          <w:rtl w:val="true"/>
          <w:lang w:bidi="fa-IR"/>
        </w:rPr>
        <w:t xml:space="preserve">. </w:t>
      </w:r>
      <w:r>
        <w:rPr>
          <w:rStyle w:val="FootnoteAnchor"/>
          <w:rtl w:val="true"/>
        </w:rPr>
        <w:footnoteReference w:id="1030"/>
      </w:r>
    </w:p>
    <w:p>
      <w:pPr>
        <w:pStyle w:val="Heading5"/>
        <w:numPr>
          <w:ilvl w:val="4"/>
          <w:numId w:val="1"/>
        </w:numPr>
        <w:rPr/>
      </w:pPr>
      <w:bookmarkStart w:id="1223" w:name="__RefHeading___Toc3585459_3650668749"/>
      <w:bookmarkStart w:id="1224" w:name="_Toc526"/>
      <w:bookmarkEnd w:id="1223"/>
      <w:r>
        <w:rPr>
          <w:rtl w:val="true"/>
        </w:rPr>
        <w:t xml:space="preserve">پانزده </w:t>
      </w:r>
      <w:r>
        <w:rPr>
          <w:rtl w:val="true"/>
        </w:rPr>
        <w:t xml:space="preserve">- </w:t>
      </w:r>
      <w:r>
        <w:rPr>
          <w:rtl w:val="true"/>
        </w:rPr>
        <w:t>دباغى</w:t>
      </w:r>
      <w:bookmarkEnd w:id="122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دباغى كردن پوست حيوانات نيز در كوفه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دباغى از پوست انار استفاده مى‌نمودند</w:t>
      </w:r>
      <w:r>
        <w:rPr>
          <w:rFonts w:eastAsia="IRNazanin" w:cs="IRNazanin"/>
          <w:color w:val="111111"/>
          <w:sz w:val="28"/>
          <w:szCs w:val="28"/>
          <w:rtl w:val="true"/>
          <w:lang w:bidi="fa-IR"/>
        </w:rPr>
        <w:t xml:space="preserve">. </w:t>
      </w:r>
      <w:r>
        <w:rPr>
          <w:rStyle w:val="FootnoteAnchor"/>
          <w:rtl w:val="true"/>
        </w:rPr>
        <w:footnoteReference w:id="1031"/>
      </w:r>
      <w:bookmarkStart w:id="1225" w:name="pg1964_19690"/>
    </w:p>
    <w:p>
      <w:pPr>
        <w:pStyle w:val="Heading5"/>
        <w:numPr>
          <w:ilvl w:val="4"/>
          <w:numId w:val="1"/>
        </w:numPr>
        <w:rPr/>
      </w:pPr>
      <w:bookmarkStart w:id="1226" w:name="__RefHeading___Toc3585461_3650668749"/>
      <w:bookmarkStart w:id="1227" w:name="_Toc527"/>
      <w:bookmarkEnd w:id="1225"/>
      <w:bookmarkEnd w:id="1226"/>
      <w:r>
        <w:rPr>
          <w:rtl w:val="true"/>
        </w:rPr>
        <w:t xml:space="preserve">شانزده </w:t>
      </w:r>
      <w:r>
        <w:rPr>
          <w:rtl w:val="true"/>
        </w:rPr>
        <w:t xml:space="preserve">- </w:t>
      </w:r>
      <w:r>
        <w:rPr>
          <w:rtl w:val="true"/>
        </w:rPr>
        <w:t>كفش‌سازى</w:t>
      </w:r>
      <w:bookmarkEnd w:id="1227"/>
    </w:p>
    <w:p>
      <w:pPr>
        <w:pStyle w:val="BookText"/>
        <w:rPr/>
      </w:pPr>
      <w:r>
        <w:rPr>
          <w:rFonts w:ascii="IRNazanin" w:hAnsi="IRNazanin" w:eastAsia="IRNazanin"/>
          <w:color w:val="111111"/>
          <w:sz w:val="28"/>
          <w:sz w:val="28"/>
          <w:szCs w:val="28"/>
          <w:rtl w:val="true"/>
          <w:lang w:bidi="fa-IR"/>
        </w:rPr>
        <w:t>در اين صناعت، از پوست دباغى شده استفاده و از آن، انواع مختلف كفش و نعلين ساخته مى‌شد</w:t>
      </w:r>
      <w:r>
        <w:rPr>
          <w:rFonts w:eastAsia="IRNazanin" w:cs="IRNazanin"/>
          <w:color w:val="111111"/>
          <w:sz w:val="28"/>
          <w:szCs w:val="28"/>
          <w:rtl w:val="true"/>
          <w:lang w:bidi="fa-IR"/>
        </w:rPr>
        <w:t xml:space="preserve">. </w:t>
      </w:r>
      <w:r>
        <w:rPr>
          <w:rStyle w:val="FootnoteAnchor"/>
          <w:rtl w:val="true"/>
        </w:rPr>
        <w:footnoteReference w:id="1032"/>
      </w:r>
    </w:p>
    <w:p>
      <w:pPr>
        <w:pStyle w:val="Heading5"/>
        <w:numPr>
          <w:ilvl w:val="4"/>
          <w:numId w:val="1"/>
        </w:numPr>
        <w:rPr/>
      </w:pPr>
      <w:bookmarkStart w:id="1228" w:name="__RefHeading___Toc3585463_3650668749"/>
      <w:bookmarkStart w:id="1229" w:name="_Toc528"/>
      <w:bookmarkEnd w:id="1228"/>
      <w:r>
        <w:rPr>
          <w:rtl w:val="true"/>
        </w:rPr>
        <w:t xml:space="preserve">هفده </w:t>
      </w:r>
      <w:r>
        <w:rPr>
          <w:rtl w:val="true"/>
        </w:rPr>
        <w:t xml:space="preserve">- </w:t>
      </w:r>
      <w:r>
        <w:rPr>
          <w:rtl w:val="true"/>
        </w:rPr>
        <w:t>رنگ‌رزى</w:t>
      </w:r>
      <w:bookmarkEnd w:id="1229"/>
    </w:p>
    <w:p>
      <w:pPr>
        <w:pStyle w:val="BookText"/>
        <w:rPr/>
      </w:pPr>
      <w:r>
        <w:rPr>
          <w:rFonts w:ascii="Amiri" w:hAnsi="Amiri" w:eastAsia="Amiri" w:cs="Amiri"/>
          <w:color w:val="111111"/>
          <w:sz w:val="28"/>
          <w:sz w:val="28"/>
          <w:szCs w:val="28"/>
          <w:rtl w:val="true"/>
          <w:lang w:bidi="ar-SA"/>
        </w:rPr>
        <w:t xml:space="preserve">در نصوص تاريخى از اين شغل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نمونه‌هايى از اين نصوص، مربوط به زمان قضاوت شريح در كوفه است</w:t>
      </w:r>
      <w:r>
        <w:rPr>
          <w:rFonts w:eastAsia="Amiri" w:cs="Amiri" w:ascii="Amiri" w:hAnsi="Amiri"/>
          <w:color w:val="111111"/>
          <w:sz w:val="28"/>
          <w:szCs w:val="28"/>
          <w:rtl w:val="true"/>
          <w:lang w:bidi="ar-SA"/>
        </w:rPr>
        <w:t xml:space="preserve">. </w:t>
      </w:r>
      <w:r>
        <w:rPr>
          <w:rStyle w:val="FootnoteAnchor"/>
          <w:rtl w:val="true"/>
        </w:rPr>
        <w:footnoteReference w:id="1033"/>
      </w:r>
      <w:r>
        <w:rPr>
          <w:rFonts w:ascii="IRNazanin" w:hAnsi="IRNazanin" w:eastAsia="IRNazanin"/>
          <w:color w:val="111111"/>
          <w:sz w:val="28"/>
          <w:sz w:val="28"/>
          <w:szCs w:val="28"/>
          <w:rtl w:val="true"/>
          <w:lang w:bidi="fa-IR"/>
        </w:rPr>
        <w:t>كاربرد اين صنعت در رنگ‌آميزى پارچه‌هاى بافته شده در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انواع مختلف رنگ را از گياهان به دست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رنگ زرد را از زعفران، رنگ قرمز را از گياهى به نام روناس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رنگ آبى را از گياهى به نام فيله تهيه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گاهى با تركيب رنگ‌هاى مختلف، رنگ‌هاى تازه و جالبى به دست مى‌آوردند</w:t>
      </w:r>
      <w:r>
        <w:rPr>
          <w:rFonts w:eastAsia="IRNazanin" w:cs="IRNazanin"/>
          <w:color w:val="111111"/>
          <w:sz w:val="28"/>
          <w:szCs w:val="28"/>
          <w:rtl w:val="true"/>
          <w:lang w:bidi="fa-IR"/>
        </w:rPr>
        <w:t xml:space="preserve">. </w:t>
      </w:r>
      <w:r>
        <w:rPr>
          <w:rStyle w:val="FootnoteAnchor"/>
          <w:rtl w:val="true"/>
        </w:rPr>
        <w:footnoteReference w:id="1034"/>
      </w:r>
    </w:p>
    <w:p>
      <w:pPr>
        <w:pStyle w:val="Heading5"/>
        <w:numPr>
          <w:ilvl w:val="4"/>
          <w:numId w:val="1"/>
        </w:numPr>
        <w:rPr/>
      </w:pPr>
      <w:bookmarkStart w:id="1230" w:name="__RefHeading___Toc3585465_3650668749"/>
      <w:bookmarkStart w:id="1231" w:name="_Toc529"/>
      <w:bookmarkEnd w:id="1230"/>
      <w:r>
        <w:rPr>
          <w:rtl w:val="true"/>
        </w:rPr>
        <w:t xml:space="preserve">هجده </w:t>
      </w:r>
      <w:r>
        <w:rPr>
          <w:rtl w:val="true"/>
        </w:rPr>
        <w:t xml:space="preserve">- </w:t>
      </w:r>
      <w:r>
        <w:rPr>
          <w:rtl w:val="true"/>
        </w:rPr>
        <w:t>حصيربافى</w:t>
      </w:r>
      <w:bookmarkEnd w:id="1231"/>
    </w:p>
    <w:p>
      <w:pPr>
        <w:pStyle w:val="BookText"/>
        <w:rPr/>
      </w:pPr>
      <w:r>
        <w:rPr>
          <w:rFonts w:ascii="IRNazanin" w:hAnsi="IRNazanin" w:eastAsia="IRNazanin"/>
          <w:color w:val="111111"/>
          <w:sz w:val="28"/>
          <w:sz w:val="28"/>
          <w:szCs w:val="28"/>
          <w:rtl w:val="true"/>
          <w:lang w:bidi="fa-IR"/>
        </w:rPr>
        <w:t xml:space="preserve">حصير با دقت و ظرافت تمام از برگ‌هاى خرما، چوب نى‌شكر، گياه حلفاء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پيرز، پاپيروس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 مى‌شد و در مفروش كردن منازل و مساجد از آن استفاده مى‌شد</w:t>
      </w:r>
      <w:r>
        <w:rPr>
          <w:rFonts w:eastAsia="IRNazanin" w:cs="IRNazanin"/>
          <w:color w:val="111111"/>
          <w:sz w:val="28"/>
          <w:szCs w:val="28"/>
          <w:rtl w:val="true"/>
          <w:lang w:bidi="fa-IR"/>
        </w:rPr>
        <w:t xml:space="preserve">. </w:t>
      </w:r>
      <w:r>
        <w:rPr>
          <w:rStyle w:val="FootnoteAnchor"/>
          <w:rtl w:val="true"/>
        </w:rPr>
        <w:footnoteReference w:id="1035"/>
      </w:r>
      <w:r>
        <w:rPr>
          <w:rFonts w:ascii="IRNazanin" w:hAnsi="IRNazanin" w:eastAsia="IRNazanin"/>
          <w:color w:val="111111"/>
          <w:sz w:val="28"/>
          <w:sz w:val="28"/>
          <w:szCs w:val="28"/>
          <w:rtl w:val="true"/>
          <w:lang w:bidi="fa-IR"/>
        </w:rPr>
        <w:t>همچنين گاهى براى تزيين، آن را به ديوار آويزان مى‌كردند</w:t>
      </w:r>
      <w:r>
        <w:rPr>
          <w:rFonts w:eastAsia="IRNazanin" w:cs="IRNazanin"/>
          <w:color w:val="111111"/>
          <w:sz w:val="28"/>
          <w:szCs w:val="28"/>
          <w:rtl w:val="true"/>
          <w:lang w:bidi="fa-IR"/>
        </w:rPr>
        <w:t xml:space="preserve">. </w:t>
      </w:r>
      <w:r>
        <w:rPr>
          <w:rStyle w:val="FootnoteAnchor"/>
          <w:rtl w:val="true"/>
        </w:rPr>
        <w:footnoteReference w:id="1036"/>
      </w:r>
    </w:p>
    <w:p>
      <w:pPr>
        <w:pStyle w:val="Heading5"/>
        <w:numPr>
          <w:ilvl w:val="4"/>
          <w:numId w:val="1"/>
        </w:numPr>
        <w:rPr/>
      </w:pPr>
      <w:bookmarkStart w:id="1232" w:name="__RefHeading___Toc3585467_3650668749"/>
      <w:bookmarkStart w:id="1233" w:name="_Toc530"/>
      <w:bookmarkEnd w:id="1232"/>
      <w:r>
        <w:rPr>
          <w:rtl w:val="true"/>
        </w:rPr>
        <w:t xml:space="preserve">نوزده </w:t>
      </w:r>
      <w:r>
        <w:rPr>
          <w:rtl w:val="true"/>
        </w:rPr>
        <w:t xml:space="preserve">- </w:t>
      </w:r>
      <w:r>
        <w:rPr>
          <w:rtl w:val="true"/>
        </w:rPr>
        <w:t>پشم‌ريسى</w:t>
      </w:r>
      <w:bookmarkEnd w:id="123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 به وسيله دستگاهى به نام مِغْزَل و بيشتر توسط زنان كوفى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روايات از گفت‌وگوى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يكى از زنان پشم‌ريس كوفه ياد شده است</w:t>
      </w:r>
      <w:r>
        <w:rPr>
          <w:rFonts w:eastAsia="IRNazanin" w:cs="IRNazanin"/>
          <w:color w:val="111111"/>
          <w:sz w:val="28"/>
          <w:szCs w:val="28"/>
          <w:rtl w:val="true"/>
          <w:lang w:bidi="fa-IR"/>
        </w:rPr>
        <w:t xml:space="preserve">. </w:t>
      </w:r>
      <w:r>
        <w:rPr>
          <w:rStyle w:val="FootnoteAnchor"/>
          <w:rtl w:val="true"/>
        </w:rPr>
        <w:footnoteReference w:id="1037"/>
      </w:r>
      <w:bookmarkStart w:id="1234" w:name="pg1964_19692"/>
    </w:p>
    <w:p>
      <w:pPr>
        <w:pStyle w:val="Heading5"/>
        <w:numPr>
          <w:ilvl w:val="4"/>
          <w:numId w:val="1"/>
        </w:numPr>
        <w:rPr/>
      </w:pPr>
      <w:bookmarkStart w:id="1235" w:name="__RefHeading___Toc3585469_3650668749"/>
      <w:bookmarkStart w:id="1236" w:name="_Toc531"/>
      <w:bookmarkEnd w:id="1234"/>
      <w:bookmarkEnd w:id="1235"/>
      <w:r>
        <w:rPr>
          <w:rtl w:val="true"/>
        </w:rPr>
        <w:t xml:space="preserve">بيست </w:t>
      </w:r>
      <w:r>
        <w:rPr>
          <w:rtl w:val="true"/>
        </w:rPr>
        <w:t xml:space="preserve">- </w:t>
      </w:r>
      <w:r>
        <w:rPr>
          <w:rtl w:val="true"/>
        </w:rPr>
        <w:t>خيمه‌سازى</w:t>
      </w:r>
      <w:bookmarkEnd w:id="1236"/>
    </w:p>
    <w:p>
      <w:pPr>
        <w:pStyle w:val="BookText"/>
        <w:rPr/>
      </w:pPr>
      <w:r>
        <w:rPr>
          <w:rFonts w:ascii="IRNazanin" w:hAnsi="IRNazanin" w:eastAsia="IRNazanin"/>
          <w:color w:val="111111"/>
          <w:sz w:val="28"/>
          <w:sz w:val="28"/>
          <w:szCs w:val="28"/>
          <w:rtl w:val="true"/>
          <w:lang w:bidi="fa-IR"/>
        </w:rPr>
        <w:t>خيمه‌سازى يكى از صنعت‌هاى مهم كوفيان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خيمه‌هاى مختلف از مواد خام متفاوتى، همچون پشم، مو، كرك و پوست حيوانات يا پنبه ساخته مى‌شد و به نسبت ماده به‌كار رفته در آن و نيز حجم آن، نام‌هاى متفاوتى به خود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به خيمه به دست آمده از پشم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خيمه ساخته شده از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خيمه مصنوع از كرك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خيمه‌هاى پنبه‌اى را كه معمولاً زينتى بود و ثروتمندان از آن استفاده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Style w:val="FootnoteAnchor"/>
          <w:rtl w:val="true"/>
        </w:rPr>
        <w:footnoteReference w:id="1038"/>
      </w:r>
    </w:p>
    <w:p>
      <w:pPr>
        <w:pStyle w:val="Heading5"/>
        <w:numPr>
          <w:ilvl w:val="4"/>
          <w:numId w:val="1"/>
        </w:numPr>
        <w:rPr/>
      </w:pPr>
      <w:bookmarkStart w:id="1237" w:name="__RefHeading___Toc3585471_3650668749"/>
      <w:bookmarkStart w:id="1238" w:name="_Toc532"/>
      <w:bookmarkEnd w:id="1237"/>
      <w:r>
        <w:rPr>
          <w:rtl w:val="true"/>
        </w:rPr>
        <w:t xml:space="preserve">بيست و يك </w:t>
      </w:r>
      <w:r>
        <w:rPr>
          <w:rtl w:val="true"/>
        </w:rPr>
        <w:t xml:space="preserve">- </w:t>
      </w:r>
      <w:r>
        <w:rPr>
          <w:rtl w:val="true"/>
        </w:rPr>
        <w:t>بافندگى</w:t>
      </w:r>
      <w:bookmarkEnd w:id="1238"/>
    </w:p>
    <w:p>
      <w:pPr>
        <w:pStyle w:val="BookText"/>
        <w:rPr/>
      </w:pPr>
      <w:r>
        <w:rPr>
          <w:rFonts w:ascii="IRNazanin" w:hAnsi="IRNazanin" w:eastAsia="IRNazanin"/>
          <w:color w:val="111111"/>
          <w:sz w:val="28"/>
          <w:sz w:val="28"/>
          <w:szCs w:val="28"/>
          <w:rtl w:val="true"/>
          <w:lang w:bidi="fa-IR"/>
        </w:rPr>
        <w:t>بافندگى يكى از مهم‌ترين صنعت‌هاى رايج در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كوفه، اين صناعت مراحل تطوّر و كمال خود را در شهر حيره طى كرده بود و با مهاجرت اهالى حيره به كوفه اين صنعت در كوفه به اوج كمال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حيرى‌ها خود، اين صنعت را از ساسانيان فرا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كوفيان به اين صناعت در كارگاه‌هاى كوچكى كه در واقع، دكان آنها به حساب مى‌آمد،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به وسيله اين صنعت، انواع مختلف پارچه را براى لباس، عمامه، دستمال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گليم، روبنده زنان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توليد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تهيه لباس‌هاى خزّ و نيز لباس‌هاى نگارين، شهرت به سزايى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بعدها نوعى دستمال سر مخصوص از حرير يا مواد خام ديگر به عمل آوردند كه به اسم شهر كوفه مشهور شد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به اين دستمال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گفته شده است كه يمنى‌هاى كوفه، صنعت حلّه‌سازى را از يمن به كوفه منتقل نموده و حلّه‌هاى نجرانى خوبى در كوفه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مواد خام اين صنعت، پنبه، كتان، پشم، ابريشم و پوست بعضى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خرگوش نر</w:t>
      </w:r>
      <w:r>
        <w:rPr>
          <w:rFonts w:eastAsia="IRNazanin" w:cs="IRNazanin"/>
          <w:color w:val="111111"/>
          <w:sz w:val="28"/>
          <w:szCs w:val="28"/>
          <w:rtl w:val="true"/>
          <w:lang w:bidi="fa-IR"/>
        </w:rPr>
        <w:t>)</w:t>
      </w:r>
      <w:bookmarkStart w:id="1239" w:name="pg1964_19694"/>
    </w:p>
    <w:p>
      <w:pPr>
        <w:pStyle w:val="BookText"/>
        <w:rPr/>
      </w:pPr>
      <w:bookmarkEnd w:id="1239"/>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گليم‌هاى مشهور حيرى كه با شكل‌هاى مختلف حيواناتى، همانند اسب، شتر، پرندگان و نيز با شكل‌هاى هندسى مختلف تزيين مى‌شد، در كوفه نيز به عمل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گليم‌ها انواع و مصارف و نام‌هاى مختلفى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از آن، كه روى زمين پهن مى‌شد و به عنوان فرش از آن استفاده مى‌شد،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نوعى از آن، كه براى زينت و آويزان كردن براى تزيين از آن استفاده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نوعى از آن، كه براى نماز مورد استفاده قرار مى‌گرفت،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پشم و كرك مواد اصلى گليم بافى بود</w:t>
      </w:r>
      <w:r>
        <w:rPr>
          <w:rFonts w:eastAsia="IRNazanin" w:cs="IRNazanin"/>
          <w:color w:val="111111"/>
          <w:sz w:val="28"/>
          <w:szCs w:val="28"/>
          <w:rtl w:val="true"/>
          <w:lang w:bidi="fa-IR"/>
        </w:rPr>
        <w:t xml:space="preserve">.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همچنين كوفيان با استفاده از صنعت بافندگى، پارچه‌هاى زيبايى را براى متكا توليد مى‌كردند؛ متكاهايى كه براى خواب، نشستن يا تكيه دادن از آن استفاده مى‌شد</w:t>
      </w:r>
      <w:r>
        <w:rPr>
          <w:rFonts w:eastAsia="IRNazanin" w:cs="IRNazanin"/>
          <w:color w:val="111111"/>
          <w:sz w:val="28"/>
          <w:szCs w:val="28"/>
          <w:rtl w:val="true"/>
          <w:lang w:bidi="fa-IR"/>
        </w:rPr>
        <w:t xml:space="preserve">. </w:t>
      </w:r>
      <w:r>
        <w:rPr>
          <w:rStyle w:val="FootnoteAnchor"/>
          <w:rtl w:val="true"/>
        </w:rPr>
        <w:footnoteReference w:id="1040"/>
      </w:r>
    </w:p>
    <w:p>
      <w:pPr>
        <w:pStyle w:val="Heading5"/>
        <w:numPr>
          <w:ilvl w:val="4"/>
          <w:numId w:val="1"/>
        </w:numPr>
        <w:rPr/>
      </w:pPr>
      <w:bookmarkStart w:id="1240" w:name="__RefHeading___Toc3585473_3650668749"/>
      <w:bookmarkStart w:id="1241" w:name="_Toc533"/>
      <w:bookmarkEnd w:id="1240"/>
      <w:r>
        <w:rPr>
          <w:rtl w:val="true"/>
        </w:rPr>
        <w:t xml:space="preserve">بيست و دو </w:t>
      </w:r>
      <w:r>
        <w:rPr>
          <w:rtl w:val="true"/>
        </w:rPr>
        <w:t xml:space="preserve">- </w:t>
      </w:r>
      <w:r>
        <w:rPr>
          <w:rtl w:val="true"/>
        </w:rPr>
        <w:t>خياطى</w:t>
      </w:r>
      <w:bookmarkEnd w:id="1241"/>
    </w:p>
    <w:p>
      <w:pPr>
        <w:pStyle w:val="BookText"/>
        <w:rPr/>
      </w:pPr>
      <w:r>
        <w:rPr>
          <w:rFonts w:ascii="IRNazanin" w:hAnsi="IRNazanin" w:eastAsia="IRNazanin"/>
          <w:color w:val="111111"/>
          <w:sz w:val="28"/>
          <w:sz w:val="28"/>
          <w:szCs w:val="28"/>
          <w:rtl w:val="true"/>
          <w:lang w:bidi="fa-IR"/>
        </w:rPr>
        <w:t xml:space="preserve">در بعضى روايات تاريخى از وجود خياط در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چنين آمده است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سر خياطى ايستاد و به او چنين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صَلِّبِ الخَيْطَ وَ دَقِّقِ الدَّرْزَ و قارِبِ الغَرْزَ</w:t>
      </w:r>
      <w:r>
        <w:rPr>
          <w:rFonts w:eastAsia="IRNazanin" w:cs="IRNazanin"/>
          <w:color w:val="111111"/>
          <w:sz w:val="28"/>
          <w:szCs w:val="28"/>
          <w:rtl w:val="true"/>
          <w:lang w:bidi="fa-IR"/>
        </w:rPr>
        <w:t xml:space="preserve">» </w:t>
      </w:r>
      <w:r>
        <w:rPr>
          <w:rStyle w:val="FootnoteAnchor"/>
          <w:rtl w:val="true"/>
        </w:rPr>
        <w:footnoteReference w:id="10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نخ را چرب گردان و شكاف‌هاى جامه را باريك كن و كوك‌ها را نزديك هم بزن</w:t>
      </w:r>
      <w:r>
        <w:rPr>
          <w:rFonts w:eastAsia="IRNazanin" w:cs="IRNazanin"/>
          <w:color w:val="111111"/>
          <w:sz w:val="28"/>
          <w:szCs w:val="28"/>
          <w:rtl w:val="true"/>
          <w:lang w:bidi="fa-IR"/>
        </w:rPr>
        <w:t>» .</w:t>
      </w:r>
    </w:p>
    <w:p>
      <w:pPr>
        <w:pStyle w:val="Heading4"/>
        <w:numPr>
          <w:ilvl w:val="3"/>
          <w:numId w:val="1"/>
        </w:numPr>
        <w:rPr/>
      </w:pPr>
      <w:bookmarkStart w:id="1242" w:name="__RefHeading___Toc3585475_3650668749"/>
      <w:bookmarkStart w:id="1243" w:name="_Toc534"/>
      <w:bookmarkEnd w:id="1242"/>
      <w:r>
        <w:rPr>
          <w:rtl w:val="true"/>
        </w:rPr>
        <w:t>ب</w:t>
      </w:r>
      <w:r>
        <w:rPr>
          <w:rtl w:val="true"/>
        </w:rPr>
        <w:t xml:space="preserve">) </w:t>
      </w:r>
      <w:r>
        <w:rPr>
          <w:rtl w:val="true"/>
        </w:rPr>
        <w:t>مشاغل واسطه‌اى</w:t>
      </w:r>
      <w:bookmarkEnd w:id="1243"/>
    </w:p>
    <w:p>
      <w:pPr>
        <w:pStyle w:val="Heading5"/>
        <w:numPr>
          <w:ilvl w:val="4"/>
          <w:numId w:val="1"/>
        </w:numPr>
        <w:rPr/>
      </w:pPr>
      <w:bookmarkStart w:id="1244" w:name="__RefHeading___Toc3585477_3650668749"/>
      <w:bookmarkStart w:id="1245" w:name="_Toc535"/>
      <w:bookmarkEnd w:id="1244"/>
      <w:r>
        <w:rPr>
          <w:rtl w:val="true"/>
        </w:rPr>
        <w:t>اشاره</w:t>
      </w:r>
      <w:bookmarkEnd w:id="124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اين مشاغل كه در نصوص تاريخى از آنها ياد شده است، در بخش بازارها و در قسمت معمارى بررسى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تنها آن دسته از اين نوع مشاغل ذكر مى‌شود كه در آنجا به آنها پرداخته نشد</w:t>
      </w:r>
      <w:r>
        <w:rPr>
          <w:rFonts w:eastAsia="IRNazanin" w:cs="IRNazanin"/>
          <w:color w:val="111111"/>
          <w:sz w:val="28"/>
          <w:szCs w:val="28"/>
          <w:rtl w:val="true"/>
          <w:lang w:bidi="fa-IR"/>
        </w:rPr>
        <w:t>.</w:t>
      </w:r>
      <w:bookmarkStart w:id="1246" w:name="pg1964_19697"/>
    </w:p>
    <w:p>
      <w:pPr>
        <w:pStyle w:val="Heading5"/>
        <w:numPr>
          <w:ilvl w:val="4"/>
          <w:numId w:val="1"/>
        </w:numPr>
        <w:rPr/>
      </w:pPr>
      <w:bookmarkStart w:id="1247" w:name="__RefHeading___Toc3585479_3650668749"/>
      <w:bookmarkStart w:id="1248" w:name="_Toc536"/>
      <w:bookmarkEnd w:id="1246"/>
      <w:bookmarkEnd w:id="1247"/>
      <w:r>
        <w:rPr>
          <w:rtl w:val="true"/>
        </w:rPr>
        <w:t xml:space="preserve">يك </w:t>
      </w:r>
      <w:r>
        <w:rPr>
          <w:rtl w:val="true"/>
        </w:rPr>
        <w:t xml:space="preserve">- </w:t>
      </w:r>
      <w:r>
        <w:rPr>
          <w:rtl w:val="true"/>
        </w:rPr>
        <w:t>صرّافى</w:t>
      </w:r>
      <w:bookmarkEnd w:id="1248"/>
    </w:p>
    <w:p>
      <w:pPr>
        <w:pStyle w:val="BookText"/>
        <w:rPr/>
      </w:pPr>
      <w:r>
        <w:rPr>
          <w:rFonts w:ascii="IRNazanin" w:hAnsi="IRNazanin" w:eastAsia="IRNazanin"/>
          <w:color w:val="111111"/>
          <w:sz w:val="28"/>
          <w:sz w:val="28"/>
          <w:szCs w:val="28"/>
          <w:rtl w:val="true"/>
          <w:lang w:bidi="fa-IR"/>
        </w:rPr>
        <w:t xml:space="preserve">اين شغل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به 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كه وظيفه تبديل سكه‌هاى مختلف را به يكديگر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پيدايش شهر كوفه، متصديان اين شغل عمدتاً مسيحيان اهل ذمّه بودند كه در شهر حيره به اين عمل اشتغال داشته و سپس به واسطه رشد روز افزون كوفه به آنجا مهاجرت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اين شغل، دكان‌هاى مخصوصى براى خود داشتند كه نزديكى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بنى‌جذيمه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غربى كوفه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مسلمانان نيز اندك‌اندك به اين شغل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در بعضى موارد صيرفى‌ها كار بانك‌هاى امروزى را نيز به عهده مى‌گرفتند و با عملياتى، همانند قرض، سَلَف‌خرى، مضاربه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كسب سود مى‌پرداختند</w:t>
      </w:r>
      <w:r>
        <w:rPr>
          <w:rFonts w:eastAsia="IRNazanin" w:cs="IRNazanin"/>
          <w:color w:val="111111"/>
          <w:sz w:val="28"/>
          <w:szCs w:val="28"/>
          <w:rtl w:val="true"/>
          <w:lang w:bidi="fa-IR"/>
        </w:rPr>
        <w:t xml:space="preserve">. </w:t>
      </w:r>
      <w:r>
        <w:rPr>
          <w:rStyle w:val="FootnoteAnchor"/>
          <w:rtl w:val="true"/>
        </w:rPr>
        <w:footnoteReference w:id="1042"/>
      </w:r>
    </w:p>
    <w:p>
      <w:pPr>
        <w:pStyle w:val="Heading5"/>
        <w:numPr>
          <w:ilvl w:val="4"/>
          <w:numId w:val="1"/>
        </w:numPr>
        <w:rPr/>
      </w:pPr>
      <w:bookmarkStart w:id="1249" w:name="__RefHeading___Toc3585481_3650668749"/>
      <w:bookmarkStart w:id="1250" w:name="_Toc537"/>
      <w:bookmarkEnd w:id="1249"/>
      <w:r>
        <w:rPr>
          <w:rtl w:val="true"/>
        </w:rPr>
        <w:t xml:space="preserve">دو </w:t>
      </w:r>
      <w:r>
        <w:rPr>
          <w:rtl w:val="true"/>
        </w:rPr>
        <w:t xml:space="preserve">- </w:t>
      </w:r>
      <w:r>
        <w:rPr>
          <w:rtl w:val="true"/>
        </w:rPr>
        <w:t>قصابى</w:t>
      </w:r>
      <w:bookmarkEnd w:id="1250"/>
    </w:p>
    <w:p>
      <w:pPr>
        <w:pStyle w:val="BookText"/>
        <w:rPr/>
      </w:pPr>
      <w:r>
        <w:rPr>
          <w:rFonts w:ascii="IRNazanin" w:hAnsi="IRNazanin" w:eastAsia="IRNazanin"/>
          <w:color w:val="111111"/>
          <w:sz w:val="28"/>
          <w:sz w:val="28"/>
          <w:szCs w:val="28"/>
          <w:rtl w:val="true"/>
          <w:lang w:bidi="fa-IR"/>
        </w:rPr>
        <w:t xml:space="preserve">در سيره حكومتى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وارد شده است كه آن حضرت، خود با تازيانه در بازارها مى‌گشت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گوشت ندميد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پر باد شده و وزن آن زيادتر گردد</w:t>
      </w:r>
      <w:r>
        <w:rPr>
          <w:rFonts w:eastAsia="IRNazanin" w:cs="IRNazanin"/>
          <w:color w:val="111111"/>
          <w:sz w:val="28"/>
          <w:szCs w:val="28"/>
          <w:rtl w:val="true"/>
          <w:lang w:bidi="fa-IR"/>
        </w:rPr>
        <w:t xml:space="preserve">) . </w:t>
      </w:r>
      <w:r>
        <w:rPr>
          <w:rStyle w:val="FootnoteAnchor"/>
          <w:rtl w:val="true"/>
        </w:rPr>
        <w:footnoteReference w:id="1043"/>
      </w:r>
      <w:r>
        <w:rPr>
          <w:rFonts w:ascii="IRNazanin" w:hAnsi="IRNazanin" w:eastAsia="IRNazanin"/>
          <w:color w:val="111111"/>
          <w:sz w:val="28"/>
          <w:sz w:val="28"/>
          <w:szCs w:val="28"/>
          <w:rtl w:val="true"/>
          <w:lang w:bidi="fa-IR"/>
        </w:rPr>
        <w:t>اين خطاب را مى‌توان به قصابان بازار فرض نمود و سپس وجود شغل قصابى را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روايت ديگرى چنين وارد شده است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قصاب‌ها رفته و آنها را از فروختن هفت چيز از گوسفند نهى فرمود</w:t>
      </w:r>
      <w:r>
        <w:rPr>
          <w:rFonts w:eastAsia="IRNazanin" w:cs="IRNazanin"/>
          <w:color w:val="111111"/>
          <w:sz w:val="28"/>
          <w:szCs w:val="28"/>
          <w:rtl w:val="true"/>
          <w:lang w:bidi="fa-IR"/>
        </w:rPr>
        <w:t xml:space="preserve">. </w:t>
      </w:r>
      <w:r>
        <w:rPr>
          <w:rStyle w:val="FootnoteAnchor"/>
          <w:rtl w:val="true"/>
        </w:rPr>
        <w:footnoteReference w:id="1044"/>
      </w:r>
      <w:r>
        <w:rPr>
          <w:rFonts w:ascii="IRNazanin" w:hAnsi="IRNazanin" w:eastAsia="IRNazanin"/>
          <w:color w:val="111111"/>
          <w:sz w:val="28"/>
          <w:sz w:val="28"/>
          <w:szCs w:val="28"/>
          <w:rtl w:val="true"/>
          <w:lang w:bidi="fa-IR"/>
        </w:rPr>
        <w:t xml:space="preserve">همچنين در روايت ديگرى از قصابى‌ها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گوشت‌فروش‌ها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Style w:val="FootnoteAnchor"/>
          <w:rtl w:val="true"/>
        </w:rPr>
        <w:footnoteReference w:id="1045"/>
      </w:r>
    </w:p>
    <w:p>
      <w:pPr>
        <w:pStyle w:val="Heading5"/>
        <w:numPr>
          <w:ilvl w:val="4"/>
          <w:numId w:val="1"/>
        </w:numPr>
        <w:rPr/>
      </w:pPr>
      <w:bookmarkStart w:id="1251" w:name="__RefHeading___Toc3585483_3650668749"/>
      <w:bookmarkStart w:id="1252" w:name="_Toc538"/>
      <w:bookmarkEnd w:id="1251"/>
      <w:r>
        <w:rPr>
          <w:rtl w:val="true"/>
        </w:rPr>
        <w:t xml:space="preserve">سه </w:t>
      </w:r>
      <w:r>
        <w:rPr>
          <w:rtl w:val="true"/>
        </w:rPr>
        <w:t xml:space="preserve">- </w:t>
      </w:r>
      <w:r>
        <w:rPr>
          <w:rtl w:val="true"/>
        </w:rPr>
        <w:t>بقّالى</w:t>
      </w:r>
      <w:bookmarkEnd w:id="125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ابن‌زياد، محمد بن اشعث را به سبب عدم دستگيرى مسلم بن عقيل مؤاخذه نمود،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خيال مى‌كنى مرا به سوى بقالى از بقالان كوفه فرستاده‌اى</w:t>
      </w:r>
      <w:r>
        <w:rPr>
          <w:rFonts w:eastAsia="IRNazanin" w:cs="IRNazanin"/>
          <w:color w:val="111111"/>
          <w:sz w:val="28"/>
          <w:szCs w:val="28"/>
          <w:rtl w:val="true"/>
          <w:lang w:bidi="fa-IR"/>
        </w:rPr>
        <w:t xml:space="preserve">. </w:t>
      </w:r>
      <w:r>
        <w:rPr>
          <w:rStyle w:val="FootnoteAnchor"/>
          <w:rtl w:val="true"/>
        </w:rPr>
        <w:footnoteReference w:id="1046"/>
      </w:r>
      <w:bookmarkStart w:id="1253" w:name="pg1964_19698"/>
    </w:p>
    <w:p>
      <w:pPr>
        <w:pStyle w:val="Heading5"/>
        <w:numPr>
          <w:ilvl w:val="4"/>
          <w:numId w:val="1"/>
        </w:numPr>
        <w:rPr/>
      </w:pPr>
      <w:bookmarkStart w:id="1254" w:name="__RefHeading___Toc3585485_3650668749"/>
      <w:bookmarkStart w:id="1255" w:name="_Toc539"/>
      <w:bookmarkEnd w:id="1253"/>
      <w:bookmarkEnd w:id="1254"/>
      <w:r>
        <w:rPr>
          <w:rtl w:val="true"/>
        </w:rPr>
        <w:t xml:space="preserve">چهار </w:t>
      </w:r>
      <w:r>
        <w:rPr>
          <w:rtl w:val="true"/>
        </w:rPr>
        <w:t xml:space="preserve">- </w:t>
      </w:r>
      <w:r>
        <w:rPr>
          <w:rtl w:val="true"/>
        </w:rPr>
        <w:t>علف‌فروشى</w:t>
      </w:r>
      <w:bookmarkEnd w:id="1255"/>
    </w:p>
    <w:p>
      <w:pPr>
        <w:pStyle w:val="BookText"/>
        <w:rPr/>
      </w:pPr>
      <w:r>
        <w:rPr>
          <w:rFonts w:ascii="IRNazanin" w:hAnsi="IRNazanin" w:eastAsia="IRNazanin"/>
          <w:color w:val="111111"/>
          <w:sz w:val="28"/>
          <w:sz w:val="28"/>
          <w:szCs w:val="28"/>
          <w:rtl w:val="true"/>
          <w:lang w:bidi="fa-IR"/>
        </w:rPr>
        <w:t>در نصوص تاريخى چنين وارد شده است كه علت برخورد كوفيان با ابوموسى اشعرى كه مدتى از سوى عُمر فرماندار كوفه بود، اين بود كه غلام او به علف‌فروشى مى‌پرداخت و بدين وسيله، رقيبى براى شاغلان اين حرفه به حساب مى‌آمد</w:t>
      </w:r>
      <w:r>
        <w:rPr>
          <w:rFonts w:eastAsia="IRNazanin" w:cs="IRNazanin"/>
          <w:color w:val="111111"/>
          <w:sz w:val="28"/>
          <w:szCs w:val="28"/>
          <w:rtl w:val="true"/>
          <w:lang w:bidi="fa-IR"/>
        </w:rPr>
        <w:t xml:space="preserve">. </w:t>
      </w:r>
      <w:r>
        <w:rPr>
          <w:rStyle w:val="FootnoteAnchor"/>
          <w:rtl w:val="true"/>
        </w:rPr>
        <w:footnoteReference w:id="1047"/>
      </w:r>
    </w:p>
    <w:p>
      <w:pPr>
        <w:pStyle w:val="Heading5"/>
        <w:numPr>
          <w:ilvl w:val="4"/>
          <w:numId w:val="1"/>
        </w:numPr>
        <w:rPr/>
      </w:pPr>
      <w:bookmarkStart w:id="1256" w:name="__RefHeading___Toc3585487_3650668749"/>
      <w:bookmarkStart w:id="1257" w:name="_Toc540"/>
      <w:bookmarkEnd w:id="1256"/>
      <w:r>
        <w:rPr>
          <w:rtl w:val="true"/>
        </w:rPr>
        <w:t xml:space="preserve">پنج </w:t>
      </w:r>
      <w:r>
        <w:rPr>
          <w:rtl w:val="true"/>
        </w:rPr>
        <w:t xml:space="preserve">- </w:t>
      </w:r>
      <w:r>
        <w:rPr>
          <w:rtl w:val="true"/>
        </w:rPr>
        <w:t>پارچه‌فروشى</w:t>
      </w:r>
      <w:bookmarkEnd w:id="1257"/>
    </w:p>
    <w:p>
      <w:pPr>
        <w:pStyle w:val="BookText"/>
        <w:rPr/>
      </w:pPr>
      <w:r>
        <w:rPr>
          <w:rFonts w:ascii="IRNazanin" w:hAnsi="IRNazanin" w:eastAsia="IRNazanin"/>
          <w:color w:val="111111"/>
          <w:sz w:val="28"/>
          <w:sz w:val="28"/>
          <w:szCs w:val="28"/>
          <w:rtl w:val="true"/>
          <w:lang w:bidi="fa-IR"/>
        </w:rPr>
        <w:t xml:space="preserve">به صاحب اين 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1048"/>
      </w:r>
    </w:p>
    <w:p>
      <w:pPr>
        <w:pStyle w:val="Heading5"/>
        <w:numPr>
          <w:ilvl w:val="4"/>
          <w:numId w:val="1"/>
        </w:numPr>
        <w:rPr/>
      </w:pPr>
      <w:bookmarkStart w:id="1258" w:name="__RefHeading___Toc3585489_3650668749"/>
      <w:bookmarkStart w:id="1259" w:name="_Toc541"/>
      <w:bookmarkEnd w:id="1258"/>
      <w:r>
        <w:rPr>
          <w:rtl w:val="true"/>
        </w:rPr>
        <w:t xml:space="preserve">شش </w:t>
      </w:r>
      <w:r>
        <w:rPr>
          <w:rtl w:val="true"/>
        </w:rPr>
        <w:t xml:space="preserve">- </w:t>
      </w:r>
      <w:r>
        <w:rPr>
          <w:rtl w:val="true"/>
        </w:rPr>
        <w:t>سمسارى</w:t>
      </w:r>
      <w:bookmarkEnd w:id="1259"/>
    </w:p>
    <w:p>
      <w:pPr>
        <w:pStyle w:val="BookText"/>
        <w:rPr/>
      </w:pPr>
      <w:r>
        <w:rPr>
          <w:rFonts w:ascii="IRNazanin" w:hAnsi="IRNazanin" w:eastAsia="IRNazanin"/>
          <w:color w:val="111111"/>
          <w:sz w:val="28"/>
          <w:sz w:val="28"/>
          <w:szCs w:val="28"/>
          <w:rtl w:val="true"/>
          <w:lang w:bidi="fa-IR"/>
        </w:rPr>
        <w:t>اين، شغلِ كسى بود كه به‌كار ميانجى‌گرى و دلالى بين خريدار و فروشنده، اشتغال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گفته‌هاى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كه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خطابى با عنوان اى سمسارها داشته و آنها را از سوگند فراوان نهى فرموده است</w:t>
      </w:r>
      <w:r>
        <w:rPr>
          <w:rFonts w:eastAsia="IRNazanin" w:cs="IRNazanin"/>
          <w:color w:val="111111"/>
          <w:sz w:val="28"/>
          <w:szCs w:val="28"/>
          <w:rtl w:val="true"/>
          <w:lang w:bidi="fa-IR"/>
        </w:rPr>
        <w:t xml:space="preserve">. </w:t>
      </w:r>
      <w:r>
        <w:rPr>
          <w:rStyle w:val="FootnoteAnchor"/>
          <w:rtl w:val="true"/>
        </w:rPr>
        <w:footnoteReference w:id="1049"/>
      </w:r>
    </w:p>
    <w:p>
      <w:pPr>
        <w:pStyle w:val="Heading4"/>
        <w:numPr>
          <w:ilvl w:val="3"/>
          <w:numId w:val="1"/>
        </w:numPr>
        <w:rPr/>
      </w:pPr>
      <w:bookmarkStart w:id="1260" w:name="__RefHeading___Toc3585491_3650668749"/>
      <w:bookmarkStart w:id="1261" w:name="_Toc542"/>
      <w:bookmarkEnd w:id="1260"/>
      <w:r>
        <w:rPr>
          <w:rtl w:val="true"/>
        </w:rPr>
        <w:t>ج</w:t>
      </w:r>
      <w:r>
        <w:rPr>
          <w:rtl w:val="true"/>
        </w:rPr>
        <w:t xml:space="preserve">) </w:t>
      </w:r>
      <w:r>
        <w:rPr>
          <w:rtl w:val="true"/>
        </w:rPr>
        <w:t>مشاغل خدماتى</w:t>
      </w:r>
      <w:bookmarkEnd w:id="1261"/>
    </w:p>
    <w:p>
      <w:pPr>
        <w:pStyle w:val="Heading5"/>
        <w:numPr>
          <w:ilvl w:val="4"/>
          <w:numId w:val="1"/>
        </w:numPr>
        <w:rPr/>
      </w:pPr>
      <w:bookmarkStart w:id="1262" w:name="__RefHeading___Toc3585493_3650668749"/>
      <w:bookmarkStart w:id="1263" w:name="_Toc543"/>
      <w:bookmarkEnd w:id="1262"/>
      <w:r>
        <w:rPr>
          <w:rtl w:val="true"/>
        </w:rPr>
        <w:t>اشاره</w:t>
      </w:r>
      <w:bookmarkEnd w:id="1263"/>
    </w:p>
    <w:p>
      <w:pPr>
        <w:pStyle w:val="BookText"/>
        <w:rPr/>
      </w:pPr>
      <w:r>
        <w:rPr>
          <w:rFonts w:ascii="Amiri" w:hAnsi="Amiri" w:eastAsia="Amiri" w:cs="Amiri"/>
          <w:color w:val="111111"/>
          <w:sz w:val="28"/>
          <w:sz w:val="28"/>
          <w:szCs w:val="28"/>
          <w:rtl w:val="true"/>
          <w:lang w:bidi="ar-SA"/>
        </w:rPr>
        <w:t>بعضى از اين مشاغل عبارت بودند از</w:t>
      </w:r>
      <w:r>
        <w:rPr>
          <w:rFonts w:eastAsia="Amiri" w:cs="Amiri" w:ascii="Amiri" w:hAnsi="Amiri"/>
          <w:color w:val="111111"/>
          <w:sz w:val="28"/>
          <w:szCs w:val="28"/>
          <w:rtl w:val="true"/>
          <w:lang w:bidi="ar-SA"/>
        </w:rPr>
        <w:t>:</w:t>
      </w:r>
    </w:p>
    <w:p>
      <w:pPr>
        <w:pStyle w:val="Heading5"/>
        <w:numPr>
          <w:ilvl w:val="4"/>
          <w:numId w:val="1"/>
        </w:numPr>
        <w:rPr/>
      </w:pPr>
      <w:bookmarkStart w:id="1264" w:name="__RefHeading___Toc3585495_3650668749"/>
      <w:bookmarkStart w:id="1265" w:name="_Toc544"/>
      <w:bookmarkEnd w:id="1264"/>
      <w:r>
        <w:rPr>
          <w:rtl w:val="true"/>
        </w:rPr>
        <w:t xml:space="preserve">يك </w:t>
      </w:r>
      <w:r>
        <w:rPr>
          <w:rtl w:val="true"/>
        </w:rPr>
        <w:t xml:space="preserve">- </w:t>
      </w:r>
      <w:r>
        <w:rPr>
          <w:rtl w:val="true"/>
        </w:rPr>
        <w:t>حمّامى</w:t>
      </w:r>
      <w:bookmarkEnd w:id="1265"/>
    </w:p>
    <w:p>
      <w:pPr>
        <w:pStyle w:val="BookText"/>
        <w:rPr/>
      </w:pPr>
      <w:r>
        <w:rPr>
          <w:rFonts w:ascii="IRNazanin" w:hAnsi="IRNazanin" w:eastAsia="IRNazanin"/>
          <w:color w:val="111111"/>
          <w:sz w:val="28"/>
          <w:sz w:val="28"/>
          <w:szCs w:val="28"/>
          <w:rtl w:val="true"/>
          <w:lang w:bidi="fa-IR"/>
        </w:rPr>
        <w:t>در بخش معمارى به ذكر حمام‌هاى كوفه و صاحبان آنها پرداخته شد</w:t>
      </w:r>
      <w:r>
        <w:rPr>
          <w:rFonts w:eastAsia="IRNazanin" w:cs="IRNazanin"/>
          <w:color w:val="111111"/>
          <w:sz w:val="28"/>
          <w:szCs w:val="28"/>
          <w:rtl w:val="true"/>
          <w:lang w:bidi="fa-IR"/>
        </w:rPr>
        <w:t>.</w:t>
      </w:r>
    </w:p>
    <w:p>
      <w:pPr>
        <w:pStyle w:val="Heading5"/>
        <w:numPr>
          <w:ilvl w:val="4"/>
          <w:numId w:val="1"/>
        </w:numPr>
        <w:rPr/>
      </w:pPr>
      <w:bookmarkStart w:id="1266" w:name="__RefHeading___Toc3585497_3650668749"/>
      <w:bookmarkStart w:id="1267" w:name="_Toc545"/>
      <w:bookmarkEnd w:id="1266"/>
      <w:r>
        <w:rPr>
          <w:rtl w:val="true"/>
        </w:rPr>
        <w:t xml:space="preserve">دو </w:t>
      </w:r>
      <w:r>
        <w:rPr>
          <w:rtl w:val="true"/>
        </w:rPr>
        <w:t xml:space="preserve">- </w:t>
      </w:r>
      <w:r>
        <w:rPr>
          <w:rtl w:val="true"/>
        </w:rPr>
        <w:t>حَجّامى</w:t>
      </w:r>
      <w:bookmarkEnd w:id="126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حجّام، شخصى بود كه در حمام يا مكان‌هاى ديگر به شغل حجامت‌گرى، يعنى بيرون كشيدن خون‌هاى كثيف از بدن اشخاص با وسايل خاص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268" w:name="pg1964_19700"/>
    </w:p>
    <w:p>
      <w:pPr>
        <w:pStyle w:val="BookText"/>
        <w:rPr/>
      </w:pPr>
      <w:bookmarkEnd w:id="1268"/>
      <w:r>
        <w:rPr>
          <w:rFonts w:ascii="IRNazanin" w:hAnsi="IRNazanin" w:eastAsia="IRNazanin"/>
          <w:color w:val="111111"/>
          <w:sz w:val="28"/>
          <w:sz w:val="28"/>
          <w:szCs w:val="28"/>
          <w:rtl w:val="true"/>
          <w:lang w:bidi="fa-IR"/>
        </w:rPr>
        <w:t xml:space="preserve">زمان مورد بحث، شخصى به نام عنتره به اين شغل مشهور بود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عنترة الحجّام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1050"/>
      </w:r>
    </w:p>
    <w:p>
      <w:pPr>
        <w:pStyle w:val="Heading5"/>
        <w:numPr>
          <w:ilvl w:val="4"/>
          <w:numId w:val="1"/>
        </w:numPr>
        <w:rPr/>
      </w:pPr>
      <w:bookmarkStart w:id="1269" w:name="__RefHeading___Toc3585499_3650668749"/>
      <w:bookmarkStart w:id="1270" w:name="_Toc546"/>
      <w:bookmarkEnd w:id="1269"/>
      <w:r>
        <w:rPr>
          <w:rtl w:val="true"/>
        </w:rPr>
        <w:t xml:space="preserve">سه </w:t>
      </w:r>
      <w:r>
        <w:rPr>
          <w:rtl w:val="true"/>
        </w:rPr>
        <w:t xml:space="preserve">- </w:t>
      </w:r>
      <w:r>
        <w:rPr>
          <w:rtl w:val="true"/>
        </w:rPr>
        <w:t>قَصّارى</w:t>
      </w:r>
      <w:bookmarkEnd w:id="1270"/>
    </w:p>
    <w:p>
      <w:pPr>
        <w:pStyle w:val="BookText"/>
        <w:rPr/>
      </w:pPr>
      <w:r>
        <w:rPr>
          <w:rFonts w:ascii="IRNazanin" w:hAnsi="IRNazanin" w:eastAsia="IRNazanin"/>
          <w:color w:val="111111"/>
          <w:sz w:val="28"/>
          <w:sz w:val="28"/>
          <w:szCs w:val="28"/>
          <w:rtl w:val="true"/>
          <w:lang w:bidi="fa-IR"/>
        </w:rPr>
        <w:t xml:space="preserve">قصّار كه در فارسى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به شغل لباس‌شويى مردم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لباس را با وسيله‌اى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مى‌كوبيدند تا چرك آن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شغل در زمان شُريح قاضى كه در زمان مورد بحث، توليت قضاى كوفه را بر عهده داشت، ياد شده است</w:t>
      </w:r>
      <w:r>
        <w:rPr>
          <w:rFonts w:eastAsia="IRNazanin" w:cs="IRNazanin"/>
          <w:color w:val="111111"/>
          <w:sz w:val="28"/>
          <w:szCs w:val="28"/>
          <w:rtl w:val="true"/>
          <w:lang w:bidi="fa-IR"/>
        </w:rPr>
        <w:t xml:space="preserve">. </w:t>
      </w:r>
      <w:r>
        <w:rPr>
          <w:rStyle w:val="FootnoteAnchor"/>
          <w:rtl w:val="true"/>
        </w:rPr>
        <w:footnoteReference w:id="1051"/>
      </w:r>
    </w:p>
    <w:p>
      <w:pPr>
        <w:pStyle w:val="Heading5"/>
        <w:numPr>
          <w:ilvl w:val="4"/>
          <w:numId w:val="1"/>
        </w:numPr>
        <w:rPr/>
      </w:pPr>
      <w:bookmarkStart w:id="1271" w:name="__RefHeading___Toc3585501_3650668749"/>
      <w:bookmarkStart w:id="1272" w:name="_Toc547"/>
      <w:bookmarkEnd w:id="1271"/>
      <w:r>
        <w:rPr>
          <w:rtl w:val="true"/>
        </w:rPr>
        <w:t xml:space="preserve">چهار </w:t>
      </w:r>
      <w:r>
        <w:rPr>
          <w:rtl w:val="true"/>
        </w:rPr>
        <w:t xml:space="preserve">- </w:t>
      </w:r>
      <w:r>
        <w:rPr>
          <w:rtl w:val="true"/>
        </w:rPr>
        <w:t>نظافت‌گرى شهر</w:t>
      </w:r>
      <w:bookmarkEnd w:id="1272"/>
    </w:p>
    <w:p>
      <w:pPr>
        <w:pStyle w:val="BookText"/>
        <w:rPr/>
      </w:pPr>
      <w:r>
        <w:rPr>
          <w:rFonts w:ascii="IRNazanin" w:hAnsi="IRNazanin" w:eastAsia="IRNazanin"/>
          <w:color w:val="111111"/>
          <w:sz w:val="28"/>
          <w:sz w:val="28"/>
          <w:szCs w:val="28"/>
          <w:rtl w:val="true"/>
          <w:lang w:bidi="fa-IR"/>
        </w:rPr>
        <w:t>اين شغل در آن زمان، پست‌ترين شغل كوفه به حساب مى‌آمد و صاحب اين شغل، وظايف نظافت راه‌ها، انتقال زباله‌ها، لاى‌روبى نهرها، حفر كانال‌ها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موقعيت اجتماعى و سختى كار در اين شغل، معمولاً از مواليان با حقوق كم يا بردگان استفاده مى‌شد</w:t>
      </w:r>
      <w:r>
        <w:rPr>
          <w:rFonts w:eastAsia="IRNazanin" w:cs="IRNazanin"/>
          <w:color w:val="111111"/>
          <w:sz w:val="28"/>
          <w:szCs w:val="28"/>
          <w:rtl w:val="true"/>
          <w:lang w:bidi="fa-IR"/>
        </w:rPr>
        <w:t xml:space="preserve">. </w:t>
      </w:r>
      <w:r>
        <w:rPr>
          <w:rStyle w:val="FootnoteAnchor"/>
          <w:rtl w:val="true"/>
        </w:rPr>
        <w:footnoteReference w:id="1052"/>
      </w:r>
    </w:p>
    <w:p>
      <w:pPr>
        <w:pStyle w:val="Heading5"/>
        <w:numPr>
          <w:ilvl w:val="4"/>
          <w:numId w:val="1"/>
        </w:numPr>
        <w:rPr/>
      </w:pPr>
      <w:bookmarkStart w:id="1273" w:name="__RefHeading___Toc3585503_3650668749"/>
      <w:bookmarkStart w:id="1274" w:name="_Toc548"/>
      <w:bookmarkEnd w:id="1273"/>
      <w:r>
        <w:rPr>
          <w:rtl w:val="true"/>
        </w:rPr>
        <w:t xml:space="preserve">پنج </w:t>
      </w:r>
      <w:r>
        <w:rPr>
          <w:rtl w:val="true"/>
        </w:rPr>
        <w:t xml:space="preserve">- </w:t>
      </w:r>
      <w:r>
        <w:rPr>
          <w:rtl w:val="true"/>
        </w:rPr>
        <w:t>پزشكى</w:t>
      </w:r>
      <w:bookmarkEnd w:id="127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پزشكى نيز يكى از مشاغلى است كه با توجه به روايات تاريخى مى‌توان وجود آن را در زمان مورد بحث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كارهاى پزشكان در دوران فتوحات و نيز هنگام بروز جنگ، همراهى لشكر و مداواى مجروحان بود، چنان‌كه عمر در جنگ قادسيه تعدادى از پزشكان را همراه لشكر سعد فرستاد</w:t>
      </w:r>
      <w:r>
        <w:rPr>
          <w:rFonts w:eastAsia="IRNazanin" w:cs="IRNazanin"/>
          <w:color w:val="111111"/>
          <w:sz w:val="28"/>
          <w:szCs w:val="28"/>
          <w:rtl w:val="true"/>
          <w:lang w:bidi="fa-IR"/>
        </w:rPr>
        <w:t xml:space="preserve">. </w:t>
      </w:r>
      <w:r>
        <w:rPr>
          <w:rStyle w:val="FootnoteAnchor"/>
          <w:rtl w:val="true"/>
        </w:rPr>
        <w:footnoteReference w:id="1053"/>
      </w:r>
      <w:r>
        <w:rPr>
          <w:rFonts w:ascii="IRNazanin" w:hAnsi="IRNazanin" w:eastAsia="IRNazanin"/>
          <w:color w:val="111111"/>
          <w:sz w:val="28"/>
          <w:sz w:val="28"/>
          <w:szCs w:val="28"/>
          <w:rtl w:val="true"/>
          <w:lang w:bidi="fa-IR"/>
        </w:rPr>
        <w:t>همچنين در جنگ توابين از گروه اَطبّاء، سخن به ميان آمده است</w:t>
      </w:r>
      <w:r>
        <w:rPr>
          <w:rFonts w:eastAsia="IRNazanin" w:cs="IRNazanin"/>
          <w:color w:val="111111"/>
          <w:sz w:val="28"/>
          <w:szCs w:val="28"/>
          <w:rtl w:val="true"/>
          <w:lang w:bidi="fa-IR"/>
        </w:rPr>
        <w:t xml:space="preserve">. </w:t>
      </w:r>
      <w:r>
        <w:rPr>
          <w:rStyle w:val="FootnoteAnchor"/>
          <w:rtl w:val="true"/>
        </w:rPr>
        <w:footnoteReference w:id="1054"/>
      </w:r>
      <w:bookmarkStart w:id="1275" w:name="pg1964_19702"/>
    </w:p>
    <w:p>
      <w:pPr>
        <w:pStyle w:val="BookText"/>
        <w:rPr/>
      </w:pPr>
      <w:bookmarkEnd w:id="1275"/>
      <w:r>
        <w:rPr>
          <w:rFonts w:ascii="IRNazanin" w:hAnsi="IRNazanin" w:eastAsia="IRNazanin"/>
          <w:color w:val="111111"/>
          <w:sz w:val="28"/>
          <w:sz w:val="28"/>
          <w:szCs w:val="28"/>
          <w:rtl w:val="true"/>
          <w:lang w:bidi="fa-IR"/>
        </w:rPr>
        <w:t>در زمان مورد بحث بيشتر پزشكان را عناصر غير عرب، همانند ايرانى‌ها و مسيحى‌ها تشكيل مى‌دادند؛ زيرا علم طب در ميان آنها پيشرفت شايسته‌اى كرده بود، درحالى‌كه طب اعراب، طبى ابتدايى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كوفه بعضى از اسقف‌ها و كشيش‌هايى كه در ديرهاى اطراف كوفه و همچنين ديرهاى حيره ساكن بودند، به اين شغل نيز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نامگذارى دير كلب چنين گفته‌اند كه در اين دير افرادى كه سگ به آنها حمله كرده بود، معالجه مى‌شدند</w:t>
      </w:r>
      <w:r>
        <w:rPr>
          <w:rFonts w:eastAsia="IRNazanin" w:cs="IRNazanin"/>
          <w:color w:val="111111"/>
          <w:sz w:val="28"/>
          <w:szCs w:val="28"/>
          <w:rtl w:val="true"/>
          <w:lang w:bidi="fa-IR"/>
        </w:rPr>
        <w:t xml:space="preserve">. </w:t>
      </w:r>
      <w:r>
        <w:rPr>
          <w:rStyle w:val="FootnoteAnchor"/>
          <w:rtl w:val="true"/>
        </w:rPr>
        <w:footnoteReference w:id="1055"/>
      </w:r>
      <w:r>
        <w:rPr>
          <w:rFonts w:ascii="IRNazanin" w:hAnsi="IRNazanin" w:eastAsia="IRNazanin"/>
          <w:color w:val="111111"/>
          <w:sz w:val="28"/>
          <w:sz w:val="28"/>
          <w:szCs w:val="28"/>
          <w:rtl w:val="true"/>
          <w:lang w:bidi="fa-IR"/>
        </w:rPr>
        <w:t xml:space="preserve">در جريان شهادت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چنين گفته شده است كه صعصعة بن صوحان پزشكان را بر بالين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كرد و در آن زمان يكى از پزشكانى كه به خوبى نتيجه ضربه را پيش‌بينى كرد، شخصى به نام اثير بن عمرو بن هانى بود كه در كوفه به شغل پزشكى اشتغال داشت</w:t>
      </w:r>
      <w:r>
        <w:rPr>
          <w:rFonts w:eastAsia="IRNazanin" w:cs="IRNazanin"/>
          <w:color w:val="111111"/>
          <w:sz w:val="28"/>
          <w:szCs w:val="28"/>
          <w:rtl w:val="true"/>
          <w:lang w:bidi="fa-IR"/>
        </w:rPr>
        <w:t xml:space="preserve">. </w:t>
      </w:r>
      <w:r>
        <w:rPr>
          <w:rStyle w:val="FootnoteAnchor"/>
          <w:rtl w:val="true"/>
        </w:rPr>
        <w:footnoteReference w:id="1056"/>
      </w:r>
    </w:p>
    <w:p>
      <w:pPr>
        <w:pStyle w:val="Heading3"/>
        <w:numPr>
          <w:ilvl w:val="2"/>
          <w:numId w:val="1"/>
        </w:numPr>
        <w:rPr/>
      </w:pPr>
      <w:bookmarkStart w:id="1276" w:name="__RefHeading___Toc3585505_3650668749"/>
      <w:bookmarkStart w:id="1277" w:name="_Toc549"/>
      <w:bookmarkEnd w:id="1276"/>
      <w:r>
        <w:rPr/>
        <w:t>۵</w:t>
      </w:r>
      <w:r>
        <w:rPr>
          <w:rtl w:val="true"/>
        </w:rPr>
        <w:t xml:space="preserve">. </w:t>
      </w:r>
      <w:r>
        <w:rPr>
          <w:rtl w:val="true"/>
        </w:rPr>
        <w:t>واردات</w:t>
      </w:r>
      <w:bookmarkEnd w:id="1277"/>
    </w:p>
    <w:p>
      <w:pPr>
        <w:pStyle w:val="BookText"/>
        <w:rPr/>
      </w:pPr>
      <w:r>
        <w:rPr>
          <w:rFonts w:ascii="IRNazanin" w:hAnsi="IRNazanin" w:eastAsia="IRNazanin"/>
          <w:color w:val="111111"/>
          <w:sz w:val="28"/>
          <w:sz w:val="28"/>
          <w:szCs w:val="28"/>
          <w:rtl w:val="true"/>
          <w:lang w:bidi="fa-IR"/>
        </w:rPr>
        <w:t>به‌طور كلى واردات كوفه در ابتداى تأسيس آن و پس از گذشت چند دهه، از صادرات آن بيشتر بوده است؛ زيرا از طرفى اين شهر، شهرى نو بنياد بود كه احتياجات فراوانى را مى‌طلبيد و از سوى ديگر، كوفى‌هاى اوليه به سبب درگير بودن در جنگ، از حرفه‌ها و صناعات فراوانى اطلاع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بخش قبل روشن شد كه يكى از اصلى‌ترين واردات كوفه، واردات نيروهاى متخصص و بالتبع واردات اصل صناعات مختلف به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نيروها و دستاوردهاى آنان، به خصوص با توجه به آغاز تجمل‌گرايى در كوفه، همه نياز اين شهر را برآورده نمى‌ساختند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ديگرى كه بر فراوانى واردات كوفه مى‌افزود، ترانزيتى بودن شهر كوفه بود؛ بدين معنا كه بسيارى از واردات در خود اين شهر به مصرف نمى‌رسيد، بلكه</w:t>
      </w:r>
    </w:p>
    <w:p>
      <w:pPr>
        <w:pStyle w:val="BookText"/>
        <w:rPr/>
      </w:pPr>
      <w:r>
        <w:rPr>
          <w:rFonts w:ascii="IRNazanin" w:hAnsi="IRNazanin" w:eastAsia="IRNazanin"/>
          <w:color w:val="111111"/>
          <w:sz w:val="28"/>
          <w:sz w:val="28"/>
          <w:szCs w:val="28"/>
          <w:rtl w:val="true"/>
          <w:lang w:bidi="fa-IR"/>
        </w:rPr>
        <w:t>مردم اين شهر، نقش تاجران عمده را داشتند و از نقاط مختلف كالاهاى متفاوت وارد كوفه نموده و مازاد آن را به شهرهاى ديگر صادر مى‌كردند</w:t>
      </w:r>
      <w:r>
        <w:rPr>
          <w:rFonts w:eastAsia="IRNazanin" w:cs="IRNazanin"/>
          <w:color w:val="111111"/>
          <w:sz w:val="28"/>
          <w:szCs w:val="28"/>
          <w:rtl w:val="true"/>
          <w:lang w:bidi="fa-IR"/>
        </w:rPr>
        <w:t xml:space="preserve">.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به‌طور كلى بعضى نويسندگان كوفه‌پژوه، واردات كوفه در قرن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كه بخش عمده‌اى از آن شامل زمان مورد بحث نيز مى‌شود، از قرار زير شمرده‌اند</w:t>
      </w:r>
      <w:r>
        <w:rPr>
          <w:rFonts w:eastAsia="IRNazanin" w:cs="IRNazanin"/>
          <w:color w:val="111111"/>
          <w:sz w:val="28"/>
          <w:szCs w:val="28"/>
          <w:rtl w:val="true"/>
          <w:lang w:bidi="fa-IR"/>
        </w:rPr>
        <w:t xml:space="preserve">. </w:t>
      </w:r>
      <w:r>
        <w:rPr>
          <w:rStyle w:val="FootnoteAnchor"/>
          <w:rtl w:val="true"/>
        </w:rPr>
        <w:footnoteReference w:id="1058"/>
      </w:r>
      <w:r>
        <w:rPr>
          <w:rFonts w:ascii="IRNazanin" w:hAnsi="IRNazanin" w:eastAsia="IRNazanin"/>
          <w:color w:val="111111"/>
          <w:sz w:val="28"/>
          <w:sz w:val="28"/>
          <w:szCs w:val="28"/>
          <w:rtl w:val="true"/>
          <w:lang w:bidi="fa-IR"/>
        </w:rPr>
        <w:t>گفتنى است كه مبناى تقسيم‌بندى ايشان شهرهاى مختلف و كشورهاى گوناگون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خرما، خز، آب گل، گلاب، حنا و لباس‌هاى كتانى نازك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پرده‌ها و گليم‌ها كه در مصارف مختلف آويزان كردن بر درها و فرش نمودن زمين از آن استفاده مى‌شد و نيز قماش موصلى، گندم، جو، عسل، پنير، سماق، انار، قير، آهن، انواع چاقوها و سرنيزه‌ها و زنجيرها و نمك</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الجزيره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در بين النهرين و بين شام و عراق كه در سال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مردم آن با سپاه سعد صلح كردند</w:t>
      </w:r>
      <w:r>
        <w:rPr>
          <w:rFonts w:eastAsia="IRNazanin" w:cs="IRNazanin"/>
          <w:color w:val="111111"/>
          <w:sz w:val="28"/>
          <w:szCs w:val="28"/>
          <w:rtl w:val="true"/>
          <w:lang w:bidi="fa-IR"/>
        </w:rPr>
        <w:t xml:space="preserve">) . </w:t>
      </w:r>
      <w:r>
        <w:rPr>
          <w:rStyle w:val="FootnoteAnchor"/>
          <w:rtl w:val="true"/>
        </w:rPr>
        <w:footnoteReference w:id="1059"/>
      </w:r>
      <w:r>
        <w:rPr>
          <w:rFonts w:ascii="IRNazanin" w:hAnsi="IRNazanin" w:eastAsia="IRNazanin"/>
          <w:color w:val="111111"/>
          <w:sz w:val="28"/>
          <w:sz w:val="28"/>
          <w:szCs w:val="28"/>
          <w:rtl w:val="true"/>
          <w:lang w:bidi="fa-IR"/>
        </w:rPr>
        <w:t>اسبان اصيل عربى، شتران نيك‌نژاد، پوست، گردو، بادام و روغن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ميسان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شهرى واقع بين بصره و واسط و در فاصله چهار روزى بصره كه در زمان عمر فتح شد</w:t>
      </w:r>
      <w:r>
        <w:rPr>
          <w:rFonts w:eastAsia="IRNazanin" w:cs="IRNazanin"/>
          <w:color w:val="111111"/>
          <w:sz w:val="28"/>
          <w:szCs w:val="28"/>
          <w:rtl w:val="true"/>
          <w:lang w:bidi="fa-IR"/>
        </w:rPr>
        <w:t xml:space="preserve">.) </w:t>
      </w:r>
      <w:r>
        <w:rPr>
          <w:rStyle w:val="FootnoteAnchor"/>
          <w:rtl w:val="true"/>
        </w:rPr>
        <w:footnoteReference w:id="1060"/>
      </w:r>
      <w:r>
        <w:rPr>
          <w:rFonts w:ascii="IRNazanin" w:hAnsi="IRNazanin" w:eastAsia="IRNazanin"/>
          <w:color w:val="111111"/>
          <w:sz w:val="28"/>
          <w:sz w:val="28"/>
          <w:szCs w:val="28"/>
          <w:rtl w:val="true"/>
          <w:lang w:bidi="fa-IR"/>
        </w:rPr>
        <w:t xml:space="preserve">انواع پرده‌ها و متكاها و نمطها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گليم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نوعى كوزه مخصوص به نام كوزه‌هاى مذارى كه در يكى از دهات ميسان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مى‌شد و به اين صفت مشهور بود كه آب از آن تراوش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واسط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واسط كه بعد از زمان مورد بحث و در زمان فرماندارى حجاج بر عراق در سال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شد، شهرى بود بين كوفه و بصره كه با هر كدام پنجاه فرسخ فاصله داشت</w:t>
      </w:r>
      <w:r>
        <w:rPr>
          <w:rFonts w:eastAsia="IRNazanin" w:cs="IRNazanin"/>
          <w:color w:val="111111"/>
          <w:sz w:val="28"/>
          <w:szCs w:val="28"/>
          <w:rtl w:val="true"/>
          <w:lang w:bidi="fa-IR"/>
        </w:rPr>
        <w:t xml:space="preserve">.) </w:t>
      </w:r>
      <w:r>
        <w:rPr>
          <w:rStyle w:val="FootnoteAnchor"/>
          <w:rtl w:val="true"/>
        </w:rPr>
        <w:footnoteReference w:id="1061"/>
      </w:r>
      <w:r>
        <w:rPr>
          <w:rFonts w:ascii="IRNazanin" w:hAnsi="IRNazanin" w:eastAsia="IRNazanin"/>
          <w:color w:val="111111"/>
          <w:sz w:val="28"/>
          <w:sz w:val="28"/>
          <w:szCs w:val="28"/>
          <w:rtl w:val="true"/>
          <w:lang w:bidi="fa-IR"/>
        </w:rPr>
        <w:t>انواع گليم‌ها و پرده‌ها و حصيرها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شهرى بود در جانب شرقى فرات كه مردم آن در سال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با سعد بن ابى‌وقاص صلح كردند</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زيتون و روغن زيتون، صابون خوب و انواع قلم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حُلْوان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شهرهاى مهم ايران كه بعدها بغداد نزديك آن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مسلمانان فتح گرديد</w:t>
      </w:r>
      <w:r>
        <w:rPr>
          <w:rFonts w:eastAsia="IRNazanin" w:cs="IRNazanin"/>
          <w:color w:val="111111"/>
          <w:sz w:val="28"/>
          <w:szCs w:val="28"/>
          <w:rtl w:val="true"/>
          <w:lang w:bidi="fa-IR"/>
        </w:rPr>
        <w:t xml:space="preserve">.) </w:t>
      </w:r>
      <w:r>
        <w:rPr>
          <w:rStyle w:val="FootnoteAnchor"/>
          <w:rtl w:val="true"/>
        </w:rPr>
        <w:footnoteReference w:id="1063"/>
      </w:r>
      <w:r>
        <w:rPr>
          <w:rFonts w:ascii="Amiri" w:hAnsi="Amiri" w:eastAsia="Amiri" w:cs="Amiri"/>
          <w:color w:val="111111"/>
          <w:sz w:val="28"/>
          <w:sz w:val="28"/>
          <w:szCs w:val="28"/>
          <w:rtl w:val="true"/>
          <w:lang w:bidi="ar-SA"/>
        </w:rPr>
        <w:t xml:space="preserve">انار، نوعى ترشى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انجير كه انجير حلوانى مشهور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حَرّان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شهرى در راه موصل و شام كه مركز محله مذهبى صابئين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شهر در زمان عمر فتح شده بود</w:t>
      </w:r>
      <w:r>
        <w:rPr>
          <w:rFonts w:eastAsia="Amiri" w:cs="Amiri" w:ascii="Amiri" w:hAnsi="Amiri"/>
          <w:color w:val="111111"/>
          <w:sz w:val="28"/>
          <w:szCs w:val="28"/>
          <w:rtl w:val="true"/>
          <w:lang w:bidi="ar-SA"/>
        </w:rPr>
        <w:t xml:space="preserve">.) </w:t>
      </w:r>
      <w:r>
        <w:rPr>
          <w:rStyle w:val="FootnoteAnchor"/>
          <w:rtl w:val="true"/>
        </w:rPr>
        <w:footnoteReference w:id="1064"/>
      </w:r>
      <w:r>
        <w:rPr>
          <w:rFonts w:ascii="IRNazanin" w:hAnsi="IRNazanin" w:eastAsia="IRNazanin"/>
          <w:color w:val="111111"/>
          <w:sz w:val="28"/>
          <w:sz w:val="28"/>
          <w:szCs w:val="28"/>
          <w:rtl w:val="true"/>
          <w:lang w:bidi="fa-IR"/>
        </w:rPr>
        <w:t>انواع ترازو، عسل و پنبه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نصيبين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شهرى بود بر سر راه موصل به شام كه شش روز راه تا موصل فاصله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شهر در سال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تصرف مسلمانان درآمد</w:t>
      </w:r>
      <w:r>
        <w:rPr>
          <w:rFonts w:eastAsia="Amiri" w:cs="Amiri" w:ascii="Amiri" w:hAnsi="Amiri"/>
          <w:color w:val="111111"/>
          <w:sz w:val="28"/>
          <w:szCs w:val="28"/>
          <w:rtl w:val="true"/>
          <w:lang w:bidi="ar-SA"/>
        </w:rPr>
        <w:t xml:space="preserve">.) </w:t>
      </w:r>
      <w:r>
        <w:rPr>
          <w:rStyle w:val="FootnoteAnchor"/>
          <w:rtl w:val="true"/>
        </w:rPr>
        <w:footnoteReference w:id="1065"/>
      </w:r>
      <w:r>
        <w:rPr>
          <w:rFonts w:ascii="IRNazanin" w:hAnsi="IRNazanin" w:eastAsia="IRNazanin"/>
          <w:color w:val="111111"/>
          <w:sz w:val="28"/>
          <w:sz w:val="28"/>
          <w:szCs w:val="28"/>
          <w:rtl w:val="true"/>
          <w:lang w:bidi="fa-IR"/>
        </w:rPr>
        <w:t>بلوط، سنگ شيشه و انواع ترازو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پارچه‌هاى حريرى، پنبه و پارچه‌هاى پنبه‌اى، روغن زيتون، شكر، سيب، زيتون، انجير، شيشه و وسايل شيشه‌اى، شمشيرهاى معروف به شمشيرهاى دمشقى و مشرفى كه نوع اخير در يكى از توابع شام به نام مشارف توليد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يمانى، حلّه يمانى و حلّه نجرانى و حلّه عَدَنى، پوست، زعفران، گياه اسپرگ براى مصرف رنگ‌سازى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 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حنا، بخور، سپرهاى يمانى، شمشيرهاى يمانى، قاطر، الاغ و لباس‌هايى معروف به لباس‌هاى سعيديه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پارچه‌هاى پنبه‌اى و انواع مختلف لباس، به‌ويژه لباس‌هاى تابستانى و كتانى، قاطر، الاغ و روغن درخت بَلَسان كه درختى است كوچك، همانند حنا كه روغنش معطر است و گل‌هاى كوچك دارد</w:t>
      </w:r>
      <w:r>
        <w:rPr>
          <w:rFonts w:eastAsia="IRNazanin" w:cs="IRNazanin"/>
          <w:color w:val="111111"/>
          <w:sz w:val="28"/>
          <w:szCs w:val="28"/>
          <w:rtl w:val="true"/>
          <w:lang w:bidi="fa-IR"/>
        </w:rPr>
        <w:t>.</w:t>
      </w:r>
      <w:bookmarkStart w:id="1278" w:name="pg1964_19708"/>
    </w:p>
    <w:p>
      <w:pPr>
        <w:pStyle w:val="BookText"/>
        <w:rPr/>
      </w:pPr>
      <w:bookmarkEnd w:id="1278"/>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نَمَد، لباس‌هاى پشمى، نوعى تغار كه از بيخ درخت خرما و غير آن مى‌ساختند و براى ريختن آب انگور در آن استفاده مى‌كردند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مى‌ناميدند، انواع جوراب، انواع شمشير، انواع بازهاى شكارى سياه رنگ و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و كنيز</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انواع مس، پارچه‌هاى پنبه‌اى و پشمى، زنبق سيماب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ماده‌اى معدنى كه منجمد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لباس‌هاى كتانى و لباس‌هايى معروف به سابرى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انواع آينه، انواع قفل و زنجيرهاى معروف به جامعه، انواع شمشير و سپر، گلاب، روغن نيلوفر، روغن ياسمين و گِل سر شوى، معروف به گل سيرافى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 سيرافى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اسبان اصيل، لباس‌هاى مروى و بورياهاى مروى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ادويه، كافور، عطرهاى هندى، بادام هندى، قَرَنْفُل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 درختى همانند ياسمين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قطيفه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حاشيه‌دار و ريشه‌دار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چوب درخت آبنوس، ياقوت، الماس، پوست پلنگ و فيل و شمشيرهاى معروف به شمشيرهاى قلعيه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السيوف القلعيه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حرير و لباس‌هاى حريرى، پارچه ديباج، مشك، ظروف نقره‌اى و طلايى، مداد، كاغذ، طاووس، زين، طلا، كنيزكان، گياهان دارويى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كاسه‌هاى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انواع مشك</w:t>
      </w:r>
      <w:r>
        <w:rPr>
          <w:rFonts w:eastAsia="Amiri" w:cs="Amiri" w:ascii="Amiri" w:hAnsi="Amiri"/>
          <w:color w:val="111111"/>
          <w:sz w:val="28"/>
          <w:szCs w:val="28"/>
          <w:rtl w:val="true"/>
          <w:lang w:bidi="ar-SA"/>
        </w:rPr>
        <w:t>.</w:t>
      </w:r>
    </w:p>
    <w:p>
      <w:pPr>
        <w:pStyle w:val="Heading3"/>
        <w:numPr>
          <w:ilvl w:val="2"/>
          <w:numId w:val="1"/>
        </w:numPr>
        <w:rPr/>
      </w:pPr>
      <w:bookmarkStart w:id="1279" w:name="__RefHeading___Toc3585507_3650668749"/>
      <w:bookmarkStart w:id="1280" w:name="_Toc550"/>
      <w:bookmarkEnd w:id="1279"/>
      <w:r>
        <w:rPr/>
        <w:t>۶</w:t>
      </w:r>
      <w:r>
        <w:rPr>
          <w:rtl w:val="true"/>
        </w:rPr>
        <w:t xml:space="preserve">. </w:t>
      </w:r>
      <w:r>
        <w:rPr>
          <w:rtl w:val="true"/>
        </w:rPr>
        <w:t>صادرات</w:t>
      </w:r>
      <w:bookmarkEnd w:id="128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نيز صادراتى ذكر مى‌شود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خود شهر كوفه بوده و جنبه ترانزيتى نداشته است،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آن مربوط به قرن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اگر چه از زمان مورد بحث فراتر باشد</w:t>
      </w:r>
      <w:r>
        <w:rPr>
          <w:rFonts w:eastAsia="IRNazanin" w:cs="IRNazanin"/>
          <w:color w:val="111111"/>
          <w:sz w:val="28"/>
          <w:szCs w:val="28"/>
          <w:rtl w:val="true"/>
          <w:lang w:bidi="fa-IR"/>
        </w:rPr>
        <w:t>.</w:t>
      </w:r>
      <w:bookmarkStart w:id="1281" w:name="pg1964_19710"/>
    </w:p>
    <w:p>
      <w:pPr>
        <w:pStyle w:val="BookText"/>
        <w:rPr/>
      </w:pPr>
      <w:bookmarkEnd w:id="1281"/>
      <w:r>
        <w:rPr>
          <w:rFonts w:ascii="Amiri" w:hAnsi="Amiri" w:eastAsia="Amiri" w:cs="Amiri"/>
          <w:color w:val="111111"/>
          <w:sz w:val="28"/>
          <w:sz w:val="28"/>
          <w:szCs w:val="28"/>
          <w:rtl w:val="true"/>
          <w:lang w:bidi="ar-SA"/>
        </w:rPr>
        <w:t>اين صادرات عبارت بود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مختلف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خرماى مُشان، پزيسان، هيروان، ازاد كه از بهترين انواع خرما به شمار مى‌رفته و كوفه به آن مشهور بوده است</w:t>
      </w:r>
      <w:r>
        <w:rPr>
          <w:rFonts w:eastAsia="IRNazanin" w:cs="IRNazanin"/>
          <w:color w:val="111111"/>
          <w:sz w:val="28"/>
          <w:szCs w:val="28"/>
          <w:rtl w:val="true"/>
          <w:lang w:bidi="fa-IR"/>
        </w:rPr>
        <w:t xml:space="preserve">. </w:t>
      </w:r>
      <w:r>
        <w:rPr>
          <w:rStyle w:val="FootnoteAnchor"/>
          <w:rtl w:val="true"/>
        </w:rPr>
        <w:footnoteReference w:id="1066"/>
      </w:r>
      <w:r>
        <w:rPr>
          <w:rFonts w:ascii="Amiri" w:hAnsi="Amiri" w:eastAsia="Amiri" w:cs="Amiri"/>
          <w:color w:val="111111"/>
          <w:sz w:val="28"/>
          <w:sz w:val="28"/>
          <w:szCs w:val="28"/>
          <w:rtl w:val="true"/>
          <w:lang w:bidi="ar-SA"/>
        </w:rPr>
        <w:t xml:space="preserve">مشخصات اين نوع خرماها در فصل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جغرافياى طبيعى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قسب العَنْبَر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گياه در رنگ‌رزى فراوان به كار مى‌رفت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روسرى‌ها معمولاً به حجاز صادر مى‌شد</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دستمال‌هاى سر معروف به كوفيه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چفيه</w:t>
      </w:r>
      <w:r>
        <w:rPr>
          <w:rFonts w:eastAsia="IRNazanin" w:cs="IRNazanin"/>
          <w:color w:val="111111"/>
          <w:sz w:val="28"/>
          <w:szCs w:val="28"/>
          <w:rtl w:val="true"/>
          <w:lang w:bidi="fa-IR"/>
        </w:rPr>
        <w:t xml:space="preserve">) </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 زمان مورد بحث هنوز كوفيه معمول نشده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جامه‌هاى نگارين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جامه‌ها در كوفه توليد مى‌شد و كوفه در قرن اول به صناعت آن مشهور بود</w:t>
      </w:r>
      <w:r>
        <w:rPr>
          <w:rFonts w:eastAsia="IRNazanin" w:cs="IRNazanin"/>
          <w:color w:val="111111"/>
          <w:sz w:val="28"/>
          <w:szCs w:val="28"/>
          <w:rtl w:val="true"/>
          <w:lang w:bidi="fa-IR"/>
        </w:rPr>
        <w:t xml:space="preserve">. </w:t>
      </w:r>
      <w:r>
        <w:rPr>
          <w:rStyle w:val="FootnoteAnchor"/>
          <w:rtl w:val="true"/>
        </w:rPr>
        <w:footnoteReference w:id="106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عمامه‌هاى خَز</w:t>
      </w:r>
      <w:r>
        <w:rPr>
          <w:rFonts w:eastAsia="IRNazanin" w:cs="IRNazanin"/>
          <w:color w:val="111111"/>
          <w:sz w:val="28"/>
          <w:szCs w:val="28"/>
          <w:rtl w:val="true"/>
          <w:lang w:bidi="fa-IR"/>
        </w:rPr>
        <w:t xml:space="preserve">. </w:t>
      </w:r>
      <w:r>
        <w:rPr>
          <w:rStyle w:val="FootnoteAnchor"/>
          <w:rtl w:val="true"/>
        </w:rPr>
        <w:footnoteReference w:id="107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روغن بنفشه</w:t>
      </w:r>
      <w:r>
        <w:rPr>
          <w:rFonts w:eastAsia="IRNazanin" w:cs="IRNazanin"/>
          <w:color w:val="111111"/>
          <w:sz w:val="28"/>
          <w:szCs w:val="28"/>
          <w:rtl w:val="true"/>
          <w:lang w:bidi="fa-IR"/>
        </w:rPr>
        <w:t xml:space="preserve">. </w:t>
      </w:r>
      <w:r>
        <w:rPr>
          <w:rStyle w:val="FootnoteAnchor"/>
          <w:rtl w:val="true"/>
        </w:rPr>
        <w:footnoteReference w:id="1071"/>
      </w:r>
    </w:p>
    <w:p>
      <w:pPr>
        <w:pStyle w:val="Heading3"/>
        <w:numPr>
          <w:ilvl w:val="2"/>
          <w:numId w:val="1"/>
        </w:numPr>
        <w:rPr/>
      </w:pPr>
      <w:bookmarkStart w:id="1282" w:name="__RefHeading___Toc3585509_3650668749"/>
      <w:bookmarkStart w:id="1283" w:name="_Toc551"/>
      <w:bookmarkEnd w:id="1282"/>
      <w:r>
        <w:rPr/>
        <w:t>٧</w:t>
      </w:r>
      <w:r>
        <w:rPr>
          <w:rtl w:val="true"/>
        </w:rPr>
        <w:t xml:space="preserve">. </w:t>
      </w:r>
      <w:r>
        <w:rPr>
          <w:rtl w:val="true"/>
        </w:rPr>
        <w:t>كشاورزى</w:t>
      </w:r>
      <w:bookmarkEnd w:id="1283"/>
    </w:p>
    <w:p>
      <w:pPr>
        <w:pStyle w:val="Heading4"/>
        <w:numPr>
          <w:ilvl w:val="3"/>
          <w:numId w:val="1"/>
        </w:numPr>
        <w:rPr/>
      </w:pPr>
      <w:bookmarkStart w:id="1284" w:name="__RefHeading___Toc3585511_3650668749"/>
      <w:bookmarkStart w:id="1285" w:name="_Toc552"/>
      <w:bookmarkEnd w:id="1284"/>
      <w:r>
        <w:rPr>
          <w:rtl w:val="true"/>
        </w:rPr>
        <w:t>چگونگى آبيارى</w:t>
      </w:r>
      <w:bookmarkEnd w:id="128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آنكه بخش عظيمى از زمين‌هاى كوفه و توابع آن به سبب نزديك بودن به فرات و نيز جلگه‌اى و حاصلخيز بودن زمين، محصول خوبى را به بار مى‌آورد، به‌گونه‌اى كه بخش مهمى از سواد عراق را كه از شدت سرسبزى به آن سواد</w:t>
      </w:r>
    </w:p>
    <w:p>
      <w:pPr>
        <w:pStyle w:val="BookText"/>
        <w:rPr/>
      </w:pPr>
      <w:r>
        <w:rPr>
          <w:rFonts w:ascii="IRNazanin" w:hAnsi="IRNazanin" w:eastAsia="IRNazanin"/>
          <w:color w:val="111111"/>
          <w:sz w:val="28"/>
          <w:sz w:val="28"/>
          <w:szCs w:val="28"/>
          <w:rtl w:val="true"/>
          <w:lang w:bidi="fa-IR"/>
        </w:rPr>
        <w:t xml:space="preserve">مى‌گفتند، در برداشت </w:t>
      </w:r>
      <w:r>
        <w:rPr>
          <w:rStyle w:val="FootnoteAnchor"/>
          <w:rtl w:val="true"/>
        </w:rPr>
        <w:footnoteReference w:id="1072"/>
      </w:r>
      <w:r>
        <w:rPr>
          <w:rFonts w:ascii="IRNazanin" w:hAnsi="IRNazanin" w:eastAsia="IRNazanin"/>
          <w:color w:val="111111"/>
          <w:sz w:val="28"/>
          <w:sz w:val="28"/>
          <w:szCs w:val="28"/>
          <w:rtl w:val="true"/>
          <w:lang w:bidi="fa-IR"/>
        </w:rPr>
        <w:t>، اما به علت مشغول بودن عرب‌ها به فتوحات در زمان عمر و عثمان و نيز ناآشنا بودن اعراب به فن آبيارى و زراعت و پست شمرده شدن اين فن از سوى آنان اين زمين‌ها عملاً از اختيار آنها خارج بوده و ايرانيان و ديگر مهاجران به بهره‌بردارى از اين زمين‌هاى حاصلخيز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مستقر شدن در كوفه اهميت فراوانى به كشاورزى داد و مردم را به اين امر تشويق فراوان نمود و خود اقدام به حفر نهرها و كانال‌هاى مختلف كرد يا دستور آن را صادر نمود</w:t>
      </w:r>
      <w:r>
        <w:rPr>
          <w:rFonts w:eastAsia="IRNazanin" w:cs="IRNazanin"/>
          <w:color w:val="111111"/>
          <w:sz w:val="28"/>
          <w:szCs w:val="28"/>
          <w:rtl w:val="true"/>
          <w:lang w:bidi="fa-IR"/>
        </w:rPr>
        <w:t xml:space="preserve">. </w:t>
      </w:r>
      <w:r>
        <w:rPr>
          <w:rStyle w:val="FootnoteAnchor"/>
          <w:rtl w:val="true"/>
        </w:rPr>
        <w:footnoteReference w:id="1073"/>
      </w:r>
      <w:r>
        <w:rPr>
          <w:rFonts w:ascii="IRNazanin" w:hAnsi="IRNazanin" w:eastAsia="IRNazanin"/>
          <w:color w:val="111111"/>
          <w:sz w:val="28"/>
          <w:sz w:val="28"/>
          <w:szCs w:val="28"/>
          <w:rtl w:val="true"/>
          <w:lang w:bidi="fa-IR"/>
        </w:rPr>
        <w:t>همچنين به منظور تشويق هر چه بيشتر مردم، زمين‌هاى موات را كه آباد مى‌نمودند، در اختيار آنها قرار مى‌داد</w:t>
      </w:r>
      <w:r>
        <w:rPr>
          <w:rFonts w:eastAsia="IRNazanin" w:cs="IRNazanin"/>
          <w:color w:val="111111"/>
          <w:sz w:val="28"/>
          <w:szCs w:val="28"/>
          <w:rtl w:val="true"/>
          <w:lang w:bidi="fa-IR"/>
        </w:rPr>
        <w:t xml:space="preserve">. </w:t>
      </w:r>
      <w:r>
        <w:rPr>
          <w:rStyle w:val="FootnoteAnchor"/>
          <w:rtl w:val="true"/>
        </w:rPr>
        <w:footnoteReference w:id="1074"/>
      </w:r>
      <w:r>
        <w:rPr>
          <w:rFonts w:ascii="Amiri" w:hAnsi="Amiri" w:eastAsia="Amiri" w:cs="Amiri"/>
          <w:color w:val="111111"/>
          <w:sz w:val="28"/>
          <w:sz w:val="28"/>
          <w:szCs w:val="28"/>
          <w:rtl w:val="true"/>
          <w:lang w:bidi="ar-SA"/>
        </w:rPr>
        <w:t>آن حضرت در بعضى روايات كه مربوط به همين زمان است، استفاده از كود انسانى براى تقويت زمين را بلامانع دانسته‌اند</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زياد بن ابيه نيز در دوران حكومت خود بر كوفه، به اصلاح وضع كشاورزى و آبيارى همت گماشت و با حفر نهرها، كانال‌ها، قنات‌ها و نيز بناى پل‌ها و سيل بندها، اين امر را پيشرفت داد</w:t>
      </w:r>
      <w:r>
        <w:rPr>
          <w:rFonts w:eastAsia="IRNazanin" w:cs="IRNazanin"/>
          <w:color w:val="111111"/>
          <w:sz w:val="28"/>
          <w:szCs w:val="28"/>
          <w:rtl w:val="true"/>
          <w:lang w:bidi="fa-IR"/>
        </w:rPr>
        <w:t xml:space="preserve">. </w:t>
      </w:r>
      <w:r>
        <w:rPr>
          <w:rStyle w:val="FootnoteAnchor"/>
          <w:rtl w:val="true"/>
        </w:rPr>
        <w:footnoteReference w:id="1076"/>
      </w:r>
      <w:r>
        <w:rPr>
          <w:rFonts w:ascii="IRNazanin" w:hAnsi="IRNazanin" w:eastAsia="IRNazanin"/>
          <w:color w:val="111111"/>
          <w:sz w:val="28"/>
          <w:sz w:val="28"/>
          <w:szCs w:val="28"/>
          <w:rtl w:val="true"/>
          <w:lang w:bidi="fa-IR"/>
        </w:rPr>
        <w:t>در اين زمان‌ها، به علت كم شدن فتوحات، اعراب خود به كشاورزى مى‌پرداختند و فن آبيارى را كه عمدتاً از ايرانيان آموخته بودند، به اجرا مى‌گذاشتند</w:t>
      </w:r>
      <w:r>
        <w:rPr>
          <w:rFonts w:eastAsia="IRNazanin" w:cs="IRNazanin"/>
          <w:color w:val="111111"/>
          <w:sz w:val="28"/>
          <w:szCs w:val="28"/>
          <w:rtl w:val="true"/>
          <w:lang w:bidi="fa-IR"/>
        </w:rPr>
        <w:t xml:space="preserve">. </w:t>
      </w:r>
      <w:r>
        <w:rPr>
          <w:rStyle w:val="FootnoteAnchor"/>
          <w:rtl w:val="true"/>
        </w:rPr>
        <w:footnoteReference w:id="107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آبيارى در كوفه، به دو صورت ديمى و آبى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ديمى، مردم منتظر باران مى‌ماندند و بارش به موقع باران يا عدم بارش آن، موجب به بار نشستن محصولات آنان يا كاهش محصولات مى‌شد</w:t>
      </w:r>
      <w:r>
        <w:rPr>
          <w:rFonts w:eastAsia="IRNazanin" w:cs="IRNazanin"/>
          <w:color w:val="111111"/>
          <w:sz w:val="28"/>
          <w:szCs w:val="28"/>
          <w:rtl w:val="true"/>
          <w:lang w:bidi="fa-IR"/>
        </w:rPr>
        <w:t xml:space="preserve">. </w:t>
      </w:r>
      <w:r>
        <w:rPr>
          <w:rStyle w:val="FootnoteAnchor"/>
          <w:rtl w:val="true"/>
        </w:rPr>
        <w:footnoteReference w:id="1078"/>
      </w:r>
      <w:r>
        <w:rPr>
          <w:rFonts w:ascii="IRNazanin" w:hAnsi="IRNazanin" w:eastAsia="IRNazanin"/>
          <w:color w:val="111111"/>
          <w:sz w:val="28"/>
          <w:sz w:val="28"/>
          <w:szCs w:val="28"/>
          <w:rtl w:val="true"/>
          <w:lang w:bidi="fa-IR"/>
        </w:rPr>
        <w:t>به نظر مى‌رسد، بيشتر مردم غرب كوفه كه از فرات دورتر بوده‌اند وابستگى بيشترى به اين روش آبيارى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 آبى، آنها كه دسترسى به آب فرات داشتند، با حفر كانال و جوى، آب را به زمين‌هاى خود مى‌رساندند و آنها كه دورتر بودند، از چاه و قنات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علت نقصان آب فرات در تابستان حتى بعضى از نقاط نزديك به فرات ناچار بودند براى آبيارى از چاه استفاده كنند</w:t>
      </w:r>
      <w:r>
        <w:rPr>
          <w:rFonts w:eastAsia="IRNazanin" w:cs="IRNazanin"/>
          <w:color w:val="111111"/>
          <w:sz w:val="28"/>
          <w:szCs w:val="28"/>
          <w:rtl w:val="true"/>
          <w:lang w:bidi="fa-IR"/>
        </w:rPr>
        <w:t xml:space="preserve">.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كوفيان و مردم اطراف آن از وسايل پيشرفته آن روز، ناعور، دولاب و داليه نيز براى آبيارى استفاده مى‌كردند</w:t>
      </w:r>
      <w:r>
        <w:rPr>
          <w:rFonts w:eastAsia="IRNazanin" w:cs="IRNazanin"/>
          <w:color w:val="111111"/>
          <w:sz w:val="28"/>
          <w:szCs w:val="28"/>
          <w:rtl w:val="true"/>
          <w:lang w:bidi="fa-IR"/>
        </w:rPr>
        <w:t xml:space="preserve">. </w:t>
      </w:r>
      <w:r>
        <w:rPr>
          <w:rStyle w:val="FootnoteAnchor"/>
          <w:rtl w:val="true"/>
        </w:rPr>
        <w:footnoteReference w:id="1080"/>
      </w:r>
      <w:r>
        <w:rPr>
          <w:rFonts w:ascii="IRNazanin" w:hAnsi="IRNazanin" w:eastAsia="IRNazanin"/>
          <w:color w:val="111111"/>
          <w:sz w:val="28"/>
          <w:sz w:val="28"/>
          <w:szCs w:val="28"/>
          <w:rtl w:val="true"/>
          <w:lang w:bidi="fa-IR"/>
        </w:rPr>
        <w:t>ناعور، نوعى چرخ چاه بود كه جريان آب، آن را به حركت در مى‌آورد</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به نظر مى‌رسد دلوهايى به آن متصل بوده كه اين دلوها با حركت متناوب چرخ، پُر از آب مى‌شد و به سمتى كه بايد ريخته مى‌شد،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نهروان از اين نوع آبيارى استفاده فراوان مى‌كردند</w:t>
      </w:r>
      <w:r>
        <w:rPr>
          <w:rFonts w:eastAsia="IRNazanin" w:cs="IRNazanin"/>
          <w:color w:val="111111"/>
          <w:sz w:val="28"/>
          <w:szCs w:val="28"/>
          <w:rtl w:val="true"/>
          <w:lang w:bidi="fa-IR"/>
        </w:rPr>
        <w:t xml:space="preserve">. </w:t>
      </w:r>
      <w:r>
        <w:rPr>
          <w:rStyle w:val="FootnoteAnchor"/>
          <w:rtl w:val="true"/>
        </w:rPr>
        <w:footnoteReference w:id="1082"/>
      </w:r>
      <w:r>
        <w:rPr>
          <w:rFonts w:ascii="IRNazanin" w:hAnsi="IRNazanin" w:eastAsia="IRNazanin"/>
          <w:color w:val="111111"/>
          <w:sz w:val="28"/>
          <w:sz w:val="28"/>
          <w:szCs w:val="28"/>
          <w:rtl w:val="true"/>
          <w:lang w:bidi="fa-IR"/>
        </w:rPr>
        <w:t>دولاب، چرخ چاهى بود كه به وسيله اسب يا گاو ماده به حركت در مى‌آمد و آب را از چاه بيرون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داليه نيز به چرخ چاهى گفته مى‌شد كه معمولاً به وسيله گاوهاى ماده و نر به حركت درمى‌آمد</w:t>
      </w:r>
      <w:r>
        <w:rPr>
          <w:rFonts w:eastAsia="IRNazanin" w:cs="IRNazanin"/>
          <w:color w:val="111111"/>
          <w:sz w:val="28"/>
          <w:szCs w:val="28"/>
          <w:rtl w:val="true"/>
          <w:lang w:bidi="fa-IR"/>
        </w:rPr>
        <w:t xml:space="preserve">. </w:t>
      </w:r>
      <w:r>
        <w:rPr>
          <w:rStyle w:val="FootnoteAnchor"/>
          <w:rtl w:val="true"/>
        </w:rPr>
        <w:footnoteReference w:id="108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نكته‌اى كه در پايان اين بحث يادآورى آن لازم است اينكه در بعضى منابع چنين آمده كه زمين كوفه سخت‌تر از زمين‌هاى ديگر بوده است و به همين علت زمين‌هاى شهرهاى ديگر با دو گاو يا دو الاغ شخم زده مى‌شد، اما شخم زدن زمين كوفه احتياج به شش گاو داشت</w:t>
      </w:r>
      <w:r>
        <w:rPr>
          <w:rFonts w:eastAsia="IRNazanin" w:cs="IRNazanin"/>
          <w:color w:val="111111"/>
          <w:sz w:val="28"/>
          <w:szCs w:val="28"/>
          <w:rtl w:val="true"/>
          <w:lang w:bidi="fa-IR"/>
        </w:rPr>
        <w:t xml:space="preserve">. </w:t>
      </w:r>
      <w:r>
        <w:rPr>
          <w:rStyle w:val="FootnoteAnchor"/>
          <w:rtl w:val="true"/>
        </w:rPr>
        <w:footnoteReference w:id="1084"/>
      </w:r>
      <w:r>
        <w:rPr>
          <w:rFonts w:ascii="IRNazanin" w:hAnsi="IRNazanin" w:eastAsia="IRNazanin"/>
          <w:color w:val="111111"/>
          <w:sz w:val="28"/>
          <w:sz w:val="28"/>
          <w:szCs w:val="28"/>
          <w:rtl w:val="true"/>
          <w:lang w:bidi="fa-IR"/>
        </w:rPr>
        <w:t>اين عبارت تاريخى، بيانگر چگونگى شخم زدن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اين ويژگى زمين‌هاى قسمت غربى كوفه كه از فرات فاصله داشتند، بوده است؛ زيرا زمين‌هاى سمت شرق، بسيار حاصل‌خيز بوده و محصول به راحتى از آنها به دست مى‌آمد</w:t>
      </w:r>
      <w:r>
        <w:rPr>
          <w:rFonts w:eastAsia="IRNazanin" w:cs="IRNazanin"/>
          <w:color w:val="111111"/>
          <w:sz w:val="28"/>
          <w:szCs w:val="28"/>
          <w:rtl w:val="true"/>
          <w:lang w:bidi="fa-IR"/>
        </w:rPr>
        <w:t>.</w:t>
      </w:r>
      <w:bookmarkStart w:id="1286" w:name="pg1964_19716"/>
    </w:p>
    <w:p>
      <w:pPr>
        <w:pStyle w:val="Heading3"/>
        <w:numPr>
          <w:ilvl w:val="2"/>
          <w:numId w:val="1"/>
        </w:numPr>
        <w:rPr/>
      </w:pPr>
      <w:bookmarkStart w:id="1287" w:name="__RefHeading___Toc3585513_3650668749"/>
      <w:bookmarkStart w:id="1288" w:name="_Toc553"/>
      <w:bookmarkEnd w:id="1286"/>
      <w:bookmarkEnd w:id="1287"/>
      <w:r>
        <w:rPr/>
        <w:t>٨</w:t>
      </w:r>
      <w:r>
        <w:rPr>
          <w:rtl w:val="true"/>
        </w:rPr>
        <w:t xml:space="preserve">. </w:t>
      </w:r>
      <w:r>
        <w:rPr>
          <w:rtl w:val="true"/>
        </w:rPr>
        <w:t>راه‌هاى درآمد كوفه</w:t>
      </w:r>
      <w:bookmarkEnd w:id="1288"/>
    </w:p>
    <w:p>
      <w:pPr>
        <w:pStyle w:val="Heading4"/>
        <w:numPr>
          <w:ilvl w:val="3"/>
          <w:numId w:val="1"/>
        </w:numPr>
        <w:rPr/>
      </w:pPr>
      <w:bookmarkStart w:id="1289" w:name="__RefHeading___Toc3585515_3650668749"/>
      <w:bookmarkStart w:id="1290" w:name="_Toc554"/>
      <w:bookmarkEnd w:id="1289"/>
      <w:r>
        <w:rPr>
          <w:rtl w:val="true"/>
        </w:rPr>
        <w:t>اشاره</w:t>
      </w:r>
      <w:bookmarkEnd w:id="1290"/>
    </w:p>
    <w:p>
      <w:pPr>
        <w:pStyle w:val="BookText"/>
        <w:rPr/>
      </w:pPr>
      <w:r>
        <w:rPr>
          <w:rFonts w:ascii="IRNazanin" w:hAnsi="IRNazanin" w:eastAsia="IRNazanin"/>
          <w:color w:val="111111"/>
          <w:sz w:val="28"/>
          <w:sz w:val="28"/>
          <w:szCs w:val="28"/>
          <w:rtl w:val="true"/>
          <w:lang w:bidi="fa-IR"/>
        </w:rPr>
        <w:t>حكومت كوفه در آن زمان يكى از مراكز اصلى مملكت اسلامى بود و از راه‌هاى مختلفى، درآمدهاى هنگفتى كسب مى‌كرد كه بخشى از آن را به عنوان عطا و رزق به شهروندان كوفى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كه در آن اموال حكومت جمع شده و سپس به مصارف خود مى‌رسيد، بيت‌المال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ابتدا به ذكر راه‌هاى درآمد حكومت كوفه پرداخته و سپس هزينه‌هاى آن بررسى شده و در پايان چگونگى پرداخت عطا و رزق به مردم كوفه بيان مى‌شود</w:t>
      </w:r>
      <w:r>
        <w:rPr>
          <w:rFonts w:eastAsia="IRNazanin" w:cs="IRNazanin"/>
          <w:color w:val="111111"/>
          <w:sz w:val="28"/>
          <w:szCs w:val="28"/>
          <w:rtl w:val="true"/>
          <w:lang w:bidi="fa-IR"/>
        </w:rPr>
        <w:t>.</w:t>
      </w:r>
    </w:p>
    <w:p>
      <w:pPr>
        <w:pStyle w:val="Heading4"/>
        <w:numPr>
          <w:ilvl w:val="3"/>
          <w:numId w:val="1"/>
        </w:numPr>
        <w:rPr/>
      </w:pPr>
      <w:bookmarkStart w:id="1291" w:name="__RefHeading___Toc3585517_3650668749"/>
      <w:bookmarkStart w:id="1292" w:name="_Toc555"/>
      <w:bookmarkEnd w:id="1291"/>
      <w:r>
        <w:rPr>
          <w:rtl w:val="true"/>
        </w:rPr>
        <w:t>الف</w:t>
      </w:r>
      <w:r>
        <w:rPr>
          <w:rtl w:val="true"/>
        </w:rPr>
        <w:t xml:space="preserve">) </w:t>
      </w:r>
      <w:r>
        <w:rPr>
          <w:rtl w:val="true"/>
        </w:rPr>
        <w:t>راه‌هاى درآمد حكومت كوفه</w:t>
      </w:r>
      <w:bookmarkEnd w:id="1292"/>
    </w:p>
    <w:p>
      <w:pPr>
        <w:pStyle w:val="Heading5"/>
        <w:numPr>
          <w:ilvl w:val="4"/>
          <w:numId w:val="1"/>
        </w:numPr>
        <w:rPr/>
      </w:pPr>
      <w:bookmarkStart w:id="1293" w:name="__RefHeading___Toc3585519_3650668749"/>
      <w:bookmarkStart w:id="1294" w:name="_Toc556"/>
      <w:bookmarkEnd w:id="1293"/>
      <w:r>
        <w:rPr>
          <w:rtl w:val="true"/>
        </w:rPr>
        <w:t xml:space="preserve">يك </w:t>
      </w:r>
      <w:r>
        <w:rPr>
          <w:rtl w:val="true"/>
        </w:rPr>
        <w:t xml:space="preserve">- </w:t>
      </w:r>
      <w:r>
        <w:rPr>
          <w:rtl w:val="true"/>
        </w:rPr>
        <w:t>خَراج</w:t>
      </w:r>
      <w:bookmarkEnd w:id="129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خراج اصطلاحاً مقدار مالياتى بود كه از سوى مالكان زمين‌هاى كشاورزى فتح شده به وسيله جنگ، به حكومت پرداخت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آنكه سرزمين‌هايى كه در كشور گشايى مسلمانان به دست مى‌آمد بر دو قسم بود، قسمى از آن زمين‌هاى موات بود كه طبق قانون كلى، مالك آن كسى بود كه آن را آباد مى‌كرد و قسم ديگر، زمين‌هاى 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عمر،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زمين‌ها دو نظر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مى‌گفتند اين زمين‌ها بايد بين جنگ‌جويان تقسيم شود، اما بعضى ديگر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هم‌نظر بود، چنين مى‌گفتند كه اين زمين‌ها در دست صاحبان آنها باقى بماند و آنها در مقابل، هر سال مقدارى به عنوان خراج به حكومت پرداخت كنند</w:t>
      </w:r>
      <w:r>
        <w:rPr>
          <w:rFonts w:eastAsia="IRNazanin" w:cs="IRNazanin"/>
          <w:color w:val="111111"/>
          <w:sz w:val="28"/>
          <w:szCs w:val="28"/>
          <w:rtl w:val="true"/>
          <w:lang w:bidi="fa-IR"/>
        </w:rPr>
        <w:t xml:space="preserve">. </w:t>
      </w:r>
      <w:r>
        <w:rPr>
          <w:rStyle w:val="FootnoteAnchor"/>
          <w:rtl w:val="true"/>
        </w:rPr>
        <w:footnoteReference w:id="1085"/>
      </w:r>
      <w:r>
        <w:rPr>
          <w:rFonts w:ascii="IRNazanin" w:hAnsi="IRNazanin" w:eastAsia="IRNazanin"/>
          <w:color w:val="111111"/>
          <w:sz w:val="28"/>
          <w:sz w:val="28"/>
          <w:szCs w:val="28"/>
          <w:rtl w:val="true"/>
          <w:lang w:bidi="fa-IR"/>
        </w:rPr>
        <w:t xml:space="preserve">استدلال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كه اين زمين‌ها متعلق به تمام مسلمانان، چه در حال و چه در آينده است و 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آنها را تقسيم‌نمايى، به آيندگان چيزى نخواهد رسيد و در حقيقت، حق آنها را پايمال كرده‌اى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سرانجام خليفه اين نظر را تأييد و اجرا كرد</w:t>
      </w:r>
      <w:r>
        <w:rPr>
          <w:rFonts w:eastAsia="Amiri" w:cs="Amiri" w:ascii="Amiri" w:hAnsi="Amiri"/>
          <w:color w:val="111111"/>
          <w:sz w:val="28"/>
          <w:szCs w:val="28"/>
          <w:rtl w:val="true"/>
          <w:lang w:bidi="ar-SA"/>
        </w:rPr>
        <w:t xml:space="preserve">. </w:t>
      </w:r>
      <w:r>
        <w:rPr>
          <w:rStyle w:val="FootnoteAnchor"/>
          <w:rtl w:val="true"/>
        </w:rPr>
        <w:footnoteReference w:id="1086"/>
      </w:r>
      <w:r>
        <w:rPr>
          <w:rFonts w:ascii="IRNazanin" w:hAnsi="IRNazanin" w:eastAsia="IRNazanin"/>
          <w:color w:val="111111"/>
          <w:sz w:val="28"/>
          <w:sz w:val="28"/>
          <w:szCs w:val="28"/>
          <w:rtl w:val="true"/>
          <w:lang w:bidi="fa-IR"/>
        </w:rPr>
        <w:t>و بدين وسيله منبع درآمد مهمى براى حكومت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اين زمين‌ها به جنگ‌جويان واگذار مى‌شد، علاوه بر اينكه موجب محروم شدن حكومت از اين منبع درآمد مى‌شد، دو پيامد ديگر 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آنها را از ادامه جنگ باز مى‌داشت، ديگر اينكه ناآشنايى اعراب با كشاورزى، سبب افت محصولات كشاورزى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زمين‌هاى خراجى زمان عُمر را مى‌توان به دو قسم تقسيم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اول، زمين‌هاى عراق بود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و بخش مهمى از آن را كوفه و اطراف آن تشكيل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براى تعيين مساحت اين زمين‌ها، عثمان بن حنيف را كه در فن اندازه‌گيرى زمين متخصص بود، همراه عده‌اى براى اندازه‌گيرى اين زمين‌ها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اندازه‌گيرى سواد عراق پرداخته و حدود آن را از شمال به موصل، از جنوب به عَبّادان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شرق به حُلوان و از غرب به قادسيه تعيين كردند</w:t>
      </w:r>
      <w:r>
        <w:rPr>
          <w:rFonts w:eastAsia="IRNazanin" w:cs="IRNazanin"/>
          <w:color w:val="111111"/>
          <w:sz w:val="28"/>
          <w:szCs w:val="28"/>
          <w:rtl w:val="true"/>
          <w:lang w:bidi="fa-IR"/>
        </w:rPr>
        <w:t xml:space="preserve">. </w:t>
      </w:r>
      <w:r>
        <w:rPr>
          <w:rStyle w:val="FootnoteAnchor"/>
          <w:rtl w:val="true"/>
        </w:rPr>
        <w:footnoteReference w:id="1087"/>
      </w:r>
      <w:r>
        <w:rPr>
          <w:rFonts w:ascii="Amiri" w:hAnsi="Amiri" w:eastAsia="Amiri" w:cs="Amiri"/>
          <w:color w:val="111111"/>
          <w:sz w:val="28"/>
          <w:sz w:val="28"/>
          <w:szCs w:val="28"/>
          <w:rtl w:val="true"/>
          <w:lang w:bidi="ar-SA"/>
        </w:rPr>
        <w:t xml:space="preserve">در اين محدوده، حدود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جريب زمين خراجى قرار داشت كه با احتساب هر جريب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w:t>
      </w:r>
      <w:r>
        <w:rPr>
          <w:rStyle w:val="FootnoteAnchor"/>
          <w:rtl w:val="true"/>
        </w:rPr>
        <w:footnoteReference w:id="1088"/>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000/000/348/57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به دست مى‌آيد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زمين‌هاى داخل كشور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قرار بر اين بود كه هر يك از شهرهاى ايران كه به وسيله مردم يكى از شهرهاى كوفه و بصره گشوده شود، از توابع شهر فاتحان آن باشد و طبعاً خراج آن نيز براى حكومت آن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شهرهاى رقّه، نصيبين، رامهرمز، شوش، شوشتر، رى، دستبى، قزوين، آذربايجان، طبرستان، ارمنستان، گرگان و شهرهاى اطراف درياى خزر، اردبيل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كه به وسيله مردم كوفه فتح شده بود، تابع شهر كوفه شده و خراج خود را به حكومت كوفه مى‌پرداختند</w:t>
      </w:r>
      <w:r>
        <w:rPr>
          <w:rFonts w:eastAsia="IRNazanin" w:cs="IRNazanin"/>
          <w:color w:val="111111"/>
          <w:sz w:val="28"/>
          <w:szCs w:val="28"/>
          <w:rtl w:val="true"/>
          <w:lang w:bidi="fa-IR"/>
        </w:rPr>
        <w:t xml:space="preserve">. </w:t>
      </w:r>
      <w:r>
        <w:rPr>
          <w:rStyle w:val="FootnoteAnchor"/>
          <w:rtl w:val="true"/>
        </w:rPr>
        <w:footnoteReference w:id="1089"/>
      </w:r>
      <w:r>
        <w:rPr>
          <w:rFonts w:ascii="Amiri" w:hAnsi="Amiri" w:eastAsia="Amiri" w:cs="Amiri"/>
          <w:color w:val="111111"/>
          <w:sz w:val="28"/>
          <w:sz w:val="28"/>
          <w:szCs w:val="28"/>
          <w:rtl w:val="true"/>
          <w:lang w:bidi="ar-SA"/>
        </w:rPr>
        <w:t xml:space="preserve">نيز يكى از توابع كوفه دينوَر بود كه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w:t>
      </w:r>
    </w:p>
    <w:p>
      <w:pPr>
        <w:pStyle w:val="BookText"/>
        <w:rPr/>
      </w:pPr>
      <w:r>
        <w:rPr>
          <w:rFonts w:ascii="IRNazanin" w:hAnsi="IRNazanin" w:eastAsia="IRNazanin"/>
          <w:color w:val="111111"/>
          <w:sz w:val="28"/>
          <w:sz w:val="28"/>
          <w:szCs w:val="28"/>
          <w:rtl w:val="true"/>
          <w:lang w:bidi="fa-IR"/>
        </w:rPr>
        <w:t>الكوفه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و ساليانه پنج ميليون و هفت‌صد هزار درهم خراج به كوفه مى‌پرداخت</w:t>
      </w:r>
      <w:r>
        <w:rPr>
          <w:rFonts w:eastAsia="IRNazanin" w:cs="IRNazanin"/>
          <w:color w:val="111111"/>
          <w:sz w:val="28"/>
          <w:szCs w:val="28"/>
          <w:rtl w:val="true"/>
          <w:lang w:bidi="fa-IR"/>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درآمد كل حكومت عراق در زمان عمر از زمين‌هاى خراجى، سالانه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درهم و در زمان زياد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درهم و در زمان عبيدالله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درهم بود </w:t>
      </w:r>
      <w:r>
        <w:rPr>
          <w:rStyle w:val="FootnoteAnchor"/>
          <w:rtl w:val="true"/>
        </w:rPr>
        <w:footnoteReference w:id="1091"/>
      </w:r>
      <w:r>
        <w:rPr>
          <w:rFonts w:ascii="IRNazanin" w:hAnsi="IRNazanin" w:eastAsia="IRNazanin"/>
          <w:color w:val="111111"/>
          <w:sz w:val="28"/>
          <w:sz w:val="28"/>
          <w:szCs w:val="28"/>
          <w:rtl w:val="true"/>
          <w:lang w:bidi="fa-IR"/>
        </w:rPr>
        <w:t>كه تقريباً چهل درصد آن به كوفه تعلق داشت</w:t>
      </w:r>
      <w:r>
        <w:rPr>
          <w:rFonts w:eastAsia="IRNazanin" w:cs="IRNazanin"/>
          <w:color w:val="111111"/>
          <w:sz w:val="28"/>
          <w:szCs w:val="28"/>
          <w:rtl w:val="true"/>
          <w:lang w:bidi="fa-IR"/>
        </w:rPr>
        <w:t xml:space="preserve">.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 xml:space="preserve">براى هرچه منظم‌تر شدن امر خراج، عمر در سال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دستور تشكيل ديوان خراج را صادر كرد و مسئول آن را شخصى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كه اين سِمت همچنان ادامه پيدا كرد و معمولاً متولى آن از سوى حكومت مركزى تعيين مى‌شد و در عرض والى كوفه يا عراق قرار داشت</w:t>
      </w:r>
      <w:r>
        <w:rPr>
          <w:rFonts w:eastAsia="IRNazanin" w:cs="IRNazanin"/>
          <w:color w:val="111111"/>
          <w:sz w:val="28"/>
          <w:szCs w:val="28"/>
          <w:rtl w:val="true"/>
          <w:lang w:bidi="fa-IR"/>
        </w:rPr>
        <w:t xml:space="preserve">.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در بعضى از كتاب‌ها مقدار خراج از هر جريب محصولات مختلف چنين تعيين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يونجه پنج درهم از هر جريب، نخل ده يا هشت درهم، نخل فارسى يك درهم، نخل آرامى نيم درهم، انگور پنج يا ده درهم، نيشكر شش درهم، پنبه و كنجد پنج درهم، زيتون دوازده درهم و سبزيجات سه درهم</w:t>
      </w:r>
      <w:r>
        <w:rPr>
          <w:rFonts w:eastAsia="IRNazanin" w:cs="IRNazanin"/>
          <w:color w:val="111111"/>
          <w:sz w:val="28"/>
          <w:szCs w:val="28"/>
          <w:rtl w:val="true"/>
          <w:lang w:bidi="fa-IR"/>
        </w:rPr>
        <w:t xml:space="preserve">.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 xml:space="preserve">در باره خراج بخشى از زمين‌هاى خراجى در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آمده است كه آن حضرت به نماينده خود در عراق دستور داد از زمين‌هايى كه از فرات مشروب مى‌شوند، بر هر جريب گندم عالى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يك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جريب گندم متوسط، يك درهم و بر گندم نامرغوب درهم قرار دهند و خراج هر جريب جو نصف خراج گندم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هر جريب</w:t>
      </w:r>
      <w:bookmarkStart w:id="1295" w:name="pg1964_19722"/>
    </w:p>
    <w:p>
      <w:pPr>
        <w:pStyle w:val="BookText"/>
        <w:rPr/>
      </w:pPr>
      <w:bookmarkEnd w:id="1295"/>
      <w:r>
        <w:rPr>
          <w:rFonts w:ascii="IRNazanin" w:hAnsi="IRNazanin" w:eastAsia="IRNazanin"/>
          <w:color w:val="111111"/>
          <w:sz w:val="28"/>
          <w:sz w:val="28"/>
          <w:szCs w:val="28"/>
          <w:rtl w:val="true"/>
          <w:lang w:bidi="fa-IR"/>
        </w:rPr>
        <w:t xml:space="preserve">نخلستان ده درهم و بر هر جريب تاكستان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وارد چهار سال شده و به محصول نشسته است، ده درهم خراج وضع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تك درختان نخل و سبزيجات و ساير حبوبات و نيز پنبه را از پرداخت خراج معاف فرمود</w:t>
      </w:r>
      <w:r>
        <w:rPr>
          <w:rFonts w:eastAsia="IRNazanin" w:cs="IRNazanin"/>
          <w:color w:val="111111"/>
          <w:sz w:val="28"/>
          <w:szCs w:val="28"/>
          <w:rtl w:val="true"/>
          <w:lang w:bidi="fa-IR"/>
        </w:rPr>
        <w:t xml:space="preserve">.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مأموران جمع‌آورى خراج تا زمان عبيدالله بن زياد، اعراب بودند، اما عبيدالله عمدتاً عجم‌ها و به خصوص ايرانيان را مأمور اين كار كرد، با اين استدلال كه اعراب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كامل به اين امر ندارند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عشيره‌اى و خويشاوندى بر جمع‌آورى آن تأثير گذاشته و مقدار خراج را پايين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دهقان‌هاى عجم به امر جمع‌آورى آشناتر و نيز امين‌تر مى‌باشند، علاوه بر آنكه مطالبه حساب و كتاب از آنها آسان‌تر از اعراب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عين حال بعضى از اعراب را به عنوان ناظران بر آنها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مى‌شود كه مردم سرزمين‌هاى خراجى در زمان‌هاى مختلف، ظلم فراوانى را از سوى مأموران جمع‌آورى خراج متحمّل مى‌شدند</w:t>
      </w:r>
      <w:r>
        <w:rPr>
          <w:rFonts w:eastAsia="IRNazanin" w:cs="IRNazanin"/>
          <w:color w:val="111111"/>
          <w:sz w:val="28"/>
          <w:szCs w:val="28"/>
          <w:rtl w:val="true"/>
          <w:lang w:bidi="fa-IR"/>
        </w:rPr>
        <w:t xml:space="preserve">. </w:t>
      </w:r>
      <w:r>
        <w:rPr>
          <w:rStyle w:val="FootnoteAnchor"/>
          <w:rtl w:val="true"/>
        </w:rPr>
        <w:footnoteReference w:id="1096"/>
      </w:r>
    </w:p>
    <w:p>
      <w:pPr>
        <w:pStyle w:val="Heading5"/>
        <w:numPr>
          <w:ilvl w:val="4"/>
          <w:numId w:val="1"/>
        </w:numPr>
        <w:rPr/>
      </w:pPr>
      <w:bookmarkStart w:id="1296" w:name="__RefHeading___Toc3585521_3650668749"/>
      <w:bookmarkStart w:id="1297" w:name="_Toc557"/>
      <w:bookmarkEnd w:id="1296"/>
      <w:r>
        <w:rPr>
          <w:rtl w:val="true"/>
        </w:rPr>
        <w:t xml:space="preserve">دو </w:t>
      </w:r>
      <w:r>
        <w:rPr>
          <w:rtl w:val="true"/>
        </w:rPr>
        <w:t xml:space="preserve">- </w:t>
      </w:r>
      <w:r>
        <w:rPr>
          <w:rtl w:val="true"/>
        </w:rPr>
        <w:t>صدقه</w:t>
      </w:r>
      <w:bookmarkEnd w:id="1297"/>
    </w:p>
    <w:p>
      <w:pPr>
        <w:pStyle w:val="BookText"/>
        <w:rPr/>
      </w:pPr>
      <w:r>
        <w:rPr>
          <w:rFonts w:ascii="IRNazanin" w:hAnsi="IRNazanin" w:eastAsia="IRNazanin"/>
          <w:color w:val="111111"/>
          <w:sz w:val="28"/>
          <w:sz w:val="28"/>
          <w:szCs w:val="28"/>
          <w:rtl w:val="true"/>
          <w:lang w:bidi="fa-IR"/>
        </w:rPr>
        <w:t>منظور از صدقه، موارد نه‌گانه زكات است كه از مردم دريافت مى‌شد</w:t>
      </w:r>
      <w:r>
        <w:rPr>
          <w:rFonts w:eastAsia="IRNazanin" w:cs="IRNazanin"/>
          <w:color w:val="111111"/>
          <w:sz w:val="28"/>
          <w:szCs w:val="28"/>
          <w:rtl w:val="true"/>
          <w:lang w:bidi="fa-IR"/>
        </w:rPr>
        <w:t xml:space="preserve">. </w:t>
      </w:r>
      <w:r>
        <w:rPr>
          <w:rStyle w:val="FootnoteAnchor"/>
          <w:rtl w:val="true"/>
        </w:rPr>
        <w:footnoteReference w:id="1097"/>
      </w:r>
      <w:r>
        <w:rPr>
          <w:rFonts w:ascii="Amiri" w:hAnsi="Amiri" w:eastAsia="Amiri" w:cs="Amiri"/>
          <w:color w:val="111111"/>
          <w:sz w:val="28"/>
          <w:sz w:val="28"/>
          <w:szCs w:val="28"/>
          <w:rtl w:val="true"/>
          <w:lang w:bidi="ar-SA"/>
        </w:rPr>
        <w:t xml:space="preserve">در مقطعى از زمان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اسب نيز زكات دريافت مى‌شد</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Heading5"/>
        <w:numPr>
          <w:ilvl w:val="4"/>
          <w:numId w:val="1"/>
        </w:numPr>
        <w:rPr/>
      </w:pPr>
      <w:bookmarkStart w:id="1298" w:name="__RefHeading___Toc3585523_3650668749"/>
      <w:bookmarkStart w:id="1299" w:name="_Toc558"/>
      <w:bookmarkEnd w:id="1298"/>
      <w:r>
        <w:rPr>
          <w:rtl w:val="true"/>
        </w:rPr>
        <w:t xml:space="preserve">سه </w:t>
      </w:r>
      <w:r>
        <w:rPr>
          <w:rtl w:val="true"/>
        </w:rPr>
        <w:t xml:space="preserve">- </w:t>
      </w:r>
      <w:r>
        <w:rPr>
          <w:rtl w:val="true"/>
        </w:rPr>
        <w:t>جزيه</w:t>
      </w:r>
      <w:bookmarkEnd w:id="129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جزيه مالياتى سرانه بود كه از اهل ذمّه كه در پناه اسلام زندگى مى‌كردند و كتاب آسمانى داشتند، گرفته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سپاه فتوحات هنگام گشودن يك شهر يا يك كشور، به دستور حكومت مركزى، مردم آن را بين قبول اسلام يا پرداخت جزيه مخير مى‌كردند</w:t>
      </w:r>
      <w:r>
        <w:rPr>
          <w:rFonts w:eastAsia="IRNazanin" w:cs="IRNazanin"/>
          <w:color w:val="111111"/>
          <w:sz w:val="28"/>
          <w:szCs w:val="28"/>
          <w:rtl w:val="true"/>
          <w:lang w:bidi="fa-IR"/>
        </w:rPr>
        <w:t>.</w:t>
      </w:r>
      <w:bookmarkStart w:id="1300" w:name="pg1964_19724"/>
    </w:p>
    <w:p>
      <w:pPr>
        <w:pStyle w:val="BookText"/>
        <w:rPr/>
      </w:pPr>
      <w:bookmarkEnd w:id="1300"/>
      <w:r>
        <w:rPr>
          <w:rFonts w:ascii="Amiri" w:hAnsi="Amiri" w:eastAsia="Amiri" w:cs="Amiri"/>
          <w:color w:val="111111"/>
          <w:sz w:val="28"/>
          <w:sz w:val="28"/>
          <w:szCs w:val="28"/>
          <w:rtl w:val="true"/>
          <w:lang w:bidi="ar-SA"/>
        </w:rPr>
        <w:t>تعيين مقدار جزيه به عهده رئيس حكومت بود و در زمان‌هاى مختلف و متناسب با شرايط، تغيير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ارقامى كه در زمان مورد بحث، ذكر شده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ثروتمندان هر نفر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در سال؛</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خانواده‌هاى متوسط هر نفر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در سال؛</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خانواده‌هاى سطح پايين هر نفر دوازده درهم در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اين مقدار در زمان عُمر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بود</w:t>
      </w:r>
      <w:r>
        <w:rPr>
          <w:rFonts w:eastAsia="IRNazanin" w:cs="IRNazanin"/>
          <w:color w:val="111111"/>
          <w:sz w:val="28"/>
          <w:szCs w:val="28"/>
          <w:rtl w:val="true"/>
          <w:lang w:bidi="fa-IR"/>
        </w:rPr>
        <w:t xml:space="preserve">. </w:t>
      </w:r>
      <w:r>
        <w:rPr>
          <w:rStyle w:val="FootnoteAnchor"/>
          <w:rtl w:val="true"/>
        </w:rPr>
        <w:footnoteReference w:id="1099"/>
      </w:r>
      <w:r>
        <w:rPr>
          <w:rFonts w:ascii="IRNazanin" w:hAnsi="IRNazanin" w:eastAsia="IRNazanin"/>
          <w:color w:val="111111"/>
          <w:sz w:val="28"/>
          <w:sz w:val="28"/>
          <w:szCs w:val="28"/>
          <w:rtl w:val="true"/>
          <w:lang w:bidi="fa-IR"/>
        </w:rPr>
        <w:t>البته اين ارقام، ارقامى بسيار پايين بود، كه همگان توانايى پرداخت آن را داشتند، علاوه بر اينكه اطفال، زنان، مريضان و زمين‌گيران و پيران از پرداخت جزيه معاف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هرگاه يكى از اهل ذمّه مسلمان مى‌شد، از پرداخت جزيه معاف مى‌گشت و بدين‌ترتيب با رشد روزافزورن اقبال به اسلام، در آمد حكومت از اين منبع رو به نقصان مى‌گذاشت</w:t>
      </w:r>
      <w:r>
        <w:rPr>
          <w:rFonts w:eastAsia="IRNazanin" w:cs="IRNazanin"/>
          <w:color w:val="111111"/>
          <w:sz w:val="28"/>
          <w:szCs w:val="28"/>
          <w:rtl w:val="true"/>
          <w:lang w:bidi="fa-IR"/>
        </w:rPr>
        <w:t xml:space="preserve">. </w:t>
      </w:r>
      <w:r>
        <w:rPr>
          <w:rStyle w:val="FootnoteAnchor"/>
          <w:rtl w:val="true"/>
        </w:rPr>
        <w:footnoteReference w:id="1100"/>
      </w:r>
    </w:p>
    <w:p>
      <w:pPr>
        <w:pStyle w:val="Heading5"/>
        <w:numPr>
          <w:ilvl w:val="4"/>
          <w:numId w:val="1"/>
        </w:numPr>
        <w:rPr/>
      </w:pPr>
      <w:bookmarkStart w:id="1301" w:name="__RefHeading___Toc3585525_3650668749"/>
      <w:bookmarkStart w:id="1302" w:name="_Toc559"/>
      <w:bookmarkEnd w:id="1301"/>
      <w:r>
        <w:rPr>
          <w:rtl w:val="true"/>
        </w:rPr>
        <w:t xml:space="preserve">چهار </w:t>
      </w:r>
      <w:r>
        <w:rPr>
          <w:rtl w:val="true"/>
        </w:rPr>
        <w:t xml:space="preserve">- </w:t>
      </w:r>
      <w:r>
        <w:rPr>
          <w:rtl w:val="true"/>
        </w:rPr>
        <w:t>غنايم جنگى</w:t>
      </w:r>
      <w:bookmarkEnd w:id="1302"/>
    </w:p>
    <w:p>
      <w:pPr>
        <w:pStyle w:val="BookText"/>
        <w:rPr/>
      </w:pPr>
      <w:r>
        <w:rPr>
          <w:rFonts w:ascii="IRNazanin" w:hAnsi="IRNazanin" w:eastAsia="IRNazanin"/>
          <w:color w:val="111111"/>
          <w:sz w:val="28"/>
          <w:sz w:val="28"/>
          <w:szCs w:val="28"/>
          <w:rtl w:val="true"/>
          <w:lang w:bidi="fa-IR"/>
        </w:rPr>
        <w:t xml:space="preserve">در زمان مورد بحث، غنايم جنگى منقول به حكومت تعلق داشت </w:t>
      </w:r>
      <w:r>
        <w:rPr>
          <w:rStyle w:val="FootnoteAnchor"/>
          <w:rtl w:val="true"/>
        </w:rPr>
        <w:footnoteReference w:id="1101"/>
      </w:r>
      <w:r>
        <w:rPr>
          <w:rFonts w:ascii="IRNazanin" w:hAnsi="IRNazanin" w:eastAsia="IRNazanin"/>
          <w:color w:val="111111"/>
          <w:sz w:val="28"/>
          <w:sz w:val="28"/>
          <w:szCs w:val="28"/>
          <w:rtl w:val="true"/>
          <w:lang w:bidi="fa-IR"/>
        </w:rPr>
        <w:t>و تا هنگامى كه فتوحات رواج داشت، حكومت كوفه از اين منبع مالى استفاده مى‌كرد</w:t>
      </w:r>
      <w:r>
        <w:rPr>
          <w:rFonts w:eastAsia="IRNazanin" w:cs="IRNazanin"/>
          <w:color w:val="111111"/>
          <w:sz w:val="28"/>
          <w:szCs w:val="28"/>
          <w:rtl w:val="true"/>
          <w:lang w:bidi="fa-IR"/>
        </w:rPr>
        <w:t xml:space="preserve">. </w:t>
      </w:r>
      <w:r>
        <w:rPr>
          <w:rStyle w:val="FootnoteAnchor"/>
          <w:rtl w:val="true"/>
        </w:rPr>
        <w:footnoteReference w:id="1102"/>
      </w:r>
      <w:r>
        <w:rPr>
          <w:rFonts w:ascii="IRNazanin" w:hAnsi="IRNazanin" w:eastAsia="IRNazanin"/>
          <w:color w:val="111111"/>
          <w:sz w:val="28"/>
          <w:sz w:val="28"/>
          <w:szCs w:val="28"/>
          <w:rtl w:val="true"/>
          <w:lang w:bidi="fa-IR"/>
        </w:rPr>
        <w:t>اهميت اين منبع چنان بود كه عمر خود فردى را براى نظارت بر غنايم قادسيه، مداين و نهاوند تعيين نمود</w:t>
      </w:r>
      <w:r>
        <w:rPr>
          <w:rFonts w:eastAsia="IRNazanin" w:cs="IRNazanin"/>
          <w:color w:val="111111"/>
          <w:sz w:val="28"/>
          <w:szCs w:val="28"/>
          <w:rtl w:val="true"/>
          <w:lang w:bidi="fa-IR"/>
        </w:rPr>
        <w:t>.</w:t>
      </w:r>
    </w:p>
    <w:p>
      <w:pPr>
        <w:pStyle w:val="Heading5"/>
        <w:numPr>
          <w:ilvl w:val="4"/>
          <w:numId w:val="1"/>
        </w:numPr>
        <w:rPr/>
      </w:pPr>
      <w:bookmarkStart w:id="1303" w:name="__RefHeading___Toc3585527_3650668749"/>
      <w:bookmarkStart w:id="1304" w:name="_Toc560"/>
      <w:bookmarkEnd w:id="1303"/>
      <w:r>
        <w:rPr>
          <w:rtl w:val="true"/>
        </w:rPr>
        <w:t xml:space="preserve">پنج </w:t>
      </w:r>
      <w:r>
        <w:rPr>
          <w:rtl w:val="true"/>
        </w:rPr>
        <w:t xml:space="preserve">- </w:t>
      </w:r>
      <w:r>
        <w:rPr>
          <w:rtl w:val="true"/>
        </w:rPr>
        <w:t>ماليات بر تجارت</w:t>
      </w:r>
      <w:bookmarkEnd w:id="130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ابتداى تأسيس كوفه و در زمان ولايت ابوموسى بر آن شهر، حكومت كوفه از تجّار كافر غيرذمّى كه اجناس خود را به كوفه آورده و مى‌فروختند، معادل ده</w:t>
      </w:r>
      <w:bookmarkStart w:id="1305" w:name="pg1964_19726"/>
    </w:p>
    <w:p>
      <w:pPr>
        <w:pStyle w:val="BookText"/>
        <w:rPr/>
      </w:pPr>
      <w:bookmarkEnd w:id="1305"/>
      <w:r>
        <w:rPr>
          <w:rFonts w:ascii="IRNazanin" w:hAnsi="IRNazanin" w:eastAsia="IRNazanin"/>
          <w:color w:val="111111"/>
          <w:sz w:val="28"/>
          <w:sz w:val="28"/>
          <w:szCs w:val="28"/>
          <w:rtl w:val="true"/>
          <w:lang w:bidi="fa-IR"/>
        </w:rPr>
        <w:t xml:space="preserve">درصد ارزش كالاها، ماليات مى‌گرفت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نصف اين مقدار را از تجّار كافر ذمّى اخذ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ابوموسى اشعرى هنگامى كه والى كوفه بود، به دستور عمر، بر تجارت مسلمانان نيز ماليات وضع كرد كه مقدار آن ارزش مال‌التجاره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مأمور وصول اين ماليات را زياد بن جدير اسدى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براى اين ماليات در طرف پايين، حدّى تعيين كرده بود؛ بدين‌ترتيب كه از كسانى كه ارزش مال‌التجاره آنها از دويست درهم كمتر بود، ماليات نمى‌گرفت</w:t>
      </w:r>
      <w:r>
        <w:rPr>
          <w:rFonts w:eastAsia="IRNazanin" w:cs="IRNazanin"/>
          <w:color w:val="111111"/>
          <w:sz w:val="28"/>
          <w:szCs w:val="28"/>
          <w:rtl w:val="true"/>
          <w:lang w:bidi="fa-IR"/>
        </w:rPr>
        <w:t xml:space="preserve">. </w:t>
      </w:r>
      <w:r>
        <w:rPr>
          <w:rStyle w:val="FootnoteAnchor"/>
          <w:rtl w:val="true"/>
        </w:rPr>
        <w:footnoteReference w:id="1103"/>
      </w:r>
      <w:r>
        <w:rPr>
          <w:rFonts w:ascii="IRNazanin" w:hAnsi="IRNazanin" w:eastAsia="IRNazanin"/>
          <w:color w:val="111111"/>
          <w:sz w:val="28"/>
          <w:sz w:val="28"/>
          <w:szCs w:val="28"/>
          <w:rtl w:val="true"/>
          <w:lang w:bidi="fa-IR"/>
        </w:rPr>
        <w:t>البته مقدار اين ماليات‌ها طبق شرايط و مقتضيات زمان قابل تغيير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نوع ماليات به‌طور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مَكْس به معناى 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1104"/>
      </w:r>
    </w:p>
    <w:p>
      <w:pPr>
        <w:pStyle w:val="Heading5"/>
        <w:numPr>
          <w:ilvl w:val="4"/>
          <w:numId w:val="1"/>
        </w:numPr>
        <w:rPr/>
      </w:pPr>
      <w:bookmarkStart w:id="1306" w:name="__RefHeading___Toc3585529_3650668749"/>
      <w:bookmarkStart w:id="1307" w:name="_Toc561"/>
      <w:bookmarkEnd w:id="1306"/>
      <w:r>
        <w:rPr>
          <w:rtl w:val="true"/>
        </w:rPr>
        <w:t xml:space="preserve">شش </w:t>
      </w:r>
      <w:r>
        <w:rPr>
          <w:rtl w:val="true"/>
        </w:rPr>
        <w:t xml:space="preserve">- </w:t>
      </w:r>
      <w:r>
        <w:rPr>
          <w:rtl w:val="true"/>
        </w:rPr>
        <w:t>هداياى عيد نوروز و مهرگان</w:t>
      </w:r>
      <w:bookmarkEnd w:id="1307"/>
    </w:p>
    <w:p>
      <w:pPr>
        <w:pStyle w:val="BookText"/>
        <w:rPr/>
      </w:pPr>
      <w:r>
        <w:rPr>
          <w:rFonts w:ascii="IRNazanin" w:hAnsi="IRNazanin" w:eastAsia="IRNazanin"/>
          <w:color w:val="111111"/>
          <w:sz w:val="28"/>
          <w:sz w:val="28"/>
          <w:szCs w:val="28"/>
          <w:rtl w:val="true"/>
          <w:lang w:bidi="fa-IR"/>
        </w:rPr>
        <w:t>قبل از اسلام، ايرانيان را رسم چنان بود كه در دو عيد نوروز، يعنى اول بهار و مهرگان، يعنى اول پاييز، هدايايى به صورت اجبارى به حكومت خود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اين رسم را منسوخ كرد و در چند دهه صدر اسلام اين رسم غير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رسيدن حكومت مملكت اسلامى به معاويه و نيز كم شدن منبع جزيه به علت مسلمان شدن اهل ذمّه، او به حاكم عراق، زياد بن ابيه دستور داد كه اين رسم را همانند قبل از اسلام به مرحله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ساليانه ده ميليون درهم از اين منبع به نفع معاويه به دست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رسم تا زمان عمر بن عبدالعزيز برقرار بود كه به وسيله او دوباره منسوخ شد</w:t>
      </w:r>
      <w:r>
        <w:rPr>
          <w:rFonts w:eastAsia="IRNazanin" w:cs="IRNazanin"/>
          <w:color w:val="111111"/>
          <w:sz w:val="28"/>
          <w:szCs w:val="28"/>
          <w:rtl w:val="true"/>
          <w:lang w:bidi="fa-IR"/>
        </w:rPr>
        <w:t xml:space="preserve">. </w:t>
      </w:r>
      <w:r>
        <w:rPr>
          <w:rStyle w:val="FootnoteAnchor"/>
          <w:rtl w:val="true"/>
        </w:rPr>
        <w:footnoteReference w:id="1105"/>
      </w:r>
    </w:p>
    <w:p>
      <w:pPr>
        <w:pStyle w:val="Heading5"/>
        <w:numPr>
          <w:ilvl w:val="4"/>
          <w:numId w:val="1"/>
        </w:numPr>
        <w:rPr/>
      </w:pPr>
      <w:bookmarkStart w:id="1308" w:name="__RefHeading___Toc3585531_3650668749"/>
      <w:bookmarkStart w:id="1309" w:name="_Toc562"/>
      <w:bookmarkEnd w:id="1308"/>
      <w:r>
        <w:rPr>
          <w:rtl w:val="true"/>
        </w:rPr>
        <w:t xml:space="preserve">هفت </w:t>
      </w:r>
      <w:r>
        <w:rPr>
          <w:rtl w:val="true"/>
        </w:rPr>
        <w:t xml:space="preserve">- </w:t>
      </w:r>
      <w:r>
        <w:rPr>
          <w:rtl w:val="true"/>
        </w:rPr>
        <w:t>زمين‌هاى صوافى</w:t>
      </w:r>
      <w:bookmarkEnd w:id="130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صوافى كه پس از فتح عراق و ايران به دست حكومت كوفه و بصره افتاد، شامل ده نوع بود كه به تبع منطقه‌اى كه در آن قرار داشت زير نظر حكومت كوفه يا بصره اداره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زمين‌ها عبارت بود از</w:t>
      </w:r>
      <w:r>
        <w:rPr>
          <w:rFonts w:eastAsia="IRNazanin" w:cs="IRNazanin"/>
          <w:color w:val="111111"/>
          <w:sz w:val="28"/>
          <w:szCs w:val="28"/>
          <w:rtl w:val="true"/>
          <w:lang w:bidi="fa-IR"/>
        </w:rPr>
        <w:t>:</w:t>
      </w:r>
      <w:bookmarkStart w:id="1310" w:name="pg1964_19728"/>
    </w:p>
    <w:p>
      <w:pPr>
        <w:pStyle w:val="BookText"/>
        <w:rPr/>
      </w:pPr>
      <w:bookmarkEnd w:id="131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زمين‌هاى متعلق به شخص پادشاه ساسانى؛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زمين‌هاى متعلق به خانواده سلطنتى؛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زمين‌هايى كه براى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اختصاص داده شده بود و نيز راه‌هاى پُستى؛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زمين‌هايى كه وقف آتشكده‌ها شده بود؛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نيزارها؛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مرداب‌ها؛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زمين‌هاى كسانى كه در جنگ در سپاه ايران كشته شده بودند؛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زمين‌هاى ايرانيانى كه در جنگ فرار كرده بودند؛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آسياب‌ها؛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زمين‌هاى سلطنتى و دربارى كه حكومت ساسانى براى امور حكومتى يا غيره به خود اختصاص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زمين‌ها تا زمان خلافت عثمان زير نظر حكومت مركزى اداره مى‌شد، گرچه عثمان بخشى از اين زمين‌ها را به عنوان اقطاع و بخشش به برخى از اشخاص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نيز در زمان حكومت خود همه اين زمين‌ها را به خود اختصاص داد و درآمد آنها را به صندوق خود واريز كرد</w:t>
      </w:r>
      <w:r>
        <w:rPr>
          <w:rFonts w:eastAsia="IRNazanin" w:cs="IRNazanin"/>
          <w:color w:val="111111"/>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گفته مى‌شود كه درآمد اين زمين‌ها در سال حدود هفت ميليون درهم بوده است</w:t>
      </w:r>
      <w:r>
        <w:rPr>
          <w:rFonts w:eastAsia="IRNazanin" w:cs="IRNazanin"/>
          <w:color w:val="111111"/>
          <w:sz w:val="28"/>
          <w:szCs w:val="28"/>
          <w:rtl w:val="true"/>
          <w:lang w:bidi="fa-IR"/>
        </w:rPr>
        <w:t xml:space="preserve">. </w:t>
      </w:r>
      <w:r>
        <w:rPr>
          <w:rStyle w:val="FootnoteAnchor"/>
          <w:rtl w:val="true"/>
        </w:rPr>
        <w:footnoteReference w:id="1107"/>
      </w:r>
    </w:p>
    <w:p>
      <w:pPr>
        <w:pStyle w:val="Heading4"/>
        <w:numPr>
          <w:ilvl w:val="3"/>
          <w:numId w:val="1"/>
        </w:numPr>
        <w:rPr/>
      </w:pPr>
      <w:bookmarkStart w:id="1311" w:name="__RefHeading___Toc3585533_3650668749"/>
      <w:bookmarkStart w:id="1312" w:name="_Toc563"/>
      <w:bookmarkEnd w:id="1311"/>
      <w:r>
        <w:rPr>
          <w:rtl w:val="true"/>
        </w:rPr>
        <w:t>ب</w:t>
      </w:r>
      <w:r>
        <w:rPr>
          <w:rtl w:val="true"/>
        </w:rPr>
        <w:t xml:space="preserve">) </w:t>
      </w:r>
      <w:r>
        <w:rPr>
          <w:rtl w:val="true"/>
        </w:rPr>
        <w:t>هزينه‌هاى حكومت كوفه</w:t>
      </w:r>
      <w:bookmarkEnd w:id="1312"/>
    </w:p>
    <w:p>
      <w:pPr>
        <w:pStyle w:val="Heading5"/>
        <w:numPr>
          <w:ilvl w:val="4"/>
          <w:numId w:val="1"/>
        </w:numPr>
        <w:rPr/>
      </w:pPr>
      <w:bookmarkStart w:id="1313" w:name="__RefHeading___Toc3585535_3650668749"/>
      <w:bookmarkStart w:id="1314" w:name="_Toc564"/>
      <w:bookmarkEnd w:id="1313"/>
      <w:r>
        <w:rPr>
          <w:rtl w:val="true"/>
        </w:rPr>
        <w:t>اشاره</w:t>
      </w:r>
      <w:bookmarkEnd w:id="1314"/>
    </w:p>
    <w:p>
      <w:pPr>
        <w:pStyle w:val="BookText"/>
        <w:rPr/>
      </w:pPr>
      <w:r>
        <w:rPr>
          <w:rFonts w:ascii="IRNazanin" w:hAnsi="IRNazanin" w:eastAsia="IRNazanin"/>
          <w:color w:val="111111"/>
          <w:sz w:val="28"/>
          <w:sz w:val="28"/>
          <w:szCs w:val="28"/>
          <w:rtl w:val="true"/>
          <w:lang w:bidi="fa-IR"/>
        </w:rPr>
        <w:t>بخش مهمى از درآمد حكومت كوفه به پرداخت عطا و رزق به شهروندان كوفى اختصاص داشت كه به صورت تفصيلى بررسى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ديگر بيت‌المال عبارت بود از</w:t>
      </w:r>
      <w:r>
        <w:rPr>
          <w:rFonts w:eastAsia="IRNazanin" w:cs="IRNazanin"/>
          <w:color w:val="111111"/>
          <w:sz w:val="28"/>
          <w:szCs w:val="28"/>
          <w:rtl w:val="true"/>
          <w:lang w:bidi="fa-IR"/>
        </w:rPr>
        <w:t>:</w:t>
      </w:r>
    </w:p>
    <w:p>
      <w:pPr>
        <w:pStyle w:val="Heading5"/>
        <w:numPr>
          <w:ilvl w:val="4"/>
          <w:numId w:val="1"/>
        </w:numPr>
        <w:rPr/>
      </w:pPr>
      <w:bookmarkStart w:id="1315" w:name="__RefHeading___Toc3585537_3650668749"/>
      <w:bookmarkStart w:id="1316" w:name="_Toc565"/>
      <w:bookmarkEnd w:id="1315"/>
      <w:r>
        <w:rPr>
          <w:rtl w:val="true"/>
        </w:rPr>
        <w:t xml:space="preserve">يك </w:t>
      </w:r>
      <w:r>
        <w:rPr>
          <w:rtl w:val="true"/>
        </w:rPr>
        <w:t xml:space="preserve">- </w:t>
      </w:r>
      <w:r>
        <w:rPr>
          <w:rtl w:val="true"/>
        </w:rPr>
        <w:t>حقوق كارمندان</w:t>
      </w:r>
      <w:bookmarkEnd w:id="1316"/>
    </w:p>
    <w:p>
      <w:pPr>
        <w:pStyle w:val="BookText"/>
        <w:rPr/>
      </w:pPr>
      <w:r>
        <w:rPr>
          <w:rFonts w:ascii="Amiri" w:hAnsi="Amiri" w:eastAsia="Amiri" w:cs="Amiri"/>
          <w:color w:val="111111"/>
          <w:sz w:val="28"/>
          <w:sz w:val="28"/>
          <w:szCs w:val="28"/>
          <w:rtl w:val="true"/>
          <w:lang w:bidi="ar-SA"/>
        </w:rPr>
        <w:t>كارمندان حكومت به كسانى اطلاق مى‌شد كه در مشاغل مختلف مربوط به اداره حكومت، مشغول به‌كار بودند و شامل واليان، قاضيان، مسئولان بيت المال، شرطه‌ها، مأموران جمع‌آورى خراج، جزيه، صدقات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مى‌شد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حقوق بعضى از كارمندان عالى رتبه حكومت در زمان عمر از قرار زير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عَمّار به عنوان امير كوفه، ششصد درهم در ماه؛</w:t>
      </w:r>
      <w:bookmarkStart w:id="1317" w:name="pg1964_19730"/>
    </w:p>
    <w:p>
      <w:pPr>
        <w:pStyle w:val="BookText"/>
        <w:rPr/>
      </w:pPr>
      <w:bookmarkEnd w:id="131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 به عنوان قاضى كوفه، صد درهم در ماه و گوسفند در 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حنيف به عنوان مأمور خراج، پنج درهم و گوسفند در روز؛</w:t>
      </w:r>
    </w:p>
    <w:p>
      <w:pPr>
        <w:pStyle w:val="BookText"/>
        <w:rPr/>
      </w:pPr>
      <w:r>
        <w:rPr>
          <w:rFonts w:ascii="IRNazanin" w:hAnsi="IRNazanin" w:eastAsia="IRNazanin"/>
          <w:color w:val="111111"/>
          <w:sz w:val="28"/>
          <w:sz w:val="28"/>
          <w:szCs w:val="28"/>
          <w:rtl w:val="true"/>
          <w:lang w:bidi="fa-IR"/>
        </w:rPr>
        <w:t>همچنين در زمان حكومت زياد بعضى از دريافتى‌ها از قرار زير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 بن ابيه به عنوان حاكم عراق،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درهم در سال؛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كارمندان عالى‌رتبه او، هزار درهم در ماه؛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كاتبان و منشيان عالى‌رتبه، سيصد درهم در ماه؛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كاتبان و منشيان پايين بين بيست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در ماه</w:t>
      </w:r>
      <w:r>
        <w:rPr>
          <w:rFonts w:eastAsia="IRNazanin" w:cs="IRNazanin"/>
          <w:color w:val="111111"/>
          <w:sz w:val="28"/>
          <w:szCs w:val="28"/>
          <w:rtl w:val="true"/>
          <w:lang w:bidi="fa-IR"/>
        </w:rPr>
        <w:t xml:space="preserve">. </w:t>
      </w:r>
      <w:r>
        <w:rPr>
          <w:rStyle w:val="FootnoteAnchor"/>
          <w:rtl w:val="true"/>
        </w:rPr>
        <w:footnoteReference w:id="1108"/>
      </w:r>
    </w:p>
    <w:p>
      <w:pPr>
        <w:pStyle w:val="Heading5"/>
        <w:numPr>
          <w:ilvl w:val="4"/>
          <w:numId w:val="1"/>
        </w:numPr>
        <w:rPr/>
      </w:pPr>
      <w:bookmarkStart w:id="1318" w:name="__RefHeading___Toc3585539_3650668749"/>
      <w:bookmarkStart w:id="1319" w:name="_Toc566"/>
      <w:bookmarkEnd w:id="1318"/>
      <w:r>
        <w:rPr>
          <w:rtl w:val="true"/>
        </w:rPr>
        <w:t xml:space="preserve">دو </w:t>
      </w:r>
      <w:r>
        <w:rPr>
          <w:rtl w:val="true"/>
        </w:rPr>
        <w:t xml:space="preserve">- </w:t>
      </w:r>
      <w:r>
        <w:rPr>
          <w:rtl w:val="true"/>
        </w:rPr>
        <w:t>خدمات شهرى</w:t>
      </w:r>
      <w:bookmarkEnd w:id="1319"/>
    </w:p>
    <w:p>
      <w:pPr>
        <w:pStyle w:val="BookText"/>
        <w:rPr/>
      </w:pPr>
      <w:r>
        <w:rPr>
          <w:rFonts w:ascii="IRNazanin" w:hAnsi="IRNazanin" w:eastAsia="IRNazanin"/>
          <w:color w:val="111111"/>
          <w:sz w:val="28"/>
          <w:sz w:val="28"/>
          <w:szCs w:val="28"/>
          <w:rtl w:val="true"/>
          <w:lang w:bidi="fa-IR"/>
        </w:rPr>
        <w:t>اين خدمات به عمران شهر، مانند بناى مساجد و مكان‌هاى عمومى و نيز نظافت شهر و راه‌ها و همچنين مسائل مربوط به پيشبرد كشاورزى، همانند حفر قنات، نهر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خدمات نظافتى شهر گفته شده است كه زياد والى عراق بردگانى را خريدارى و آنان را مأمور نظافت راه‌ها و جاده‌هاى شهرى كرده بود</w:t>
      </w:r>
      <w:r>
        <w:rPr>
          <w:rFonts w:eastAsia="IRNazanin" w:cs="IRNazanin"/>
          <w:color w:val="111111"/>
          <w:sz w:val="28"/>
          <w:szCs w:val="28"/>
          <w:rtl w:val="true"/>
          <w:lang w:bidi="fa-IR"/>
        </w:rPr>
        <w:t xml:space="preserve">. </w:t>
      </w:r>
      <w:r>
        <w:rPr>
          <w:rStyle w:val="FootnoteAnchor"/>
          <w:rtl w:val="true"/>
        </w:rPr>
        <w:footnoteReference w:id="1109"/>
      </w:r>
    </w:p>
    <w:p>
      <w:pPr>
        <w:pStyle w:val="Heading5"/>
        <w:numPr>
          <w:ilvl w:val="4"/>
          <w:numId w:val="1"/>
        </w:numPr>
        <w:rPr/>
      </w:pPr>
      <w:bookmarkStart w:id="1320" w:name="__RefHeading___Toc3585541_3650668749"/>
      <w:bookmarkStart w:id="1321" w:name="_Toc567"/>
      <w:bookmarkEnd w:id="1320"/>
      <w:r>
        <w:rPr>
          <w:rtl w:val="true"/>
        </w:rPr>
        <w:t xml:space="preserve">سه </w:t>
      </w:r>
      <w:r>
        <w:rPr>
          <w:rtl w:val="true"/>
        </w:rPr>
        <w:t xml:space="preserve">- </w:t>
      </w:r>
      <w:r>
        <w:rPr>
          <w:rtl w:val="true"/>
        </w:rPr>
        <w:t>قرض به مردم</w:t>
      </w:r>
      <w:bookmarkEnd w:id="132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كه هنوز بيت‌المال تيول شخصى والى به حساب نمى‌آمد، واليان و ديگر سران حكومت در مواقع اضطرارى به قرض گرفتن از بيت‌المال مى‌پرداختند كه براى نمونه، سعد بن ابى‌وقاص در زمان حكومت خود از ابن‌مسعود، رئيس بيت‌المال مقدارى قرض گرفت و وليد بن عقبه فرماندار كوفه در زمان عثمان نيز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رئيس بيت‌المال از جانب خليفه تعيين مى‌شد و مستقل از حكومت كوفه بود</w:t>
      </w:r>
      <w:r>
        <w:rPr>
          <w:rFonts w:eastAsia="IRNazanin" w:cs="IRNazanin"/>
          <w:color w:val="111111"/>
          <w:sz w:val="28"/>
          <w:szCs w:val="28"/>
          <w:rtl w:val="true"/>
          <w:lang w:bidi="fa-IR"/>
        </w:rPr>
        <w:t xml:space="preserve">. </w:t>
      </w:r>
      <w:r>
        <w:rPr>
          <w:rStyle w:val="FootnoteAnchor"/>
          <w:rtl w:val="true"/>
        </w:rPr>
        <w:footnoteReference w:id="1110"/>
      </w:r>
      <w:bookmarkStart w:id="1322" w:name="pg1964_19732"/>
    </w:p>
    <w:p>
      <w:pPr>
        <w:pStyle w:val="Heading5"/>
        <w:numPr>
          <w:ilvl w:val="4"/>
          <w:numId w:val="1"/>
        </w:numPr>
        <w:rPr/>
      </w:pPr>
      <w:bookmarkStart w:id="1323" w:name="__RefHeading___Toc3585543_3650668749"/>
      <w:bookmarkStart w:id="1324" w:name="_Toc568"/>
      <w:bookmarkEnd w:id="1322"/>
      <w:bookmarkEnd w:id="1323"/>
      <w:r>
        <w:rPr>
          <w:rtl w:val="true"/>
        </w:rPr>
        <w:t xml:space="preserve">چهار </w:t>
      </w:r>
      <w:r>
        <w:rPr>
          <w:rtl w:val="true"/>
        </w:rPr>
        <w:t xml:space="preserve">- </w:t>
      </w:r>
      <w:r>
        <w:rPr>
          <w:rtl w:val="true"/>
        </w:rPr>
        <w:t>نگهدارى مقدارى از اموال براى مواقع اضطرارى</w:t>
      </w:r>
      <w:bookmarkEnd w:id="1324"/>
    </w:p>
    <w:p>
      <w:pPr>
        <w:pStyle w:val="BookText"/>
        <w:rPr/>
      </w:pPr>
      <w:r>
        <w:rPr>
          <w:rFonts w:ascii="IRNazanin" w:hAnsi="IRNazanin" w:eastAsia="IRNazanin"/>
          <w:color w:val="111111"/>
          <w:sz w:val="28"/>
          <w:sz w:val="28"/>
          <w:szCs w:val="28"/>
          <w:rtl w:val="true"/>
          <w:lang w:bidi="fa-IR"/>
        </w:rPr>
        <w:t>هميشه در بيت‌المال كوفه مقدارى مال براى مصرف در مواقع اضطرارى، همانند سيل، شورش‌ها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نگهدارى مى‌شد</w:t>
      </w:r>
      <w:r>
        <w:rPr>
          <w:rFonts w:eastAsia="IRNazanin" w:cs="IRNazanin"/>
          <w:color w:val="111111"/>
          <w:sz w:val="28"/>
          <w:szCs w:val="28"/>
          <w:rtl w:val="true"/>
          <w:lang w:bidi="fa-IR"/>
        </w:rPr>
        <w:t xml:space="preserve">. </w:t>
      </w:r>
      <w:r>
        <w:rPr>
          <w:rStyle w:val="FootnoteAnchor"/>
          <w:rtl w:val="true"/>
        </w:rPr>
        <w:footnoteReference w:id="1111"/>
      </w:r>
    </w:p>
    <w:p>
      <w:pPr>
        <w:pStyle w:val="Heading5"/>
        <w:numPr>
          <w:ilvl w:val="4"/>
          <w:numId w:val="1"/>
        </w:numPr>
        <w:rPr/>
      </w:pPr>
      <w:bookmarkStart w:id="1325" w:name="__RefHeading___Toc3585545_3650668749"/>
      <w:bookmarkStart w:id="1326" w:name="_Toc569"/>
      <w:bookmarkEnd w:id="1325"/>
      <w:r>
        <w:rPr>
          <w:rtl w:val="true"/>
        </w:rPr>
        <w:t xml:space="preserve">پنج </w:t>
      </w:r>
      <w:r>
        <w:rPr>
          <w:rtl w:val="true"/>
        </w:rPr>
        <w:t xml:space="preserve">- </w:t>
      </w:r>
      <w:r>
        <w:rPr>
          <w:rtl w:val="true"/>
        </w:rPr>
        <w:t>رسيدگى به فقرا و يتيمان</w:t>
      </w:r>
      <w:bookmarkEnd w:id="1326"/>
    </w:p>
    <w:p>
      <w:pPr>
        <w:pStyle w:val="BookText"/>
        <w:rPr/>
      </w:pPr>
      <w:r>
        <w:rPr>
          <w:rFonts w:ascii="IRNazanin" w:hAnsi="IRNazanin" w:eastAsia="IRNazanin"/>
          <w:color w:val="111111"/>
          <w:sz w:val="28"/>
          <w:sz w:val="28"/>
          <w:szCs w:val="28"/>
          <w:rtl w:val="true"/>
          <w:lang w:bidi="fa-IR"/>
        </w:rPr>
        <w:t>مقدارى از اموال بيت‌المال براى رسيدگى به وضع يتيمان و نيز ازدواج افراد بى‌بضاعت اختصاص داشت</w:t>
      </w:r>
      <w:r>
        <w:rPr>
          <w:rFonts w:eastAsia="IRNazanin" w:cs="IRNazanin"/>
          <w:color w:val="111111"/>
          <w:sz w:val="28"/>
          <w:szCs w:val="28"/>
          <w:rtl w:val="true"/>
          <w:lang w:bidi="fa-IR"/>
        </w:rPr>
        <w:t xml:space="preserve">. </w:t>
      </w:r>
      <w:r>
        <w:rPr>
          <w:rStyle w:val="FootnoteAnchor"/>
          <w:rtl w:val="true"/>
        </w:rPr>
        <w:footnoteReference w:id="1112"/>
      </w:r>
    </w:p>
    <w:p>
      <w:pPr>
        <w:pStyle w:val="Heading5"/>
        <w:numPr>
          <w:ilvl w:val="4"/>
          <w:numId w:val="1"/>
        </w:numPr>
        <w:rPr/>
      </w:pPr>
      <w:bookmarkStart w:id="1327" w:name="__RefHeading___Toc3585547_3650668749"/>
      <w:bookmarkStart w:id="1328" w:name="_Toc570"/>
      <w:bookmarkEnd w:id="1327"/>
      <w:r>
        <w:rPr>
          <w:rtl w:val="true"/>
        </w:rPr>
        <w:t xml:space="preserve">شش </w:t>
      </w:r>
      <w:r>
        <w:rPr>
          <w:rtl w:val="true"/>
        </w:rPr>
        <w:t xml:space="preserve">- </w:t>
      </w:r>
      <w:r>
        <w:rPr>
          <w:rtl w:val="true"/>
        </w:rPr>
        <w:t>پرداخت به حكومت مركزى</w:t>
      </w:r>
      <w:bookmarkEnd w:id="1328"/>
    </w:p>
    <w:p>
      <w:pPr>
        <w:pStyle w:val="BookText"/>
        <w:rPr/>
      </w:pPr>
      <w:r>
        <w:rPr>
          <w:rFonts w:ascii="IRNazanin" w:hAnsi="IRNazanin" w:eastAsia="IRNazanin"/>
          <w:color w:val="111111"/>
          <w:sz w:val="28"/>
          <w:sz w:val="28"/>
          <w:szCs w:val="28"/>
          <w:rtl w:val="true"/>
          <w:lang w:bidi="fa-IR"/>
        </w:rPr>
        <w:t>بيت‌المال كوفه پس از مصرف بيت‌المال در امور ياد شده، مازاد آن را به حكومت مركزى، حال چه در حجاز و چه در شام مى‌پرداخت</w:t>
      </w:r>
      <w:r>
        <w:rPr>
          <w:rFonts w:eastAsia="IRNazanin" w:cs="IRNazanin"/>
          <w:color w:val="111111"/>
          <w:sz w:val="28"/>
          <w:szCs w:val="28"/>
          <w:rtl w:val="true"/>
          <w:lang w:bidi="fa-IR"/>
        </w:rPr>
        <w:t xml:space="preserve">. </w:t>
      </w:r>
      <w:r>
        <w:rPr>
          <w:rStyle w:val="FootnoteAnchor"/>
          <w:rtl w:val="true"/>
        </w:rPr>
        <w:footnoteReference w:id="1113"/>
      </w:r>
    </w:p>
    <w:p>
      <w:pPr>
        <w:pStyle w:val="Heading5"/>
        <w:numPr>
          <w:ilvl w:val="4"/>
          <w:numId w:val="1"/>
        </w:numPr>
        <w:rPr/>
      </w:pPr>
      <w:bookmarkStart w:id="1329" w:name="__RefHeading___Toc3585549_3650668749"/>
      <w:bookmarkStart w:id="1330" w:name="_Toc571"/>
      <w:bookmarkEnd w:id="1329"/>
      <w:r>
        <w:rPr>
          <w:rtl w:val="true"/>
        </w:rPr>
        <w:t xml:space="preserve">هفت </w:t>
      </w:r>
      <w:r>
        <w:rPr>
          <w:rtl w:val="true"/>
        </w:rPr>
        <w:t xml:space="preserve">- </w:t>
      </w:r>
      <w:r>
        <w:rPr>
          <w:rtl w:val="true"/>
        </w:rPr>
        <w:t>عطاء و رزق</w:t>
      </w:r>
      <w:bookmarkEnd w:id="1330"/>
    </w:p>
    <w:p>
      <w:pPr>
        <w:pStyle w:val="Heading6"/>
        <w:numPr>
          <w:ilvl w:val="5"/>
          <w:numId w:val="1"/>
        </w:numPr>
        <w:rPr/>
      </w:pPr>
      <w:bookmarkStart w:id="1331" w:name="__RefHeading___Toc3585551_3650668749"/>
      <w:bookmarkStart w:id="1332" w:name="_Toc572"/>
      <w:bookmarkEnd w:id="1331"/>
      <w:r>
        <w:rPr>
          <w:rtl w:val="true"/>
        </w:rPr>
        <w:t xml:space="preserve">اول </w:t>
      </w:r>
      <w:r>
        <w:rPr>
          <w:rtl w:val="true"/>
        </w:rPr>
        <w:t xml:space="preserve">- </w:t>
      </w:r>
      <w:r>
        <w:rPr>
          <w:rtl w:val="true"/>
        </w:rPr>
        <w:t>عطاء</w:t>
      </w:r>
      <w:bookmarkEnd w:id="1332"/>
    </w:p>
    <w:p>
      <w:pPr>
        <w:pStyle w:val="BookText"/>
        <w:rPr/>
      </w:pPr>
      <w:r>
        <w:rPr>
          <w:rFonts w:ascii="IRNazanin" w:hAnsi="IRNazanin" w:eastAsia="IRNazanin"/>
          <w:color w:val="111111"/>
          <w:sz w:val="28"/>
          <w:sz w:val="28"/>
          <w:szCs w:val="28"/>
          <w:rtl w:val="true"/>
          <w:lang w:bidi="fa-IR"/>
        </w:rPr>
        <w:t>عطاء مقدار پرداخت نقدى بود كه حكومت كوفه سالانه به صورت يك‌جا يا طى چند قسط به مردم پرداخت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اين نظام باعث وابستگى مالى مردم به حكومت شده و در مسائل سياسى كوفه نقش فراوانى داشت و به خصوص در زمان نهضت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اهرم‌هاى قوى در دست عبيدالله بن زياد بود، به بررسى تفصيلى آن مى‌پردازيم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عطاء در زمان خلافت عمر و به وسيله او به منظور جلوگيرى از اشتغال سربازان و داشتن لشكرى هميشه آماده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اين نظام از قرار زير بود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مقدار مساوى پرداخت نمى‌شد، بلكه در پرداخت آن ملاك‌هايى، همچون مقدار نزديكى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سابقه در جنگ‌هاى اسلامى لحاظ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صرف‌نظر از كسانى مانند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اصحاب بدر و شركت‌كنندگان در جنگ‌هاى قبل از قادسيه كه عطاى آنان فوق‌العاده بود و تا شش هزار درهم در سال مى‌رسيد، عطاى ديگر افراد بين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حداكثر اين عطاء، يعنى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و به كسانى اختصاص داشت كه شجاعت فراوانى در جنگ‌ها از خود نشان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شرف‌العطاء تا زمان معاويه بر همين منوال بود، اما در اين زمان به علت بالا رفتن قيمت نقره، مقدار آن به دو هزار درهم كاهش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ارقام ديگر عطاء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كنندگان در جنگ‌هاى قبل از قادسيه سه هزار درهم؛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كنندگان در قادسيه و جنگ‌هاى شام دو هزار درهم؛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كنندگان بعد از قادسيه يك هزار درهم؛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اشراف عجم، همانند فيروز بن يزدجرد دو هزار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عطاء به زنان نيز پرداخت مى‌شد؛ بدين ترتيب كه عطاء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بالاترين عطاء را دريافت مى‌كردند، دوازده هزار درهم در سال بود؛ زنان اصحاب بدر پانصد درهم؛ زنان اصحاب حديبيه تا جنگ‌هاى قبل از قادسيه سيصد درهم و زنان قادسيه دويست درهم دريافت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قادسيه ديگر مراتبى وجود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كودكان نيز عطاء دريافت مى‌كردند؛ بدين ترتيب كه ابتداى تولد صد درهم، هنگام دندان درآوردن دويست درهم دريافت مى‌داشتند و هنگام بلوغ عطاى آنان افزايش مى‌يافت</w:t>
      </w:r>
      <w:r>
        <w:rPr>
          <w:rFonts w:eastAsia="IRNazanin" w:cs="IRNazanin"/>
          <w:color w:val="111111"/>
          <w:sz w:val="28"/>
          <w:szCs w:val="28"/>
          <w:rtl w:val="true"/>
          <w:lang w:bidi="fa-IR"/>
        </w:rPr>
        <w:t xml:space="preserve">. </w:t>
      </w:r>
      <w:r>
        <w:rPr>
          <w:rStyle w:val="FootnoteAnchor"/>
          <w:rtl w:val="true"/>
        </w:rPr>
        <w:footnoteReference w:id="11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به ورثه مردگان نيز پرداخت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به ورثه كسى كه هشت ماه از سال را زنده بوده، عطاء پرداخت مى‌شد</w:t>
      </w:r>
      <w:r>
        <w:rPr>
          <w:rFonts w:eastAsia="IRNazanin" w:cs="IRNazanin"/>
          <w:color w:val="111111"/>
          <w:sz w:val="28"/>
          <w:szCs w:val="28"/>
          <w:rtl w:val="true"/>
          <w:lang w:bidi="fa-IR"/>
        </w:rPr>
        <w:t xml:space="preserve">. </w:t>
      </w:r>
      <w:r>
        <w:rPr>
          <w:rStyle w:val="FootnoteAnchor"/>
          <w:rtl w:val="true"/>
        </w:rPr>
        <w:footnoteReference w:id="1116"/>
      </w:r>
      <w:r>
        <w:rPr>
          <w:rFonts w:ascii="Amiri" w:hAnsi="Amiri" w:eastAsia="Amiri" w:cs="Amiri"/>
          <w:color w:val="111111"/>
          <w:sz w:val="28"/>
          <w:sz w:val="28"/>
          <w:szCs w:val="28"/>
          <w:rtl w:val="true"/>
          <w:lang w:bidi="ar-SA"/>
        </w:rPr>
        <w:t>اما شرف العطاء به ارث نمى‌رسيد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براى موالى حمراء كه به لشكر سعد پيوسته بودند نيز عطاء قرار داد و عطاى آنها مانند عطاى مسلمانان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براى كسانى كه عشيره‌اى نداشتند و از موالى نيز نبودند، بين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در زمان عمر، اول محرم پرداخت مى‌شد و عمر به خليفه بعد از خود سفارش كرد كه عطاى آنان را در وقت خودش بدهد تا محتاج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زياد مردم تا قبل از عاشورا عطاى خود را دريافت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بعدها عطاء به صورت قسطى پرداخت مى‌شد و مردم عطاى خود را طى سه قسط دريافت مى‌كردند؛ زيرا يكى از اولين قول‌هايى كه يزيد به مردم داد، اين بود كه عطاى آنان را يك‌جا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مردم در مقابل دريافت عطاء آن بود كه هميشه مجهز به سلاح باشند و هنگام اعلان جهاد، به جهاد روند و در جهاد، خرج آنان از لحاظ سلاح، مركب و غذا با خودشان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براين‌اساس، اگر شخصى هنگام اعلان جهاد، از رفتن به جهاد سرباز مى‌زد عطاى او قطع مى‌شد و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تغييراتى كه در زمان خلافت عثمان در مورد پرداخت عطاء روى داد، از قرار زير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صد درهم به عطاء افراد اضافه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عاص كه از سال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فرماندار كوفه بود، عطاى زنان كوفه را از دويست درهم به صد درهم تقليل داد و زمينه اعتراض مردم را فراهم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عطاى موالى بى‌توجهى شد، بلكه در بسيارى از موارد به آنان پرداخت نمى‌گرديد، از اين رو موالى ناگزير بودند كسب و كارى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زمان حكومت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تغييرات مهمى در عطاء رخ داد كه بعضى از آنان از قرار زير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ملاك‌هاى عمر را براى عدم مساوات در عطاء، ملغى نمود و عطاء را به همگان، حتى موالى به صورت يك‌سان پرداخت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زمينه اعتراض بسيارى از اشراف را فراهم آورد</w:t>
      </w:r>
      <w:r>
        <w:rPr>
          <w:rFonts w:eastAsia="IRNazanin" w:cs="IRNazanin"/>
          <w:color w:val="111111"/>
          <w:sz w:val="28"/>
          <w:szCs w:val="28"/>
          <w:rtl w:val="true"/>
          <w:lang w:bidi="fa-IR"/>
        </w:rPr>
        <w:t xml:space="preserve">. </w:t>
      </w:r>
      <w:r>
        <w:rPr>
          <w:rStyle w:val="FootnoteAnchor"/>
          <w:rtl w:val="true"/>
        </w:rPr>
        <w:footnoteReference w:id="11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حتى به غير مسلمانان كه در جنگ‌ها به اوكمك مى‌نمودند، نيز عطاء پرداخت مى‌كرد، چنان‌كه به مسيحيانى كه در جنگ جمل او را يارى نمودند، عطايى معادل مسلمانان پرداخت كرد</w:t>
      </w:r>
      <w:r>
        <w:rPr>
          <w:rFonts w:eastAsia="IRNazanin" w:cs="IRNazanin"/>
          <w:color w:val="111111"/>
          <w:sz w:val="28"/>
          <w:szCs w:val="28"/>
          <w:rtl w:val="true"/>
          <w:lang w:bidi="fa-IR"/>
        </w:rPr>
        <w:t xml:space="preserve">. </w:t>
      </w:r>
      <w:r>
        <w:rPr>
          <w:rStyle w:val="FootnoteAnchor"/>
          <w:rtl w:val="true"/>
        </w:rPr>
        <w:footnoteReference w:id="11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عطاى لشكريان در جنگ جمل را صد درهم افزايش داد</w:t>
      </w:r>
      <w:r>
        <w:rPr>
          <w:rFonts w:eastAsia="IRNazanin" w:cs="IRNazanin"/>
          <w:color w:val="111111"/>
          <w:sz w:val="28"/>
          <w:szCs w:val="28"/>
          <w:rtl w:val="true"/>
          <w:lang w:bidi="fa-IR"/>
        </w:rPr>
        <w:t xml:space="preserve">. </w:t>
      </w:r>
      <w:r>
        <w:rPr>
          <w:rStyle w:val="FootnoteAnchor"/>
          <w:rtl w:val="true"/>
        </w:rPr>
        <w:footnoteReference w:id="11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به محض وصول اموال به بيت‌المال به تقسيم آن اقدام مى‌نمود و نمى‌گذاشت، اموال در بيت‌المال انباشته شود</w:t>
      </w:r>
      <w:r>
        <w:rPr>
          <w:rFonts w:eastAsia="IRNazanin" w:cs="IRNazanin"/>
          <w:color w:val="111111"/>
          <w:sz w:val="28"/>
          <w:szCs w:val="28"/>
          <w:rtl w:val="true"/>
          <w:lang w:bidi="fa-IR"/>
        </w:rPr>
        <w:t xml:space="preserve">. </w:t>
      </w:r>
      <w:r>
        <w:rPr>
          <w:rStyle w:val="FootnoteAnchor"/>
          <w:rtl w:val="true"/>
        </w:rPr>
        <w:footnoteReference w:id="1120"/>
      </w:r>
      <w:r>
        <w:rPr>
          <w:rFonts w:ascii="IRNazanin" w:hAnsi="IRNazanin" w:eastAsia="IRNazanin"/>
          <w:color w:val="111111"/>
          <w:sz w:val="28"/>
          <w:sz w:val="28"/>
          <w:szCs w:val="28"/>
          <w:rtl w:val="true"/>
          <w:lang w:bidi="fa-IR"/>
        </w:rPr>
        <w:t>بر اين اساس، نقل شده است كه پس از پرداخت سه نوبت عطاء در يك سال، مال فراوانى از اصفهان براى بيت‌المال رسيد و حضرت رؤساى كوفه را دعوت كرد تا عطاى چهارم افراد محدوده خود را دريافت دارند</w:t>
      </w:r>
      <w:r>
        <w:rPr>
          <w:rFonts w:eastAsia="IRNazanin" w:cs="IRNazanin"/>
          <w:color w:val="111111"/>
          <w:sz w:val="28"/>
          <w:szCs w:val="28"/>
          <w:rtl w:val="true"/>
          <w:lang w:bidi="fa-IR"/>
        </w:rPr>
        <w:t xml:space="preserve">. </w:t>
      </w:r>
      <w:r>
        <w:rPr>
          <w:rStyle w:val="FootnoteAnchor"/>
          <w:rtl w:val="true"/>
        </w:rPr>
        <w:footnoteReference w:id="11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حتى براى تازه مسلمانان عطاء قرار مى‌داد، چنان‌كه براى يهودى تازه مسلمان شده نهصد درهم در سال مقرّر فرمود</w:t>
      </w:r>
      <w:r>
        <w:rPr>
          <w:rFonts w:eastAsia="IRNazanin" w:cs="IRNazanin"/>
          <w:color w:val="111111"/>
          <w:sz w:val="28"/>
          <w:szCs w:val="28"/>
          <w:rtl w:val="true"/>
          <w:lang w:bidi="fa-IR"/>
        </w:rPr>
        <w:t xml:space="preserve">. </w:t>
      </w:r>
      <w:r>
        <w:rPr>
          <w:rStyle w:val="FootnoteAnchor"/>
          <w:rtl w:val="true"/>
        </w:rPr>
        <w:footnoteReference w:id="11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حتى به مخالفان عقيدتى خود، همانند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اقدام مسلحانه عليه حكومت او ننموده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عطاء پرداخت مى‌كرد</w:t>
      </w:r>
      <w:r>
        <w:rPr>
          <w:rFonts w:eastAsia="IRNazanin" w:cs="IRNazanin"/>
          <w:color w:val="111111"/>
          <w:sz w:val="28"/>
          <w:szCs w:val="28"/>
          <w:rtl w:val="true"/>
          <w:lang w:bidi="fa-IR"/>
        </w:rPr>
        <w:t xml:space="preserve">. </w:t>
      </w:r>
      <w:r>
        <w:rPr>
          <w:rStyle w:val="FootnoteAnchor"/>
          <w:rtl w:val="true"/>
        </w:rPr>
        <w:footnoteReference w:id="112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جالب توجه آنكه آن حضرت حتى براى نصرانى كورى كه از كار افتاده بود، مقررى معين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هنگامى كه توان داشت از او كار گرفتيد و وقتى پير و عاجز شد، او را رها كرديد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رسيدن به خلافت، در دوران شش ماهه حكومت خود صد درهم به عطاى مردم اضافه كرد</w:t>
      </w:r>
      <w:r>
        <w:rPr>
          <w:rFonts w:eastAsia="IRNazanin" w:cs="IRNazanin"/>
          <w:color w:val="111111"/>
          <w:sz w:val="28"/>
          <w:szCs w:val="28"/>
          <w:rtl w:val="true"/>
          <w:lang w:bidi="fa-IR"/>
        </w:rPr>
        <w:t xml:space="preserve">.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اما در زمان حكومت معاويه وضع عطاء به كلى دگرگون شد؛ زيرا در اين هنگام بيت‌المال به عنوان صندوق خانوادگى درآمده بود و حكومت از برقرارى عطاء به عنوان وسيله‌اى براى جلب بيعت و رضايت مردم استفاده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تهديد به قطع عطاء يكى از راه‌هاى ارعاب مردم به شمار مى‌رفت </w:t>
      </w:r>
      <w:r>
        <w:rPr>
          <w:rStyle w:val="FootnoteAnchor"/>
          <w:rtl w:val="true"/>
        </w:rPr>
        <w:footnoteReference w:id="1125"/>
      </w:r>
      <w:r>
        <w:rPr>
          <w:rFonts w:ascii="IRNazanin" w:hAnsi="IRNazanin" w:eastAsia="IRNazanin"/>
          <w:color w:val="111111"/>
          <w:sz w:val="28"/>
          <w:sz w:val="28"/>
          <w:szCs w:val="28"/>
          <w:rtl w:val="true"/>
          <w:lang w:bidi="fa-IR"/>
        </w:rPr>
        <w:t xml:space="preserve">، چنان‌كه مغيرة بن شعبه عامل معاويه در كوفه در سال‌هاى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همين وسيله توانست مردم را مطيع خود سازد</w:t>
      </w:r>
      <w:r>
        <w:rPr>
          <w:rFonts w:eastAsia="IRNazanin" w:cs="IRNazanin"/>
          <w:color w:val="111111"/>
          <w:sz w:val="28"/>
          <w:szCs w:val="28"/>
          <w:rtl w:val="true"/>
          <w:lang w:bidi="fa-IR"/>
        </w:rPr>
        <w:t xml:space="preserve">. </w:t>
      </w:r>
      <w:r>
        <w:rPr>
          <w:rStyle w:val="FootnoteAnchor"/>
          <w:rtl w:val="true"/>
        </w:rPr>
        <w:footnoteReference w:id="1126"/>
      </w:r>
      <w:r>
        <w:rPr>
          <w:rFonts w:ascii="IRNazanin" w:hAnsi="IRNazanin" w:eastAsia="IRNazanin"/>
          <w:color w:val="111111"/>
          <w:sz w:val="28"/>
          <w:sz w:val="28"/>
          <w:szCs w:val="28"/>
          <w:rtl w:val="true"/>
          <w:lang w:bidi="fa-IR"/>
        </w:rPr>
        <w:t>بر اين اساس، دوباره نظام طبقاتى عطاء بر قرار شد، اما اين بار ملاك‌هاى فضيلت و سابقه در اسلام و شركت در جنگ‌ها به عنوان امتيازات ويژه مورد نظر قرار نگرفت، بلكه ملاك‌هاى اصلى، ميزان تقرب به دستگاه اموى و مقدار سر سپردگى به حكومت بود</w:t>
      </w:r>
      <w:r>
        <w:rPr>
          <w:rFonts w:eastAsia="IRNazanin" w:cs="IRNazanin"/>
          <w:color w:val="111111"/>
          <w:sz w:val="28"/>
          <w:szCs w:val="28"/>
          <w:rtl w:val="true"/>
          <w:lang w:bidi="fa-IR"/>
        </w:rPr>
        <w:t xml:space="preserve">. </w:t>
      </w:r>
      <w:r>
        <w:rPr>
          <w:rStyle w:val="FootnoteAnchor"/>
          <w:rtl w:val="true"/>
        </w:rPr>
        <w:footnoteReference w:id="1127"/>
      </w:r>
      <w:r>
        <w:rPr>
          <w:rFonts w:ascii="IRNazanin" w:hAnsi="IRNazanin" w:eastAsia="IRNazanin"/>
          <w:color w:val="111111"/>
          <w:sz w:val="28"/>
          <w:sz w:val="28"/>
          <w:szCs w:val="28"/>
          <w:rtl w:val="true"/>
          <w:lang w:bidi="fa-IR"/>
        </w:rPr>
        <w:t xml:space="preserve">در چنين شرايطى عطاء موالى حذف شد و معاويه تنها در برهه‌اى از زمان دستور پرداخت فقط پانزده درهم ساليانه به موالى را براى حاكم صادر كرد كه البته اين هم به مرحله اجرا درنيامد </w:t>
      </w:r>
      <w:r>
        <w:rPr>
          <w:rStyle w:val="FootnoteAnchor"/>
          <w:rtl w:val="true"/>
        </w:rPr>
        <w:footnoteReference w:id="1128"/>
      </w:r>
      <w:r>
        <w:rPr>
          <w:rFonts w:ascii="IRNazanin" w:hAnsi="IRNazanin" w:eastAsia="IRNazanin"/>
          <w:color w:val="111111"/>
          <w:sz w:val="28"/>
          <w:sz w:val="28"/>
          <w:szCs w:val="28"/>
          <w:rtl w:val="true"/>
          <w:lang w:bidi="fa-IR"/>
        </w:rPr>
        <w:t>، از اين رو موالى ناگزير بودند كه كار و تلاش بيشترى داشته باشند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ميان مخالفان حكومت در كوفه عمدتاً شيعيان بودند كه تهديد به قطع عطاء مى‌شدند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گزارشى آمده است كه يكى از اولين اقدامات عبيدالله بن زياد پس از ورود به كوفه در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جمع‌آورى رؤساى كوفه و تهديد آنان به قطع عطاء در صورت بروز مخالفت با حكومت در محدوده مسئوليت آنها بود</w:t>
      </w:r>
      <w:r>
        <w:rPr>
          <w:rFonts w:eastAsia="IRNazanin" w:cs="IRNazanin"/>
          <w:color w:val="111111"/>
          <w:sz w:val="28"/>
          <w:szCs w:val="28"/>
          <w:rtl w:val="true"/>
          <w:lang w:bidi="fa-IR"/>
        </w:rPr>
        <w:t xml:space="preserve">.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در اين زمان مردم وابستگى شديدى به عطاء داشتند؛ زيرا مردم عرب ساكن كوفه، از طرفى همچون موالى آشنا به حرفه‌ها و صنايع نبودند و از سوى ديگر، اشتغال به اين كارها را كسر شأن خود مى‌دانستند و از سوى سوم، به فنون كشاورزى نيز آشنايى چندانى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كوفه نيز از اين نقطه ضعف مهم مردم كوفه آگاه بود و به عنوان عاملى مهم از آن براى پيشبرد مقاصد خود استفاده مى‌كرد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مسلم بن عقيل به همراه سپاه خود قصر عبيدالله بن زياد را محاصره كرد و او را در فشار قرار داد و مى‌رفت كه حكومت او را سرنگون سازد، يكى از شگردهاى موفق عبيدالله و اطرافيانش براى پراكنده كردن اطرافيان حضرت مسلم تشويق به ازدياد عطاء در صورت پراكنده شدن و نيز تهديد به قطع عطاء در صورت ادامه شورش بود كه اطرافيان مسلم با شنيدن اين تشويق و تهديد، به سرعت از دور مسلم پراكنده شدند</w:t>
      </w:r>
      <w:r>
        <w:rPr>
          <w:rFonts w:eastAsia="IRNazanin" w:cs="IRNazanin"/>
          <w:color w:val="111111"/>
          <w:sz w:val="28"/>
          <w:szCs w:val="28"/>
          <w:rtl w:val="true"/>
          <w:lang w:bidi="fa-IR"/>
        </w:rPr>
        <w:t xml:space="preserve">. </w:t>
      </w:r>
      <w:r>
        <w:rPr>
          <w:rStyle w:val="FootnoteAnchor"/>
          <w:rtl w:val="true"/>
        </w:rPr>
        <w:footnoteReference w:id="1130"/>
      </w:r>
      <w:r>
        <w:rPr>
          <w:rFonts w:ascii="IRNazanin" w:hAnsi="IRNazanin" w:eastAsia="IRNazanin"/>
          <w:color w:val="111111"/>
          <w:sz w:val="28"/>
          <w:sz w:val="28"/>
          <w:szCs w:val="28"/>
          <w:rtl w:val="true"/>
          <w:lang w:bidi="fa-IR"/>
        </w:rPr>
        <w:t xml:space="preserve">همچنين عبيدالله با همين شيوه توانست گروه عظيمى از مردم كوفه را كه دل‌هايشان 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عليه آن حضرت وارد جنگ نمايد</w:t>
      </w:r>
      <w:r>
        <w:rPr>
          <w:rFonts w:eastAsia="IRNazanin" w:cs="IRNazanin"/>
          <w:color w:val="111111"/>
          <w:sz w:val="28"/>
          <w:szCs w:val="28"/>
          <w:rtl w:val="true"/>
          <w:lang w:bidi="fa-IR"/>
        </w:rPr>
        <w:t xml:space="preserve">. </w:t>
      </w:r>
      <w:r>
        <w:rPr>
          <w:rStyle w:val="FootnoteAnchor"/>
          <w:rtl w:val="true"/>
        </w:rPr>
        <w:footnoteReference w:id="1131"/>
      </w:r>
      <w:r>
        <w:rPr>
          <w:rFonts w:ascii="Amiri" w:hAnsi="Amiri" w:eastAsia="Amiri" w:cs="Amiri"/>
          <w:color w:val="111111"/>
          <w:sz w:val="28"/>
          <w:sz w:val="28"/>
          <w:szCs w:val="28"/>
          <w:rtl w:val="true"/>
          <w:lang w:bidi="ar-SA"/>
        </w:rPr>
        <w:t xml:space="preserve">از اين‌رو، يكى از شكاياتى كه كوفيان در نامه‌هاى خود خطاب به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داشتند، اين بود كه يزيد عطاء را فقط به اطرافيان خود و ثروتمندان مى‌دهد</w:t>
      </w:r>
      <w:r>
        <w:rPr>
          <w:rFonts w:eastAsia="Amiri" w:cs="Amiri" w:ascii="Amiri" w:hAnsi="Amiri"/>
          <w:color w:val="111111"/>
          <w:sz w:val="28"/>
          <w:szCs w:val="28"/>
          <w:rtl w:val="true"/>
          <w:lang w:bidi="ar-SA"/>
        </w:rPr>
        <w:t xml:space="preserve">. </w:t>
      </w:r>
      <w:r>
        <w:rPr>
          <w:rStyle w:val="FootnoteAnchor"/>
          <w:rtl w:val="true"/>
        </w:rPr>
        <w:footnoteReference w:id="1132"/>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هنگامى كه كوفيان با ايجاد سر و صدا قصد بر هم زدن سخنرانى آن حضرت را داشتند، خطاب به آنها چنين فرمود</w:t>
      </w:r>
      <w:r>
        <w:rPr>
          <w:rFonts w:eastAsia="IRNazanin" w:cs="IRNazanin"/>
          <w:color w:val="111111"/>
          <w:sz w:val="28"/>
          <w:szCs w:val="28"/>
          <w:rtl w:val="true"/>
          <w:lang w:bidi="fa-IR"/>
        </w:rPr>
        <w:t>:</w:t>
      </w:r>
      <w:bookmarkStart w:id="1333" w:name="pg1964_19743"/>
    </w:p>
    <w:p>
      <w:pPr>
        <w:pStyle w:val="BookText"/>
        <w:rPr/>
      </w:pPr>
      <w:bookmarkEnd w:id="1333"/>
      <w:r>
        <w:rPr>
          <w:rFonts w:ascii="IRNazanin" w:hAnsi="IRNazanin" w:eastAsia="IRNazanin"/>
          <w:color w:val="111111"/>
          <w:sz w:val="28"/>
          <w:sz w:val="28"/>
          <w:szCs w:val="28"/>
          <w:rtl w:val="true"/>
          <w:lang w:bidi="fa-IR"/>
        </w:rPr>
        <w:t>همه شما عصيان مرا مى‌ورزيد و به سخنان من گوش فرا نمى‌دهيد، و بايد چنين باشد؛ زيرا عطاهاى شما از مال حرام فراهم آمده و شكم‌هايتان از حرام انباشته شده است، پس باعث مهر خوردن قلب‌هايتان شده است</w:t>
      </w:r>
      <w:r>
        <w:rPr>
          <w:rFonts w:eastAsia="IRNazanin" w:cs="IRNazanin"/>
          <w:color w:val="111111"/>
          <w:sz w:val="28"/>
          <w:szCs w:val="28"/>
          <w:rtl w:val="true"/>
          <w:lang w:bidi="fa-IR"/>
        </w:rPr>
        <w:t xml:space="preserve">. </w:t>
      </w:r>
      <w:r>
        <w:rPr>
          <w:rStyle w:val="FootnoteAnchor"/>
          <w:rtl w:val="true"/>
        </w:rPr>
        <w:footnoteReference w:id="1133"/>
      </w:r>
    </w:p>
    <w:p>
      <w:pPr>
        <w:pStyle w:val="Heading6"/>
        <w:numPr>
          <w:ilvl w:val="5"/>
          <w:numId w:val="1"/>
        </w:numPr>
        <w:rPr/>
      </w:pPr>
      <w:bookmarkStart w:id="1334" w:name="__RefHeading___Toc3585553_3650668749"/>
      <w:bookmarkStart w:id="1335" w:name="_Toc573"/>
      <w:bookmarkEnd w:id="1334"/>
      <w:r>
        <w:rPr>
          <w:rtl w:val="true"/>
        </w:rPr>
        <w:t xml:space="preserve">دوم </w:t>
      </w:r>
      <w:r>
        <w:rPr>
          <w:rtl w:val="true"/>
        </w:rPr>
        <w:t xml:space="preserve">- </w:t>
      </w:r>
      <w:r>
        <w:rPr>
          <w:rtl w:val="true"/>
        </w:rPr>
        <w:t>رزق</w:t>
      </w:r>
      <w:bookmarkEnd w:id="1335"/>
    </w:p>
    <w:p>
      <w:pPr>
        <w:pStyle w:val="BookText"/>
        <w:rPr/>
      </w:pPr>
      <w:r>
        <w:rPr>
          <w:rFonts w:ascii="IRNazanin" w:hAnsi="IRNazanin" w:eastAsia="IRNazanin"/>
          <w:color w:val="111111"/>
          <w:sz w:val="28"/>
          <w:sz w:val="28"/>
          <w:szCs w:val="28"/>
          <w:rtl w:val="true"/>
          <w:lang w:bidi="fa-IR"/>
        </w:rPr>
        <w:t>رزق عبارت بود از مقرّرى جنسى ماهيانه كه شامل غذاهاى محلى مردم، مانند گندم، روغن، خرما و سركه مى‌شد</w:t>
      </w:r>
      <w:r>
        <w:rPr>
          <w:rFonts w:eastAsia="IRNazanin" w:cs="IRNazanin"/>
          <w:color w:val="111111"/>
          <w:sz w:val="28"/>
          <w:szCs w:val="28"/>
          <w:rtl w:val="true"/>
          <w:lang w:bidi="fa-IR"/>
        </w:rPr>
        <w:t xml:space="preserve">. </w:t>
      </w:r>
      <w:r>
        <w:rPr>
          <w:rStyle w:val="FootnoteAnchor"/>
          <w:rtl w:val="true"/>
        </w:rPr>
        <w:footnoteReference w:id="1134"/>
      </w:r>
      <w:r>
        <w:rPr>
          <w:rFonts w:ascii="IRNazanin" w:hAnsi="IRNazanin" w:eastAsia="IRNazanin"/>
          <w:color w:val="111111"/>
          <w:sz w:val="28"/>
          <w:sz w:val="28"/>
          <w:szCs w:val="28"/>
          <w:rtl w:val="true"/>
          <w:lang w:bidi="fa-IR"/>
        </w:rPr>
        <w:t xml:space="preserve">نظام رزق اولين بار به وسيله عمر برپا شد و تعيين مقدار پرداختى به مردم از اين راه به دست آمد كه او دستور داد گندم يك جريب زمين را </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آرد كرده و از آن نان پختند، سپس سى نفر از مردم را در دو وعده غذايى با آن نان سير كرد و از اينجا نتيجه گرفت كه مقدار يك جريب گندم براى غذاى ماهيانه يك شخص با دو وعده غذايى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مقدار گندم تحويلى به مردم يك جريب در نظر گرفته شد كه همراه دو جريب خورش، مانند سركه، روغن و خرما به هر نفر داده مى‌شد</w:t>
      </w:r>
      <w:r>
        <w:rPr>
          <w:rFonts w:eastAsia="IRNazanin" w:cs="IRNazanin"/>
          <w:color w:val="111111"/>
          <w:sz w:val="28"/>
          <w:szCs w:val="28"/>
          <w:rtl w:val="true"/>
          <w:lang w:bidi="fa-IR"/>
        </w:rPr>
        <w:t xml:space="preserve">.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رزق برخلاف عطاء،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به‌طور مساوى،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همه مردم، اعم از عرب و عجم و عبد و مولا و حتى مريضان و مسكينان داده مى‌شد</w:t>
      </w:r>
      <w:r>
        <w:rPr>
          <w:rFonts w:eastAsia="Amiri" w:cs="Amiri" w:ascii="Amiri" w:hAnsi="Amiri"/>
          <w:color w:val="111111"/>
          <w:sz w:val="28"/>
          <w:szCs w:val="28"/>
          <w:rtl w:val="true"/>
          <w:lang w:bidi="ar-SA"/>
        </w:rPr>
        <w:t xml:space="preserve">. </w:t>
      </w:r>
      <w:r>
        <w:rPr>
          <w:rStyle w:val="FootnoteAnchor"/>
          <w:rtl w:val="true"/>
        </w:rPr>
        <w:footnoteReference w:id="1136"/>
      </w:r>
      <w:r>
        <w:rPr>
          <w:rFonts w:ascii="IRNazanin" w:hAnsi="IRNazanin" w:eastAsia="IRNazanin"/>
          <w:color w:val="111111"/>
          <w:sz w:val="28"/>
          <w:sz w:val="28"/>
          <w:szCs w:val="28"/>
          <w:rtl w:val="true"/>
          <w:lang w:bidi="fa-IR"/>
        </w:rPr>
        <w:t>به عبارت ديگر، اين پرداخت در مقابل آمادگى براى جهاد صورت نمى‌گرفت</w:t>
      </w:r>
      <w:r>
        <w:rPr>
          <w:rFonts w:eastAsia="IRNazanin" w:cs="IRNazanin"/>
          <w:color w:val="111111"/>
          <w:sz w:val="28"/>
          <w:szCs w:val="28"/>
          <w:rtl w:val="true"/>
          <w:lang w:bidi="fa-IR"/>
        </w:rPr>
        <w:t xml:space="preserve">. </w:t>
      </w:r>
      <w:r>
        <w:rPr>
          <w:rStyle w:val="FootnoteAnchor"/>
          <w:rtl w:val="true"/>
        </w:rPr>
        <w:footnoteReference w:id="113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رزق هر ماه قبل از رؤيت هلال بود</w:t>
      </w:r>
      <w:r>
        <w:rPr>
          <w:rFonts w:eastAsia="IRNazanin" w:cs="IRNazanin"/>
          <w:color w:val="111111"/>
          <w:sz w:val="28"/>
          <w:szCs w:val="28"/>
          <w:rtl w:val="true"/>
          <w:lang w:bidi="fa-IR"/>
        </w:rPr>
        <w:t xml:space="preserve">. </w:t>
      </w:r>
      <w:r>
        <w:rPr>
          <w:rStyle w:val="FootnoteAnchor"/>
          <w:rtl w:val="true"/>
        </w:rPr>
        <w:footnoteReference w:id="1138"/>
      </w:r>
      <w:r>
        <w:rPr>
          <w:rFonts w:ascii="IRNazanin" w:hAnsi="IRNazanin" w:eastAsia="IRNazanin"/>
          <w:color w:val="111111"/>
          <w:sz w:val="28"/>
          <w:sz w:val="28"/>
          <w:szCs w:val="28"/>
          <w:rtl w:val="true"/>
          <w:lang w:bidi="fa-IR"/>
        </w:rPr>
        <w:t xml:space="preserve">محل انبار و پرداخت اين مقررى جنسى در كوفه مكانى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منتهى‌اليه شمال شرقى كوفه و در كنار پل كوفه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ابتدا محل جمع‌آورى غنايم بود</w:t>
      </w:r>
      <w:r>
        <w:rPr>
          <w:rFonts w:eastAsia="IRNazanin" w:cs="IRNazanin"/>
          <w:color w:val="111111"/>
          <w:sz w:val="28"/>
          <w:szCs w:val="28"/>
          <w:rtl w:val="true"/>
          <w:lang w:bidi="fa-IR"/>
        </w:rPr>
        <w:t xml:space="preserve">. </w:t>
      </w:r>
      <w:r>
        <w:rPr>
          <w:rStyle w:val="FootnoteAnchor"/>
          <w:rtl w:val="true"/>
        </w:rPr>
        <w:footnoteReference w:id="1139"/>
      </w:r>
      <w:r>
        <w:rPr>
          <w:rFonts w:ascii="Amiri" w:hAnsi="Amiri" w:eastAsia="Amiri" w:cs="Amiri"/>
          <w:color w:val="111111"/>
          <w:sz w:val="28"/>
          <w:sz w:val="28"/>
          <w:szCs w:val="28"/>
          <w:rtl w:val="true"/>
          <w:lang w:bidi="ar-SA"/>
        </w:rPr>
        <w:t>حكومت</w:t>
      </w:r>
      <w:bookmarkStart w:id="1336" w:name="pg1964_19745"/>
    </w:p>
    <w:p>
      <w:pPr>
        <w:pStyle w:val="BookText"/>
        <w:rPr/>
      </w:pPr>
      <w:bookmarkEnd w:id="1336"/>
      <w:r>
        <w:rPr>
          <w:rFonts w:ascii="IRNazanin" w:hAnsi="IRNazanin" w:eastAsia="IRNazanin"/>
          <w:color w:val="111111"/>
          <w:sz w:val="28"/>
          <w:sz w:val="28"/>
          <w:szCs w:val="28"/>
          <w:rtl w:val="true"/>
          <w:lang w:bidi="fa-IR"/>
        </w:rPr>
        <w:t>كوفه در بعضى مواقع چك‌هايى به مردم مى‌داد كه در آن مقدار رزق آنان نوشته شده بود و مأمور تقسيم ارزاق در مقابل گرفتن اين چك‌ها، رزق آنان را تحويل مى‌داد</w:t>
      </w:r>
      <w:r>
        <w:rPr>
          <w:rFonts w:eastAsia="IRNazanin" w:cs="IRNazanin"/>
          <w:color w:val="111111"/>
          <w:sz w:val="28"/>
          <w:szCs w:val="28"/>
          <w:rtl w:val="true"/>
          <w:lang w:bidi="fa-IR"/>
        </w:rPr>
        <w:t xml:space="preserve">. </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مردم كوفه در ابتدا رزق خود را به وسيله خادمان و بردگان خود تحويل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بعضى از اين بردگان و خادمان كه كم سن و سال بودند، مقدارى از رزق را در راه بازگشت به خانه فروخته و به جاى آن كبوتر و پرندگان ديگر يا حلواء و شيرينى مى‌خريدند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زمان زياد مردم ناچار شدند كه خود، رزق را تحويل بگيرند</w:t>
      </w:r>
      <w:r>
        <w:rPr>
          <w:rFonts w:eastAsia="IRNazanin" w:cs="IRNazanin"/>
          <w:color w:val="111111"/>
          <w:sz w:val="28"/>
          <w:szCs w:val="28"/>
          <w:rtl w:val="true"/>
          <w:lang w:bidi="fa-IR"/>
        </w:rPr>
        <w:t xml:space="preserve">. </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در زمان بنى‌اميه، رزق نيز همانند عطاء وسيله‌اى در دست حاكمان بود كه براى جلب رضايت و بيعت مردم و تهديد آنان در صورت مخالفت با حكومت از آن استفاده مى‌شد، چنان‌كه مغيرة بن شعبه در برهه‌اى از زمان، براى الزام مردم به پيروى از حكومت، رزق را پرداخت نكرد</w:t>
      </w:r>
      <w:r>
        <w:rPr>
          <w:rFonts w:eastAsia="IRNazanin" w:cs="IRNazanin"/>
          <w:color w:val="111111"/>
          <w:sz w:val="28"/>
          <w:szCs w:val="28"/>
          <w:rtl w:val="true"/>
          <w:lang w:bidi="fa-IR"/>
        </w:rPr>
        <w:t xml:space="preserve">. </w:t>
      </w:r>
      <w:r>
        <w:rPr>
          <w:rStyle w:val="FootnoteAnchor"/>
          <w:rtl w:val="true"/>
        </w:rPr>
        <w:footnoteReference w:id="1142"/>
      </w:r>
    </w:p>
    <w:p>
      <w:pPr>
        <w:pStyle w:val="Heading4"/>
        <w:numPr>
          <w:ilvl w:val="3"/>
          <w:numId w:val="1"/>
        </w:numPr>
        <w:rPr/>
      </w:pPr>
      <w:bookmarkStart w:id="1337" w:name="__RefHeading___Toc3585555_3650668749"/>
      <w:bookmarkStart w:id="1338" w:name="_Toc574"/>
      <w:bookmarkEnd w:id="1337"/>
      <w:r>
        <w:rPr>
          <w:rtl w:val="true"/>
        </w:rPr>
        <w:t>ج</w:t>
      </w:r>
      <w:r>
        <w:rPr>
          <w:rtl w:val="true"/>
        </w:rPr>
        <w:t xml:space="preserve">) </w:t>
      </w:r>
      <w:r>
        <w:rPr>
          <w:rtl w:val="true"/>
        </w:rPr>
        <w:t>سطح زندگى مردم و قيمت بعضى از كالاها</w:t>
      </w:r>
      <w:bookmarkEnd w:id="1338"/>
    </w:p>
    <w:p>
      <w:pPr>
        <w:pStyle w:val="BookText"/>
        <w:rPr/>
      </w:pPr>
      <w:r>
        <w:rPr>
          <w:rFonts w:ascii="IRNazanin" w:hAnsi="IRNazanin" w:eastAsia="IRNazanin"/>
          <w:color w:val="111111"/>
          <w:sz w:val="28"/>
          <w:sz w:val="28"/>
          <w:szCs w:val="28"/>
          <w:rtl w:val="true"/>
          <w:lang w:bidi="fa-IR"/>
        </w:rPr>
        <w:t xml:space="preserve">مردم كوفه در ابتداى سكونت در اين شهر، وضع زندگى بسيار مناسبى داشتند؛ زيرا از طرفى اموال بسيارى از غنايم فتوحات به دست آورده بودند و از سوى ديگر، زمين خانه‌هاى آنان مفت بود و مصالح ساختمانى نيز ارزان به دست مى‌آمد </w:t>
      </w:r>
      <w:r>
        <w:rPr>
          <w:rStyle w:val="FootnoteAnchor"/>
          <w:rtl w:val="true"/>
        </w:rPr>
        <w:footnoteReference w:id="1143"/>
      </w:r>
      <w:r>
        <w:rPr>
          <w:rFonts w:ascii="IRNazanin" w:hAnsi="IRNazanin" w:eastAsia="IRNazanin"/>
          <w:color w:val="111111"/>
          <w:sz w:val="28"/>
          <w:sz w:val="28"/>
          <w:szCs w:val="28"/>
          <w:rtl w:val="true"/>
          <w:lang w:bidi="fa-IR"/>
        </w:rPr>
        <w:t>و از سوى سوم علاوه بر ارزاق، ساليانه مقدار زيادى پول نقد به آنها به عنوان عطاء پرداخت مى‌شد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اينكه پايين‌ترين مقدار پرداختى عطاء در سال دويست درهم بود، مى‌توان نتيجه گرفت كه وضع زندگى مردم كوفه به گونه‌اى بود كه امكان</w:t>
      </w:r>
    </w:p>
    <w:p>
      <w:pPr>
        <w:pStyle w:val="BookText"/>
        <w:rPr/>
      </w:pPr>
      <w:r>
        <w:rPr>
          <w:rFonts w:ascii="IRNazanin" w:hAnsi="IRNazanin" w:eastAsia="IRNazanin"/>
          <w:color w:val="111111"/>
          <w:sz w:val="28"/>
          <w:sz w:val="28"/>
          <w:szCs w:val="28"/>
          <w:rtl w:val="true"/>
          <w:lang w:bidi="fa-IR"/>
        </w:rPr>
        <w:t>زندگى با اين مقدار در سال وجود داشت؛ يعنى آنها براى هر ماه بيش از شانزده درهم و براى هر روز بيش از نيم درهم در اختيار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بعضى خط فقر در زمان عمر را در سرتاسر مملكت اسلامى، دويست درهم در سال دانسته‌اند</w:t>
      </w:r>
      <w:r>
        <w:rPr>
          <w:rFonts w:eastAsia="IRNazanin" w:cs="IRNazanin"/>
          <w:color w:val="111111"/>
          <w:sz w:val="28"/>
          <w:szCs w:val="28"/>
          <w:rtl w:val="true"/>
          <w:lang w:bidi="fa-IR"/>
        </w:rPr>
        <w:t xml:space="preserve">.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البته بايد توجه داشت كه تفاوت مقدار عطاء و نيز زمين‌هاى اقطاعى كه حكومت به بعضى از شخصيت‌ها واگذار مى‌كرد و نيز تجارت ثروتمندان و همچنين محروميت موالى از عطاء باعث اختلاف طبقاتى شديدى در كوفه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همين اختلاف طبقاتى و نيز معاشرت ثروتمندان كوفه با ايرانيان سبب رشد تجمل‌گرايى در طبقه ثروتمندان كوفه شده بود</w:t>
      </w:r>
      <w:r>
        <w:rPr>
          <w:rFonts w:eastAsia="IRNazanin" w:cs="IRNazanin"/>
          <w:color w:val="111111"/>
          <w:sz w:val="28"/>
          <w:szCs w:val="28"/>
          <w:rtl w:val="true"/>
          <w:lang w:bidi="fa-IR"/>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در اينجا با توجه به نصوص تاريخى، قيمت بعضى از اجناس و كالاها در زمان‌هاى مختلف را يادآور مى‌شويم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گزارش‌هاى تاريخى،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حكومت خود لباسى را به قيمت سه درهم و دو لباس به قيمت هفت درهم خريدارى كرد و از خريد لباسى كه چهار درهم قيمت داشت، به علت گرانى آن صرف‌نظر كرد</w:t>
      </w:r>
      <w:r>
        <w:rPr>
          <w:rFonts w:eastAsia="IRNazanin" w:cs="IRNazanin"/>
          <w:color w:val="111111"/>
          <w:sz w:val="28"/>
          <w:szCs w:val="28"/>
          <w:rtl w:val="true"/>
          <w:lang w:bidi="fa-IR"/>
        </w:rPr>
        <w:t xml:space="preserve">. </w:t>
      </w:r>
      <w:r>
        <w:rPr>
          <w:rStyle w:val="FootnoteAnchor"/>
          <w:rtl w:val="true"/>
        </w:rPr>
        <w:footnoteReference w:id="11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شهادتش تنها هفت‌صد درهم از خود باقى گذاشته بود كه با آن قصد خريد خادمى براى خود داشت</w:t>
      </w:r>
      <w:r>
        <w:rPr>
          <w:rFonts w:eastAsia="IRNazanin" w:cs="IRNazanin"/>
          <w:color w:val="111111"/>
          <w:sz w:val="28"/>
          <w:szCs w:val="28"/>
          <w:rtl w:val="true"/>
          <w:lang w:bidi="fa-IR"/>
        </w:rPr>
        <w:t xml:space="preserve">. </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بنابراين مى‌توان چنين نتيجه گرفت كه قيمت يك برده متوسط در آن زمان، حدود هفت‌صد درهم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باره شريح قاضى چنين نقل شده است كه او غلامى را با نه‌صد درهم خريدارى كرد</w:t>
      </w:r>
      <w:r>
        <w:rPr>
          <w:rFonts w:eastAsia="IRNazanin" w:cs="IRNazanin"/>
          <w:color w:val="111111"/>
          <w:sz w:val="28"/>
          <w:szCs w:val="28"/>
          <w:rtl w:val="true"/>
          <w:lang w:bidi="fa-IR"/>
        </w:rPr>
        <w:t xml:space="preserve">. </w:t>
      </w:r>
      <w:r>
        <w:rPr>
          <w:rStyle w:val="FootnoteAnchor"/>
          <w:rtl w:val="true"/>
        </w:rPr>
        <w:footnoteReference w:id="11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شريح قاضى در زمان حضور خود در كوفه شتر ماده‌اى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چهارصد درهم خريد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قيمت خانه با توجه به وسعت آن و جنس مصالح به‌كار رفته در آن و موقعيت آن متفاوت بود و در تاريخ چنين آمده است كه عبدالله بن عامر خانه‌اى از خالد بن عقبة بن ابى‌معيط كه نزديك بازار بود، به قيمت نه‌صد هزار درهم خريدارى كرد</w:t>
      </w:r>
      <w:r>
        <w:rPr>
          <w:rFonts w:eastAsia="IRNazanin" w:cs="IRNazanin"/>
          <w:color w:val="111111"/>
          <w:sz w:val="28"/>
          <w:szCs w:val="28"/>
          <w:rtl w:val="true"/>
          <w:lang w:bidi="fa-IR"/>
        </w:rPr>
        <w:t xml:space="preserve">. </w:t>
      </w:r>
      <w:r>
        <w:rPr>
          <w:rStyle w:val="FootnoteAnchor"/>
          <w:rtl w:val="true"/>
        </w:rPr>
        <w:footnoteReference w:id="1149"/>
      </w:r>
      <w:r>
        <w:rPr>
          <w:rFonts w:ascii="Amiri" w:hAnsi="Amiri" w:eastAsia="Amiri" w:cs="Amiri"/>
          <w:color w:val="111111"/>
          <w:sz w:val="28"/>
          <w:sz w:val="28"/>
          <w:szCs w:val="28"/>
          <w:rtl w:val="true"/>
          <w:lang w:bidi="ar-SA"/>
        </w:rPr>
        <w:t xml:space="preserve">در زمان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خانه‌اى مجلّل به قيمت هشتاد دينار خريدارى كرد و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سبب اين عمل توبيخ نمود</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قيمت بعضى از حيوانات را مى‌توان از اجناس ديه به دست آورد؛ زيرا در ديه تخيير بين هزار دينار يا ده هزار گوسفند يا صد شتر و يا دويست گاو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مى‌توان نتيجه گرفت كه هر گوسفند حدوداً يك دينار و هر شتر حدوداً ده دينار و هر گاو حدوداً پنج دينار طلا ارزش داشته است</w:t>
      </w:r>
      <w:r>
        <w:rPr>
          <w:rFonts w:eastAsia="IRNazanin" w:cs="IRNazanin"/>
          <w:color w:val="111111"/>
          <w:sz w:val="28"/>
          <w:szCs w:val="28"/>
          <w:rtl w:val="true"/>
          <w:lang w:bidi="fa-IR"/>
        </w:rPr>
        <w:t xml:space="preserve">. </w:t>
      </w:r>
      <w:r>
        <w:rPr>
          <w:rStyle w:val="FootnoteAnchor"/>
          <w:rtl w:val="true"/>
        </w:rPr>
        <w:footnoteReference w:id="115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قيمت بعضى از لباس‌هاى تجمل‌گرايان بسيار گران بوده است، به‌طورى كه قيمت يك پيراهن طيلسان حدود صد درهم و بُرد يمانى نيز صد درهم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حوداث شب عاشورا چنين آمده است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پنج لباس برد يمانى را هزار دينار معين كرد</w:t>
      </w:r>
      <w:r>
        <w:rPr>
          <w:rFonts w:eastAsia="IRNazanin" w:cs="IRNazanin"/>
          <w:color w:val="111111"/>
          <w:sz w:val="28"/>
          <w:szCs w:val="28"/>
          <w:rtl w:val="true"/>
          <w:lang w:bidi="fa-IR"/>
        </w:rPr>
        <w:t xml:space="preserve">. </w:t>
      </w:r>
      <w:r>
        <w:rPr>
          <w:rStyle w:val="FootnoteAnchor"/>
          <w:rtl w:val="true"/>
        </w:rPr>
        <w:footnoteReference w:id="115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قيمت يك جفت كفش حدوداً نه درهم بيان شده است</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قيمت سلاح بستگى به نوع آهن و مرغوبيت آن داشت و در تاريخ آمده است كه شخصى شمشيرى را از بازار با هزار درهم خريدارى كرد</w:t>
      </w:r>
      <w:r>
        <w:rPr>
          <w:rFonts w:eastAsia="IRNazanin" w:cs="IRNazanin"/>
          <w:color w:val="111111"/>
          <w:sz w:val="28"/>
          <w:szCs w:val="28"/>
          <w:rtl w:val="true"/>
          <w:lang w:bidi="fa-IR"/>
        </w:rPr>
        <w:t xml:space="preserve">. </w:t>
      </w:r>
      <w:r>
        <w:rPr>
          <w:rStyle w:val="FootnoteAnchor"/>
          <w:rtl w:val="true"/>
        </w:rPr>
        <w:footnoteReference w:id="1154"/>
      </w:r>
      <w:r>
        <w:rPr>
          <w:rFonts w:ascii="IRNazanin" w:hAnsi="IRNazanin" w:eastAsia="IRNazanin"/>
          <w:color w:val="111111"/>
          <w:sz w:val="28"/>
          <w:sz w:val="28"/>
          <w:szCs w:val="28"/>
          <w:rtl w:val="true"/>
          <w:lang w:bidi="fa-IR"/>
        </w:rPr>
        <w:t>همچنين در حوادث شب عاشورا چنين آمده است كه نافع قيمت شمشير خود را هزار درهم معين كرد</w:t>
      </w:r>
      <w:r>
        <w:rPr>
          <w:rFonts w:eastAsia="IRNazanin" w:cs="IRNazanin"/>
          <w:color w:val="111111"/>
          <w:sz w:val="28"/>
          <w:szCs w:val="28"/>
          <w:rtl w:val="true"/>
          <w:lang w:bidi="fa-IR"/>
        </w:rPr>
        <w:t xml:space="preserve">. </w:t>
      </w:r>
      <w:r>
        <w:rPr>
          <w:rStyle w:val="FootnoteAnchor"/>
          <w:rtl w:val="true"/>
        </w:rPr>
        <w:footnoteReference w:id="115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در همين شب نافع قيمت اسب خود را نيز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ذكر كرد</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حديثى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 كه آن حضرت پايين‌تر از چهار هزار درهم را به عنوان نفقه و بالاتر از آن را به عنوان گنج مطرح كرد</w:t>
      </w:r>
      <w:r>
        <w:rPr>
          <w:rFonts w:eastAsia="IRNazanin" w:cs="IRNazanin"/>
          <w:color w:val="111111"/>
          <w:sz w:val="28"/>
          <w:szCs w:val="28"/>
          <w:rtl w:val="true"/>
          <w:lang w:bidi="fa-IR"/>
        </w:rPr>
        <w:t xml:space="preserve">. </w:t>
      </w:r>
      <w:r>
        <w:rPr>
          <w:rStyle w:val="FootnoteAnchor"/>
          <w:rtl w:val="true"/>
        </w:rPr>
        <w:footnoteReference w:id="1157"/>
      </w:r>
      <w:r>
        <w:rPr>
          <w:rFonts w:ascii="IRNazanin" w:hAnsi="IRNazanin" w:eastAsia="IRNazanin"/>
          <w:color w:val="111111"/>
          <w:sz w:val="28"/>
          <w:sz w:val="28"/>
          <w:szCs w:val="28"/>
          <w:rtl w:val="true"/>
          <w:lang w:bidi="fa-IR"/>
        </w:rPr>
        <w:t xml:space="preserve">اين سخن بر اين مطلب دلالت دارد كه بالاترين حد زندگى با چهار هزار درهم تأمين مى‌شد و بالاتر از آن،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شايد نظر آن حضرت به آيه كنز بوده كه در آن به جمع‌آورى‌كنندگان گنج كه آن را انفاق نمى‌كنند، وعده عذاب داده شده است</w:t>
      </w:r>
      <w:r>
        <w:rPr>
          <w:rFonts w:eastAsia="IRNazanin" w:cs="IRNazanin"/>
          <w:color w:val="111111"/>
          <w:sz w:val="28"/>
          <w:szCs w:val="28"/>
          <w:rtl w:val="true"/>
          <w:lang w:bidi="fa-IR"/>
        </w:rPr>
        <w:t xml:space="preserve">. </w:t>
      </w:r>
      <w:r>
        <w:rPr>
          <w:rStyle w:val="FootnoteAnchor"/>
          <w:rtl w:val="true"/>
        </w:rPr>
        <w:footnoteReference w:id="1158"/>
      </w:r>
      <w:bookmarkStart w:id="1339" w:name="pg1964_19755"/>
    </w:p>
    <w:p>
      <w:pPr>
        <w:pStyle w:val="Heading2"/>
        <w:numPr>
          <w:ilvl w:val="1"/>
          <w:numId w:val="1"/>
        </w:numPr>
        <w:rPr/>
      </w:pPr>
      <w:bookmarkStart w:id="1340" w:name="__RefHeading___Toc3585557_3650668749"/>
      <w:bookmarkStart w:id="1341" w:name="_Toc575"/>
      <w:bookmarkEnd w:id="1339"/>
      <w:bookmarkEnd w:id="1340"/>
      <w:r>
        <w:rPr>
          <w:rtl w:val="true"/>
        </w:rPr>
        <w:t>فصل پنجم</w:t>
      </w:r>
      <w:r>
        <w:rPr>
          <w:rtl w:val="true"/>
        </w:rPr>
        <w:t xml:space="preserve">: </w:t>
      </w:r>
      <w:r>
        <w:rPr>
          <w:rtl w:val="true"/>
        </w:rPr>
        <w:t>مسائل فرهنگى و تعليم و تربيت</w:t>
      </w:r>
      <w:bookmarkEnd w:id="134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2" w:name="__RefHeading___Toc3585559_3650668749"/>
      <w:bookmarkStart w:id="1343" w:name="_Toc576"/>
      <w:bookmarkEnd w:id="1342"/>
      <w:r>
        <w:rPr>
          <w:rtl w:val="true"/>
        </w:rPr>
        <w:t>اشاره</w:t>
      </w:r>
      <w:bookmarkStart w:id="1344" w:name="pg1964_19758"/>
      <w:bookmarkEnd w:id="1343"/>
    </w:p>
    <w:p>
      <w:pPr>
        <w:pStyle w:val="Heading3"/>
        <w:numPr>
          <w:ilvl w:val="2"/>
          <w:numId w:val="1"/>
        </w:numPr>
        <w:rPr/>
      </w:pPr>
      <w:bookmarkStart w:id="1345" w:name="__RefHeading___Toc3585561_3650668749"/>
      <w:bookmarkStart w:id="1346" w:name="_Toc577"/>
      <w:bookmarkEnd w:id="1344"/>
      <w:bookmarkEnd w:id="1345"/>
      <w:r>
        <w:rPr/>
        <w:t>١</w:t>
      </w:r>
      <w:r>
        <w:rPr>
          <w:rtl w:val="true"/>
        </w:rPr>
        <w:t xml:space="preserve">. </w:t>
      </w:r>
      <w:r>
        <w:rPr>
          <w:rtl w:val="true"/>
        </w:rPr>
        <w:t>تعليم و تربيت</w:t>
      </w:r>
      <w:bookmarkEnd w:id="1346"/>
    </w:p>
    <w:p>
      <w:pPr>
        <w:pStyle w:val="BookText"/>
        <w:rPr/>
      </w:pPr>
      <w:r>
        <w:rPr>
          <w:rFonts w:ascii="IRNazanin" w:hAnsi="IRNazanin" w:eastAsia="IRNazanin"/>
          <w:color w:val="111111"/>
          <w:sz w:val="28"/>
          <w:sz w:val="28"/>
          <w:szCs w:val="28"/>
          <w:rtl w:val="true"/>
          <w:lang w:bidi="fa-IR"/>
        </w:rPr>
        <w:t xml:space="preserve">در زمان مورد بحث، يعنى نيمه اول قرن اول هجرى و بخشى از نيمه دوم اين قرن، علوم اسلامى در سرتاسر مملكت اسلامى به سرعت رو به رشد و تكامل بود؛ زيرا قرآن و سنت نبوى، دنيايى نو در برابر ديدگان مردم گشوده و مردم تازه مسلمان، مشتاق ورود به اين دنياى تازه بودند، از اين رو در سرتاسر مملكت همچون پروانه به دور شمع وجود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مى‌چرخيدند تا مطالب و اسرار قرآن و سنت را از آنها فراگيرند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كوفه كه شهرى اسلامى و نو بنياد بود، به سبب مهاجرت تعداد فراوانى از اصحاب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شهر، جلسات علمى فراوانى توسط اصحاب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مى‌شد و موضوع درس اين جلسه‌ها تدريس قرآن، تفسير حديث و فقه بود كه در آن زمان، اين علوم هنوز از هم تفكيك نشده و همگى علم واحدى به شمار مى‌آمدند </w:t>
      </w:r>
      <w:r>
        <w:rPr>
          <w:rStyle w:val="FootnoteAnchor"/>
          <w:rtl w:val="true"/>
        </w:rPr>
        <w:footnoteReference w:id="1159"/>
      </w:r>
      <w:r>
        <w:rPr>
          <w:rFonts w:ascii="IRNazanin" w:hAnsi="IRNazanin" w:eastAsia="IRNazanin"/>
          <w:color w:val="111111"/>
          <w:sz w:val="28"/>
          <w:sz w:val="28"/>
          <w:szCs w:val="28"/>
          <w:rtl w:val="true"/>
          <w:lang w:bidi="fa-IR"/>
        </w:rPr>
        <w:t>همچنان كه محل درس عمدتاً مسجد و در مواقعى بعضى از جبّانات بود</w:t>
      </w:r>
      <w:r>
        <w:rPr>
          <w:rFonts w:eastAsia="IRNazanin" w:cs="IRNazanin"/>
          <w:color w:val="111111"/>
          <w:sz w:val="28"/>
          <w:szCs w:val="28"/>
          <w:rtl w:val="true"/>
          <w:lang w:bidi="fa-IR"/>
        </w:rPr>
        <w:t xml:space="preserve">. </w:t>
      </w:r>
      <w:r>
        <w:rPr>
          <w:rStyle w:val="FootnoteAnchor"/>
          <w:rtl w:val="true"/>
        </w:rPr>
        <w:footnoteReference w:id="116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مشهورترين اساتيد اين جلسه‌ها عبدالله بن مسعود بود كه به عنوان يكى از قرّاء و قاريان قرآن مطرح بود و معمولاً جلسات خود را در جبّانه برگزار</w:t>
      </w:r>
    </w:p>
    <w:p>
      <w:pPr>
        <w:pStyle w:val="BookText"/>
        <w:rPr/>
      </w:pPr>
      <w:r>
        <w:rPr>
          <w:rFonts w:ascii="Amiri" w:hAnsi="Amiri" w:eastAsia="Amiri" w:cs="Amiri"/>
          <w:color w:val="111111"/>
          <w:sz w:val="28"/>
          <w:sz w:val="28"/>
          <w:szCs w:val="28"/>
          <w:rtl w:val="true"/>
          <w:lang w:bidi="ar-SA"/>
        </w:rPr>
        <w:t>مى‌كرد</w:t>
      </w:r>
      <w:r>
        <w:rPr>
          <w:rFonts w:eastAsia="Amiri" w:cs="Amiri" w:ascii="Amiri" w:hAnsi="Amiri"/>
          <w:color w:val="111111"/>
          <w:sz w:val="28"/>
          <w:szCs w:val="28"/>
          <w:rtl w:val="true"/>
          <w:lang w:bidi="ar-SA"/>
        </w:rPr>
        <w:t xml:space="preserve">. </w:t>
      </w:r>
      <w:r>
        <w:rPr>
          <w:rStyle w:val="FootnoteAnchor"/>
          <w:rtl w:val="true"/>
        </w:rPr>
        <w:footnoteReference w:id="1161"/>
      </w:r>
      <w:r>
        <w:rPr>
          <w:rFonts w:ascii="IRNazanin" w:hAnsi="IRNazanin" w:eastAsia="IRNazanin"/>
          <w:color w:val="111111"/>
          <w:sz w:val="28"/>
          <w:sz w:val="28"/>
          <w:szCs w:val="28"/>
          <w:rtl w:val="true"/>
          <w:lang w:bidi="fa-IR"/>
        </w:rPr>
        <w:t>جلسات درس نه تنها براى بزرگسالان، بلكه براى اطفال نيز برگزار مى‌شد، چنان‌كه از معلم اطفال در زمان شريح، سخن به ميان آمده است</w:t>
      </w:r>
      <w:r>
        <w:rPr>
          <w:rFonts w:eastAsia="IRNazanin" w:cs="IRNazanin"/>
          <w:color w:val="111111"/>
          <w:sz w:val="28"/>
          <w:szCs w:val="28"/>
          <w:rtl w:val="true"/>
          <w:lang w:bidi="fa-IR"/>
        </w:rPr>
        <w:t xml:space="preserve">. </w:t>
      </w:r>
      <w:r>
        <w:rPr>
          <w:rStyle w:val="FootnoteAnchor"/>
          <w:rtl w:val="true"/>
        </w:rPr>
        <w:footnoteReference w:id="1162"/>
      </w:r>
      <w:r>
        <w:rPr>
          <w:rFonts w:ascii="IRNazanin" w:hAnsi="IRNazanin" w:eastAsia="IRNazanin"/>
          <w:color w:val="111111"/>
          <w:sz w:val="28"/>
          <w:sz w:val="28"/>
          <w:szCs w:val="28"/>
          <w:rtl w:val="true"/>
          <w:lang w:bidi="fa-IR"/>
        </w:rPr>
        <w:t xml:space="preserve">همين‌طور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فراگرفتن علم را در كودكى همانند نقشى كه بر سنگ كنده مى‌شود، ماندگار دانسته‌اند</w:t>
      </w:r>
      <w:r>
        <w:rPr>
          <w:rFonts w:eastAsia="IRNazanin" w:cs="IRNazanin"/>
          <w:color w:val="111111"/>
          <w:sz w:val="28"/>
          <w:szCs w:val="28"/>
          <w:rtl w:val="true"/>
          <w:lang w:bidi="fa-IR"/>
        </w:rPr>
        <w:t xml:space="preserve">.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 xml:space="preserve">با ورود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كوفه، نقطه عطف علمى در اين شهر پديد آمد؛ زيرا آن حضرت نزديك‌ترين فرد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سابقه‌ترين مسلمان و آگاه‌ترين اصحاب به قرآن و سنت پيامبر اكرم بود، از اين رو همه مجالس علمى تحت‌الشعاع وجود آن حضرت قرار گرفت و خود آن حضرت نيز مردم را تشويق به فراگيرى علوم از خود مى‌كرد، چنان‌كه خطاب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آنكه مرا از دست بدهيد، از من سؤال كنيد كه من از راه‌هاى آسمان بيش از راه‌هاى زمين اطلاع دارم</w:t>
      </w:r>
      <w:r>
        <w:rPr>
          <w:rFonts w:eastAsia="IRNazanin" w:cs="IRNazanin"/>
          <w:color w:val="111111"/>
          <w:sz w:val="28"/>
          <w:szCs w:val="28"/>
          <w:rtl w:val="true"/>
          <w:lang w:bidi="fa-IR"/>
        </w:rPr>
        <w:t xml:space="preserve">» . </w:t>
      </w:r>
      <w:r>
        <w:rPr>
          <w:rStyle w:val="FootnoteAnchor"/>
          <w:rtl w:val="true"/>
        </w:rPr>
        <w:footnoteReference w:id="1164"/>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قابل توجه در سيره حكومتى آن حضرت اين است كه اصولاً تعليم مردم را براى آنكه در جهل نمانند، يكى از حقوق مردم بر والى مى‌داند</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ايشان به فرماندار منصوب براى مكه توصيه مى‌كند كه به جاهلان علم بياموزد</w:t>
      </w:r>
      <w:r>
        <w:rPr>
          <w:rFonts w:eastAsia="Amiri" w:cs="Amiri" w:ascii="Amiri" w:hAnsi="Amiri"/>
          <w:color w:val="111111"/>
          <w:sz w:val="28"/>
          <w:szCs w:val="28"/>
          <w:rtl w:val="true"/>
          <w:lang w:bidi="ar-SA"/>
        </w:rPr>
        <w:t xml:space="preserve">. </w:t>
      </w:r>
      <w:r>
        <w:rPr>
          <w:rStyle w:val="FootnoteAnchor"/>
          <w:rtl w:val="true"/>
        </w:rPr>
        <w:footnoteReference w:id="1166"/>
      </w:r>
      <w:r>
        <w:rPr>
          <w:rFonts w:ascii="IRNazanin" w:hAnsi="IRNazanin" w:eastAsia="IRNazanin"/>
          <w:color w:val="111111"/>
          <w:sz w:val="28"/>
          <w:sz w:val="28"/>
          <w:szCs w:val="28"/>
          <w:rtl w:val="true"/>
          <w:lang w:bidi="fa-IR"/>
        </w:rPr>
        <w:t>همچنين به مالك اشتر كه او را براى فرماندارى مصر انتخاب نمود، توصيه مى‌نمايد كه با علما ارتباط نزديك داشته باشد</w:t>
      </w:r>
      <w:r>
        <w:rPr>
          <w:rFonts w:eastAsia="IRNazanin" w:cs="IRNazanin"/>
          <w:color w:val="111111"/>
          <w:sz w:val="28"/>
          <w:szCs w:val="28"/>
          <w:rtl w:val="true"/>
          <w:lang w:bidi="fa-IR"/>
        </w:rPr>
        <w:t xml:space="preserve">. </w:t>
      </w:r>
      <w:r>
        <w:rPr>
          <w:rStyle w:val="FootnoteAnchor"/>
          <w:rtl w:val="true"/>
        </w:rPr>
        <w:footnoteReference w:id="1167"/>
      </w:r>
      <w:r>
        <w:rPr>
          <w:rFonts w:ascii="IRNazanin" w:hAnsi="IRNazanin" w:eastAsia="IRNazanin"/>
          <w:color w:val="111111"/>
          <w:sz w:val="28"/>
          <w:sz w:val="28"/>
          <w:szCs w:val="28"/>
          <w:rtl w:val="true"/>
          <w:lang w:bidi="fa-IR"/>
        </w:rPr>
        <w:t>همچنين آن حضرت هنگام شمردن حقوق فرزند بر پدر، نيكو اسم گذاشتن بر او، نيكو تربيت كردن او و تعليم قرآن به او را سه حق مسلم فرزند بر پدر ذكر مى‌كند</w:t>
      </w:r>
      <w:r>
        <w:rPr>
          <w:rFonts w:eastAsia="IRNazanin" w:cs="IRNazanin"/>
          <w:color w:val="111111"/>
          <w:sz w:val="28"/>
          <w:szCs w:val="28"/>
          <w:rtl w:val="true"/>
          <w:lang w:bidi="fa-IR"/>
        </w:rPr>
        <w:t xml:space="preserve">. </w:t>
      </w:r>
      <w:r>
        <w:rPr>
          <w:rStyle w:val="FootnoteAnchor"/>
          <w:rtl w:val="true"/>
        </w:rPr>
        <w:footnoteReference w:id="1168"/>
      </w:r>
      <w:r>
        <w:rPr>
          <w:rFonts w:ascii="IRNazanin" w:hAnsi="IRNazanin" w:eastAsia="IRNazanin"/>
          <w:color w:val="111111"/>
          <w:sz w:val="28"/>
          <w:sz w:val="28"/>
          <w:szCs w:val="28"/>
          <w:rtl w:val="true"/>
          <w:lang w:bidi="fa-IR"/>
        </w:rPr>
        <w:t>در روايتى ديگر خطاب به مردم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را فرا گيريد كه آن بهترين سخن است</w:t>
      </w:r>
      <w:r>
        <w:rPr>
          <w:rFonts w:eastAsia="IRNazanin" w:cs="IRNazanin"/>
          <w:color w:val="111111"/>
          <w:sz w:val="28"/>
          <w:szCs w:val="28"/>
          <w:rtl w:val="true"/>
          <w:lang w:bidi="fa-IR"/>
        </w:rPr>
        <w:t xml:space="preserve">» . </w:t>
      </w:r>
      <w:r>
        <w:rPr>
          <w:rStyle w:val="FootnoteAnchor"/>
          <w:rtl w:val="true"/>
        </w:rPr>
        <w:footnoteReference w:id="1169"/>
      </w:r>
      <w:r>
        <w:rPr>
          <w:rFonts w:ascii="IRNazanin" w:hAnsi="IRNazanin" w:eastAsia="IRNazanin"/>
          <w:color w:val="111111"/>
          <w:sz w:val="28"/>
          <w:sz w:val="28"/>
          <w:szCs w:val="28"/>
          <w:rtl w:val="true"/>
          <w:lang w:bidi="fa-IR"/>
        </w:rPr>
        <w:t>همچنين در فصل چهارم در بحث آداب تجارت بيان شد كه آن حضرت روى منبر، مردم را تشويق به فراگيرى فقه حلال و حرام قبل از ورود در تجارت مى‌كرد تا مبادا در دام ربا گرفتار شوند</w:t>
      </w:r>
      <w:r>
        <w:rPr>
          <w:rFonts w:eastAsia="IRNazanin" w:cs="IRNazanin"/>
          <w:color w:val="111111"/>
          <w:sz w:val="28"/>
          <w:szCs w:val="28"/>
          <w:rtl w:val="true"/>
          <w:lang w:bidi="fa-IR"/>
        </w:rPr>
        <w:t xml:space="preserve">. </w:t>
      </w:r>
      <w:r>
        <w:rPr>
          <w:rStyle w:val="FootnoteAnchor"/>
          <w:rtl w:val="true"/>
        </w:rPr>
        <w:footnoteReference w:id="1170"/>
      </w:r>
      <w:r>
        <w:rPr>
          <w:rFonts w:ascii="Amiri" w:hAnsi="Amiri" w:eastAsia="Amiri" w:cs="Amiri"/>
          <w:color w:val="111111"/>
          <w:sz w:val="28"/>
          <w:sz w:val="28"/>
          <w:szCs w:val="28"/>
          <w:rtl w:val="true"/>
          <w:lang w:bidi="ar-SA"/>
        </w:rPr>
        <w:t>و 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تنها كسى مى‌تواند در بازار بنشيند كه خريد و فروش را بداند</w:t>
      </w:r>
      <w:r>
        <w:rPr>
          <w:rFonts w:eastAsia="Amiri" w:cs="Amiri" w:ascii="Amiri" w:hAnsi="Amiri"/>
          <w:color w:val="111111"/>
          <w:sz w:val="28"/>
          <w:szCs w:val="28"/>
          <w:rtl w:val="true"/>
          <w:lang w:bidi="ar-SA"/>
        </w:rPr>
        <w:t xml:space="preserve">» .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 xml:space="preserve">البته در اينجا نبايد از تأثير سخنان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تشويق به علم‌آموزى در ميان مردم غافل ماند؛ سخنانى كه به عنوان احاديث و سنت نبوى در مجالس علمى آن زمان نقل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در آنها علم به عنوان فريضه براى هر زن و مرد مسلمان ذكر شده بود </w:t>
      </w:r>
      <w:r>
        <w:rPr>
          <w:rStyle w:val="FootnoteAnchor"/>
          <w:rtl w:val="true"/>
        </w:rPr>
        <w:footnoteReference w:id="1172"/>
      </w:r>
      <w:r>
        <w:rPr>
          <w:rFonts w:ascii="IRNazanin" w:hAnsi="IRNazanin" w:eastAsia="IRNazanin"/>
          <w:color w:val="111111"/>
          <w:sz w:val="28"/>
          <w:sz w:val="28"/>
          <w:szCs w:val="28"/>
          <w:rtl w:val="true"/>
          <w:lang w:bidi="fa-IR"/>
        </w:rPr>
        <w:t xml:space="preserve">و مردم را براى فراگيرى آن حتى به مهاجرت به كشور چين تشويق مى‌كرد </w:t>
      </w:r>
      <w:r>
        <w:rPr>
          <w:rStyle w:val="FootnoteAnchor"/>
          <w:rtl w:val="true"/>
        </w:rPr>
        <w:footnoteReference w:id="1173"/>
      </w:r>
      <w:r>
        <w:rPr>
          <w:rFonts w:ascii="IRNazanin" w:hAnsi="IRNazanin" w:eastAsia="IRNazanin"/>
          <w:color w:val="111111"/>
          <w:sz w:val="28"/>
          <w:sz w:val="28"/>
          <w:szCs w:val="28"/>
          <w:rtl w:val="true"/>
          <w:lang w:bidi="fa-IR"/>
        </w:rPr>
        <w:t xml:space="preserve">و حتى علم را برتر از عبادت مى‌شمرد </w:t>
      </w:r>
      <w:r>
        <w:rPr>
          <w:rStyle w:val="FootnoteAnchor"/>
          <w:rtl w:val="true"/>
        </w:rPr>
        <w:footnoteReference w:id="1174"/>
      </w:r>
      <w:r>
        <w:rPr>
          <w:rFonts w:ascii="Amiri" w:hAnsi="Amiri" w:eastAsia="Amiri" w:cs="Amiri"/>
          <w:color w:val="111111"/>
          <w:sz w:val="28"/>
          <w:sz w:val="28"/>
          <w:szCs w:val="28"/>
          <w:rtl w:val="true"/>
          <w:lang w:bidi="ar-SA"/>
        </w:rPr>
        <w:t xml:space="preserve">و يك فقيه را از هزار عابد، خطرناك‌تر براى ابليس معرفى مى‌نمود </w:t>
      </w:r>
      <w:r>
        <w:rPr>
          <w:rStyle w:val="FootnoteAnchor"/>
          <w:rtl w:val="true"/>
        </w:rPr>
        <w:footnoteReference w:id="1175"/>
      </w:r>
      <w:r>
        <w:rPr>
          <w:rFonts w:ascii="Amiri" w:hAnsi="Amiri" w:eastAsia="Amiri" w:cs="Amiri"/>
          <w:color w:val="111111"/>
          <w:sz w:val="28"/>
          <w:sz w:val="28"/>
          <w:szCs w:val="28"/>
          <w:rtl w:val="true"/>
          <w:lang w:bidi="ar-SA"/>
        </w:rPr>
        <w:t>و حتى تا آنجا بالا رفته كه مداد علما را بر خون‌هاى شهدا ترجيح مى‌داد</w:t>
      </w:r>
      <w:r>
        <w:rPr>
          <w:rFonts w:eastAsia="Amiri" w:cs="Amiri" w:ascii="Amiri" w:hAnsi="Amiri"/>
          <w:color w:val="111111"/>
          <w:sz w:val="28"/>
          <w:szCs w:val="28"/>
          <w:rtl w:val="true"/>
          <w:lang w:bidi="ar-SA"/>
        </w:rPr>
        <w:t xml:space="preserve">. </w:t>
      </w:r>
      <w:r>
        <w:rPr>
          <w:rStyle w:val="FootnoteAnchor"/>
          <w:rtl w:val="true"/>
        </w:rPr>
        <w:footnoteReference w:id="1176"/>
      </w:r>
      <w:r>
        <w:rPr>
          <w:rFonts w:ascii="IRNazanin" w:hAnsi="IRNazanin" w:eastAsia="IRNazanin"/>
          <w:color w:val="111111"/>
          <w:sz w:val="28"/>
          <w:sz w:val="28"/>
          <w:szCs w:val="28"/>
          <w:rtl w:val="true"/>
          <w:lang w:bidi="fa-IR"/>
        </w:rPr>
        <w:t xml:space="preserve">همچنين در باره سيره عملى پيامبر گرامى گزارش شده كه وقتى وارد مسجد مى‌شد و مردم را در دو دسته مشاهده مى‌كرد كه دسته‌اى مشغول عبادت و دسته‌اى مشغول تعليم و تعلم مى‌باشند، عمل هر دو دسته را تأييد مى‌فرمود، اما خود با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بِالتَّعليمِ اُرسِلتُ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براى تعليم فرستاده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داخل دسته علم‌آموزان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آن حضرت براى رشد هرچه بيشتر علم در ميان مسلمانان، علم‌آموزى را زكات علم معرفى مى‌فرمود</w:t>
      </w:r>
      <w:r>
        <w:rPr>
          <w:rFonts w:eastAsia="IRNazanin" w:cs="IRNazanin"/>
          <w:color w:val="111111"/>
          <w:sz w:val="28"/>
          <w:szCs w:val="28"/>
          <w:rtl w:val="true"/>
          <w:lang w:bidi="fa-IR"/>
        </w:rPr>
        <w:t xml:space="preserve">.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شايد بتوان گفت يكى از مهم‌ترين منابعى كه اجمالاً گوشه‌اى از وضعيت تعليم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تعلم و تربيت را در سيره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بالتبع در بخشى از جامعه اسلامى</w:t>
      </w:r>
    </w:p>
    <w:p>
      <w:pPr>
        <w:pStyle w:val="BookText"/>
        <w:rPr/>
      </w:pPr>
      <w:r>
        <w:rPr>
          <w:rFonts w:ascii="IRNazanin" w:hAnsi="IRNazanin" w:eastAsia="IRNazanin"/>
          <w:color w:val="111111"/>
          <w:sz w:val="28"/>
          <w:sz w:val="28"/>
          <w:szCs w:val="28"/>
          <w:rtl w:val="true"/>
          <w:lang w:bidi="fa-IR"/>
        </w:rPr>
        <w:t xml:space="preserve">روشن مى‌سازد، نامه و وصيت آن حضرت به فرزند دلبندش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گرچه تمام اين نامه براى بحث تربيتى در زمان مورد بحث مناسب مى‌باشد، اما در اينجا فقط به ترجمه گوشه‌هايى از آن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براى يارى حق هر جا و به هر سختى باشد، اقدام كن و در دين كسب دانش نما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پسر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سالخورده يافتم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وصيت نمودن خويش براى تو شتافتم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قبل از آنكه بعضى از هواهاى نفس تو يا آشوب‌هاى دنيا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تربيت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گيرد، پس تو مانند شتر سركش شو؛ زيرا دل جوان همانند زمين خالى است كه هر بذر در آن افشانده شود،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ادب نمودن تو پرداختم پيش از آنكه دلت سخت گردد و عقل و خردت گرفتار گردد، و چنين ديدم كه تعليم تو را با تعليم كتاب خدا و تأويل آن و شرايع اسلام و احكام و حلال و حرام آن آغاز نمايم و از آن تجاوز ننمايم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ترسيدم كه آنچه مردم از روى هواهاى نفسانى و انديشه‌هايشان در آن اختلاف كرده‌اند، باعث اشتباه تو گردد، چنان‌كه باعث التباس و اشتباه امر بر آنان شده است، پس استوار ساختن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ميل به يادآورى آن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آگاه شدن و استوار ماندن را ترجيح دادم تا تسليم هلاكت‌هاى اجتماعى نگردى</w:t>
      </w:r>
      <w:r>
        <w:rPr>
          <w:rFonts w:eastAsia="IRNazanin" w:cs="IRNazanin"/>
          <w:color w:val="111111"/>
          <w:sz w:val="28"/>
          <w:szCs w:val="28"/>
          <w:rtl w:val="true"/>
          <w:lang w:bidi="fa-IR"/>
        </w:rPr>
        <w:t xml:space="preserve">. . . . </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 xml:space="preserve">در پايان اين بحث به ذكر گوشه‌هايى از حقوق استاد بر شاگرد از زبان حضرت‌على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حديثى چنين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حقوق عالم آن است كه از او زياد سؤال نشود و در جواب دادن به آنچه بر او جواب دادن به آن مشكل است، اصرار نشود، و وقتى كسل شد، اصرار در علم آموزى نشود و وقتى ايستاد لباس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جواب دادن به سؤال‌ها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نشود، و با دست به او اشاره نگردد، و اسرار او فاش نشود، و نزد او غيبت هيچ شخصى نشود، و همچنان‌كه اوامر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نموده است، به او احترام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گذاشته شود، و متعلم و علم‌آموز در روبه‌روى او بنشيند و از طولانى شدن</w:t>
      </w:r>
      <w:bookmarkStart w:id="1347" w:name="pg1964_19766"/>
    </w:p>
    <w:p>
      <w:pPr>
        <w:pStyle w:val="BookText"/>
        <w:rPr/>
      </w:pPr>
      <w:bookmarkEnd w:id="1347"/>
      <w:r>
        <w:rPr>
          <w:rFonts w:ascii="IRNazanin" w:hAnsi="IRNazanin" w:eastAsia="IRNazanin"/>
          <w:color w:val="111111"/>
          <w:sz w:val="28"/>
          <w:sz w:val="28"/>
          <w:szCs w:val="28"/>
          <w:rtl w:val="true"/>
          <w:lang w:bidi="fa-IR"/>
        </w:rPr>
        <w:t>سخنان او خسته نگردد، و وقتى متعلم وارد مجلس استاد و عالم شد، ابتدا يك سلام همگانى به همه بدهد و آن‌گاه سلام مخصوصى به استاد نمايد، و در نهان و آشكار، حرمت او را حفظ نمايد و حق او را بشناسد؛ زيرا اجر و منزلت عالم از روزه‌دار شب زنده‌دار مجاهد در راه خدا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عالمى از دنيا مى‌رود، سوراخى در اسلام پديد مى‌آيد كه هيچ چيز به جز جانشين او آن را پر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ملائكه براى دانشجو استغفار و طلب رحمت مى‌نمايند و همه آنچه در زمين و آسمان است براى او دعا مى‌كنند</w:t>
      </w:r>
      <w:r>
        <w:rPr>
          <w:rFonts w:eastAsia="IRNazanin" w:cs="IRNazanin"/>
          <w:color w:val="111111"/>
          <w:sz w:val="28"/>
          <w:szCs w:val="28"/>
          <w:rtl w:val="true"/>
          <w:lang w:bidi="fa-IR"/>
        </w:rPr>
        <w:t xml:space="preserve">. </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همچنين آن حضرت در احاديث ديگر در باره حقوق استاد بر شاگرد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 به او اشاره نگردد و در مجلس او با ديگران مشورت و صحبت نشود، و وقتى او سخنى گفت، در حضور او نقل قول سخنان ديگران كه بر خلاف نظر اوست نشود، و اگر كارى دارد، متعلم قبل از ديگران حاجت او را بر آورده سازد</w:t>
      </w:r>
      <w:r>
        <w:rPr>
          <w:rFonts w:eastAsia="IRNazanin" w:cs="IRNazanin"/>
          <w:color w:val="111111"/>
          <w:sz w:val="28"/>
          <w:szCs w:val="28"/>
          <w:rtl w:val="true"/>
          <w:lang w:bidi="fa-IR"/>
        </w:rPr>
        <w:t xml:space="preserve">. </w:t>
      </w:r>
      <w:r>
        <w:rPr>
          <w:rStyle w:val="FootnoteAnchor"/>
          <w:rtl w:val="true"/>
        </w:rPr>
        <w:footnoteReference w:id="1180"/>
      </w:r>
    </w:p>
    <w:p>
      <w:pPr>
        <w:pStyle w:val="Heading3"/>
        <w:numPr>
          <w:ilvl w:val="2"/>
          <w:numId w:val="1"/>
        </w:numPr>
        <w:rPr/>
      </w:pPr>
      <w:bookmarkStart w:id="1348" w:name="__RefHeading___Toc3585563_3650668749"/>
      <w:bookmarkStart w:id="1349" w:name="_Toc578"/>
      <w:bookmarkEnd w:id="1348"/>
      <w:r>
        <w:rPr/>
        <w:t>٢</w:t>
      </w:r>
      <w:r>
        <w:rPr>
          <w:rtl w:val="true"/>
        </w:rPr>
        <w:t xml:space="preserve">. </w:t>
      </w:r>
      <w:r>
        <w:rPr>
          <w:rtl w:val="true"/>
        </w:rPr>
        <w:t>شخصيت‌هاى فرهنگى</w:t>
      </w:r>
      <w:bookmarkEnd w:id="1349"/>
    </w:p>
    <w:p>
      <w:pPr>
        <w:pStyle w:val="Heading4"/>
        <w:numPr>
          <w:ilvl w:val="3"/>
          <w:numId w:val="1"/>
        </w:numPr>
        <w:rPr/>
      </w:pPr>
      <w:bookmarkStart w:id="1350" w:name="__RefHeading___Toc3585565_3650668749"/>
      <w:bookmarkStart w:id="1351" w:name="_Toc579"/>
      <w:bookmarkEnd w:id="1350"/>
      <w:r>
        <w:rPr>
          <w:rtl w:val="true"/>
        </w:rPr>
        <w:t>الف</w:t>
      </w:r>
      <w:r>
        <w:rPr>
          <w:rtl w:val="true"/>
        </w:rPr>
        <w:t xml:space="preserve">) </w:t>
      </w:r>
      <w:r>
        <w:rPr>
          <w:rtl w:val="true"/>
        </w:rPr>
        <w:t>شاعران</w:t>
      </w:r>
      <w:bookmarkEnd w:id="1351"/>
    </w:p>
    <w:p>
      <w:pPr>
        <w:pStyle w:val="Heading5"/>
        <w:numPr>
          <w:ilvl w:val="4"/>
          <w:numId w:val="1"/>
        </w:numPr>
        <w:rPr/>
      </w:pPr>
      <w:bookmarkStart w:id="1352" w:name="__RefHeading___Toc3585567_3650668749"/>
      <w:bookmarkStart w:id="1353" w:name="_Toc580"/>
      <w:bookmarkEnd w:id="1352"/>
      <w:r>
        <w:rPr>
          <w:rtl w:val="true"/>
        </w:rPr>
        <w:t xml:space="preserve">يك </w:t>
      </w:r>
      <w:r>
        <w:rPr>
          <w:rtl w:val="true"/>
        </w:rPr>
        <w:t xml:space="preserve">- </w:t>
      </w:r>
      <w:r>
        <w:rPr>
          <w:rtl w:val="true"/>
        </w:rPr>
        <w:t>كلياتى در باره شعر در صدر اسلام</w:t>
      </w:r>
      <w:bookmarkEnd w:id="1353"/>
    </w:p>
    <w:p>
      <w:pPr>
        <w:pStyle w:val="Heading6"/>
        <w:numPr>
          <w:ilvl w:val="5"/>
          <w:numId w:val="1"/>
        </w:numPr>
        <w:rPr/>
      </w:pPr>
      <w:bookmarkStart w:id="1354" w:name="__RefHeading___Toc3585569_3650668749"/>
      <w:bookmarkStart w:id="1355" w:name="_Toc581"/>
      <w:bookmarkEnd w:id="1354"/>
      <w:r>
        <w:rPr>
          <w:rtl w:val="true"/>
        </w:rPr>
        <w:t>اشاره</w:t>
      </w:r>
      <w:bookmarkEnd w:id="1355"/>
    </w:p>
    <w:p>
      <w:pPr>
        <w:pStyle w:val="BookText"/>
        <w:rPr/>
      </w:pPr>
      <w:r>
        <w:rPr>
          <w:rFonts w:ascii="IRNazanin" w:hAnsi="IRNazanin" w:eastAsia="IRNazanin"/>
          <w:color w:val="111111"/>
          <w:sz w:val="28"/>
          <w:sz w:val="28"/>
          <w:szCs w:val="28"/>
          <w:rtl w:val="true"/>
          <w:lang w:bidi="fa-IR"/>
        </w:rPr>
        <w:t>با مراجعه به تاريخ صدر اسلام در مى‌يابيم كه بسيارى از مردم عرب طبق قريحه ذاتى خود در اوقات مختلف، شعر مى‌سرودند كه نمونه بارز آن را مى‌توان در رجزهايى كه در جنگ‌هاى مختلف و به‌ويژه جنگ‌هايى، همانند جمل، صفين و نيز در روز عاشورا سروده شده،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باعث مى‌شد تا فردى در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شاعر شناخته شود، ممارست بر سرودن شعر و نيز پختگى اشعار او بود</w:t>
      </w:r>
      <w:r>
        <w:rPr>
          <w:rFonts w:eastAsia="IRNazanin" w:cs="IRNazanin"/>
          <w:color w:val="111111"/>
          <w:sz w:val="28"/>
          <w:szCs w:val="28"/>
          <w:rtl w:val="true"/>
          <w:lang w:bidi="fa-IR"/>
        </w:rPr>
        <w:t>.</w:t>
      </w:r>
      <w:bookmarkStart w:id="1356" w:name="pg1964_19768"/>
    </w:p>
    <w:p>
      <w:pPr>
        <w:pStyle w:val="BookText"/>
        <w:rPr/>
      </w:pPr>
      <w:bookmarkEnd w:id="1356"/>
      <w:r>
        <w:rPr>
          <w:rFonts w:ascii="IRNazanin" w:hAnsi="IRNazanin" w:eastAsia="IRNazanin"/>
          <w:color w:val="111111"/>
          <w:sz w:val="28"/>
          <w:sz w:val="28"/>
          <w:szCs w:val="28"/>
          <w:rtl w:val="true"/>
          <w:lang w:bidi="fa-IR"/>
        </w:rPr>
        <w:t>به‌طور كلى براى مقايسه اشعار جاهليت و اشعار صدر اسلام، به‌ويژه شعر كوفى، بايد به عواملى كه در شعر صدر اسلام تأثير گذاشته و آن را از شعر جاهلى متمايز ساخته است، توجه كرد كه در اين مورد مى‌توان از عوامل زير ياد نمود</w:t>
      </w:r>
      <w:r>
        <w:rPr>
          <w:rFonts w:eastAsia="IRNazanin" w:cs="IRNazanin"/>
          <w:color w:val="111111"/>
          <w:sz w:val="28"/>
          <w:szCs w:val="28"/>
          <w:rtl w:val="true"/>
          <w:lang w:bidi="fa-IR"/>
        </w:rPr>
        <w:t>:</w:t>
      </w:r>
    </w:p>
    <w:p>
      <w:pPr>
        <w:pStyle w:val="Heading6"/>
        <w:numPr>
          <w:ilvl w:val="5"/>
          <w:numId w:val="1"/>
        </w:numPr>
        <w:rPr/>
      </w:pPr>
      <w:bookmarkStart w:id="1357" w:name="__RefHeading___Toc3585571_3650668749"/>
      <w:bookmarkStart w:id="1358" w:name="_Toc582"/>
      <w:bookmarkEnd w:id="1357"/>
      <w:r>
        <w:rPr>
          <w:rtl w:val="true"/>
        </w:rPr>
        <w:t xml:space="preserve">اول </w:t>
      </w:r>
      <w:r>
        <w:rPr>
          <w:rtl w:val="true"/>
        </w:rPr>
        <w:t xml:space="preserve">- </w:t>
      </w:r>
      <w:r>
        <w:rPr>
          <w:rtl w:val="true"/>
        </w:rPr>
        <w:t>اسلام</w:t>
      </w:r>
      <w:bookmarkEnd w:id="1358"/>
    </w:p>
    <w:p>
      <w:pPr>
        <w:pStyle w:val="BookText"/>
        <w:rPr/>
      </w:pPr>
      <w:r>
        <w:rPr>
          <w:rFonts w:ascii="IRNazanin" w:hAnsi="IRNazanin" w:eastAsia="IRNazanin"/>
          <w:color w:val="111111"/>
          <w:sz w:val="28"/>
          <w:sz w:val="28"/>
          <w:szCs w:val="28"/>
          <w:rtl w:val="true"/>
          <w:lang w:bidi="fa-IR"/>
        </w:rPr>
        <w:t>با ظهور اسلام، موضوعات مختلف اسلامى و همچنين استفاده از آيات در اشعار متداول شد</w:t>
      </w:r>
      <w:r>
        <w:rPr>
          <w:rFonts w:eastAsia="IRNazanin" w:cs="IRNazanin"/>
          <w:color w:val="111111"/>
          <w:sz w:val="28"/>
          <w:szCs w:val="28"/>
          <w:rtl w:val="true"/>
          <w:lang w:bidi="fa-IR"/>
        </w:rPr>
        <w:t xml:space="preserve">. </w:t>
      </w:r>
      <w:r>
        <w:rPr>
          <w:rStyle w:val="FootnoteAnchor"/>
          <w:rtl w:val="true"/>
        </w:rPr>
        <w:footnoteReference w:id="1181"/>
      </w:r>
    </w:p>
    <w:p>
      <w:pPr>
        <w:pStyle w:val="Heading6"/>
        <w:numPr>
          <w:ilvl w:val="5"/>
          <w:numId w:val="1"/>
        </w:numPr>
        <w:rPr/>
      </w:pPr>
      <w:bookmarkStart w:id="1359" w:name="__RefHeading___Toc3585573_3650668749"/>
      <w:bookmarkStart w:id="1360" w:name="_Toc583"/>
      <w:bookmarkEnd w:id="1359"/>
      <w:r>
        <w:rPr>
          <w:rtl w:val="true"/>
        </w:rPr>
        <w:t xml:space="preserve">دوم </w:t>
      </w:r>
      <w:r>
        <w:rPr>
          <w:rtl w:val="true"/>
        </w:rPr>
        <w:t xml:space="preserve">- </w:t>
      </w:r>
      <w:r>
        <w:rPr>
          <w:rtl w:val="true"/>
        </w:rPr>
        <w:t>ارتباط اعراب با مليّت‌هاى مختلف</w:t>
      </w:r>
      <w:bookmarkEnd w:id="1360"/>
    </w:p>
    <w:p>
      <w:pPr>
        <w:pStyle w:val="BookText"/>
        <w:rPr/>
      </w:pPr>
      <w:r>
        <w:rPr>
          <w:rFonts w:ascii="IRNazanin" w:hAnsi="IRNazanin" w:eastAsia="IRNazanin"/>
          <w:color w:val="111111"/>
          <w:sz w:val="28"/>
          <w:sz w:val="28"/>
          <w:szCs w:val="28"/>
          <w:rtl w:val="true"/>
          <w:lang w:bidi="fa-IR"/>
        </w:rPr>
        <w:t>شعر جاهلى شعر عربى ناب بود، اما پس از فتوحات و ارتباط اعراب با عجم‌ها، در شعر عربى، هم از جهت لغات و هم از جهت محتوا تغييراتى پديد آمد و از فرهنگ بيگانه، همانند ايران و روم متأثر شد</w:t>
      </w:r>
      <w:r>
        <w:rPr>
          <w:rFonts w:eastAsia="IRNazanin" w:cs="IRNazanin"/>
          <w:color w:val="111111"/>
          <w:sz w:val="28"/>
          <w:szCs w:val="28"/>
          <w:rtl w:val="true"/>
          <w:lang w:bidi="fa-IR"/>
        </w:rPr>
        <w:t xml:space="preserve">. </w:t>
      </w:r>
      <w:r>
        <w:rPr>
          <w:rStyle w:val="FootnoteAnchor"/>
          <w:rtl w:val="true"/>
        </w:rPr>
        <w:footnoteReference w:id="1182"/>
      </w:r>
    </w:p>
    <w:p>
      <w:pPr>
        <w:pStyle w:val="Heading6"/>
        <w:numPr>
          <w:ilvl w:val="5"/>
          <w:numId w:val="1"/>
        </w:numPr>
        <w:rPr/>
      </w:pPr>
      <w:bookmarkStart w:id="1361" w:name="__RefHeading___Toc3585575_3650668749"/>
      <w:bookmarkStart w:id="1362" w:name="_Toc584"/>
      <w:bookmarkEnd w:id="1361"/>
      <w:r>
        <w:rPr>
          <w:rtl w:val="true"/>
        </w:rPr>
        <w:t xml:space="preserve">سوم </w:t>
      </w:r>
      <w:r>
        <w:rPr>
          <w:rtl w:val="true"/>
        </w:rPr>
        <w:t xml:space="preserve">- </w:t>
      </w:r>
      <w:r>
        <w:rPr>
          <w:rtl w:val="true"/>
        </w:rPr>
        <w:t>تمدن و فرهنگ تازه</w:t>
      </w:r>
      <w:bookmarkEnd w:id="1362"/>
    </w:p>
    <w:p>
      <w:pPr>
        <w:pStyle w:val="BookText"/>
        <w:rPr/>
      </w:pPr>
      <w:r>
        <w:rPr>
          <w:rFonts w:ascii="IRNazanin" w:hAnsi="IRNazanin" w:eastAsia="IRNazanin"/>
          <w:color w:val="111111"/>
          <w:sz w:val="28"/>
          <w:sz w:val="28"/>
          <w:szCs w:val="28"/>
          <w:rtl w:val="true"/>
          <w:lang w:bidi="fa-IR"/>
        </w:rPr>
        <w:t>شاعران شهرهايى همانند كوفه و بصره، بر خلاف شعراى جاهلى كه بيشتر آنان بيابان‌گرد و بدوى بودند، شهرنشين شدند و طبعاً شهرنشينى و موضوعات مختلف آن باعث تغييراتى در شعر عربى گرديد</w:t>
      </w:r>
      <w:r>
        <w:rPr>
          <w:rFonts w:eastAsia="IRNazanin" w:cs="IRNazanin"/>
          <w:color w:val="111111"/>
          <w:sz w:val="28"/>
          <w:szCs w:val="28"/>
          <w:rtl w:val="true"/>
          <w:lang w:bidi="fa-IR"/>
        </w:rPr>
        <w:t xml:space="preserve">. </w:t>
      </w:r>
      <w:r>
        <w:rPr>
          <w:rStyle w:val="FootnoteAnchor"/>
          <w:rtl w:val="true"/>
        </w:rPr>
        <w:footnoteReference w:id="1183"/>
      </w:r>
    </w:p>
    <w:p>
      <w:pPr>
        <w:pStyle w:val="Heading6"/>
        <w:numPr>
          <w:ilvl w:val="5"/>
          <w:numId w:val="1"/>
        </w:numPr>
        <w:rPr/>
      </w:pPr>
      <w:bookmarkStart w:id="1363" w:name="__RefHeading___Toc3585577_3650668749"/>
      <w:bookmarkStart w:id="1364" w:name="_Toc585"/>
      <w:bookmarkEnd w:id="1363"/>
      <w:r>
        <w:rPr>
          <w:rtl w:val="true"/>
        </w:rPr>
        <w:t xml:space="preserve">چهارم </w:t>
      </w:r>
      <w:r>
        <w:rPr>
          <w:rtl w:val="true"/>
        </w:rPr>
        <w:t xml:space="preserve">- </w:t>
      </w:r>
      <w:r>
        <w:rPr>
          <w:rtl w:val="true"/>
        </w:rPr>
        <w:t>سياست</w:t>
      </w:r>
      <w:bookmarkEnd w:id="1364"/>
    </w:p>
    <w:p>
      <w:pPr>
        <w:pStyle w:val="BookText"/>
        <w:rPr/>
      </w:pPr>
      <w:r>
        <w:rPr>
          <w:rFonts w:ascii="IRNazanin" w:hAnsi="IRNazanin" w:eastAsia="IRNazanin"/>
          <w:color w:val="111111"/>
          <w:sz w:val="28"/>
          <w:sz w:val="28"/>
          <w:szCs w:val="28"/>
          <w:rtl w:val="true"/>
          <w:lang w:bidi="fa-IR"/>
        </w:rPr>
        <w:t>اعراب در جاهليت حكومت مستقلى نداشتند و طبعاً اشعار آنان، اشعارى سياسى نبود، بلكه موضوعات مختلفى همچون موضوعات حماسى، عشقى، عاطفى و تعصبات قبيله‌اى را دربرداشت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تشكيل حكومت اسلامى، اين موضوع به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تناسب موافقت يا مخالفت شاعر با حكومت زمان خود، در اشعار آنان تأثير</w:t>
      </w:r>
    </w:p>
    <w:p>
      <w:pPr>
        <w:pStyle w:val="BookText"/>
        <w:rPr/>
      </w:pPr>
      <w:r>
        <w:rPr>
          <w:rFonts w:ascii="IRNazanin" w:hAnsi="IRNazanin" w:eastAsia="IRNazanin"/>
          <w:color w:val="111111"/>
          <w:sz w:val="28"/>
          <w:sz w:val="28"/>
          <w:szCs w:val="28"/>
          <w:rtl w:val="true"/>
          <w:lang w:bidi="fa-IR"/>
        </w:rPr>
        <w:t>گذاشت و در سرتاسر مملكت اسلامى و به خصوص كوفه، شعر عربى را به دو بخش سياسى و غير سياسى تقسيم كرد كه اين مرزبندى، به‌خصوص در زمان حكومت بنى‌اميه چهره خود را آشكارتر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غير سياسى به سرودن اشعار عشقى، عاطفى، هجو و افتخار به قبيله و نسب مشغول بودند</w:t>
      </w:r>
      <w:r>
        <w:rPr>
          <w:rFonts w:eastAsia="IRNazanin" w:cs="IRNazanin"/>
          <w:color w:val="111111"/>
          <w:sz w:val="28"/>
          <w:szCs w:val="28"/>
          <w:rtl w:val="true"/>
          <w:lang w:bidi="fa-IR"/>
        </w:rPr>
        <w:t xml:space="preserve">. </w:t>
      </w:r>
      <w:r>
        <w:rPr>
          <w:rStyle w:val="FootnoteAnchor"/>
          <w:rtl w:val="true"/>
        </w:rPr>
        <w:footnoteReference w:id="1184"/>
      </w:r>
      <w:r>
        <w:rPr>
          <w:rFonts w:ascii="IRNazanin" w:hAnsi="IRNazanin" w:eastAsia="IRNazanin"/>
          <w:color w:val="111111"/>
          <w:sz w:val="28"/>
          <w:sz w:val="28"/>
          <w:szCs w:val="28"/>
          <w:rtl w:val="true"/>
          <w:lang w:bidi="fa-IR"/>
        </w:rPr>
        <w:t xml:space="preserve">در دوران بنى‌اميه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ويژه‌اى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تشبيب، عبارت بود از اينكه شاعرى عشق خود را به زنى مشخص با ذكر نام او و ذكر جمال و زيبايى او يادآورى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تشبيب در جاهليت نيز رواج فراوان داشت، اما در صدر اسلام هنگامى كه شاعرى از تشبيب استفاده كرد، عُمر او را شلاق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بنى‌اميه به علت كم‌رنگ‌تر شدن مسائل اسلامى و نيز رواج فراوان كنيزكان زيبا كه از فتوحات به دست آمده بودند، اين صنعت شعرى رواج كامل يافت كه گرچه در ابتدا مخصوص كنيزكان بود، اما بعدها به زنان آزاد و حتى زنان و دختران شخصيت‌هاى مختلف سياسى سرايت نمود و مناقشه‌هاى فراوانى را در پى داشت، به‌ويژه آنكه در بعضى مواقع شاعر از اين صناعت به قصد كينه‌توزى و براى بردن آبروى شوهر يا پسرِ زن توصيف شده، استفاده مى‌كرد</w:t>
      </w:r>
      <w:r>
        <w:rPr>
          <w:rFonts w:eastAsia="IRNazanin" w:cs="IRNazanin"/>
          <w:color w:val="111111"/>
          <w:sz w:val="28"/>
          <w:szCs w:val="28"/>
          <w:rtl w:val="true"/>
          <w:lang w:bidi="fa-IR"/>
        </w:rPr>
        <w:t xml:space="preserve">. </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تعصبات قبيله‌اى كه با ظهور اسلام كم‌رنگ شده بود و در اشعار نيز كمتر به چشم مى‌خورد، در زمان بنى‌اميه و طبق سياست حساب شده معاويه و اخلاق او شدت گرفت و بخش مهمى از اشعار اموى را به خود اختصاص داد</w:t>
      </w:r>
      <w:r>
        <w:rPr>
          <w:rFonts w:eastAsia="IRNazanin" w:cs="IRNazanin"/>
          <w:color w:val="111111"/>
          <w:sz w:val="28"/>
          <w:szCs w:val="28"/>
          <w:rtl w:val="true"/>
          <w:lang w:bidi="fa-IR"/>
        </w:rPr>
        <w:t xml:space="preserve">. </w:t>
      </w:r>
      <w:r>
        <w:rPr>
          <w:rStyle w:val="FootnoteAnchor"/>
          <w:rtl w:val="true"/>
        </w:rPr>
        <w:footnoteReference w:id="1186"/>
      </w:r>
      <w:r>
        <w:rPr>
          <w:rFonts w:ascii="IRNazanin" w:hAnsi="IRNazanin" w:eastAsia="IRNazanin"/>
          <w:color w:val="111111"/>
          <w:sz w:val="28"/>
          <w:sz w:val="28"/>
          <w:szCs w:val="28"/>
          <w:rtl w:val="true"/>
          <w:lang w:bidi="fa-IR"/>
        </w:rPr>
        <w:t>همچنين توصيفات مختلف و بديع از شراب در شعر به علت مى‌خوارگى بنى‌اميه رواج فراوانى يافت</w:t>
      </w:r>
      <w:r>
        <w:rPr>
          <w:rFonts w:eastAsia="IRNazanin" w:cs="IRNazanin"/>
          <w:color w:val="111111"/>
          <w:sz w:val="28"/>
          <w:szCs w:val="28"/>
          <w:rtl w:val="true"/>
          <w:lang w:bidi="fa-IR"/>
        </w:rPr>
        <w:t xml:space="preserve">. </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شاعران سياسى دوران بنى‌اميه را مى‌توان به دو گروه طرف‌داران اموى‌ها و مخالفان آنها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شاعران زمان مورد بحث را شاعران اموى مسلك</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تشكيل مى‌دهند؛ زيرا معاويه و دستگاه اموى از شعر به عنوان مؤثرترين وسيله</w:t>
      </w:r>
      <w:bookmarkStart w:id="1365" w:name="pg1964_19772"/>
    </w:p>
    <w:p>
      <w:pPr>
        <w:pStyle w:val="BookText"/>
        <w:rPr/>
      </w:pPr>
      <w:bookmarkEnd w:id="1365"/>
      <w:r>
        <w:rPr>
          <w:rFonts w:ascii="IRNazanin" w:hAnsi="IRNazanin" w:eastAsia="IRNazanin"/>
          <w:color w:val="111111"/>
          <w:sz w:val="28"/>
          <w:sz w:val="28"/>
          <w:szCs w:val="28"/>
          <w:rtl w:val="true"/>
          <w:lang w:bidi="fa-IR"/>
        </w:rPr>
        <w:t>تبليغاتى براى پيشبرد مقاصد سياسى خود بهره مى‌جستند و شاعرانى را كه براى تأمين زندگى خود به مدح بنى‌اميه و كارهاى آنان مى‌پرداختند، با انواع وسايل كه مهم‌ترين آنان تطميع بود، به سوى خود مى‌كشاندند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معمولاً موضوع اشعار اين شاعران مدح بنى‌اميه و هجو مخالفان آنان بود</w:t>
      </w:r>
      <w:r>
        <w:rPr>
          <w:rFonts w:eastAsia="IRNazanin" w:cs="IRNazanin"/>
          <w:color w:val="111111"/>
          <w:sz w:val="28"/>
          <w:szCs w:val="28"/>
          <w:rtl w:val="true"/>
          <w:lang w:bidi="fa-IR"/>
        </w:rPr>
        <w:t xml:space="preserve">. </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شاعران سياسى زمان مورد بحث در كوفه به دو قسم شاعران خوارج و شاعران علوى تقسيم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خوارج خالى از هرگونه مدح و بيشتر در باره عقايد خشك آنان دور مى‌زد و به شعر بدوى جاهلى نزديك‌تر بود</w:t>
      </w:r>
      <w:r>
        <w:rPr>
          <w:rFonts w:eastAsia="IRNazanin" w:cs="IRNazanin"/>
          <w:color w:val="111111"/>
          <w:sz w:val="28"/>
          <w:szCs w:val="28"/>
          <w:rtl w:val="true"/>
          <w:lang w:bidi="fa-IR"/>
        </w:rPr>
        <w:t xml:space="preserve">. </w:t>
      </w:r>
      <w:r>
        <w:rPr>
          <w:rStyle w:val="FootnoteAnchor"/>
          <w:rtl w:val="true"/>
        </w:rPr>
        <w:footnoteReference w:id="1189"/>
      </w:r>
      <w:r>
        <w:rPr>
          <w:rFonts w:ascii="IRNazanin" w:hAnsi="IRNazanin" w:eastAsia="IRNazanin"/>
          <w:color w:val="111111"/>
          <w:sz w:val="28"/>
          <w:sz w:val="28"/>
          <w:szCs w:val="28"/>
          <w:rtl w:val="true"/>
          <w:lang w:bidi="fa-IR"/>
        </w:rPr>
        <w:t xml:space="preserve">اما شعر شيعى و علوى، شعرى غير بدوى، عاطفى و دقيق بود كه دست‌مايه‌هايى از اعتقادات مذهب شيعه را در خود داشت و مصايب وارده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 او را با بهترين بيان به زبان مى‌آورد و با آنكه اين شاعران از نظر سياسى در فشار فراوانى به سر مى‌بردند، اما هر چه فشار بر آنان بيشتر مى‌شد، احساسات به‌كار رفته در شعر، لطيف‌تر مى‌شد و اشعار آنان را دلنشين‌تر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پيداست كه بسيارى از اين شاعران، در تقيه به سر برده و در بسيارى از مواقع، زبان در كام فرو مى‌بستند</w:t>
      </w:r>
      <w:r>
        <w:rPr>
          <w:rFonts w:eastAsia="IRNazanin" w:cs="IRNazanin"/>
          <w:color w:val="111111"/>
          <w:sz w:val="28"/>
          <w:szCs w:val="28"/>
          <w:rtl w:val="true"/>
          <w:lang w:bidi="fa-IR"/>
        </w:rPr>
        <w:t xml:space="preserve">. </w:t>
      </w:r>
      <w:r>
        <w:rPr>
          <w:rStyle w:val="FootnoteAnchor"/>
          <w:rtl w:val="true"/>
        </w:rPr>
        <w:footnoteReference w:id="1190"/>
      </w:r>
    </w:p>
    <w:p>
      <w:pPr>
        <w:pStyle w:val="Heading5"/>
        <w:numPr>
          <w:ilvl w:val="4"/>
          <w:numId w:val="1"/>
        </w:numPr>
        <w:rPr/>
      </w:pPr>
      <w:bookmarkStart w:id="1366" w:name="__RefHeading___Toc3585579_3650668749"/>
      <w:bookmarkStart w:id="1367" w:name="_Toc586"/>
      <w:bookmarkEnd w:id="1366"/>
      <w:r>
        <w:rPr>
          <w:rtl w:val="true"/>
        </w:rPr>
        <w:t xml:space="preserve">دو </w:t>
      </w:r>
      <w:r>
        <w:rPr>
          <w:rtl w:val="true"/>
        </w:rPr>
        <w:t xml:space="preserve">- </w:t>
      </w:r>
      <w:r>
        <w:rPr>
          <w:rtl w:val="true"/>
        </w:rPr>
        <w:t>شاعران</w:t>
      </w:r>
      <w:bookmarkEnd w:id="1367"/>
    </w:p>
    <w:p>
      <w:pPr>
        <w:pStyle w:val="Heading6"/>
        <w:numPr>
          <w:ilvl w:val="5"/>
          <w:numId w:val="1"/>
        </w:numPr>
        <w:rPr/>
      </w:pPr>
      <w:bookmarkStart w:id="1368" w:name="__RefHeading___Toc3585581_3650668749"/>
      <w:bookmarkStart w:id="1369" w:name="_Toc587"/>
      <w:bookmarkEnd w:id="1368"/>
      <w:r>
        <w:rPr>
          <w:rtl w:val="true"/>
        </w:rPr>
        <w:t>اشاره</w:t>
      </w:r>
      <w:bookmarkEnd w:id="1369"/>
    </w:p>
    <w:p>
      <w:pPr>
        <w:pStyle w:val="BookText"/>
        <w:rPr/>
      </w:pPr>
      <w:r>
        <w:rPr>
          <w:rFonts w:ascii="IRNazanin" w:hAnsi="IRNazanin" w:eastAsia="IRNazanin"/>
          <w:color w:val="111111"/>
          <w:sz w:val="28"/>
          <w:sz w:val="28"/>
          <w:szCs w:val="28"/>
          <w:rtl w:val="true"/>
          <w:lang w:bidi="fa-IR"/>
        </w:rPr>
        <w:t>در اينجا اسامى شاعرانى را يادآور مى‌شويم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مختلف به عنوان شاعر معرفى شده باشند نه اينكه گاه‌گاهى شعر سروده باشند،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مورد بحث، در كوفه ساكن بوده يا رفت و آمد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شاعران عبارت‌اند از</w:t>
      </w:r>
      <w:r>
        <w:rPr>
          <w:rFonts w:eastAsia="IRNazanin" w:cs="IRNazanin"/>
          <w:color w:val="111111"/>
          <w:sz w:val="28"/>
          <w:szCs w:val="28"/>
          <w:rtl w:val="true"/>
          <w:lang w:bidi="fa-IR"/>
        </w:rPr>
        <w:t>:</w:t>
      </w:r>
    </w:p>
    <w:p>
      <w:pPr>
        <w:pStyle w:val="Heading6"/>
        <w:numPr>
          <w:ilvl w:val="5"/>
          <w:numId w:val="1"/>
        </w:numPr>
        <w:rPr/>
      </w:pPr>
      <w:bookmarkStart w:id="1370" w:name="__RefHeading___Toc3585583_3650668749"/>
      <w:bookmarkStart w:id="1371" w:name="_Toc588"/>
      <w:bookmarkEnd w:id="1370"/>
      <w:r>
        <w:rPr>
          <w:rtl w:val="true"/>
        </w:rPr>
        <w:t xml:space="preserve">اول </w:t>
      </w:r>
      <w:r>
        <w:rPr>
          <w:rtl w:val="true"/>
        </w:rPr>
        <w:t xml:space="preserve">- </w:t>
      </w:r>
      <w:r>
        <w:rPr>
          <w:rtl w:val="true"/>
        </w:rPr>
        <w:t>قيس بن عمرو حارثى، معروف به نجاشى</w:t>
      </w:r>
      <w:bookmarkEnd w:id="1371"/>
    </w:p>
    <w:p>
      <w:pPr>
        <w:pStyle w:val="BookText"/>
        <w:rPr/>
      </w:pPr>
      <w:r>
        <w:rPr>
          <w:rFonts w:ascii="Amiri" w:hAnsi="Amiri" w:eastAsia="Amiri" w:cs="Amiri"/>
          <w:color w:val="111111"/>
          <w:sz w:val="28"/>
          <w:sz w:val="28"/>
          <w:szCs w:val="28"/>
          <w:rtl w:val="true"/>
          <w:lang w:bidi="ar-SA"/>
        </w:rPr>
        <w:t>نجاشى كه به دليل شباهت قيافه‌اش به حبشى‌ها، به اين نام معروف شده بود، از</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ياران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در زمان آن حضرت در كوفه مى‌زيست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يكى از</w:t>
      </w:r>
      <w:bookmarkStart w:id="1372" w:name="pg1964_19774"/>
    </w:p>
    <w:p>
      <w:pPr>
        <w:pStyle w:val="BookText"/>
        <w:rPr/>
      </w:pPr>
      <w:bookmarkEnd w:id="1372"/>
      <w:r>
        <w:rPr>
          <w:rFonts w:ascii="IRNazanin" w:hAnsi="IRNazanin" w:eastAsia="IRNazanin"/>
          <w:color w:val="111111"/>
          <w:sz w:val="28"/>
          <w:sz w:val="28"/>
          <w:szCs w:val="28"/>
          <w:rtl w:val="true"/>
          <w:lang w:bidi="fa-IR"/>
        </w:rPr>
        <w:t xml:space="preserve">روزهاى ماه مبارك رمضان كه اقدام به مى‌خوارگى نمود، از سوى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 ضربه تازيانه محكوم شد كه بيست ضربه آن به سبب مى‌خوارگى در ماه مبارك رمضان بود، اما اين حكم، نجاشى را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ننمود، بلكه او در جنگ صفين شركت كرد و با شعرش به يارى حضرت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دوران معاويه، اشعارى به نفع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كنايه به معاويه مى‌سرود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او را از شاعران سياسى علوى به‌شمار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واقعه عاشورا در يمن از دنيا رفت</w:t>
      </w:r>
      <w:r>
        <w:rPr>
          <w:rFonts w:eastAsia="IRNazanin" w:cs="IRNazanin"/>
          <w:color w:val="111111"/>
          <w:sz w:val="28"/>
          <w:szCs w:val="28"/>
          <w:rtl w:val="true"/>
          <w:lang w:bidi="fa-IR"/>
        </w:rPr>
        <w:t xml:space="preserve">. </w:t>
      </w:r>
      <w:r>
        <w:rPr>
          <w:rStyle w:val="FootnoteAnchor"/>
          <w:rtl w:val="true"/>
        </w:rPr>
        <w:footnoteReference w:id="1191"/>
      </w:r>
    </w:p>
    <w:p>
      <w:pPr>
        <w:pStyle w:val="Heading6"/>
        <w:numPr>
          <w:ilvl w:val="5"/>
          <w:numId w:val="1"/>
        </w:numPr>
        <w:rPr/>
      </w:pPr>
      <w:bookmarkStart w:id="1373" w:name="__RefHeading___Toc3585585_3650668749"/>
      <w:bookmarkStart w:id="1374" w:name="_Toc589"/>
      <w:bookmarkEnd w:id="1373"/>
      <w:r>
        <w:rPr>
          <w:rtl w:val="true"/>
        </w:rPr>
        <w:t xml:space="preserve">دوم </w:t>
      </w:r>
      <w:r>
        <w:rPr>
          <w:rtl w:val="true"/>
        </w:rPr>
        <w:t xml:space="preserve">- </w:t>
      </w:r>
      <w:r>
        <w:rPr>
          <w:rtl w:val="true"/>
        </w:rPr>
        <w:t>رَبيعة بن مَقْرُوم قيسي</w:t>
      </w:r>
      <w:bookmarkEnd w:id="1374"/>
    </w:p>
    <w:p>
      <w:pPr>
        <w:pStyle w:val="BookText"/>
        <w:rPr/>
      </w:pPr>
      <w:r>
        <w:rPr>
          <w:rFonts w:ascii="IRNazanin" w:hAnsi="IRNazanin" w:eastAsia="IRNazanin"/>
          <w:color w:val="111111"/>
          <w:sz w:val="28"/>
          <w:sz w:val="28"/>
          <w:szCs w:val="28"/>
          <w:rtl w:val="true"/>
          <w:lang w:bidi="fa-IR"/>
        </w:rPr>
        <w:t>او از شاعرانى بود كه در فتح قادسيه شركت داشت و پس از مدتى از گذشت آن جنگ در صد سالگى از دنيا رفت</w:t>
      </w:r>
      <w:r>
        <w:rPr>
          <w:rFonts w:eastAsia="IRNazanin" w:cs="IRNazanin"/>
          <w:color w:val="111111"/>
          <w:sz w:val="28"/>
          <w:szCs w:val="28"/>
          <w:rtl w:val="true"/>
          <w:lang w:bidi="fa-IR"/>
        </w:rPr>
        <w:t xml:space="preserve">. </w:t>
      </w:r>
      <w:r>
        <w:rPr>
          <w:rStyle w:val="FootnoteAnchor"/>
          <w:rtl w:val="true"/>
        </w:rPr>
        <w:footnoteReference w:id="1192"/>
      </w:r>
    </w:p>
    <w:p>
      <w:pPr>
        <w:pStyle w:val="Heading6"/>
        <w:numPr>
          <w:ilvl w:val="5"/>
          <w:numId w:val="1"/>
        </w:numPr>
        <w:rPr/>
      </w:pPr>
      <w:bookmarkStart w:id="1375" w:name="__RefHeading___Toc3585587_3650668749"/>
      <w:bookmarkStart w:id="1376" w:name="_Toc590"/>
      <w:bookmarkEnd w:id="1375"/>
      <w:r>
        <w:rPr>
          <w:rtl w:val="true"/>
        </w:rPr>
        <w:t xml:space="preserve">سوم </w:t>
      </w:r>
      <w:r>
        <w:rPr>
          <w:rtl w:val="true"/>
        </w:rPr>
        <w:t xml:space="preserve">- </w:t>
      </w:r>
      <w:r>
        <w:rPr>
          <w:rtl w:val="true"/>
        </w:rPr>
        <w:t>جَرْوَل بن اَوْس، معروف به حُطَيئه</w:t>
      </w:r>
      <w:bookmarkEnd w:id="1376"/>
    </w:p>
    <w:p>
      <w:pPr>
        <w:pStyle w:val="BookText"/>
        <w:rPr/>
      </w:pPr>
      <w:r>
        <w:rPr>
          <w:rFonts w:ascii="IRNazanin" w:hAnsi="IRNazanin" w:eastAsia="IRNazanin"/>
          <w:color w:val="111111"/>
          <w:sz w:val="28"/>
          <w:sz w:val="28"/>
          <w:szCs w:val="28"/>
          <w:rtl w:val="true"/>
          <w:lang w:bidi="fa-IR"/>
        </w:rPr>
        <w:t>او يكى از شاعرانى بود كه در زمان عثمان مدتى در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كوتاه قد بود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شعرهاى او در مايه‌هاى مدح، هجاء و غزل‌هاى عاشقانه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مردى پَست بود كه از شعر براى تأمين دنياى مادى خود بهره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w:t>
      </w:r>
      <w:r>
        <w:rPr>
          <w:rFonts w:eastAsia="IRNazanin" w:cs="IRNazanin"/>
          <w:color w:val="111111"/>
          <w:sz w:val="28"/>
          <w:szCs w:val="28"/>
          <w:rtl w:val="true"/>
          <w:lang w:bidi="fa-IR"/>
        </w:rPr>
        <w:t xml:space="preserve">. </w:t>
      </w:r>
      <w:r>
        <w:rPr>
          <w:rStyle w:val="FootnoteAnchor"/>
          <w:rtl w:val="true"/>
        </w:rPr>
        <w:footnoteReference w:id="1193"/>
      </w:r>
    </w:p>
    <w:p>
      <w:pPr>
        <w:pStyle w:val="Heading6"/>
        <w:numPr>
          <w:ilvl w:val="5"/>
          <w:numId w:val="1"/>
        </w:numPr>
        <w:rPr/>
      </w:pPr>
      <w:bookmarkStart w:id="1377" w:name="__RefHeading___Toc3585589_3650668749"/>
      <w:bookmarkStart w:id="1378" w:name="_Toc591"/>
      <w:bookmarkEnd w:id="1377"/>
      <w:r>
        <w:rPr>
          <w:rtl w:val="true"/>
        </w:rPr>
        <w:t xml:space="preserve">چهارم </w:t>
      </w:r>
      <w:r>
        <w:rPr>
          <w:rtl w:val="true"/>
        </w:rPr>
        <w:t xml:space="preserve">- </w:t>
      </w:r>
      <w:r>
        <w:rPr>
          <w:rtl w:val="true"/>
        </w:rPr>
        <w:t>شويد بن ابي‌كاهل</w:t>
      </w:r>
      <w:bookmarkEnd w:id="1378"/>
    </w:p>
    <w:p>
      <w:pPr>
        <w:pStyle w:val="BookText"/>
        <w:rPr/>
      </w:pPr>
      <w:r>
        <w:rPr>
          <w:rFonts w:ascii="Amiri" w:hAnsi="Amiri" w:eastAsia="Amiri" w:cs="Amiri"/>
          <w:color w:val="111111"/>
          <w:sz w:val="28"/>
          <w:sz w:val="28"/>
          <w:szCs w:val="28"/>
          <w:rtl w:val="true"/>
          <w:lang w:bidi="ar-SA"/>
        </w:rPr>
        <w:t>يكى از شاعران جاهلى بود كه مدت زيادى نيز در اسلام زيست و در سال</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كوفه از دنيا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او غير سياسى و در مايه‌هاى فخر، غزل و</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 بود</w:t>
      </w:r>
      <w:r>
        <w:rPr>
          <w:rFonts w:eastAsia="IRNazanin" w:cs="IRNazanin"/>
          <w:color w:val="111111"/>
          <w:sz w:val="28"/>
          <w:szCs w:val="28"/>
          <w:rtl w:val="true"/>
          <w:lang w:bidi="fa-IR"/>
        </w:rPr>
        <w:t xml:space="preserve">. </w:t>
      </w:r>
      <w:r>
        <w:rPr>
          <w:rStyle w:val="FootnoteAnchor"/>
          <w:rtl w:val="true"/>
        </w:rPr>
        <w:footnoteReference w:id="1194"/>
      </w:r>
      <w:bookmarkStart w:id="1379" w:name="pg1964_19776"/>
    </w:p>
    <w:p>
      <w:pPr>
        <w:pStyle w:val="Heading6"/>
        <w:numPr>
          <w:ilvl w:val="5"/>
          <w:numId w:val="1"/>
        </w:numPr>
        <w:rPr/>
      </w:pPr>
      <w:bookmarkStart w:id="1380" w:name="__RefHeading___Toc3585591_3650668749"/>
      <w:bookmarkStart w:id="1381" w:name="_Toc592"/>
      <w:bookmarkEnd w:id="1379"/>
      <w:bookmarkEnd w:id="1380"/>
      <w:r>
        <w:rPr>
          <w:rtl w:val="true"/>
        </w:rPr>
        <w:t xml:space="preserve">پنجم </w:t>
      </w:r>
      <w:r>
        <w:rPr>
          <w:rtl w:val="true"/>
        </w:rPr>
        <w:t xml:space="preserve">- </w:t>
      </w:r>
      <w:r>
        <w:rPr>
          <w:rtl w:val="true"/>
        </w:rPr>
        <w:t>نابغه جُعدي</w:t>
      </w:r>
      <w:bookmarkEnd w:id="1381"/>
    </w:p>
    <w:p>
      <w:pPr>
        <w:pStyle w:val="BookText"/>
        <w:rPr/>
      </w:pPr>
      <w:r>
        <w:rPr>
          <w:rFonts w:ascii="IRNazanin" w:hAnsi="IRNazanin" w:eastAsia="IRNazanin"/>
          <w:color w:val="111111"/>
          <w:sz w:val="28"/>
          <w:sz w:val="28"/>
          <w:szCs w:val="28"/>
          <w:rtl w:val="true"/>
          <w:lang w:bidi="fa-IR"/>
        </w:rPr>
        <w:t>او نيز از شاعران جاهلى بود كه در جاهليت از شراب و بت‌پرستى دورى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مسلمان شد و در محضر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شعرى خواند كه باعث خوشحالى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جنگ صفين همراه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 و مدتى بعد از آن در كوفه سكونت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سال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از دنيا رفت</w:t>
      </w:r>
      <w:r>
        <w:rPr>
          <w:rFonts w:eastAsia="IRNazanin" w:cs="IRNazanin"/>
          <w:color w:val="111111"/>
          <w:sz w:val="28"/>
          <w:szCs w:val="28"/>
          <w:rtl w:val="true"/>
          <w:lang w:bidi="fa-IR"/>
        </w:rPr>
        <w:t xml:space="preserve">. </w:t>
      </w:r>
      <w:r>
        <w:rPr>
          <w:rStyle w:val="FootnoteAnchor"/>
          <w:rtl w:val="true"/>
        </w:rPr>
        <w:footnoteReference w:id="1195"/>
      </w:r>
      <w:r>
        <w:rPr>
          <w:rFonts w:ascii="IRNazanin" w:hAnsi="IRNazanin" w:eastAsia="IRNazanin"/>
          <w:color w:val="111111"/>
          <w:sz w:val="28"/>
          <w:sz w:val="28"/>
          <w:szCs w:val="28"/>
          <w:rtl w:val="true"/>
          <w:lang w:bidi="fa-IR"/>
        </w:rPr>
        <w:t>گفتنى است كه شعر او بيشتر در قالب‌هاى مدح، هجو و توصيف بود و به خصوص در توصيف اسب، بسيار مهارت داشت</w:t>
      </w:r>
      <w:r>
        <w:rPr>
          <w:rFonts w:eastAsia="IRNazanin" w:cs="IRNazanin"/>
          <w:color w:val="111111"/>
          <w:sz w:val="28"/>
          <w:szCs w:val="28"/>
          <w:rtl w:val="true"/>
          <w:lang w:bidi="fa-IR"/>
        </w:rPr>
        <w:t xml:space="preserve">. </w:t>
      </w:r>
      <w:r>
        <w:rPr>
          <w:rStyle w:val="FootnoteAnchor"/>
          <w:rtl w:val="true"/>
        </w:rPr>
        <w:footnoteReference w:id="1196"/>
      </w:r>
    </w:p>
    <w:p>
      <w:pPr>
        <w:pStyle w:val="Heading6"/>
        <w:numPr>
          <w:ilvl w:val="5"/>
          <w:numId w:val="1"/>
        </w:numPr>
        <w:rPr/>
      </w:pPr>
      <w:bookmarkStart w:id="1382" w:name="__RefHeading___Toc3585593_3650668749"/>
      <w:bookmarkStart w:id="1383" w:name="_Toc593"/>
      <w:bookmarkEnd w:id="1382"/>
      <w:r>
        <w:rPr>
          <w:rtl w:val="true"/>
        </w:rPr>
        <w:t xml:space="preserve">ششم </w:t>
      </w:r>
      <w:r>
        <w:rPr>
          <w:rtl w:val="true"/>
        </w:rPr>
        <w:t xml:space="preserve">- </w:t>
      </w:r>
      <w:r>
        <w:rPr>
          <w:rtl w:val="true"/>
        </w:rPr>
        <w:t>ظالم بن عمرو بن سفيان، معروف به ابوالاسود دئلي</w:t>
      </w:r>
      <w:bookmarkEnd w:id="1383"/>
    </w:p>
    <w:p>
      <w:pPr>
        <w:pStyle w:val="BookText"/>
        <w:rPr/>
      </w:pPr>
      <w:r>
        <w:rPr>
          <w:rFonts w:ascii="IRNazanin" w:hAnsi="IRNazanin" w:eastAsia="IRNazanin"/>
          <w:color w:val="111111"/>
          <w:sz w:val="28"/>
          <w:sz w:val="28"/>
          <w:szCs w:val="28"/>
          <w:rtl w:val="true"/>
          <w:lang w:bidi="fa-IR"/>
        </w:rPr>
        <w:t xml:space="preserve">او يكى از ياران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جنگ‌هاى صفين و نهروان همراه آن حضرت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معاويه در تقيه به سر مى‌برد و هيچ‌گونه شعرى در مدح يا ذم بنى‌اميه نسرود</w:t>
      </w:r>
      <w:r>
        <w:rPr>
          <w:rFonts w:eastAsia="IRNazanin" w:cs="IRNazanin"/>
          <w:color w:val="111111"/>
          <w:sz w:val="28"/>
          <w:szCs w:val="28"/>
          <w:rtl w:val="true"/>
          <w:lang w:bidi="fa-IR"/>
        </w:rPr>
        <w:t xml:space="preserve">. </w:t>
      </w:r>
      <w:r>
        <w:rPr>
          <w:rStyle w:val="FootnoteAnchor"/>
          <w:rtl w:val="true"/>
        </w:rPr>
        <w:footnoteReference w:id="1197"/>
      </w:r>
      <w:r>
        <w:rPr>
          <w:rFonts w:ascii="IRNazanin" w:hAnsi="IRNazanin" w:eastAsia="IRNazanin"/>
          <w:color w:val="111111"/>
          <w:sz w:val="28"/>
          <w:sz w:val="28"/>
          <w:szCs w:val="28"/>
          <w:rtl w:val="true"/>
          <w:lang w:bidi="fa-IR"/>
        </w:rPr>
        <w:t xml:space="preserve">در كتاب‌هاى ادبى او را بنيان‌گذار علم نحو مى‌شناسند كه به اعتراف خودش، قواعد اوليه نحو را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فراگرفته بود</w:t>
      </w:r>
      <w:r>
        <w:rPr>
          <w:rFonts w:eastAsia="IRNazanin" w:cs="IRNazanin"/>
          <w:color w:val="111111"/>
          <w:sz w:val="28"/>
          <w:szCs w:val="28"/>
          <w:rtl w:val="true"/>
          <w:lang w:bidi="fa-IR"/>
        </w:rPr>
        <w:t xml:space="preserve">. </w:t>
      </w:r>
      <w:r>
        <w:rPr>
          <w:rStyle w:val="FootnoteAnchor"/>
          <w:rtl w:val="true"/>
        </w:rPr>
        <w:footnoteReference w:id="1198"/>
      </w:r>
      <w:r>
        <w:rPr>
          <w:rFonts w:ascii="IRNazanin" w:hAnsi="IRNazanin" w:eastAsia="IRNazanin"/>
          <w:color w:val="111111"/>
          <w:sz w:val="28"/>
          <w:sz w:val="28"/>
          <w:szCs w:val="28"/>
          <w:rtl w:val="true"/>
          <w:lang w:bidi="fa-IR"/>
        </w:rPr>
        <w:t>همچنين وى طريقه خاصى در اعراب‌گذارى قرآن ابداع كرد كه تا اوايل عهد بنى‌عباس دوام داشت</w:t>
      </w:r>
      <w:r>
        <w:rPr>
          <w:rFonts w:eastAsia="IRNazanin" w:cs="IRNazanin"/>
          <w:color w:val="111111"/>
          <w:sz w:val="28"/>
          <w:szCs w:val="28"/>
          <w:rtl w:val="true"/>
          <w:lang w:bidi="fa-IR"/>
        </w:rPr>
        <w:t xml:space="preserve">. </w:t>
      </w:r>
      <w:r>
        <w:rPr>
          <w:rStyle w:val="FootnoteAnchor"/>
          <w:rtl w:val="true"/>
        </w:rPr>
        <w:footnoteReference w:id="1199"/>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بر اثر طاعون در بصره از دنيا رفت</w:t>
      </w:r>
      <w:r>
        <w:rPr>
          <w:rFonts w:eastAsia="IRNazanin" w:cs="IRNazanin"/>
          <w:color w:val="111111"/>
          <w:sz w:val="28"/>
          <w:szCs w:val="28"/>
          <w:rtl w:val="true"/>
          <w:lang w:bidi="fa-IR"/>
        </w:rPr>
        <w:t xml:space="preserve">. </w:t>
      </w:r>
      <w:r>
        <w:rPr>
          <w:rStyle w:val="FootnoteAnchor"/>
          <w:rtl w:val="true"/>
        </w:rPr>
        <w:footnoteReference w:id="1200"/>
      </w:r>
    </w:p>
    <w:p>
      <w:pPr>
        <w:pStyle w:val="Heading6"/>
        <w:numPr>
          <w:ilvl w:val="5"/>
          <w:numId w:val="1"/>
        </w:numPr>
        <w:rPr/>
      </w:pPr>
      <w:bookmarkStart w:id="1384" w:name="__RefHeading___Toc3585595_3650668749"/>
      <w:bookmarkStart w:id="1385" w:name="_Toc594"/>
      <w:bookmarkEnd w:id="1384"/>
      <w:r>
        <w:rPr>
          <w:rtl w:val="true"/>
        </w:rPr>
        <w:t xml:space="preserve">هفتم </w:t>
      </w:r>
      <w:r>
        <w:rPr>
          <w:rtl w:val="true"/>
        </w:rPr>
        <w:t xml:space="preserve">- </w:t>
      </w:r>
      <w:r>
        <w:rPr>
          <w:rtl w:val="true"/>
        </w:rPr>
        <w:t>متوكل بن عبدالله بن كُنانه، معروف به متوكل ليثي و متوكل كُناني</w:t>
      </w:r>
      <w:bookmarkEnd w:id="1385"/>
    </w:p>
    <w:p>
      <w:pPr>
        <w:pStyle w:val="BookText"/>
        <w:rPr/>
      </w:pPr>
      <w:r>
        <w:rPr>
          <w:rFonts w:ascii="IRNazanin" w:hAnsi="IRNazanin" w:eastAsia="IRNazanin"/>
          <w:color w:val="111111"/>
          <w:sz w:val="28"/>
          <w:sz w:val="28"/>
          <w:szCs w:val="28"/>
          <w:rtl w:val="true"/>
          <w:lang w:bidi="fa-IR"/>
        </w:rPr>
        <w:t>او اهل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معاويه و پسرش يزيد آن دو را مدح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مايه‌هاى مدح، هجاء، غزل، فخر نيز شعر مى‌سرود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سرانجام در سال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دنيا رفت</w:t>
      </w:r>
      <w:r>
        <w:rPr>
          <w:rFonts w:eastAsia="Amiri" w:cs="Amiri" w:ascii="Amiri" w:hAnsi="Amiri"/>
          <w:color w:val="111111"/>
          <w:sz w:val="28"/>
          <w:szCs w:val="28"/>
          <w:rtl w:val="true"/>
          <w:lang w:bidi="ar-SA"/>
        </w:rPr>
        <w:t xml:space="preserve">. </w:t>
      </w:r>
      <w:r>
        <w:rPr>
          <w:rStyle w:val="FootnoteAnchor"/>
          <w:rtl w:val="true"/>
        </w:rPr>
        <w:footnoteReference w:id="1201"/>
      </w:r>
      <w:bookmarkStart w:id="1386" w:name="pg1964_19778"/>
    </w:p>
    <w:p>
      <w:pPr>
        <w:pStyle w:val="Heading6"/>
        <w:numPr>
          <w:ilvl w:val="5"/>
          <w:numId w:val="1"/>
        </w:numPr>
        <w:rPr/>
      </w:pPr>
      <w:bookmarkStart w:id="1387" w:name="__RefHeading___Toc3585597_3650668749"/>
      <w:bookmarkStart w:id="1388" w:name="_Toc595"/>
      <w:bookmarkEnd w:id="1386"/>
      <w:bookmarkEnd w:id="1387"/>
      <w:r>
        <w:rPr>
          <w:rtl w:val="true"/>
        </w:rPr>
        <w:t xml:space="preserve">هشتم </w:t>
      </w:r>
      <w:r>
        <w:rPr>
          <w:rtl w:val="true"/>
        </w:rPr>
        <w:t xml:space="preserve">- </w:t>
      </w:r>
      <w:r>
        <w:rPr>
          <w:rtl w:val="true"/>
        </w:rPr>
        <w:t>ابو مَعْرَض مُغَيرة بن عبدالله بن مُدْرَكَه، مشهور به اُقَيْشِر اَسَدي</w:t>
      </w:r>
      <w:bookmarkEnd w:id="1388"/>
    </w:p>
    <w:p>
      <w:pPr>
        <w:pStyle w:val="BookText"/>
        <w:rPr/>
      </w:pPr>
      <w:r>
        <w:rPr>
          <w:rFonts w:ascii="IRNazanin" w:hAnsi="IRNazanin" w:eastAsia="IRNazanin"/>
          <w:color w:val="111111"/>
          <w:sz w:val="28"/>
          <w:sz w:val="28"/>
          <w:szCs w:val="28"/>
          <w:rtl w:val="true"/>
          <w:lang w:bidi="fa-IR"/>
        </w:rPr>
        <w:t>اُقَيشِر به معناى پوست كنده مى‌باشد و ابو معرض به علت شدت سرخ‌رويى، به اين لقب معروف شد، گرچه خود از آن ناخشنود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جاهليت متولد شد و زمان عبدالملك بن مروان را نيز درك كرد</w:t>
      </w:r>
      <w:r>
        <w:rPr>
          <w:rFonts w:eastAsia="IRNazanin" w:cs="IRNazanin"/>
          <w:color w:val="111111"/>
          <w:sz w:val="28"/>
          <w:szCs w:val="28"/>
          <w:rtl w:val="true"/>
          <w:lang w:bidi="fa-IR"/>
        </w:rPr>
        <w:t xml:space="preserve">. </w:t>
      </w:r>
      <w:r>
        <w:rPr>
          <w:rStyle w:val="FootnoteAnchor"/>
          <w:rtl w:val="true"/>
        </w:rPr>
        <w:footnoteReference w:id="1202"/>
      </w:r>
      <w:r>
        <w:rPr>
          <w:rFonts w:ascii="IRNazanin" w:hAnsi="IRNazanin" w:eastAsia="IRNazanin"/>
          <w:color w:val="111111"/>
          <w:sz w:val="28"/>
          <w:sz w:val="28"/>
          <w:szCs w:val="28"/>
          <w:rtl w:val="true"/>
          <w:lang w:bidi="fa-IR"/>
        </w:rPr>
        <w:t>او از اهالى كوفه و مردى شراب‌خوار و شوخ طبع و فاسد الاخلاق بود كه بيشتر در باره شراب شعر مى‌سرود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اشعارى در مايه‌هاى مدح، هجاء از او نقل شده است</w:t>
      </w:r>
      <w:r>
        <w:rPr>
          <w:rFonts w:eastAsia="IRNazanin" w:cs="IRNazanin"/>
          <w:color w:val="111111"/>
          <w:sz w:val="28"/>
          <w:szCs w:val="28"/>
          <w:rtl w:val="true"/>
          <w:lang w:bidi="fa-IR"/>
        </w:rPr>
        <w:t xml:space="preserve">. </w:t>
      </w:r>
      <w:r>
        <w:rPr>
          <w:rStyle w:val="FootnoteAnchor"/>
          <w:rtl w:val="true"/>
        </w:rPr>
        <w:footnoteReference w:id="1203"/>
      </w:r>
    </w:p>
    <w:p>
      <w:pPr>
        <w:pStyle w:val="Heading6"/>
        <w:numPr>
          <w:ilvl w:val="5"/>
          <w:numId w:val="1"/>
        </w:numPr>
        <w:rPr/>
      </w:pPr>
      <w:bookmarkStart w:id="1389" w:name="__RefHeading___Toc3585599_3650668749"/>
      <w:bookmarkStart w:id="1390" w:name="_Toc596"/>
      <w:bookmarkEnd w:id="1389"/>
      <w:r>
        <w:rPr>
          <w:rtl w:val="true"/>
        </w:rPr>
        <w:t xml:space="preserve">نهم </w:t>
      </w:r>
      <w:r>
        <w:rPr>
          <w:rtl w:val="true"/>
        </w:rPr>
        <w:t xml:space="preserve">- </w:t>
      </w:r>
      <w:r>
        <w:rPr>
          <w:rtl w:val="true"/>
        </w:rPr>
        <w:t>عبدالله بن زبير اسدي</w:t>
      </w:r>
      <w:bookmarkEnd w:id="1390"/>
    </w:p>
    <w:p>
      <w:pPr>
        <w:pStyle w:val="BookText"/>
        <w:rPr/>
      </w:pPr>
      <w:r>
        <w:rPr>
          <w:rFonts w:ascii="IRNazanin" w:hAnsi="IRNazanin" w:eastAsia="IRNazanin"/>
          <w:color w:val="111111"/>
          <w:sz w:val="28"/>
          <w:sz w:val="28"/>
          <w:szCs w:val="28"/>
          <w:rtl w:val="true"/>
          <w:lang w:bidi="fa-IR"/>
        </w:rPr>
        <w:t>او در كوفه به دنيا آمد و در آنجا نيز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دربار معاويه و پس از آن يزيد ارتباط برقرار كرد و در مدح آنان شعر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بعدها در مدح خلفاى اموى، همچون عبدالملك، و فرمانداران كوفه، مانند پسر برادر عبدالملك شعر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حدود سال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خراسان از دنيا رفت</w:t>
      </w:r>
      <w:r>
        <w:rPr>
          <w:rFonts w:eastAsia="IRNazanin" w:cs="IRNazanin"/>
          <w:color w:val="111111"/>
          <w:sz w:val="28"/>
          <w:szCs w:val="28"/>
          <w:rtl w:val="true"/>
          <w:lang w:bidi="fa-IR"/>
        </w:rPr>
        <w:t xml:space="preserve">. </w:t>
      </w:r>
      <w:r>
        <w:rPr>
          <w:rStyle w:val="FootnoteAnchor"/>
          <w:rtl w:val="true"/>
        </w:rPr>
        <w:footnoteReference w:id="1204"/>
      </w:r>
      <w:r>
        <w:rPr>
          <w:rFonts w:ascii="Amiri" w:hAnsi="Amiri" w:eastAsia="Amiri" w:cs="Amiri"/>
          <w:color w:val="111111"/>
          <w:sz w:val="28"/>
          <w:sz w:val="28"/>
          <w:szCs w:val="28"/>
          <w:rtl w:val="true"/>
          <w:lang w:bidi="ar-SA"/>
        </w:rPr>
        <w:t>مايه‌هاى شعر او مدح و ثنا، هجو، عاطفه، غزل و مرثيه است</w:t>
      </w:r>
      <w:r>
        <w:rPr>
          <w:rFonts w:eastAsia="Amiri" w:cs="Amiri" w:ascii="Amiri" w:hAnsi="Amiri"/>
          <w:color w:val="111111"/>
          <w:sz w:val="28"/>
          <w:szCs w:val="28"/>
          <w:rtl w:val="true"/>
          <w:lang w:bidi="ar-SA"/>
        </w:rPr>
        <w:t xml:space="preserve">. </w:t>
      </w:r>
      <w:r>
        <w:rPr>
          <w:rStyle w:val="FootnoteAnchor"/>
          <w:rtl w:val="true"/>
        </w:rPr>
        <w:footnoteReference w:id="1205"/>
      </w:r>
      <w:r>
        <w:rPr>
          <w:rFonts w:ascii="IRNazanin" w:hAnsi="IRNazanin" w:eastAsia="IRNazanin"/>
          <w:color w:val="111111"/>
          <w:sz w:val="28"/>
          <w:sz w:val="28"/>
          <w:szCs w:val="28"/>
          <w:rtl w:val="true"/>
          <w:lang w:bidi="fa-IR"/>
        </w:rPr>
        <w:t>گفته شده است او پس از شهادت مسلم بن عقيل مرثيه‌اى براى او سرود</w:t>
      </w:r>
      <w:r>
        <w:rPr>
          <w:rFonts w:eastAsia="IRNazanin" w:cs="IRNazanin"/>
          <w:color w:val="111111"/>
          <w:sz w:val="28"/>
          <w:szCs w:val="28"/>
          <w:rtl w:val="true"/>
          <w:lang w:bidi="fa-IR"/>
        </w:rPr>
        <w:t xml:space="preserve">. </w:t>
      </w:r>
      <w:r>
        <w:rPr>
          <w:rStyle w:val="FootnoteAnchor"/>
          <w:rtl w:val="true"/>
        </w:rPr>
        <w:footnoteReference w:id="1206"/>
      </w:r>
    </w:p>
    <w:p>
      <w:pPr>
        <w:pStyle w:val="Heading6"/>
        <w:numPr>
          <w:ilvl w:val="5"/>
          <w:numId w:val="1"/>
        </w:numPr>
        <w:rPr/>
      </w:pPr>
      <w:bookmarkStart w:id="1391" w:name="__RefHeading___Toc3585601_3650668749"/>
      <w:bookmarkStart w:id="1392" w:name="_Toc597"/>
      <w:bookmarkEnd w:id="1391"/>
      <w:r>
        <w:rPr>
          <w:rtl w:val="true"/>
        </w:rPr>
        <w:t xml:space="preserve">دهم </w:t>
      </w:r>
      <w:r>
        <w:rPr>
          <w:rtl w:val="true"/>
        </w:rPr>
        <w:t xml:space="preserve">- </w:t>
      </w:r>
      <w:r>
        <w:rPr>
          <w:rtl w:val="true"/>
        </w:rPr>
        <w:t>سُراقة بن مِرْداس بارقي</w:t>
      </w:r>
      <w:bookmarkEnd w:id="1392"/>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حكومت مختار در كوفه بود و شايد اقامت او به سال‌ها قبل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مردى زيبارو و شاعرى ظريف بود كه حاكمان و واليان به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توجه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او در مايه‌هاى فخر، مدح، هجو، توصيف، به خصوص توصيف اسب، مرثيه و حكمت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اشعار فراوانى در هجو فرزدق و جرير سروده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سال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دنيا رفت</w:t>
      </w:r>
      <w:r>
        <w:rPr>
          <w:rFonts w:eastAsia="Amiri" w:cs="Amiri" w:ascii="Amiri" w:hAnsi="Amiri"/>
          <w:color w:val="111111"/>
          <w:sz w:val="28"/>
          <w:szCs w:val="28"/>
          <w:rtl w:val="true"/>
          <w:lang w:bidi="ar-SA"/>
        </w:rPr>
        <w:t xml:space="preserve">. </w:t>
      </w:r>
      <w:r>
        <w:rPr>
          <w:rStyle w:val="FootnoteAnchor"/>
          <w:rtl w:val="true"/>
        </w:rPr>
        <w:footnoteReference w:id="1207"/>
      </w:r>
      <w:bookmarkStart w:id="1393" w:name="pg1964_19781"/>
    </w:p>
    <w:p>
      <w:pPr>
        <w:pStyle w:val="Heading6"/>
        <w:numPr>
          <w:ilvl w:val="5"/>
          <w:numId w:val="1"/>
        </w:numPr>
        <w:rPr/>
      </w:pPr>
      <w:bookmarkStart w:id="1394" w:name="__RefHeading___Toc3585603_3650668749"/>
      <w:bookmarkStart w:id="1395" w:name="_Toc598"/>
      <w:bookmarkEnd w:id="1393"/>
      <w:bookmarkEnd w:id="1394"/>
      <w:r>
        <w:rPr>
          <w:rtl w:val="true"/>
        </w:rPr>
        <w:t xml:space="preserve">يازدهم </w:t>
      </w:r>
      <w:r>
        <w:rPr>
          <w:rtl w:val="true"/>
        </w:rPr>
        <w:t xml:space="preserve">- </w:t>
      </w:r>
      <w:r>
        <w:rPr>
          <w:rtl w:val="true"/>
        </w:rPr>
        <w:t>اَيْمَن بن خُرَيم</w:t>
      </w:r>
      <w:bookmarkEnd w:id="1395"/>
    </w:p>
    <w:p>
      <w:pPr>
        <w:pStyle w:val="BookText"/>
        <w:rPr/>
      </w:pPr>
      <w:r>
        <w:rPr>
          <w:rFonts w:ascii="IRNazanin" w:hAnsi="IRNazanin" w:eastAsia="IRNazanin"/>
          <w:color w:val="111111"/>
          <w:sz w:val="28"/>
          <w:sz w:val="28"/>
          <w:szCs w:val="28"/>
          <w:rtl w:val="true"/>
          <w:lang w:bidi="fa-IR"/>
        </w:rPr>
        <w:t xml:space="preserve">او كه از بنى‌اسد بود همراه پدرش به كوفه مهاجرت كرده و در جنگ‌هاى جمل و صفين،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دوره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محافظه‌كارى را پيشه كرد و قصد ارضاى همه احزاب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آنكه به بيمارى برص و پيسى مبتلا بود، اما خلفا ميل به مجالست او داشتند</w:t>
      </w:r>
      <w:r>
        <w:rPr>
          <w:rFonts w:eastAsia="IRNazanin" w:cs="IRNazanin"/>
          <w:color w:val="111111"/>
          <w:sz w:val="28"/>
          <w:szCs w:val="28"/>
          <w:rtl w:val="true"/>
          <w:lang w:bidi="fa-IR"/>
        </w:rPr>
        <w:t xml:space="preserve">. </w:t>
      </w:r>
      <w:r>
        <w:rPr>
          <w:rStyle w:val="FootnoteAnchor"/>
          <w:rtl w:val="true"/>
        </w:rPr>
        <w:footnoteReference w:id="1208"/>
      </w:r>
      <w:r>
        <w:rPr>
          <w:rFonts w:ascii="IRNazanin" w:hAnsi="IRNazanin" w:eastAsia="IRNazanin"/>
          <w:color w:val="111111"/>
          <w:sz w:val="28"/>
          <w:sz w:val="28"/>
          <w:szCs w:val="28"/>
          <w:rtl w:val="true"/>
          <w:lang w:bidi="fa-IR"/>
        </w:rPr>
        <w:t>وى اشعارى در مدح بنى‌هاشم و نيز لعن قاتلان عثمان و مدح زمام‌دارانى همچون عبدالملك نيز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مبالغه فراوان نمى‌نمود و معمولاً ممدوح را به شير، دريا و كوه تشبيه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عبدالملك از دنيا رفت</w:t>
      </w:r>
      <w:r>
        <w:rPr>
          <w:rFonts w:eastAsia="IRNazanin" w:cs="IRNazanin"/>
          <w:color w:val="111111"/>
          <w:sz w:val="28"/>
          <w:szCs w:val="28"/>
          <w:rtl w:val="true"/>
          <w:lang w:bidi="fa-IR"/>
        </w:rPr>
        <w:t xml:space="preserve">. </w:t>
      </w:r>
      <w:r>
        <w:rPr>
          <w:rStyle w:val="FootnoteAnchor"/>
          <w:rtl w:val="true"/>
        </w:rPr>
        <w:footnoteReference w:id="1209"/>
      </w:r>
    </w:p>
    <w:p>
      <w:pPr>
        <w:pStyle w:val="Heading6"/>
        <w:numPr>
          <w:ilvl w:val="5"/>
          <w:numId w:val="1"/>
        </w:numPr>
        <w:rPr/>
      </w:pPr>
      <w:bookmarkStart w:id="1396" w:name="__RefHeading___Toc3585605_3650668749"/>
      <w:bookmarkStart w:id="1397" w:name="_Toc599"/>
      <w:bookmarkEnd w:id="1396"/>
      <w:r>
        <w:rPr>
          <w:rtl w:val="true"/>
        </w:rPr>
        <w:t xml:space="preserve">دوازدهم </w:t>
      </w:r>
      <w:r>
        <w:rPr>
          <w:rtl w:val="true"/>
        </w:rPr>
        <w:t xml:space="preserve">- </w:t>
      </w:r>
      <w:r>
        <w:rPr>
          <w:rtl w:val="true"/>
        </w:rPr>
        <w:t>ابوالمُصَبَّح عبدالرحمان بن عبدالله، معروف به اَعشي هَمْدان</w:t>
      </w:r>
      <w:bookmarkEnd w:id="1397"/>
    </w:p>
    <w:p>
      <w:pPr>
        <w:pStyle w:val="BookText"/>
        <w:rPr/>
      </w:pPr>
      <w:r>
        <w:rPr>
          <w:rFonts w:ascii="Amiri" w:hAnsi="Amiri" w:eastAsia="Amiri" w:cs="Amiri"/>
          <w:color w:val="111111"/>
          <w:sz w:val="28"/>
          <w:sz w:val="28"/>
          <w:szCs w:val="28"/>
          <w:rtl w:val="true"/>
          <w:lang w:bidi="ar-SA"/>
        </w:rPr>
        <w:t>او ابتدا از فقيهان و قاريان بود و بعدها رو به شعر آورد و در آن مشهور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از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از شاعران اهل يمن در كوفه به شمار مى‌آمد</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مايه‌هاى شعر او مدح، حماسه، هجو، غزل، حكمت و زهد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سال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دست حجاج ثقفى كشته شد</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Heading6"/>
        <w:numPr>
          <w:ilvl w:val="5"/>
          <w:numId w:val="1"/>
        </w:numPr>
        <w:rPr/>
      </w:pPr>
      <w:bookmarkStart w:id="1398" w:name="__RefHeading___Toc3585607_3650668749"/>
      <w:bookmarkStart w:id="1399" w:name="_Toc600"/>
      <w:bookmarkEnd w:id="1398"/>
      <w:r>
        <w:rPr>
          <w:rtl w:val="true"/>
        </w:rPr>
        <w:t xml:space="preserve">سيزدهم </w:t>
      </w:r>
      <w:r>
        <w:rPr>
          <w:rtl w:val="true"/>
        </w:rPr>
        <w:t xml:space="preserve">- </w:t>
      </w:r>
      <w:r>
        <w:rPr>
          <w:rtl w:val="true"/>
        </w:rPr>
        <w:t>كَعْب بن جُعَيْل</w:t>
      </w:r>
      <w:bookmarkEnd w:id="1399"/>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ملازمان سعيد بن عاص، والى كوفه بود و به مدح او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جنگ صفين در سپاه معاويه شركت نموده و با شعرش مردم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 را به انتقام‌گيرى خون عثمان تشويق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اشعارى در مذمت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بين او و بين نجاشى، هجو شعرى بر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مايه‌هاى شعر او مدح، هجو، مرثيه، غزل، وصف طبيعت و كاخ‌ها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وليد بن عبدالملك از دنيا رفت</w:t>
      </w:r>
      <w:r>
        <w:rPr>
          <w:rFonts w:eastAsia="IRNazanin" w:cs="IRNazanin"/>
          <w:color w:val="111111"/>
          <w:sz w:val="28"/>
          <w:szCs w:val="28"/>
          <w:rtl w:val="true"/>
          <w:lang w:bidi="fa-IR"/>
        </w:rPr>
        <w:t xml:space="preserve">. </w:t>
      </w:r>
      <w:r>
        <w:rPr>
          <w:rStyle w:val="FootnoteAnchor"/>
          <w:rtl w:val="true"/>
        </w:rPr>
        <w:footnoteReference w:id="1212"/>
      </w:r>
      <w:bookmarkStart w:id="1400" w:name="pg1964_19783"/>
    </w:p>
    <w:p>
      <w:pPr>
        <w:pStyle w:val="Heading6"/>
        <w:numPr>
          <w:ilvl w:val="5"/>
          <w:numId w:val="1"/>
        </w:numPr>
        <w:rPr/>
      </w:pPr>
      <w:bookmarkStart w:id="1401" w:name="__RefHeading___Toc3585609_3650668749"/>
      <w:bookmarkStart w:id="1402" w:name="_Toc601"/>
      <w:bookmarkEnd w:id="1400"/>
      <w:bookmarkEnd w:id="1401"/>
      <w:r>
        <w:rPr>
          <w:rtl w:val="true"/>
        </w:rPr>
        <w:t xml:space="preserve">چهاردهم </w:t>
      </w:r>
      <w:r>
        <w:rPr>
          <w:rtl w:val="true"/>
        </w:rPr>
        <w:t xml:space="preserve">- </w:t>
      </w:r>
      <w:r>
        <w:rPr>
          <w:rtl w:val="true"/>
        </w:rPr>
        <w:t>مالك بن اسماء بن خارجه فَزاري</w:t>
      </w:r>
      <w:bookmarkEnd w:id="1402"/>
    </w:p>
    <w:p>
      <w:pPr>
        <w:pStyle w:val="BookText"/>
        <w:rPr/>
      </w:pPr>
      <w:r>
        <w:rPr>
          <w:rFonts w:ascii="IRNazanin" w:hAnsi="IRNazanin" w:eastAsia="IRNazanin"/>
          <w:color w:val="111111"/>
          <w:sz w:val="28"/>
          <w:sz w:val="28"/>
          <w:szCs w:val="28"/>
          <w:rtl w:val="true"/>
          <w:lang w:bidi="fa-IR"/>
        </w:rPr>
        <w:t>جدش از بزرگان قبيله غطفان بود كه به كوفه مهاجرت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كوفه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زياد شوهر خواهر او به شمار مى‌رفت، ازاين‌رو، به دربار عبيدالله رفت و آمد فراوانى داشت</w:t>
      </w:r>
      <w:r>
        <w:rPr>
          <w:rFonts w:eastAsia="IRNazanin" w:cs="IRNazanin"/>
          <w:color w:val="111111"/>
          <w:sz w:val="28"/>
          <w:szCs w:val="28"/>
          <w:rtl w:val="true"/>
          <w:lang w:bidi="fa-IR"/>
        </w:rPr>
        <w:t xml:space="preserve">. </w:t>
      </w:r>
      <w:r>
        <w:rPr>
          <w:rStyle w:val="FootnoteAnchor"/>
          <w:rtl w:val="true"/>
        </w:rPr>
        <w:footnoteReference w:id="1213"/>
      </w:r>
      <w:r>
        <w:rPr>
          <w:rFonts w:ascii="Amiri" w:hAnsi="Amiri" w:eastAsia="Amiri" w:cs="Amiri"/>
          <w:color w:val="111111"/>
          <w:sz w:val="28"/>
          <w:sz w:val="28"/>
          <w:szCs w:val="28"/>
          <w:rtl w:val="true"/>
          <w:lang w:bidi="ar-SA"/>
        </w:rPr>
        <w:t>شعر او در مايه‌هاى غزل، توصيف شراب، عتاب و هجاء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بعد از سال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دنيا رفت</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Heading6"/>
        <w:numPr>
          <w:ilvl w:val="5"/>
          <w:numId w:val="1"/>
        </w:numPr>
        <w:rPr/>
      </w:pPr>
      <w:bookmarkStart w:id="1403" w:name="__RefHeading___Toc3585611_3650668749"/>
      <w:bookmarkStart w:id="1404" w:name="_Toc602"/>
      <w:bookmarkEnd w:id="1403"/>
      <w:r>
        <w:rPr>
          <w:rtl w:val="true"/>
        </w:rPr>
        <w:t xml:space="preserve">پانزدهم </w:t>
      </w:r>
      <w:r>
        <w:rPr>
          <w:rtl w:val="true"/>
        </w:rPr>
        <w:t xml:space="preserve">- </w:t>
      </w:r>
      <w:r>
        <w:rPr>
          <w:rtl w:val="true"/>
        </w:rPr>
        <w:t>حَكَم بن عبدل اسدي</w:t>
      </w:r>
      <w:bookmarkEnd w:id="1404"/>
    </w:p>
    <w:p>
      <w:pPr>
        <w:pStyle w:val="BookText"/>
        <w:rPr/>
      </w:pPr>
      <w:r>
        <w:rPr>
          <w:rFonts w:ascii="IRNazanin" w:hAnsi="IRNazanin" w:eastAsia="IRNazanin"/>
          <w:color w:val="111111"/>
          <w:sz w:val="28"/>
          <w:sz w:val="28"/>
          <w:szCs w:val="28"/>
          <w:rtl w:val="true"/>
          <w:lang w:bidi="fa-IR"/>
        </w:rPr>
        <w:t xml:space="preserve">او يكى از شعراى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كوفه مى‌زيست و هوادار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غلبه ابن‌زبير بر كوفه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مردى لنگ و گوژپشت بود و از نظر اخلاقى نيز بسيار فاسد و بى‌بندوبار و لذت طلب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خود به عنوان وسيله‌اى براى كسب استفاده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مايه‌هاى شعر او مدح، مرثيه، غزل و هجو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سال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w:t>
      </w:r>
      <w:r>
        <w:rPr>
          <w:rFonts w:eastAsia="IRNazanin" w:cs="IRNazanin"/>
          <w:color w:val="111111"/>
          <w:sz w:val="28"/>
          <w:szCs w:val="28"/>
          <w:rtl w:val="true"/>
          <w:lang w:bidi="fa-IR"/>
        </w:rPr>
        <w:t xml:space="preserve">. </w:t>
      </w:r>
      <w:r>
        <w:rPr>
          <w:rStyle w:val="FootnoteAnchor"/>
          <w:rtl w:val="true"/>
        </w:rPr>
        <w:footnoteReference w:id="1215"/>
      </w:r>
    </w:p>
    <w:p>
      <w:pPr>
        <w:pStyle w:val="Heading6"/>
        <w:numPr>
          <w:ilvl w:val="5"/>
          <w:numId w:val="1"/>
        </w:numPr>
        <w:rPr/>
      </w:pPr>
      <w:bookmarkStart w:id="1405" w:name="__RefHeading___Toc3585613_3650668749"/>
      <w:bookmarkStart w:id="1406" w:name="_Toc603"/>
      <w:bookmarkEnd w:id="1405"/>
      <w:r>
        <w:rPr>
          <w:rtl w:val="true"/>
        </w:rPr>
        <w:t xml:space="preserve">شانزدهم </w:t>
      </w:r>
      <w:r>
        <w:rPr>
          <w:rtl w:val="true"/>
        </w:rPr>
        <w:t xml:space="preserve">- </w:t>
      </w:r>
      <w:r>
        <w:rPr>
          <w:rtl w:val="true"/>
        </w:rPr>
        <w:t>همّام بن غالب بن صعصعه، معروف به فَرَزْدَق</w:t>
      </w:r>
      <w:bookmarkEnd w:id="1406"/>
    </w:p>
    <w:p>
      <w:pPr>
        <w:pStyle w:val="BookText"/>
        <w:rPr/>
      </w:pPr>
      <w:r>
        <w:rPr>
          <w:rFonts w:ascii="Amiri" w:hAnsi="Amiri" w:eastAsia="Amiri" w:cs="Amiri"/>
          <w:color w:val="111111"/>
          <w:sz w:val="28"/>
          <w:sz w:val="28"/>
          <w:szCs w:val="28"/>
          <w:rtl w:val="true"/>
          <w:lang w:bidi="ar-SA"/>
        </w:rPr>
        <w:t xml:space="preserve">او شاعرى از تيره بنى‌مُجاشع از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فرزدق در لغت عربى به معناى تكه نان خشك شده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صورتش مانند تكه نان خشك شده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اين لقب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او صعصعه در جاهليت بعضى از دختران را از زنده به گور شدن نجات داده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 المؤودات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معروف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غالب در زمان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 جمل وارد بصره شد، غالب پسرش هَمّام را نزد آن حضرت آورد و او را به عنوان شاعر، خدمت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 و حضرت به پدرش توصيه نمود</w:t>
      </w:r>
      <w:bookmarkStart w:id="1407" w:name="pg1964_19785"/>
    </w:p>
    <w:p>
      <w:pPr>
        <w:pStyle w:val="BookText"/>
        <w:rPr/>
      </w:pPr>
      <w:bookmarkEnd w:id="1407"/>
      <w:r>
        <w:rPr>
          <w:rFonts w:ascii="IRNazanin" w:hAnsi="IRNazanin" w:eastAsia="IRNazanin"/>
          <w:color w:val="111111"/>
          <w:sz w:val="28"/>
          <w:sz w:val="28"/>
          <w:szCs w:val="28"/>
          <w:rtl w:val="true"/>
          <w:lang w:bidi="fa-IR"/>
        </w:rPr>
        <w:t>كه به او قرآن بيآموزد و فرزدق بنا به توصيه آن حضرت سوگند ياد نمود كه تمام قرآن را حفظ كند و چنين نيز كرد</w:t>
      </w:r>
      <w:r>
        <w:rPr>
          <w:rFonts w:eastAsia="IRNazanin" w:cs="IRNazanin"/>
          <w:color w:val="111111"/>
          <w:sz w:val="28"/>
          <w:szCs w:val="28"/>
          <w:rtl w:val="true"/>
          <w:lang w:bidi="fa-IR"/>
        </w:rPr>
        <w:t xml:space="preserve">. </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همّام در زمان زياد بن ابيه از او فرارى بود و شش ماهى كه زياد در بصره اقامت داشت، او در كوفه ماند و هرگاه زياد وارد كوفه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بصره مى‌رفت</w:t>
      </w:r>
      <w:r>
        <w:rPr>
          <w:rFonts w:eastAsia="IRNazanin" w:cs="IRNazanin"/>
          <w:color w:val="111111"/>
          <w:sz w:val="28"/>
          <w:szCs w:val="28"/>
          <w:rtl w:val="true"/>
          <w:lang w:bidi="fa-IR"/>
        </w:rPr>
        <w:t xml:space="preserve">. </w:t>
      </w:r>
      <w:r>
        <w:rPr>
          <w:rStyle w:val="FootnoteAnchor"/>
          <w:rtl w:val="true"/>
        </w:rPr>
        <w:footnoteReference w:id="1217"/>
      </w:r>
      <w:r>
        <w:rPr>
          <w:rFonts w:ascii="IRNazanin" w:hAnsi="IRNazanin" w:eastAsia="IRNazanin"/>
          <w:color w:val="111111"/>
          <w:sz w:val="28"/>
          <w:sz w:val="28"/>
          <w:szCs w:val="28"/>
          <w:rtl w:val="true"/>
          <w:lang w:bidi="fa-IR"/>
        </w:rPr>
        <w:t>اشعار او در مايه‌هاى عشق، مدح و هجا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مشهورترين شاعران زمان خود، مانند جرير، مسكين دارمى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مقابله هجو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نود ساله خود را صرف اين كار كرد</w:t>
      </w:r>
      <w:r>
        <w:rPr>
          <w:rFonts w:eastAsia="IRNazanin" w:cs="IRNazanin"/>
          <w:color w:val="111111"/>
          <w:sz w:val="28"/>
          <w:szCs w:val="28"/>
          <w:rtl w:val="true"/>
          <w:lang w:bidi="fa-IR"/>
        </w:rPr>
        <w:t xml:space="preserve">. </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 xml:space="preserve">ملاقات او 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آن حضرت از مكه و حركت به سمت كوفه در كتاب‌هاى تاريخى ذكر شده است</w:t>
      </w:r>
      <w:r>
        <w:rPr>
          <w:rFonts w:eastAsia="IRNazanin" w:cs="IRNazanin"/>
          <w:color w:val="111111"/>
          <w:sz w:val="28"/>
          <w:szCs w:val="28"/>
          <w:rtl w:val="true"/>
          <w:lang w:bidi="fa-IR"/>
        </w:rPr>
        <w:t xml:space="preserve">. </w:t>
      </w:r>
      <w:r>
        <w:rPr>
          <w:rStyle w:val="FootnoteAnchor"/>
          <w:rtl w:val="true"/>
        </w:rPr>
        <w:footnoteReference w:id="1219"/>
      </w:r>
      <w:r>
        <w:rPr>
          <w:rFonts w:ascii="IRNazanin" w:hAnsi="IRNazanin" w:eastAsia="IRNazanin"/>
          <w:color w:val="111111"/>
          <w:sz w:val="28"/>
          <w:sz w:val="28"/>
          <w:szCs w:val="28"/>
          <w:rtl w:val="true"/>
          <w:lang w:bidi="fa-IR"/>
        </w:rPr>
        <w:t xml:space="preserve">همچنين يكى از مشهورترين اشعار او، ميميه </w:t>
      </w:r>
      <w:r>
        <w:rPr>
          <w:rStyle w:val="FootnoteAnchor"/>
          <w:rtl w:val="true"/>
        </w:rPr>
        <w:footnoteReference w:id="1220"/>
      </w:r>
      <w:r>
        <w:rPr>
          <w:rFonts w:ascii="IRNazanin" w:hAnsi="IRNazanin" w:eastAsia="IRNazanin"/>
          <w:color w:val="111111"/>
          <w:sz w:val="28"/>
          <w:sz w:val="28"/>
          <w:szCs w:val="28"/>
          <w:rtl w:val="true"/>
          <w:lang w:bidi="fa-IR"/>
        </w:rPr>
        <w:t xml:space="preserve">است كه در حضور هشام بن عبدالملك در توصيف و مدح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 كه ترجمه بيت اول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كسى است كه سرزمين مكه گام نهادن او را مى‌شناسد، و خانه كعبه و حل و حرم با او آشنا هستند</w:t>
      </w:r>
      <w:r>
        <w:rPr>
          <w:rFonts w:eastAsia="IRNazanin" w:cs="IRNazanin"/>
          <w:color w:val="111111"/>
          <w:sz w:val="28"/>
          <w:szCs w:val="28"/>
          <w:rtl w:val="true"/>
          <w:lang w:bidi="fa-IR"/>
        </w:rPr>
        <w:t xml:space="preserve">. </w:t>
      </w:r>
      <w:r>
        <w:rPr>
          <w:rStyle w:val="FootnoteAnchor"/>
          <w:rtl w:val="true"/>
        </w:rPr>
        <w:footnoteReference w:id="12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بيت دارد كه به سبب آنها حبس و زندانى شد</w:t>
      </w:r>
      <w:r>
        <w:rPr>
          <w:rFonts w:eastAsia="Amiri" w:cs="Amiri" w:ascii="Amiri" w:hAnsi="Amiri"/>
          <w:color w:val="111111"/>
          <w:sz w:val="28"/>
          <w:szCs w:val="28"/>
          <w:rtl w:val="true"/>
          <w:lang w:bidi="ar-SA"/>
        </w:rPr>
        <w:t xml:space="preserve">. </w:t>
      </w:r>
      <w:r>
        <w:rPr>
          <w:rStyle w:val="FootnoteAnchor"/>
          <w:rtl w:val="true"/>
        </w:rPr>
        <w:footnoteReference w:id="1222"/>
      </w:r>
      <w:r>
        <w:rPr>
          <w:rFonts w:ascii="IRNazanin" w:hAnsi="IRNazanin" w:eastAsia="IRNazanin"/>
          <w:color w:val="111111"/>
          <w:sz w:val="28"/>
          <w:sz w:val="28"/>
          <w:szCs w:val="28"/>
          <w:rtl w:val="true"/>
          <w:lang w:bidi="fa-IR"/>
        </w:rPr>
        <w:t>فرزدق در سال</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بصره از دنيا رفت</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Heading6"/>
        <w:numPr>
          <w:ilvl w:val="5"/>
          <w:numId w:val="1"/>
        </w:numPr>
        <w:rPr/>
      </w:pPr>
      <w:bookmarkStart w:id="1408" w:name="__RefHeading___Toc3585615_3650668749"/>
      <w:bookmarkStart w:id="1409" w:name="_Toc604"/>
      <w:bookmarkEnd w:id="1408"/>
      <w:r>
        <w:rPr>
          <w:rtl w:val="true"/>
        </w:rPr>
        <w:t xml:space="preserve">هفدهم </w:t>
      </w:r>
      <w:r>
        <w:rPr>
          <w:rtl w:val="true"/>
        </w:rPr>
        <w:t xml:space="preserve">- </w:t>
      </w:r>
      <w:r>
        <w:rPr>
          <w:rtl w:val="true"/>
        </w:rPr>
        <w:t>حَرمَلة بن مُنْذِر، معروف به ابوزُبَيْد طايي</w:t>
      </w:r>
      <w:bookmarkEnd w:id="140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يكى از شاعران قبيله طى بود كه در زمان جاهليت نيز شعر مى‌سرود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حكومت وليد بن عقبه در كوفه از نديمانش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دين</w:t>
      </w:r>
      <w:bookmarkStart w:id="1410" w:name="pg1964_19786"/>
    </w:p>
    <w:p>
      <w:pPr>
        <w:pStyle w:val="BookText"/>
        <w:rPr/>
      </w:pPr>
      <w:bookmarkEnd w:id="1410"/>
      <w:r>
        <w:rPr>
          <w:rFonts w:ascii="IRNazanin" w:hAnsi="IRNazanin" w:eastAsia="IRNazanin"/>
          <w:color w:val="111111"/>
          <w:sz w:val="28"/>
          <w:sz w:val="28"/>
          <w:szCs w:val="28"/>
          <w:rtl w:val="true"/>
          <w:lang w:bidi="fa-IR"/>
        </w:rPr>
        <w:t>مسيحى بود و بر همين دين نيز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فردى شراب‌خوار بود و در زمينه‌هاى توصيف خمر وتوصيف حيواناتى مانند شير، و مرثيه شعر مى‌سرود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يكى از معمّرين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عمر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زمان حكومت معاويه از دنيا رفت</w:t>
      </w:r>
      <w:r>
        <w:rPr>
          <w:rFonts w:eastAsia="IRNazanin" w:cs="IRNazanin"/>
          <w:color w:val="111111"/>
          <w:sz w:val="28"/>
          <w:szCs w:val="28"/>
          <w:rtl w:val="true"/>
          <w:lang w:bidi="fa-IR"/>
        </w:rPr>
        <w:t xml:space="preserve">. </w:t>
      </w:r>
      <w:r>
        <w:rPr>
          <w:rStyle w:val="FootnoteAnchor"/>
          <w:rtl w:val="true"/>
        </w:rPr>
        <w:footnoteReference w:id="1224"/>
      </w:r>
    </w:p>
    <w:p>
      <w:pPr>
        <w:pStyle w:val="Heading6"/>
        <w:numPr>
          <w:ilvl w:val="5"/>
          <w:numId w:val="1"/>
        </w:numPr>
        <w:rPr/>
      </w:pPr>
      <w:bookmarkStart w:id="1411" w:name="__RefHeading___Toc3585617_3650668749"/>
      <w:bookmarkStart w:id="1412" w:name="_Toc605"/>
      <w:bookmarkEnd w:id="1411"/>
      <w:r>
        <w:rPr>
          <w:rtl w:val="true"/>
        </w:rPr>
        <w:t xml:space="preserve">هجدهم </w:t>
      </w:r>
      <w:r>
        <w:rPr>
          <w:rtl w:val="true"/>
        </w:rPr>
        <w:t xml:space="preserve">- </w:t>
      </w:r>
      <w:r>
        <w:rPr>
          <w:rtl w:val="true"/>
        </w:rPr>
        <w:t>سليمان بن صُرَد خُزاعي</w:t>
      </w:r>
      <w:bookmarkEnd w:id="1412"/>
    </w:p>
    <w:p>
      <w:pPr>
        <w:pStyle w:val="BookText"/>
        <w:rPr/>
      </w:pPr>
      <w:r>
        <w:rPr>
          <w:rFonts w:ascii="IRNazanin" w:hAnsi="IRNazanin" w:eastAsia="IRNazanin"/>
          <w:color w:val="111111"/>
          <w:sz w:val="28"/>
          <w:sz w:val="28"/>
          <w:szCs w:val="28"/>
          <w:rtl w:val="true"/>
          <w:lang w:bidi="fa-IR"/>
        </w:rPr>
        <w:t xml:space="preserve">او يكى از ياران حضرت على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رؤساى نامه‌نگار به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بعد از واقعه عاشورا رهبرى نهضت توابين را به عهده گرفت و سرانجام در سال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نبرد با لشكر شام به شهادت رسيد</w:t>
      </w:r>
      <w:r>
        <w:rPr>
          <w:rFonts w:eastAsia="IRNazanin" w:cs="IRNazanin"/>
          <w:color w:val="111111"/>
          <w:sz w:val="28"/>
          <w:szCs w:val="28"/>
          <w:rtl w:val="true"/>
          <w:lang w:bidi="fa-IR"/>
        </w:rPr>
        <w:t xml:space="preserve">. </w:t>
      </w:r>
      <w:r>
        <w:rPr>
          <w:rStyle w:val="FootnoteAnchor"/>
          <w:rtl w:val="true"/>
        </w:rPr>
        <w:footnoteReference w:id="1225"/>
      </w:r>
    </w:p>
    <w:p>
      <w:pPr>
        <w:pStyle w:val="Heading6"/>
        <w:numPr>
          <w:ilvl w:val="5"/>
          <w:numId w:val="1"/>
        </w:numPr>
        <w:rPr/>
      </w:pPr>
      <w:bookmarkStart w:id="1413" w:name="__RefHeading___Toc3585619_3650668749"/>
      <w:bookmarkStart w:id="1414" w:name="_Toc606"/>
      <w:bookmarkEnd w:id="1413"/>
      <w:r>
        <w:rPr>
          <w:rtl w:val="true"/>
        </w:rPr>
        <w:t xml:space="preserve">نوزدهم </w:t>
      </w:r>
      <w:r>
        <w:rPr>
          <w:rtl w:val="true"/>
        </w:rPr>
        <w:t xml:space="preserve">- </w:t>
      </w:r>
      <w:r>
        <w:rPr>
          <w:rtl w:val="true"/>
        </w:rPr>
        <w:t>عمرو بن ضابي بن حَرَث بَرْجَمي</w:t>
      </w:r>
      <w:bookmarkEnd w:id="1414"/>
    </w:p>
    <w:p>
      <w:pPr>
        <w:pStyle w:val="BookText"/>
        <w:rPr/>
      </w:pPr>
      <w:r>
        <w:rPr>
          <w:rFonts w:ascii="IRNazanin" w:hAnsi="IRNazanin" w:eastAsia="IRNazanin"/>
          <w:color w:val="111111"/>
          <w:sz w:val="28"/>
          <w:sz w:val="28"/>
          <w:szCs w:val="28"/>
          <w:rtl w:val="true"/>
          <w:lang w:bidi="fa-IR"/>
        </w:rPr>
        <w:t>او به همراه پدرش ساكن كوفه شد و در زمان عثمان به سبب هجو گروهى از انصار به دستور عثمان زندانى گرديد و در زندان از دنيا رفت</w:t>
      </w:r>
      <w:r>
        <w:rPr>
          <w:rFonts w:eastAsia="IRNazanin" w:cs="IRNazanin"/>
          <w:color w:val="111111"/>
          <w:sz w:val="28"/>
          <w:szCs w:val="28"/>
          <w:rtl w:val="true"/>
          <w:lang w:bidi="fa-IR"/>
        </w:rPr>
        <w:t xml:space="preserve">. </w:t>
      </w:r>
      <w:r>
        <w:rPr>
          <w:rStyle w:val="FootnoteAnchor"/>
          <w:rtl w:val="true"/>
        </w:rPr>
        <w:footnoteReference w:id="1226"/>
      </w:r>
    </w:p>
    <w:p>
      <w:pPr>
        <w:pStyle w:val="Heading6"/>
        <w:numPr>
          <w:ilvl w:val="5"/>
          <w:numId w:val="1"/>
        </w:numPr>
        <w:rPr/>
      </w:pPr>
      <w:bookmarkStart w:id="1415" w:name="__RefHeading___Toc3585621_3650668749"/>
      <w:bookmarkStart w:id="1416" w:name="_Toc607"/>
      <w:bookmarkEnd w:id="1415"/>
      <w:r>
        <w:rPr>
          <w:rtl w:val="true"/>
        </w:rPr>
        <w:t xml:space="preserve">بيستم </w:t>
      </w:r>
      <w:r>
        <w:rPr>
          <w:rtl w:val="true"/>
        </w:rPr>
        <w:t xml:space="preserve">- </w:t>
      </w:r>
      <w:r>
        <w:rPr>
          <w:rtl w:val="true"/>
        </w:rPr>
        <w:t>عُمارة بن عقبة بن ابي‌معيط</w:t>
      </w:r>
      <w:bookmarkEnd w:id="1416"/>
    </w:p>
    <w:p>
      <w:pPr>
        <w:pStyle w:val="BookText"/>
        <w:rPr/>
      </w:pPr>
      <w:r>
        <w:rPr>
          <w:rFonts w:ascii="IRNazanin" w:hAnsi="IRNazanin" w:eastAsia="IRNazanin"/>
          <w:color w:val="111111"/>
          <w:sz w:val="28"/>
          <w:sz w:val="28"/>
          <w:szCs w:val="28"/>
          <w:rtl w:val="true"/>
          <w:lang w:bidi="fa-IR"/>
        </w:rPr>
        <w:t xml:space="preserve">او يكى از جوانان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فسق و فجور مشهور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وليد بن عقبه بود و در كوفه منزل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درگذشت عثمان براى او مرثيه سرود</w:t>
      </w:r>
      <w:r>
        <w:rPr>
          <w:rFonts w:eastAsia="IRNazanin" w:cs="IRNazanin"/>
          <w:color w:val="111111"/>
          <w:sz w:val="28"/>
          <w:szCs w:val="28"/>
          <w:rtl w:val="true"/>
          <w:lang w:bidi="fa-IR"/>
        </w:rPr>
        <w:t xml:space="preserve">. </w:t>
      </w:r>
      <w:r>
        <w:rPr>
          <w:rStyle w:val="FootnoteAnchor"/>
          <w:rtl w:val="true"/>
        </w:rPr>
        <w:footnoteReference w:id="1227"/>
      </w:r>
    </w:p>
    <w:p>
      <w:pPr>
        <w:pStyle w:val="Heading6"/>
        <w:numPr>
          <w:ilvl w:val="5"/>
          <w:numId w:val="1"/>
        </w:numPr>
        <w:rPr/>
      </w:pPr>
      <w:bookmarkStart w:id="1417" w:name="__RefHeading___Toc3585623_3650668749"/>
      <w:bookmarkStart w:id="1418" w:name="_Toc608"/>
      <w:bookmarkEnd w:id="1417"/>
      <w:r>
        <w:rPr>
          <w:rtl w:val="true"/>
        </w:rPr>
        <w:t xml:space="preserve">بيست و يكم و بيست و دوم و بيست و سوم </w:t>
      </w:r>
      <w:r>
        <w:rPr>
          <w:rtl w:val="true"/>
        </w:rPr>
        <w:t xml:space="preserve">- </w:t>
      </w:r>
      <w:r>
        <w:rPr>
          <w:rtl w:val="true"/>
        </w:rPr>
        <w:t>نضر، نعمان و نعيم پسران عجلان انصاري خزرجي</w:t>
      </w:r>
      <w:bookmarkEnd w:id="141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سه برادر از شاعران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هر سه نفر در صفين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نعيم در حادثه كربلا شركت كرد و به افتخار شهادت نايل آمد</w:t>
      </w:r>
      <w:r>
        <w:rPr>
          <w:rFonts w:eastAsia="IRNazanin" w:cs="IRNazanin"/>
          <w:color w:val="111111"/>
          <w:sz w:val="28"/>
          <w:szCs w:val="28"/>
          <w:rtl w:val="true"/>
          <w:lang w:bidi="fa-IR"/>
        </w:rPr>
        <w:t xml:space="preserve">. </w:t>
      </w:r>
      <w:r>
        <w:rPr>
          <w:rStyle w:val="FootnoteAnchor"/>
          <w:rtl w:val="true"/>
        </w:rPr>
        <w:footnoteReference w:id="1228"/>
      </w:r>
      <w:bookmarkStart w:id="1419" w:name="pg1964_19788"/>
    </w:p>
    <w:p>
      <w:pPr>
        <w:pStyle w:val="Heading6"/>
        <w:numPr>
          <w:ilvl w:val="5"/>
          <w:numId w:val="1"/>
        </w:numPr>
        <w:rPr/>
      </w:pPr>
      <w:bookmarkStart w:id="1420" w:name="__RefHeading___Toc3585625_3650668749"/>
      <w:bookmarkStart w:id="1421" w:name="_Toc609"/>
      <w:bookmarkEnd w:id="1419"/>
      <w:bookmarkEnd w:id="1420"/>
      <w:r>
        <w:rPr>
          <w:rtl w:val="true"/>
        </w:rPr>
        <w:t xml:space="preserve">بيست و چهارم </w:t>
      </w:r>
      <w:r>
        <w:rPr>
          <w:rtl w:val="true"/>
        </w:rPr>
        <w:t xml:space="preserve">- </w:t>
      </w:r>
      <w:r>
        <w:rPr>
          <w:rtl w:val="true"/>
        </w:rPr>
        <w:t>فُضالة بن شريك بن سلمان</w:t>
      </w:r>
      <w:bookmarkEnd w:id="1421"/>
    </w:p>
    <w:p>
      <w:pPr>
        <w:pStyle w:val="BookText"/>
        <w:rPr/>
      </w:pPr>
      <w:r>
        <w:rPr>
          <w:rFonts w:ascii="Amiri" w:hAnsi="Amiri" w:eastAsia="Amiri" w:cs="Amiri"/>
          <w:color w:val="111111"/>
          <w:sz w:val="28"/>
          <w:sz w:val="28"/>
          <w:szCs w:val="28"/>
          <w:rtl w:val="true"/>
          <w:lang w:bidi="ar-SA"/>
        </w:rPr>
        <w:t xml:space="preserve">او يكى از شاعران طرف‌دار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در كوفه بود كه بعد از هلاكت يزيد، شعرى در مرثيه او سرود</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Heading6"/>
        <w:numPr>
          <w:ilvl w:val="5"/>
          <w:numId w:val="1"/>
        </w:numPr>
        <w:rPr/>
      </w:pPr>
      <w:bookmarkStart w:id="1422" w:name="__RefHeading___Toc3585627_3650668749"/>
      <w:bookmarkStart w:id="1423" w:name="_Toc610"/>
      <w:bookmarkEnd w:id="1422"/>
      <w:r>
        <w:rPr>
          <w:rtl w:val="true"/>
        </w:rPr>
        <w:t xml:space="preserve">بيست و پنجم </w:t>
      </w:r>
      <w:r>
        <w:rPr>
          <w:rtl w:val="true"/>
        </w:rPr>
        <w:t xml:space="preserve">- </w:t>
      </w:r>
      <w:r>
        <w:rPr>
          <w:rtl w:val="true"/>
        </w:rPr>
        <w:t>عبدالله بن خليفه بولايي</w:t>
      </w:r>
      <w:bookmarkEnd w:id="1423"/>
    </w:p>
    <w:p>
      <w:pPr>
        <w:pStyle w:val="BookText"/>
        <w:rPr/>
      </w:pPr>
      <w:r>
        <w:rPr>
          <w:rFonts w:ascii="IRNazanin" w:hAnsi="IRNazanin" w:eastAsia="IRNazanin"/>
          <w:color w:val="111111"/>
          <w:sz w:val="28"/>
          <w:sz w:val="28"/>
          <w:szCs w:val="28"/>
          <w:rtl w:val="true"/>
          <w:lang w:bidi="fa-IR"/>
        </w:rPr>
        <w:t xml:space="preserve">طبرى از او با عنوان شاعر شيعى خطيب كه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ضمن بيان حوادث جنگ صفين ياد مى‌كند</w:t>
      </w:r>
      <w:r>
        <w:rPr>
          <w:rFonts w:eastAsia="IRNazanin" w:cs="IRNazanin"/>
          <w:color w:val="111111"/>
          <w:sz w:val="28"/>
          <w:szCs w:val="28"/>
          <w:rtl w:val="true"/>
          <w:lang w:bidi="fa-IR"/>
        </w:rPr>
        <w:t xml:space="preserve">. </w:t>
      </w:r>
      <w:r>
        <w:rPr>
          <w:rStyle w:val="FootnoteAnchor"/>
          <w:rtl w:val="true"/>
        </w:rPr>
        <w:footnoteReference w:id="1230"/>
      </w:r>
    </w:p>
    <w:p>
      <w:pPr>
        <w:pStyle w:val="Heading6"/>
        <w:numPr>
          <w:ilvl w:val="5"/>
          <w:numId w:val="1"/>
        </w:numPr>
        <w:rPr/>
      </w:pPr>
      <w:bookmarkStart w:id="1424" w:name="__RefHeading___Toc3585629_3650668749"/>
      <w:bookmarkStart w:id="1425" w:name="_Toc611"/>
      <w:bookmarkEnd w:id="1424"/>
      <w:r>
        <w:rPr>
          <w:rtl w:val="true"/>
        </w:rPr>
        <w:t xml:space="preserve">بيست و ششم </w:t>
      </w:r>
      <w:r>
        <w:rPr>
          <w:rtl w:val="true"/>
        </w:rPr>
        <w:t xml:space="preserve">- </w:t>
      </w:r>
      <w:r>
        <w:rPr>
          <w:rtl w:val="true"/>
        </w:rPr>
        <w:t>اَياس بن عَثَل طايي</w:t>
      </w:r>
      <w:bookmarkEnd w:id="1425"/>
    </w:p>
    <w:p>
      <w:pPr>
        <w:pStyle w:val="BookText"/>
        <w:rPr/>
      </w:pPr>
      <w:r>
        <w:rPr>
          <w:rFonts w:ascii="IRNazanin" w:hAnsi="IRNazanin" w:eastAsia="IRNazanin"/>
          <w:color w:val="111111"/>
          <w:sz w:val="28"/>
          <w:sz w:val="28"/>
          <w:szCs w:val="28"/>
          <w:rtl w:val="true"/>
          <w:lang w:bidi="fa-IR"/>
        </w:rPr>
        <w:t xml:space="preserve">از اين شخص با عنوان شاعر، ضمن حوادث مربوط به مسلم بن عقيل در كوفه ياد شده است كه پس از شهادت مسلم، اين شاعر از سوى محمد بن اشعث مأمور رساندن نامه محمد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Style w:val="FootnoteAnchor"/>
          <w:rtl w:val="true"/>
        </w:rPr>
        <w:footnoteReference w:id="1231"/>
      </w:r>
    </w:p>
    <w:p>
      <w:pPr>
        <w:pStyle w:val="Heading6"/>
        <w:numPr>
          <w:ilvl w:val="5"/>
          <w:numId w:val="1"/>
        </w:numPr>
        <w:rPr/>
      </w:pPr>
      <w:bookmarkStart w:id="1426" w:name="__RefHeading___Toc3585631_3650668749"/>
      <w:bookmarkStart w:id="1427" w:name="_Toc612"/>
      <w:bookmarkEnd w:id="1426"/>
      <w:r>
        <w:rPr>
          <w:rtl w:val="true"/>
        </w:rPr>
        <w:t xml:space="preserve">بيست و هفتم </w:t>
      </w:r>
      <w:r>
        <w:rPr>
          <w:rtl w:val="true"/>
        </w:rPr>
        <w:t xml:space="preserve">- </w:t>
      </w:r>
      <w:r>
        <w:rPr>
          <w:rtl w:val="true"/>
        </w:rPr>
        <w:t>يزيد بن مُغْفَل مِذْحجي جُعْفي</w:t>
      </w:r>
      <w:bookmarkEnd w:id="1427"/>
    </w:p>
    <w:p>
      <w:pPr>
        <w:pStyle w:val="BookText"/>
        <w:rPr/>
      </w:pPr>
      <w:r>
        <w:rPr>
          <w:rFonts w:ascii="IRNazanin" w:hAnsi="IRNazanin" w:eastAsia="IRNazanin"/>
          <w:color w:val="111111"/>
          <w:sz w:val="28"/>
          <w:sz w:val="28"/>
          <w:szCs w:val="28"/>
          <w:rtl w:val="true"/>
          <w:lang w:bidi="fa-IR"/>
        </w:rPr>
        <w:t xml:space="preserve">او يكى از شاعران كوفه بود كه در جنگ‌هاى صفين و خوارج شركت داشت و در روز عاشورا همراه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Style w:val="FootnoteAnchor"/>
          <w:rtl w:val="true"/>
        </w:rPr>
        <w:footnoteReference w:id="1232"/>
      </w:r>
    </w:p>
    <w:p>
      <w:pPr>
        <w:pStyle w:val="Heading6"/>
        <w:numPr>
          <w:ilvl w:val="5"/>
          <w:numId w:val="1"/>
        </w:numPr>
        <w:rPr/>
      </w:pPr>
      <w:bookmarkStart w:id="1428" w:name="__RefHeading___Toc3585633_3650668749"/>
      <w:bookmarkStart w:id="1429" w:name="_Toc613"/>
      <w:bookmarkEnd w:id="1428"/>
      <w:r>
        <w:rPr>
          <w:rtl w:val="true"/>
        </w:rPr>
        <w:t xml:space="preserve">بيست و هشتم </w:t>
      </w:r>
      <w:r>
        <w:rPr>
          <w:rtl w:val="true"/>
        </w:rPr>
        <w:t xml:space="preserve">- </w:t>
      </w:r>
      <w:r>
        <w:rPr>
          <w:rtl w:val="true"/>
        </w:rPr>
        <w:t>رَبيعة بن حُوط</w:t>
      </w:r>
      <w:bookmarkEnd w:id="1429"/>
    </w:p>
    <w:p>
      <w:pPr>
        <w:pStyle w:val="BookText"/>
        <w:rPr/>
      </w:pPr>
      <w:r>
        <w:rPr>
          <w:rFonts w:ascii="Amiri" w:hAnsi="Amiri" w:eastAsia="Amiri" w:cs="Amiri"/>
          <w:color w:val="111111"/>
          <w:sz w:val="28"/>
          <w:sz w:val="28"/>
          <w:szCs w:val="28"/>
          <w:rtl w:val="true"/>
          <w:lang w:bidi="ar-SA"/>
        </w:rPr>
        <w:t xml:space="preserve">اين شاعر كه كنيه‌اش به ابوالمَهْوش بود، در جاهليت به دنيا آمد و همراه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شهادت رسيد</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Heading6"/>
        <w:numPr>
          <w:ilvl w:val="5"/>
          <w:numId w:val="1"/>
        </w:numPr>
        <w:rPr/>
      </w:pPr>
      <w:bookmarkStart w:id="1430" w:name="__RefHeading___Toc3585635_3650668749"/>
      <w:bookmarkStart w:id="1431" w:name="_Toc614"/>
      <w:bookmarkEnd w:id="1430"/>
      <w:r>
        <w:rPr>
          <w:rtl w:val="true"/>
        </w:rPr>
        <w:t xml:space="preserve">بيست و نهم </w:t>
      </w:r>
      <w:r>
        <w:rPr>
          <w:rtl w:val="true"/>
        </w:rPr>
        <w:t xml:space="preserve">- </w:t>
      </w:r>
      <w:r>
        <w:rPr>
          <w:rtl w:val="true"/>
        </w:rPr>
        <w:t>عبدالله بن هَمّام</w:t>
      </w:r>
      <w:bookmarkEnd w:id="143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شاعر در زمان مختار ياد شده است</w:t>
      </w:r>
      <w:r>
        <w:rPr>
          <w:rFonts w:eastAsia="Amiri" w:cs="Amiri" w:ascii="Amiri" w:hAnsi="Amiri"/>
          <w:color w:val="111111"/>
          <w:sz w:val="28"/>
          <w:szCs w:val="28"/>
          <w:rtl w:val="true"/>
          <w:lang w:bidi="ar-SA"/>
        </w:rPr>
        <w:t xml:space="preserve">. </w:t>
      </w:r>
      <w:r>
        <w:rPr>
          <w:rStyle w:val="FootnoteAnchor"/>
          <w:rtl w:val="true"/>
        </w:rPr>
        <w:footnoteReference w:id="1234"/>
      </w:r>
      <w:bookmarkStart w:id="1432" w:name="pg1964_19791"/>
    </w:p>
    <w:p>
      <w:pPr>
        <w:pStyle w:val="Heading6"/>
        <w:numPr>
          <w:ilvl w:val="5"/>
          <w:numId w:val="1"/>
        </w:numPr>
        <w:rPr/>
      </w:pPr>
      <w:bookmarkStart w:id="1433" w:name="__RefHeading___Toc3585637_3650668749"/>
      <w:bookmarkStart w:id="1434" w:name="_Toc615"/>
      <w:bookmarkEnd w:id="1432"/>
      <w:bookmarkEnd w:id="1433"/>
      <w:r>
        <w:rPr>
          <w:rtl w:val="true"/>
        </w:rPr>
        <w:t xml:space="preserve">سي‌ام </w:t>
      </w:r>
      <w:r>
        <w:rPr>
          <w:rtl w:val="true"/>
        </w:rPr>
        <w:t xml:space="preserve">- </w:t>
      </w:r>
      <w:r>
        <w:rPr>
          <w:rtl w:val="true"/>
        </w:rPr>
        <w:t>عُمر بن يزيد بن هلال نَخَعي</w:t>
      </w:r>
      <w:bookmarkEnd w:id="1434"/>
    </w:p>
    <w:p>
      <w:pPr>
        <w:pStyle w:val="BookText"/>
        <w:rPr/>
      </w:pPr>
      <w:r>
        <w:rPr>
          <w:rFonts w:ascii="IRNazanin" w:hAnsi="IRNazanin" w:eastAsia="IRNazanin"/>
          <w:color w:val="111111"/>
          <w:sz w:val="28"/>
          <w:sz w:val="28"/>
          <w:szCs w:val="28"/>
          <w:rtl w:val="true"/>
          <w:lang w:bidi="fa-IR"/>
        </w:rPr>
        <w:t>از اين شاعر در سپاه ابراهيم اشتر كه يكى از سرداران مختار بود، ياد شده است</w:t>
      </w:r>
      <w:r>
        <w:rPr>
          <w:rFonts w:eastAsia="IRNazanin" w:cs="IRNazanin"/>
          <w:color w:val="111111"/>
          <w:sz w:val="28"/>
          <w:szCs w:val="28"/>
          <w:rtl w:val="true"/>
          <w:lang w:bidi="fa-IR"/>
        </w:rPr>
        <w:t xml:space="preserve">. </w:t>
      </w:r>
      <w:r>
        <w:rPr>
          <w:rStyle w:val="FootnoteAnchor"/>
          <w:rtl w:val="true"/>
        </w:rPr>
        <w:footnoteReference w:id="1235"/>
      </w:r>
    </w:p>
    <w:p>
      <w:pPr>
        <w:pStyle w:val="Heading6"/>
        <w:numPr>
          <w:ilvl w:val="5"/>
          <w:numId w:val="1"/>
        </w:numPr>
        <w:rPr/>
      </w:pPr>
      <w:bookmarkStart w:id="1435" w:name="__RefHeading___Toc3585639_3650668749"/>
      <w:bookmarkStart w:id="1436" w:name="_Toc616"/>
      <w:bookmarkEnd w:id="1435"/>
      <w:r>
        <w:rPr>
          <w:rtl w:val="true"/>
        </w:rPr>
        <w:t xml:space="preserve">سي و يكم </w:t>
      </w:r>
      <w:r>
        <w:rPr>
          <w:rtl w:val="true"/>
        </w:rPr>
        <w:t xml:space="preserve">- </w:t>
      </w:r>
      <w:r>
        <w:rPr>
          <w:rtl w:val="true"/>
        </w:rPr>
        <w:t>عبدالله بن حُر جُعفي</w:t>
      </w:r>
      <w:bookmarkEnd w:id="1436"/>
    </w:p>
    <w:p>
      <w:pPr>
        <w:pStyle w:val="BookText"/>
        <w:rPr/>
      </w:pPr>
      <w:r>
        <w:rPr>
          <w:rFonts w:ascii="IRNazanin" w:hAnsi="IRNazanin" w:eastAsia="IRNazanin"/>
          <w:color w:val="111111"/>
          <w:sz w:val="28"/>
          <w:sz w:val="28"/>
          <w:szCs w:val="28"/>
          <w:rtl w:val="true"/>
          <w:lang w:bidi="fa-IR"/>
        </w:rPr>
        <w:t xml:space="preserve">او همان شخصى است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بنى‌مُقاتل با او ملاقات كرده و از او يارى خواست، اما او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واقعه عاشورا پشيمان شده و اشعارى در رثاى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 xml:space="preserve">. </w:t>
      </w:r>
      <w:r>
        <w:rPr>
          <w:rStyle w:val="FootnoteAnchor"/>
          <w:rtl w:val="true"/>
        </w:rPr>
        <w:footnoteReference w:id="1236"/>
      </w:r>
    </w:p>
    <w:p>
      <w:pPr>
        <w:pStyle w:val="Heading6"/>
        <w:numPr>
          <w:ilvl w:val="5"/>
          <w:numId w:val="1"/>
        </w:numPr>
        <w:rPr/>
      </w:pPr>
      <w:bookmarkStart w:id="1437" w:name="__RefHeading___Toc3585641_3650668749"/>
      <w:bookmarkStart w:id="1438" w:name="_Toc617"/>
      <w:bookmarkEnd w:id="1437"/>
      <w:r>
        <w:rPr>
          <w:rtl w:val="true"/>
        </w:rPr>
        <w:t xml:space="preserve">سي و دوم </w:t>
      </w:r>
      <w:r>
        <w:rPr>
          <w:rtl w:val="true"/>
        </w:rPr>
        <w:t xml:space="preserve">- </w:t>
      </w:r>
      <w:r>
        <w:rPr>
          <w:rtl w:val="true"/>
        </w:rPr>
        <w:t>عَوْف بن عبدالله بن اَحْمَر اَزْدي</w:t>
      </w:r>
      <w:bookmarkEnd w:id="1438"/>
    </w:p>
    <w:p>
      <w:pPr>
        <w:pStyle w:val="BookText"/>
        <w:rPr/>
      </w:pPr>
      <w:r>
        <w:rPr>
          <w:rFonts w:ascii="IRNazanin" w:hAnsi="IRNazanin" w:eastAsia="IRNazanin"/>
          <w:color w:val="111111"/>
          <w:sz w:val="28"/>
          <w:sz w:val="28"/>
          <w:szCs w:val="28"/>
          <w:rtl w:val="true"/>
          <w:lang w:bidi="fa-IR"/>
        </w:rPr>
        <w:t xml:space="preserve">او در جنگ صفين همراه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حادثه كربلا شركت نكرد و بعد از آن، از توابين شد و اشعارى در رثاى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 xml:space="preserve">. </w:t>
      </w:r>
      <w:r>
        <w:rPr>
          <w:rStyle w:val="FootnoteAnchor"/>
          <w:rtl w:val="true"/>
        </w:rPr>
        <w:footnoteReference w:id="1237"/>
      </w:r>
    </w:p>
    <w:p>
      <w:pPr>
        <w:pStyle w:val="Heading6"/>
        <w:numPr>
          <w:ilvl w:val="5"/>
          <w:numId w:val="1"/>
        </w:numPr>
        <w:rPr/>
      </w:pPr>
      <w:bookmarkStart w:id="1439" w:name="__RefHeading___Toc3585643_3650668749"/>
      <w:bookmarkStart w:id="1440" w:name="_Toc618"/>
      <w:bookmarkEnd w:id="1439"/>
      <w:r>
        <w:rPr>
          <w:rtl w:val="true"/>
        </w:rPr>
        <w:t xml:space="preserve">سي و سوم </w:t>
      </w:r>
      <w:r>
        <w:rPr>
          <w:rtl w:val="true"/>
        </w:rPr>
        <w:t xml:space="preserve">- </w:t>
      </w:r>
      <w:r>
        <w:rPr>
          <w:rtl w:val="true"/>
        </w:rPr>
        <w:t>وَهَب بن زَمْعَه جَمْحي، معروف به ابودَهْبَل</w:t>
      </w:r>
      <w:bookmarkEnd w:id="1440"/>
    </w:p>
    <w:p>
      <w:pPr>
        <w:pStyle w:val="BookText"/>
        <w:rPr/>
      </w:pPr>
      <w:r>
        <w:rPr>
          <w:rFonts w:ascii="IRNazanin" w:hAnsi="IRNazanin" w:eastAsia="IRNazanin"/>
          <w:color w:val="111111"/>
          <w:sz w:val="28"/>
          <w:sz w:val="28"/>
          <w:szCs w:val="28"/>
          <w:rtl w:val="true"/>
          <w:lang w:bidi="fa-IR"/>
        </w:rPr>
        <w:t>او شاعرى زيبا صورت و عفيف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توابين از كوفه خارج شده و به سر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او همراه آنان بود و اشعارى در رثاى امام</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سرود</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Heading6"/>
        <w:numPr>
          <w:ilvl w:val="5"/>
          <w:numId w:val="1"/>
        </w:numPr>
        <w:rPr/>
      </w:pPr>
      <w:bookmarkStart w:id="1441" w:name="__RefHeading___Toc3585645_3650668749"/>
      <w:bookmarkStart w:id="1442" w:name="_Toc619"/>
      <w:bookmarkEnd w:id="1441"/>
      <w:r>
        <w:rPr>
          <w:rtl w:val="true"/>
        </w:rPr>
        <w:t xml:space="preserve">سي و چهارم </w:t>
      </w:r>
      <w:r>
        <w:rPr>
          <w:rtl w:val="true"/>
        </w:rPr>
        <w:t xml:space="preserve">- </w:t>
      </w:r>
      <w:r>
        <w:rPr>
          <w:rtl w:val="true"/>
        </w:rPr>
        <w:t>شُرَيح قاضي</w:t>
      </w:r>
      <w:bookmarkEnd w:id="144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او كه با تفصيل بيشتر در فصل هشتم ياد خواهيم كرد، با عنوان شاعر نيز يادشده است</w:t>
      </w:r>
      <w:r>
        <w:rPr>
          <w:rFonts w:eastAsia="Amiri" w:cs="Amiri" w:ascii="Amiri" w:hAnsi="Amiri"/>
          <w:color w:val="111111"/>
          <w:sz w:val="28"/>
          <w:szCs w:val="28"/>
          <w:rtl w:val="true"/>
          <w:lang w:bidi="ar-SA"/>
        </w:rPr>
        <w:t xml:space="preserve">. </w:t>
      </w:r>
      <w:r>
        <w:rPr>
          <w:rStyle w:val="FootnoteAnchor"/>
          <w:rtl w:val="true"/>
        </w:rPr>
        <w:footnoteReference w:id="1239"/>
      </w:r>
      <w:bookmarkStart w:id="1443" w:name="pg1964_19793"/>
    </w:p>
    <w:p>
      <w:pPr>
        <w:pStyle w:val="Heading6"/>
        <w:numPr>
          <w:ilvl w:val="5"/>
          <w:numId w:val="1"/>
        </w:numPr>
        <w:rPr/>
      </w:pPr>
      <w:bookmarkStart w:id="1444" w:name="__RefHeading___Toc3585647_3650668749"/>
      <w:bookmarkStart w:id="1445" w:name="_Toc620"/>
      <w:bookmarkEnd w:id="1443"/>
      <w:bookmarkEnd w:id="1444"/>
      <w:r>
        <w:rPr>
          <w:rtl w:val="true"/>
        </w:rPr>
        <w:t xml:space="preserve">سي و پنجم </w:t>
      </w:r>
      <w:r>
        <w:rPr>
          <w:rtl w:val="true"/>
        </w:rPr>
        <w:t xml:space="preserve">- </w:t>
      </w:r>
      <w:r>
        <w:rPr>
          <w:rtl w:val="true"/>
        </w:rPr>
        <w:t>صعصعة بن صَوْحان</w:t>
      </w:r>
      <w:bookmarkEnd w:id="1445"/>
    </w:p>
    <w:p>
      <w:pPr>
        <w:pStyle w:val="BookText"/>
        <w:rPr/>
      </w:pPr>
      <w:r>
        <w:rPr>
          <w:rFonts w:ascii="IRNazanin" w:hAnsi="IRNazanin" w:eastAsia="IRNazanin"/>
          <w:color w:val="111111"/>
          <w:sz w:val="28"/>
          <w:sz w:val="28"/>
          <w:szCs w:val="28"/>
          <w:rtl w:val="true"/>
          <w:lang w:bidi="fa-IR"/>
        </w:rPr>
        <w:t>از او كه در بخش خُطَباء ياد خواهيم كرد، نيز با عنوان شاعر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شهادت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حضرت مرثيه‌هايى سرود</w:t>
      </w:r>
      <w:r>
        <w:rPr>
          <w:rFonts w:eastAsia="IRNazanin" w:cs="IRNazanin"/>
          <w:color w:val="111111"/>
          <w:sz w:val="28"/>
          <w:szCs w:val="28"/>
          <w:rtl w:val="true"/>
          <w:lang w:bidi="fa-IR"/>
        </w:rPr>
        <w:t xml:space="preserve">. </w:t>
      </w:r>
      <w:r>
        <w:rPr>
          <w:rStyle w:val="FootnoteAnchor"/>
          <w:rtl w:val="true"/>
        </w:rPr>
        <w:footnoteReference w:id="1240"/>
      </w:r>
    </w:p>
    <w:p>
      <w:pPr>
        <w:pStyle w:val="Heading6"/>
        <w:numPr>
          <w:ilvl w:val="5"/>
          <w:numId w:val="1"/>
        </w:numPr>
        <w:rPr/>
      </w:pPr>
      <w:bookmarkStart w:id="1446" w:name="__RefHeading___Toc3585649_3650668749"/>
      <w:bookmarkStart w:id="1447" w:name="_Toc621"/>
      <w:bookmarkEnd w:id="1446"/>
      <w:r>
        <w:rPr>
          <w:rtl w:val="true"/>
        </w:rPr>
        <w:t xml:space="preserve">سي و ششم </w:t>
      </w:r>
      <w:r>
        <w:rPr>
          <w:rtl w:val="true"/>
        </w:rPr>
        <w:t xml:space="preserve">- </w:t>
      </w:r>
      <w:r>
        <w:rPr>
          <w:rtl w:val="true"/>
        </w:rPr>
        <w:t>لَبيد بن ربيعه عامري</w:t>
      </w:r>
      <w:bookmarkEnd w:id="1447"/>
    </w:p>
    <w:p>
      <w:pPr>
        <w:pStyle w:val="BookText"/>
        <w:rPr/>
      </w:pPr>
      <w:r>
        <w:rPr>
          <w:rFonts w:ascii="IRNazanin" w:hAnsi="IRNazanin" w:eastAsia="IRNazanin"/>
          <w:color w:val="111111"/>
          <w:sz w:val="28"/>
          <w:sz w:val="28"/>
          <w:szCs w:val="28"/>
          <w:rtl w:val="true"/>
          <w:lang w:bidi="fa-IR"/>
        </w:rPr>
        <w:t xml:space="preserve">او از شعراى جاهليت و اسلام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شعر او 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زمان عمر در كوفه اقامت گزيد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كرد و در زمان حكومت وليد بن عقبه از دنيا رفت و در صحراى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بنى‌جعفر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او نيز شاعر بود</w:t>
      </w:r>
      <w:r>
        <w:rPr>
          <w:rFonts w:eastAsia="IRNazanin" w:cs="IRNazanin"/>
          <w:color w:val="111111"/>
          <w:sz w:val="28"/>
          <w:szCs w:val="28"/>
          <w:rtl w:val="true"/>
          <w:lang w:bidi="fa-IR"/>
        </w:rPr>
        <w:t xml:space="preserve">. </w:t>
      </w:r>
      <w:r>
        <w:rPr>
          <w:rStyle w:val="FootnoteAnchor"/>
          <w:rtl w:val="true"/>
        </w:rPr>
        <w:footnoteReference w:id="1241"/>
      </w:r>
    </w:p>
    <w:p>
      <w:pPr>
        <w:pStyle w:val="Heading4"/>
        <w:numPr>
          <w:ilvl w:val="3"/>
          <w:numId w:val="1"/>
        </w:numPr>
        <w:rPr/>
      </w:pPr>
      <w:bookmarkStart w:id="1448" w:name="__RefHeading___Toc3585651_3650668749"/>
      <w:bookmarkStart w:id="1449" w:name="_Toc622"/>
      <w:bookmarkEnd w:id="1448"/>
      <w:r>
        <w:rPr>
          <w:rtl w:val="true"/>
        </w:rPr>
        <w:t>ب</w:t>
      </w:r>
      <w:r>
        <w:rPr>
          <w:rtl w:val="true"/>
        </w:rPr>
        <w:t xml:space="preserve">) </w:t>
      </w:r>
      <w:r>
        <w:rPr>
          <w:rtl w:val="true"/>
        </w:rPr>
        <w:t>خطيبان</w:t>
      </w:r>
      <w:bookmarkEnd w:id="1449"/>
    </w:p>
    <w:p>
      <w:pPr>
        <w:pStyle w:val="Heading5"/>
        <w:numPr>
          <w:ilvl w:val="4"/>
          <w:numId w:val="1"/>
        </w:numPr>
        <w:rPr/>
      </w:pPr>
      <w:bookmarkStart w:id="1450" w:name="__RefHeading___Toc3585653_3650668749"/>
      <w:bookmarkStart w:id="1451" w:name="_Toc623"/>
      <w:bookmarkEnd w:id="1450"/>
      <w:r>
        <w:rPr>
          <w:rtl w:val="true"/>
        </w:rPr>
        <w:t>اشاره</w:t>
      </w:r>
      <w:bookmarkEnd w:id="1451"/>
    </w:p>
    <w:p>
      <w:pPr>
        <w:pStyle w:val="BookText"/>
        <w:rPr/>
      </w:pPr>
      <w:r>
        <w:rPr>
          <w:rFonts w:ascii="IRNazanin" w:hAnsi="IRNazanin" w:eastAsia="IRNazanin"/>
          <w:color w:val="111111"/>
          <w:sz w:val="28"/>
          <w:sz w:val="28"/>
          <w:szCs w:val="28"/>
          <w:rtl w:val="true"/>
          <w:lang w:bidi="fa-IR"/>
        </w:rPr>
        <w:t>بيان جمله‌هاى آهنگين و موزون يكى از خصوصيات عرب اصيل جاهلى بود كه به مناسبت‌هاى مختلف، مانند تشويق به جنگ، راندن شتر، آب كشيدن از چاه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مانند فواره از درون آنان مى‌جوشيد و به بيرون فوران مى‌كرد، بدون آنكه نياز به تفكر و آماده نمودن قبلى داشته باشد</w:t>
      </w:r>
      <w:r>
        <w:rPr>
          <w:rFonts w:eastAsia="IRNazanin" w:cs="IRNazanin"/>
          <w:color w:val="111111"/>
          <w:sz w:val="28"/>
          <w:szCs w:val="28"/>
          <w:rtl w:val="true"/>
          <w:lang w:bidi="fa-IR"/>
        </w:rPr>
        <w:t xml:space="preserve">. </w:t>
      </w:r>
      <w:r>
        <w:rPr>
          <w:rStyle w:val="FootnoteAnchor"/>
          <w:rtl w:val="true"/>
        </w:rPr>
        <w:footnoteReference w:id="1242"/>
      </w:r>
      <w:r>
        <w:rPr>
          <w:rFonts w:ascii="IRNazanin" w:hAnsi="IRNazanin" w:eastAsia="IRNazanin"/>
          <w:color w:val="111111"/>
          <w:sz w:val="28"/>
          <w:sz w:val="28"/>
          <w:szCs w:val="28"/>
          <w:rtl w:val="true"/>
          <w:lang w:bidi="fa-IR"/>
        </w:rPr>
        <w:t>اما با ظهور اسلام گروهى از شخصيت‌هاى</w:t>
      </w:r>
    </w:p>
    <w:p>
      <w:pPr>
        <w:pStyle w:val="BookText"/>
        <w:rPr/>
      </w:pP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فرهنگى كه در مواقع مختلف خطابه‌هاى مؤثرى براى مردم ايراد مى‌كردند، به عنوان خطيبان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يكى از وظايف رهبران جامعه در صدر اسلام ايراد سخنرانى بود كه در رأس اين رهبران كه عالى‌ترين خطبه‌ها را از خود به يادگار گذاشته‌اند مى‌توان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نمود</w:t>
      </w:r>
      <w:r>
        <w:rPr>
          <w:rFonts w:eastAsia="IRNazanin" w:cs="IRNazanin"/>
          <w:color w:val="111111"/>
          <w:sz w:val="28"/>
          <w:szCs w:val="28"/>
          <w:rtl w:val="true"/>
          <w:lang w:bidi="fa-IR"/>
        </w:rPr>
        <w:t xml:space="preserve">. </w:t>
      </w:r>
      <w:r>
        <w:rPr>
          <w:rStyle w:val="FootnoteAnchor"/>
          <w:rtl w:val="true"/>
        </w:rPr>
        <w:footnoteReference w:id="124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خصوصيات خطابه‌هاى دوره اسلامى مى‌توان طولانى شدن آنها را نام برد؛ زيرا اين خطابه‌ها معمولاً سياسى و براى تبليغ اوامر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استشهاد به</w:t>
      </w:r>
      <w:bookmarkStart w:id="1452" w:name="pg1964_19795"/>
    </w:p>
    <w:p>
      <w:pPr>
        <w:pStyle w:val="BookText"/>
        <w:rPr/>
      </w:pPr>
      <w:bookmarkEnd w:id="1452"/>
      <w:r>
        <w:rPr>
          <w:rFonts w:ascii="IRNazanin" w:hAnsi="IRNazanin" w:eastAsia="IRNazanin"/>
          <w:color w:val="111111"/>
          <w:sz w:val="28"/>
          <w:sz w:val="28"/>
          <w:szCs w:val="28"/>
          <w:rtl w:val="true"/>
          <w:lang w:bidi="fa-IR"/>
        </w:rPr>
        <w:t>قرآن، حديث، مَثَل و شعر فراوان از ديگر ويژگى‌هاى خطابه‌هاى اين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عنصر تهديد خصوصيات رايج خطابه‌هاى امويان است</w:t>
      </w:r>
      <w:r>
        <w:rPr>
          <w:rFonts w:eastAsia="IRNazanin" w:cs="IRNazanin"/>
          <w:color w:val="111111"/>
          <w:sz w:val="28"/>
          <w:szCs w:val="28"/>
          <w:rtl w:val="true"/>
          <w:lang w:bidi="fa-IR"/>
        </w:rPr>
        <w:t xml:space="preserve">. </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در اينجا ما فقط به ذكر نام بعضى از خطيبان كه در دوران مورد بحث در كوفه مى‌زيستند،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نام بعضى از اين خطيبان در قسمت قبل، يعنى شاعران ذكر شد و الآن از حيث خطيب بودن آنان نامشان آورده مى‌شود</w:t>
      </w:r>
      <w:r>
        <w:rPr>
          <w:rFonts w:eastAsia="IRNazanin" w:cs="IRNazanin"/>
          <w:color w:val="111111"/>
          <w:sz w:val="28"/>
          <w:szCs w:val="28"/>
          <w:rtl w:val="true"/>
          <w:lang w:bidi="fa-IR"/>
        </w:rPr>
        <w:t>:</w:t>
      </w:r>
    </w:p>
    <w:p>
      <w:pPr>
        <w:pStyle w:val="Heading5"/>
        <w:numPr>
          <w:ilvl w:val="4"/>
          <w:numId w:val="1"/>
        </w:numPr>
        <w:rPr/>
      </w:pPr>
      <w:bookmarkStart w:id="1453" w:name="__RefHeading___Toc3585655_3650668749"/>
      <w:bookmarkStart w:id="1454" w:name="_Toc624"/>
      <w:bookmarkEnd w:id="1453"/>
      <w:r>
        <w:rPr>
          <w:rtl w:val="true"/>
        </w:rPr>
        <w:t xml:space="preserve">يك </w:t>
      </w:r>
      <w:r>
        <w:rPr>
          <w:rtl w:val="true"/>
        </w:rPr>
        <w:t xml:space="preserve">- </w:t>
      </w:r>
      <w:r>
        <w:rPr>
          <w:rtl w:val="true"/>
        </w:rPr>
        <w:t>صعصعة بن صَوْحان</w:t>
      </w:r>
      <w:bookmarkEnd w:id="1454"/>
    </w:p>
    <w:p>
      <w:pPr>
        <w:pStyle w:val="BookText"/>
        <w:rPr/>
      </w:pPr>
      <w:r>
        <w:rPr>
          <w:rFonts w:ascii="IRNazanin" w:hAnsi="IRNazanin" w:eastAsia="IRNazanin"/>
          <w:color w:val="111111"/>
          <w:sz w:val="28"/>
          <w:sz w:val="28"/>
          <w:szCs w:val="28"/>
          <w:rtl w:val="true"/>
          <w:lang w:bidi="fa-IR"/>
        </w:rPr>
        <w:t xml:space="preserve">وى يكى از بزرگ‌ترين خطباى كوفه به شمار مى‌رفت كه خود او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صليب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استوار قدم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خود انتخاب كرده بود</w:t>
      </w:r>
      <w:r>
        <w:rPr>
          <w:rFonts w:eastAsia="IRNazanin" w:cs="IRNazanin"/>
          <w:color w:val="111111"/>
          <w:sz w:val="28"/>
          <w:szCs w:val="28"/>
          <w:rtl w:val="true"/>
          <w:lang w:bidi="fa-IR"/>
        </w:rPr>
        <w:t xml:space="preserve">. </w:t>
      </w:r>
      <w:r>
        <w:rPr>
          <w:rStyle w:val="FootnoteAnchor"/>
          <w:rtl w:val="true"/>
        </w:rPr>
        <w:footnoteReference w:id="1245"/>
      </w:r>
      <w:r>
        <w:rPr>
          <w:rFonts w:ascii="IRNazanin" w:hAnsi="IRNazanin" w:eastAsia="IRNazanin"/>
          <w:color w:val="111111"/>
          <w:sz w:val="28"/>
          <w:sz w:val="28"/>
          <w:szCs w:val="28"/>
          <w:rtl w:val="true"/>
          <w:lang w:bidi="fa-IR"/>
        </w:rPr>
        <w:t xml:space="preserve">صعصعه از ياران مخلص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جنگ‌هاى مختلف به همراه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 و با خطابه‌هاى خود به لشكريان روحيه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پس از دفن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 آن حضرت خطابه‌اى سوزناك ايراد كرد</w:t>
      </w:r>
      <w:r>
        <w:rPr>
          <w:rFonts w:eastAsia="IRNazanin" w:cs="IRNazanin"/>
          <w:color w:val="111111"/>
          <w:sz w:val="28"/>
          <w:szCs w:val="28"/>
          <w:rtl w:val="true"/>
          <w:lang w:bidi="fa-IR"/>
        </w:rPr>
        <w:t>.</w:t>
      </w:r>
    </w:p>
    <w:p>
      <w:pPr>
        <w:pStyle w:val="Heading5"/>
        <w:numPr>
          <w:ilvl w:val="4"/>
          <w:numId w:val="1"/>
        </w:numPr>
        <w:rPr/>
      </w:pPr>
      <w:bookmarkStart w:id="1455" w:name="__RefHeading___Toc3585657_3650668749"/>
      <w:bookmarkStart w:id="1456" w:name="_Toc625"/>
      <w:bookmarkEnd w:id="1455"/>
      <w:r>
        <w:rPr>
          <w:rtl w:val="true"/>
        </w:rPr>
        <w:t xml:space="preserve">دو </w:t>
      </w:r>
      <w:r>
        <w:rPr>
          <w:rtl w:val="true"/>
        </w:rPr>
        <w:t xml:space="preserve">- </w:t>
      </w:r>
      <w:r>
        <w:rPr>
          <w:rtl w:val="true"/>
        </w:rPr>
        <w:t>نعمان بن بشير</w:t>
      </w:r>
      <w:bookmarkEnd w:id="1456"/>
    </w:p>
    <w:p>
      <w:pPr>
        <w:pStyle w:val="BookText"/>
        <w:rPr/>
      </w:pPr>
      <w:r>
        <w:rPr>
          <w:rFonts w:ascii="Amiri" w:hAnsi="Amiri" w:eastAsia="Amiri" w:cs="Amiri"/>
          <w:color w:val="111111"/>
          <w:sz w:val="28"/>
          <w:sz w:val="28"/>
          <w:szCs w:val="28"/>
          <w:rtl w:val="true"/>
          <w:lang w:bidi="ar-SA"/>
        </w:rPr>
        <w:t xml:space="preserve">او يكى از معدود انصارى‌هايى بود كه در زمان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معاويه</w:t>
      </w:r>
    </w:p>
    <w:p>
      <w:pPr>
        <w:pStyle w:val="BookText"/>
        <w:rPr/>
      </w:pPr>
      <w:r>
        <w:rPr>
          <w:rFonts w:ascii="IRNazanin" w:hAnsi="IRNazanin" w:eastAsia="IRNazanin"/>
          <w:color w:val="111111"/>
          <w:sz w:val="28"/>
          <w:sz w:val="28"/>
          <w:szCs w:val="28"/>
          <w:rtl w:val="true"/>
          <w:lang w:bidi="fa-IR"/>
        </w:rPr>
        <w:t>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دوم هجرت متولد شد و در سال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سوى معاويه قضاوت دمشق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والى كوفه بود و در اين سمت، خطابه‌هايى براى مردم ايراد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محدّث، خطيب و شاعر نيز دانسته‌اند</w:t>
      </w:r>
      <w:r>
        <w:rPr>
          <w:rFonts w:eastAsia="IRNazanin" w:cs="IRNazanin"/>
          <w:color w:val="111111"/>
          <w:sz w:val="28"/>
          <w:szCs w:val="28"/>
          <w:rtl w:val="true"/>
          <w:lang w:bidi="fa-IR"/>
        </w:rPr>
        <w:t xml:space="preserve">. </w:t>
      </w:r>
      <w:r>
        <w:rPr>
          <w:rStyle w:val="FootnoteAnchor"/>
          <w:rtl w:val="true"/>
        </w:rPr>
        <w:footnoteReference w:id="1246"/>
      </w:r>
    </w:p>
    <w:p>
      <w:pPr>
        <w:pStyle w:val="Heading5"/>
        <w:numPr>
          <w:ilvl w:val="4"/>
          <w:numId w:val="1"/>
        </w:numPr>
        <w:rPr/>
      </w:pPr>
      <w:bookmarkStart w:id="1457" w:name="__RefHeading___Toc3585659_3650668749"/>
      <w:bookmarkStart w:id="1458" w:name="_Toc626"/>
      <w:bookmarkEnd w:id="1457"/>
      <w:r>
        <w:rPr>
          <w:rtl w:val="true"/>
        </w:rPr>
        <w:t xml:space="preserve">سه </w:t>
      </w:r>
      <w:r>
        <w:rPr>
          <w:rtl w:val="true"/>
        </w:rPr>
        <w:t xml:space="preserve">- </w:t>
      </w:r>
      <w:r>
        <w:rPr>
          <w:rtl w:val="true"/>
        </w:rPr>
        <w:t>زياد بن ابيه</w:t>
      </w:r>
      <w:bookmarkEnd w:id="145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زياد بن ابيه والى كوفه را يكى از مشهورترين خطباى عرب دانسته و از او با صفاتى، همچون زبان سليس ياد كرده‌اند كه هر چه خطبه‌هايش طولانى‌تر</w:t>
      </w:r>
      <w:bookmarkStart w:id="1459" w:name="pg1964_19797"/>
    </w:p>
    <w:p>
      <w:pPr>
        <w:pStyle w:val="BookText"/>
        <w:rPr/>
      </w:pPr>
      <w:bookmarkEnd w:id="1459"/>
      <w:r>
        <w:rPr>
          <w:rFonts w:ascii="IRNazanin" w:hAnsi="IRNazanin" w:eastAsia="IRNazanin"/>
          <w:color w:val="111111"/>
          <w:sz w:val="28"/>
          <w:sz w:val="28"/>
          <w:szCs w:val="28"/>
          <w:rtl w:val="true"/>
          <w:lang w:bidi="fa-IR"/>
        </w:rPr>
        <w:t>مى‌گشت، به زيبايى آنها افزوده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خطبه‌هايش از عنصر تهديد بسيار استفاده مى‌كرد و بدين وسيله شنوندگان را تحت تأثير فراوان قرار مى‌داد</w:t>
      </w:r>
      <w:r>
        <w:rPr>
          <w:rFonts w:eastAsia="IRNazanin" w:cs="IRNazanin"/>
          <w:color w:val="111111"/>
          <w:sz w:val="28"/>
          <w:szCs w:val="28"/>
          <w:rtl w:val="true"/>
          <w:lang w:bidi="fa-IR"/>
        </w:rPr>
        <w:t xml:space="preserve">. </w:t>
      </w:r>
      <w:r>
        <w:rPr>
          <w:rStyle w:val="FootnoteAnchor"/>
          <w:rtl w:val="true"/>
        </w:rPr>
        <w:footnoteReference w:id="1247"/>
      </w:r>
    </w:p>
    <w:p>
      <w:pPr>
        <w:pStyle w:val="Heading5"/>
        <w:numPr>
          <w:ilvl w:val="4"/>
          <w:numId w:val="1"/>
        </w:numPr>
        <w:rPr/>
      </w:pPr>
      <w:bookmarkStart w:id="1460" w:name="__RefHeading___Toc3585661_3650668749"/>
      <w:bookmarkStart w:id="1461" w:name="_Toc627"/>
      <w:bookmarkEnd w:id="1460"/>
      <w:r>
        <w:rPr>
          <w:rtl w:val="true"/>
        </w:rPr>
        <w:t xml:space="preserve">چهار </w:t>
      </w:r>
      <w:r>
        <w:rPr>
          <w:rtl w:val="true"/>
        </w:rPr>
        <w:t xml:space="preserve">- </w:t>
      </w:r>
      <w:r>
        <w:rPr>
          <w:rtl w:val="true"/>
        </w:rPr>
        <w:t>وليد بن عقبة بن ابي‌معيط</w:t>
      </w:r>
      <w:bookmarkEnd w:id="1461"/>
    </w:p>
    <w:p>
      <w:pPr>
        <w:pStyle w:val="BookText"/>
        <w:rPr/>
      </w:pPr>
      <w:r>
        <w:rPr>
          <w:rFonts w:ascii="IRNazanin" w:hAnsi="IRNazanin" w:eastAsia="IRNazanin"/>
          <w:color w:val="111111"/>
          <w:sz w:val="28"/>
          <w:sz w:val="28"/>
          <w:szCs w:val="28"/>
          <w:rtl w:val="true"/>
          <w:lang w:bidi="fa-IR"/>
        </w:rPr>
        <w:t>او برادر عثمان از طرف مادر بود و در دامن او تربيت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سوى عثمان به حكومت كوفه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ايراد خطبه، به شاعرى نيز مشغول بود و شعرهايى ماندگار سرود</w:t>
      </w:r>
      <w:r>
        <w:rPr>
          <w:rFonts w:eastAsia="IRNazanin" w:cs="IRNazanin"/>
          <w:color w:val="111111"/>
          <w:sz w:val="28"/>
          <w:szCs w:val="28"/>
          <w:rtl w:val="true"/>
          <w:lang w:bidi="fa-IR"/>
        </w:rPr>
        <w:t xml:space="preserve">. </w:t>
      </w:r>
      <w:r>
        <w:rPr>
          <w:rStyle w:val="FootnoteAnchor"/>
          <w:rtl w:val="true"/>
        </w:rPr>
        <w:footnoteReference w:id="1248"/>
      </w:r>
    </w:p>
    <w:p>
      <w:pPr>
        <w:pStyle w:val="Heading5"/>
        <w:numPr>
          <w:ilvl w:val="4"/>
          <w:numId w:val="1"/>
        </w:numPr>
        <w:rPr/>
      </w:pPr>
      <w:bookmarkStart w:id="1462" w:name="__RefHeading___Toc3585663_3650668749"/>
      <w:bookmarkStart w:id="1463" w:name="_Toc628"/>
      <w:bookmarkEnd w:id="1462"/>
      <w:r>
        <w:rPr>
          <w:rtl w:val="true"/>
        </w:rPr>
        <w:t xml:space="preserve">پنج، شش و هفت </w:t>
      </w:r>
      <w:r>
        <w:rPr>
          <w:rtl w:val="true"/>
        </w:rPr>
        <w:t xml:space="preserve">- </w:t>
      </w:r>
      <w:r>
        <w:rPr>
          <w:rtl w:val="true"/>
        </w:rPr>
        <w:t>متوكل ليثي، اقيشر اسدي، عبدالله بن زبير اسدي</w:t>
      </w:r>
      <w:bookmarkEnd w:id="1463"/>
    </w:p>
    <w:p>
      <w:pPr>
        <w:pStyle w:val="BookText"/>
        <w:rPr/>
      </w:pPr>
      <w:r>
        <w:rPr>
          <w:rFonts w:ascii="Amiri" w:hAnsi="Amiri" w:eastAsia="Amiri" w:cs="Amiri"/>
          <w:color w:val="111111"/>
          <w:sz w:val="28"/>
          <w:sz w:val="28"/>
          <w:szCs w:val="28"/>
          <w:rtl w:val="true"/>
          <w:lang w:bidi="ar-SA"/>
        </w:rPr>
        <w:t>از اين سه تن در قسمت قبل، يعنى شاعران ياد شد</w:t>
      </w:r>
      <w:r>
        <w:rPr>
          <w:rFonts w:eastAsia="Amiri" w:cs="Amiri" w:ascii="Amiri" w:hAnsi="Amiri"/>
          <w:color w:val="111111"/>
          <w:sz w:val="28"/>
          <w:szCs w:val="28"/>
          <w:rtl w:val="true"/>
          <w:lang w:bidi="ar-SA"/>
        </w:rPr>
        <w:t>.</w:t>
      </w:r>
    </w:p>
    <w:p>
      <w:pPr>
        <w:pStyle w:val="Heading5"/>
        <w:numPr>
          <w:ilvl w:val="4"/>
          <w:numId w:val="1"/>
        </w:numPr>
        <w:rPr/>
      </w:pPr>
      <w:bookmarkStart w:id="1464" w:name="__RefHeading___Toc3585665_3650668749"/>
      <w:bookmarkStart w:id="1465" w:name="_Toc629"/>
      <w:bookmarkEnd w:id="1464"/>
      <w:r>
        <w:rPr>
          <w:rtl w:val="true"/>
        </w:rPr>
        <w:t xml:space="preserve">هشت </w:t>
      </w:r>
      <w:r>
        <w:rPr>
          <w:rtl w:val="true"/>
        </w:rPr>
        <w:t xml:space="preserve">- </w:t>
      </w:r>
      <w:r>
        <w:rPr>
          <w:rtl w:val="true"/>
        </w:rPr>
        <w:t>عابس بن ابي‌شبيب شاكري همداني</w:t>
      </w:r>
      <w:bookmarkEnd w:id="1465"/>
    </w:p>
    <w:p>
      <w:pPr>
        <w:pStyle w:val="BookText"/>
        <w:rPr/>
      </w:pPr>
      <w:r>
        <w:rPr>
          <w:rFonts w:ascii="Amiri" w:hAnsi="Amiri" w:eastAsia="Amiri" w:cs="Amiri"/>
          <w:color w:val="111111"/>
          <w:sz w:val="28"/>
          <w:sz w:val="28"/>
          <w:szCs w:val="28"/>
          <w:rtl w:val="true"/>
          <w:lang w:bidi="ar-SA"/>
        </w:rPr>
        <w:t xml:space="preserve">او يكى از خطباى معروف كوفه و از ياران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در كربلا به شهادت رسيد</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Heading4"/>
        <w:numPr>
          <w:ilvl w:val="3"/>
          <w:numId w:val="1"/>
        </w:numPr>
        <w:rPr/>
      </w:pPr>
      <w:bookmarkStart w:id="1466" w:name="__RefHeading___Toc3585667_3650668749"/>
      <w:bookmarkStart w:id="1467" w:name="_Toc630"/>
      <w:bookmarkEnd w:id="1466"/>
      <w:r>
        <w:rPr>
          <w:rtl w:val="true"/>
        </w:rPr>
        <w:t>ج</w:t>
      </w:r>
      <w:r>
        <w:rPr>
          <w:rtl w:val="true"/>
        </w:rPr>
        <w:t xml:space="preserve">) </w:t>
      </w:r>
      <w:r>
        <w:rPr>
          <w:rtl w:val="true"/>
        </w:rPr>
        <w:t>صحابه، محدثان، فقها و ديگر انديشمندان</w:t>
      </w:r>
      <w:bookmarkEnd w:id="1467"/>
    </w:p>
    <w:p>
      <w:pPr>
        <w:pStyle w:val="BookText"/>
        <w:rPr/>
      </w:pPr>
      <w:r>
        <w:rPr>
          <w:rFonts w:ascii="IRNazanin" w:hAnsi="IRNazanin" w:eastAsia="IRNazanin"/>
          <w:color w:val="111111"/>
          <w:sz w:val="28"/>
          <w:sz w:val="28"/>
          <w:szCs w:val="28"/>
          <w:rtl w:val="true"/>
          <w:lang w:bidi="fa-IR"/>
        </w:rPr>
        <w:t>كوفه از همان ابتداى تأسيس شهرى فرهنگى و اسلامى، تلقى مى‌شد، زيرا</w:t>
      </w:r>
    </w:p>
    <w:p>
      <w:pPr>
        <w:pStyle w:val="BookText"/>
        <w:rPr/>
      </w:pPr>
      <w:r>
        <w:rPr>
          <w:rFonts w:ascii="IRNazanin" w:hAnsi="IRNazanin" w:eastAsia="IRNazanin"/>
          <w:color w:val="111111"/>
          <w:sz w:val="28"/>
          <w:sz w:val="28"/>
          <w:szCs w:val="28"/>
          <w:rtl w:val="true"/>
          <w:lang w:bidi="fa-IR"/>
        </w:rPr>
        <w:t xml:space="preserve">حضور تعداد فراوان صحابه، محدثان، فقها و قاريان در اين شهر به آن جلوه‌اى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بخشيده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اين شهر توانست در چند دهه از قرن اول در مقابل تأثيرگذارى فرهنگ‌هاى بيگانه و به‌خصوص فرهنگ ايرانى مقاومت كند و از آنان تأثير كمترى بپذيرد</w:t>
      </w:r>
      <w:r>
        <w:rPr>
          <w:rFonts w:eastAsia="IRNazanin" w:cs="IRNazanin"/>
          <w:color w:val="111111"/>
          <w:sz w:val="28"/>
          <w:szCs w:val="28"/>
          <w:rtl w:val="true"/>
          <w:lang w:bidi="fa-IR"/>
        </w:rPr>
        <w:t xml:space="preserve">. </w:t>
      </w:r>
      <w:r>
        <w:rPr>
          <w:rStyle w:val="FootnoteAnchor"/>
          <w:rtl w:val="true"/>
        </w:rPr>
        <w:footnoteReference w:id="1250"/>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ورود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كوفه از استقبال فقهاى كوفه از آن حضرت سخن به ميان آمده است </w:t>
      </w:r>
      <w:r>
        <w:rPr>
          <w:rStyle w:val="FootnoteAnchor"/>
          <w:rtl w:val="true"/>
        </w:rPr>
        <w:footnoteReference w:id="1251"/>
      </w:r>
      <w:r>
        <w:rPr>
          <w:rFonts w:ascii="Amiri" w:hAnsi="Amiri" w:eastAsia="Amiri" w:cs="Amiri"/>
          <w:color w:val="111111"/>
          <w:sz w:val="28"/>
          <w:sz w:val="28"/>
          <w:szCs w:val="28"/>
          <w:rtl w:val="true"/>
          <w:lang w:bidi="ar-SA"/>
        </w:rPr>
        <w:t>كه بر حضور جمع كثيرى از فقها در اين شهر دلالت</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جنگ صفين تعداد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همراه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جنگ شركت كرده بودند، حدود </w:t>
      </w: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ذكر شده است</w:t>
      </w:r>
      <w:r>
        <w:rPr>
          <w:rFonts w:eastAsia="IRNazanin" w:cs="IRNazanin"/>
          <w:color w:val="111111"/>
          <w:sz w:val="28"/>
          <w:szCs w:val="28"/>
          <w:rtl w:val="true"/>
          <w:lang w:bidi="fa-IR"/>
        </w:rPr>
        <w:t xml:space="preserve">. </w:t>
      </w:r>
      <w:r>
        <w:rPr>
          <w:rStyle w:val="FootnoteAnchor"/>
          <w:rtl w:val="true"/>
        </w:rPr>
        <w:footnoteReference w:id="1252"/>
      </w:r>
      <w:r>
        <w:rPr>
          <w:rFonts w:ascii="IRNazanin" w:hAnsi="IRNazanin" w:eastAsia="IRNazanin"/>
          <w:color w:val="111111"/>
          <w:sz w:val="28"/>
          <w:sz w:val="28"/>
          <w:szCs w:val="28"/>
          <w:rtl w:val="true"/>
          <w:lang w:bidi="fa-IR"/>
        </w:rPr>
        <w:t>به‌طور طبيعى اين جمعيت فراوان مى‌توانست نقش فرهنگى به‌سزايى در كوفه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فرهنگ اين شهر جلوه ديگرى به خود گرفت و آن حضرت با تعليم قرآن، احكام و مباحث مختلف كلامى، فقهى و ايراد خطابه‌هاى بلند رشد به‌سزايى در فرهنگ كوفه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ابتدا نام بعضى از اصحاب را كه در مقطع مورد نظر در كوفه مى‌زيستند، ذكر نموده و آن‌گاه نام ديگر انديشمندان كوفى را يادآور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بسيارى از اصحاب را مى‌توان به عنوان محدث به شمار آورد؛ زيرا آنها مصاحبت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نموده و احاديثى از آن بزرگوار شنيده بودند كه طبعاً آنها را براى ديگران بيان مى‌كردند، چنان‌كه نام بسيارى از اين افراد در جوامع روايى اهل‌سنت ديده مى‌شود</w:t>
      </w:r>
      <w:r>
        <w:rPr>
          <w:rFonts w:eastAsia="IRNazanin" w:cs="IRNazanin"/>
          <w:color w:val="111111"/>
          <w:sz w:val="28"/>
          <w:szCs w:val="28"/>
          <w:rtl w:val="true"/>
          <w:lang w:bidi="fa-IR"/>
        </w:rPr>
        <w:t xml:space="preserve">.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ابى‌وقاص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مدينه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سردار قادسيه و والى كوفه كه در مقاطعى از خلافت عمر و عثمان فرماندارى اين شهر را به عهده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زيد بن عمرو بن نُفَيل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از اصحاب بدر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هُذَلى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ياران ديرينه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عمر او را امين</w:t>
      </w:r>
    </w:p>
    <w:p>
      <w:pPr>
        <w:pStyle w:val="BookText"/>
        <w:rPr/>
      </w:pPr>
      <w:r>
        <w:rPr>
          <w:rFonts w:ascii="Amiri" w:hAnsi="Amiri" w:eastAsia="Amiri" w:cs="Amiri"/>
          <w:color w:val="111111"/>
          <w:sz w:val="28"/>
          <w:sz w:val="28"/>
          <w:szCs w:val="28"/>
          <w:rtl w:val="true"/>
          <w:lang w:bidi="ar-SA"/>
        </w:rPr>
        <w:t>بيت‌المال قرار داد و به كوفه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اين شهر شروع به تدريس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مهاجران كه در جنگ صفين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مهاجران و شركت كنندگان در جنگ بدر كه در سال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كوفه از دنيا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بدريون كه در سال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كوفه از دنيا رفت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شركت كنندگان در جنگ احد و جنگ‌هاى بعد كه در سال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مداين رحلت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ابوقُتادة بن رَبْعى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احديون كه در سال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مدينه از دنيا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عمرو، معروف به ابومسعود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اواخر حكومت معاويه در مدينه از دنيا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ابوموسى اشعرى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كوفه از دنيا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 بن عازب بن حارث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خانه‌اى در كوفه داشت و در سال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مدينه از دنيا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عمّار از سوى عمر به كوفه گسيل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قُرظَة بن كَعب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زمان خلافت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كوفه از دنيا رفت و آن حضرت بر او نماز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خانه‌اى در كوفه در محله كِنده داشت و در سال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كوفه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زياد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بدريون بود و خانه‌اى در كوفه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شانزده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يزيد بن زيد حطمى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مدتى فرماندارى كوفه را از سوى ابن زبير به عهده داشت و در همين زمان در كوفه از دنيا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مُقَرَّن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خندق شركت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مُقَرَّن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مُقَرَّن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بيست و 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مُقَرَّن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بيست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عقيل 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خندق شركت داشت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بيست و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مدتى فرماندارى كوفه را در زمان معاويه به عهده داشت و در سال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همين سمت در كوفه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صلح حديبيه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عرفَطَه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سرداران سپاه سعد بن ابى‌وقاص و از رؤساى كوفه كه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اين شهر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اَوْفى بن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كوفه از دنيا رفت و آخرين صحابى بود كه در اين شهر رحلت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بن حاتم طايى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حاتم طايى و از ياران مخلص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مختار در كوفه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جمل نابينا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بيست و 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عبدالله بَجَلى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سال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كوفه از دنيا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بيست و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قيس بن مَعْدى كَرَب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ياران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و از گردانندگان اصلى جريان منتهى به حكميت بود و رياست قبيله كنده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جعده دختر او همسر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محمد در دستگاه عبيدالله بود و از كارگردانان اصلى دستگيرى حضرت مسلم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در زمان حكومت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از دنيا رفت و آن حضرت بر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حُرَيث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حالى‌كه پانزده سال داشت، در فتح مكه همراه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فتوحات به كوفه هجرت كرد و</w:t>
      </w:r>
    </w:p>
    <w:p>
      <w:pPr>
        <w:pStyle w:val="BookText"/>
        <w:rPr/>
      </w:pPr>
      <w:r>
        <w:rPr>
          <w:rFonts w:ascii="Amiri" w:hAnsi="Amiri" w:eastAsia="Amiri" w:cs="Amiri"/>
          <w:color w:val="111111"/>
          <w:sz w:val="28"/>
          <w:sz w:val="28"/>
          <w:szCs w:val="28"/>
          <w:rtl w:val="true"/>
          <w:lang w:bidi="ar-SA"/>
        </w:rPr>
        <w:t>در اين شهر از دنيا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يكى از ثروتمندترين و نيز يكى از اشراف كوفه بود كه در سال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اين شهر از دنيا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سى و 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سَمَرَة بن جُنادة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اين شهر از دنيا رفت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سى و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سَمَره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 او در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بنى‌سَوَأه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داشت و در سال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كوفه از دنيا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سى و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اُسَيد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حديبيه موفق به همراهى با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سى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عقبة بن ابى‌معيط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سى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ياران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جنگ‌هاى آن حضرت شركت داشت و در سال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زياد و درحالى‌كه از او فرارى بود،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زياد سر او به شام حمل گرديد و اين اولين سرى بود كه در اسلام از شهرى به شهر ديگر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سى و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صُرَد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در سال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درحالى‌كه رهبرى توابين را به عهده داشت به شهادت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سى و 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هانى بن اَوْس اَسْلَمى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فرماندارى مُغيره از دنيا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سى و 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حارثة بن وَهَب خُزاعى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سى و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وايل بن حُجَر حَضْرَمى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زمان حكومت معاويه از دنيا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عَسّال مُرادى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دوازده جنگ همراه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شريك ثَعْلَبى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يكى از راويان حديث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عَوْف بن نَضْلَة بن خَديج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شَمْر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مدتى سِمت فرماندارى يمن را از سوى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يزيد بن مَشْجَمه مِذْحَجى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از او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عَرْفَجَة بن شُرَيح اَشْجَعى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حديثى اهل‌سنت، مانند صحيح مسلم، سنن ابى‌داود و سنن نسايى از او حديث ذكر شده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و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مُضَرَّ بن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سران قوم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هَلَب بن يزيد بن عَدى طايى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ابو مِجْزَأة بن زاهر اسلمى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كسانى بود كه در حديبيه زير درخت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همراهان حكومت عمرو بن حمق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زمان حكومت معاويه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عُتْبَة بن ابى‌وقاص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برادر سعد بن ابى‌وقاص بود كه در فتح مكه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لُبَيد بن ربيعة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يك و پنجاه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 و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خالد اسدى كه ابن ماجه از آنها حديث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قيس اَشْجعى غَطْفانى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روايتى از قول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 بن حَكَم بن عَرفَطه ليثى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حنين همراه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ابى‌جُعد بارقى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مدتى قبل از شُريح از سوى عمر قاضى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عروه بارقى در بحث مكاسب فقه شيعه بسيار مورد بحث و گفت‌وگو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حديث‌سازان مشهور و قهرمان داستان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در مقابل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معاويه احاديثى در مذمت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سرانجام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هلاكت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عبدالله بن سفيان بَجَلى</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 و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مِخْنف بن سَليم بن حارث بن عَوّف 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لوط بن يحيى يكى از راويان روايات تاريخى از نسل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حَسّان بكرى ذُهَلى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ترمذى، نسايى و ابن‌ماجه در كتاب‌هاى حديثى خود از او حديث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ابى‌طارق اَحْمَسى از بُجَيلَه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نسايى از او حديث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شصت و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بن عَبدالحارث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صفين به شهادت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شصت و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قُطْبَة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صاحب صحيح مسلم از او روايت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شصت و 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 بن يزيد بن اَخْنَس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سال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دنيا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شصت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بن اَشْيم اَشجعى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ربيعه، معروف به ابو مريم سِلّولى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بيعت شجره همراه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جريان شهادت دادن بر انتساب زياد به ابوسفيان حضور داشت و به زناى ابوسفيان با مادر زياد شهادت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حَبَشى بن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جنگ‌هاى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شركت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و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دَكين بن سَعيد خَثْعَمى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اوتنها يك روايت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شصت و 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برمة بن معاويه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شصت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خَرْيم بن اَخْرَم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خريم بن اَيمن شاعر بود و در زمان حكومت معاويه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خندق همراه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 و در كوفه خانه‌اى براى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يعْلى بن مَرّة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جنگ‌هاى خيبر، طايف، حنين و بيعت رضوان و فتح مكه همراه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هفتاد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رُوَيمَه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ابى‌عقيل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كرده و تا زمان فرماندارى حجاج بر عراق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سرداران سپاه عراق بود كه در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همراه عياض بن غنم موصل را فتح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خالد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صفين همراه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 و تا هنگام حكومت حجاج زنده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هفتاد و 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عبدالله مُحارِبى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حديث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هفتاد و 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ابى‌شيخ مُحاربى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هفتاد و 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عُبَيد اشجعى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اهل صُفّه بود كه بعدها در كوفه خانه‌اى براى خود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جوامع روايى اهل‌سنت از او دو روايت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هفتاد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بن خَرْوَه اشجعى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فروه، عبدالرحمان و سحيم بود كه پسران او به نقل از او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نَعيم بن مسعود اشجعى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بن حَميد عَبَسى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ثَعْلَبة يرْبُوعى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سخنرانى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حجةالوداع شنيده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هشتاد و 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بن مالك سَعْدى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هشتاد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فَجيع بن عبدالله بن خَنْدزج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 بن شُمَير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كرده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هشتاد و 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بن اَبْجَر مُزَنى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در سنن ابى‌داود حديثى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هشتاد و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ابوهلال بن عمرو مُزَنى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اَغَرّ بن يسار مُزَنى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مهاجران بوده و 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بن يزيد بن نُهيك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شُريح قاضى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مالك، معروف به ابوسَبْرة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بعد از سال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دنيا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نود و 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مِسْوَر بن يزيد اسدى كاهلى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نود و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زَحْم بن مَعْبد سُدوسى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نود و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ابومالك نُمير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مالك به واسطه او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حَيان، معروف به ابورَمْثه تَيمى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جوامع روايى اهل‌سنت از او حديث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اُمَيّة فَزارى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خُزَيْمَة بن ثابت، مُكنا به ابوعماره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معروف به ذوالشهادتين بود و اين لقب را از سوى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كرده بود، ازاين‌رو گواهى او را به جاى دو گواهى قبول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همراه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w:t>
      </w:r>
    </w:p>
    <w:p>
      <w:pPr>
        <w:pStyle w:val="BookText"/>
        <w:rPr/>
      </w:pPr>
      <w:r>
        <w:rPr>
          <w:rFonts w:ascii="IRNazanin" w:hAnsi="IRNazanin" w:eastAsia="IRNazanin"/>
          <w:color w:val="111111"/>
          <w:sz w:val="28"/>
          <w:sz w:val="28"/>
          <w:szCs w:val="28"/>
          <w:rtl w:val="true"/>
          <w:lang w:bidi="fa-IR"/>
        </w:rPr>
        <w:t xml:space="preserve">آمد و در سال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جنگ صفين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بن جارية بن عامر بن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در باره او چنين گفته‌اند كه او تمام قرآن به جز يك يا دو سوره آن را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عبدالله و نوه‌اش عايذ در كربلا همراه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حكومت معاويه از دنيا رفت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نود و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وَديعة بن 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عمر خود در كوفه منزل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جبير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خُنيس بن سعد كه چهار سوى خنيس به نام او معروف شده بود، فرزند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جنگ احد همراه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سعد بن عباده يكى از رؤساى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ده سال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نمود و با ورود حضرت‌على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كوفه او نيز به اين شهر مهاجرت كرد و به سِمت رياست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 حضرت نايل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صفين شركت داشت و پس از آن، يكى از سرداران سپاه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وى در سال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حكومت عبدالملك از دنيا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 و 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در بخش خطيبان ياد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دست اهل حمص كشته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بن بَليل بن اُحَيْحَه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احد و جنگ‌هاى بعد از آن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خانه‌اى در محله جهينه در كوفه داشت و همراه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جنگ‌هاى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او در جنگ صفين به شهادت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 و 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بَليل بن اُحَيْحَه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انصار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ابى‌غَزْرَة بن عُمَير غفارى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كرده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و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عنوان كاتب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قادسيه شركت كرد و پس از آن در كوفه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از جنگ كناره گرفت و از كوفه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زمان حكومت معاويه، در قرقيساء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و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رياح بن ربيع بن صَيفى تَميمى، برادر حنظله فوق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و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بن سنان اشجعى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سپاه يزيد در واقعه حره به قتل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بن عُمَيْرة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كوفه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و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مِرْداس بن مالك اَسْلَمى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بيعت رضوان شركت داشته و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 و يازده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مِعْرض بن عُمَر بن اَسَد بن خُزَيْمَه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همان شاعر معروف به اُقَيشر بود كه در بخش شاعران از او ياد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 و 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ابوشَهيم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و سيزده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و 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ابوحريز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و پانزده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زمره فقها نيز شمرده‌اند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 و شانزده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سَيلان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 و هفده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ابوظَبْيَه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احاديث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كوفه براى مردم نقل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 و هجده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مُصْرَف امامى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 و نوزده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ابومَرْحب سُوَيد بن قيس عبدى يا محمد بن صفوان انصارى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 و بيست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حارث اَسدى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و بيست و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فَلْتان بن عاصم جَرُمى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و بيست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اَحْوَص جُشَمى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حجةالوداع حضور داشت و پسرش سليمان و دخترش أم جُنْدب ازديه، به واسطه او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 و بيست و 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نَفادة بن عبدالله بن خَلَف اسدى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 و بيست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مُسْتَوْرَد بن شَدّاد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محدثان كوفه بود كه كوفيان به واسطه او حديث نقل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اسكندريه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و بيست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تنها يك حديث از قول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 و بيست و 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خَنْبَش طايى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 و بيست و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عبدالله خُزاعى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بعضى از جنگ‌هاى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و بيست و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ابوكاهل اَحْمَسى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قيس بن عايذ يا عبدالله بن مالك بود كه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مى‌كرد و در زمان مختار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و بيست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خارجه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فتح مكه فرستاده ابوسفيان به سوى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 و 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صَنابِح بن اَعْسَر اَحْمَسى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 و سى و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ذو مُرّان بن اَفْلح بن شَراحيل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قبيله هَمْدان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همراه عده‌اى مسلمان شد،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براى او 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 و سى و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عبدالله، معروف به ابوجُيْحَفَه سوايى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سال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يا بعد از سال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دنيا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 و سى و 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زياد جُعْفى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بعد از سال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دنيا رفت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و سى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وايلة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او آخرين صحابى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و سى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روايتى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و سى و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نُعامه، معروف به ابومَوّدود ضَبّى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و سى و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بعضى از شعرايى كه صحابه نبوده‌اند، مانند ايمن بن خريم، جزء محدثان زمان مورد بحث نيز ذكر شده‌اند</w:t>
      </w:r>
      <w:r>
        <w:rPr>
          <w:rFonts w:eastAsia="IRNazanin" w:cs="IRNazanin"/>
          <w:color w:val="111111"/>
          <w:sz w:val="28"/>
          <w:szCs w:val="28"/>
          <w:rtl w:val="true"/>
          <w:lang w:bidi="fa-IR"/>
        </w:rPr>
        <w:t xml:space="preserve">. </w:t>
      </w:r>
      <w:r>
        <w:rPr>
          <w:rStyle w:val="FootnoteAnchor"/>
          <w:rtl w:val="true"/>
        </w:rPr>
        <w:footnoteReference w:id="1254"/>
      </w:r>
      <w:r>
        <w:rPr>
          <w:rFonts w:ascii="IRNazanin" w:hAnsi="IRNazanin" w:eastAsia="IRNazanin"/>
          <w:color w:val="111111"/>
          <w:sz w:val="28"/>
          <w:sz w:val="28"/>
          <w:szCs w:val="28"/>
          <w:rtl w:val="true"/>
          <w:lang w:bidi="fa-IR"/>
        </w:rPr>
        <w:t xml:space="preserve">اينها از تابعين، يعنى كسانى 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نكرده، بلكه ياران او را درك كرده‌اند،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تابعين محدث و فقيه مى‌توان از افرادى، همچون شريح قاضى، ابوعامر شعبى و سعيد بن جُبير ياد كرد كه همگى از شاگردان عبدالله بن مسعود بوده‌اند</w:t>
      </w:r>
      <w:r>
        <w:rPr>
          <w:rFonts w:eastAsia="IRNazanin" w:cs="IRNazanin"/>
          <w:color w:val="111111"/>
          <w:sz w:val="28"/>
          <w:szCs w:val="28"/>
          <w:rtl w:val="true"/>
          <w:lang w:bidi="fa-IR"/>
        </w:rPr>
        <w:t xml:space="preserve">. </w:t>
      </w:r>
      <w:r>
        <w:rPr>
          <w:rStyle w:val="FootnoteAnchor"/>
          <w:rtl w:val="true"/>
        </w:rPr>
        <w:footnoteReference w:id="1255"/>
      </w:r>
      <w:r>
        <w:rPr>
          <w:rFonts w:ascii="IRNazanin" w:hAnsi="IRNazanin" w:eastAsia="IRNazanin"/>
          <w:color w:val="111111"/>
          <w:sz w:val="28"/>
          <w:sz w:val="28"/>
          <w:szCs w:val="28"/>
          <w:rtl w:val="true"/>
          <w:lang w:bidi="fa-IR"/>
        </w:rPr>
        <w:t xml:space="preserve">همين‌طور ابوالأسود دُئِلى، شاگرد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واضع علم نحو را مى‌توان جزء انديشمندان كوفه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اعشى همدان شاعر نيز قبل از شهرت به شعر، به فقاهت شهرت يافته بود</w:t>
      </w:r>
      <w:r>
        <w:rPr>
          <w:rFonts w:eastAsia="IRNazanin" w:cs="IRNazanin"/>
          <w:color w:val="111111"/>
          <w:sz w:val="28"/>
          <w:szCs w:val="28"/>
          <w:rtl w:val="true"/>
          <w:lang w:bidi="fa-IR"/>
        </w:rPr>
        <w:t xml:space="preserve">.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در ميان ياران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كربلا نيز اسامى بعضى از محدثان و صحابه</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شَوْذَب بن عبدالله هَمْدانى شاكرى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حاملان حديث و از شاگردان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مى‌رفت، در كوفه مجلس حديث منعقد مى‌كرد و مردم از او استفاده مى‌نمودند</w:t>
      </w:r>
      <w:r>
        <w:rPr>
          <w:rFonts w:eastAsia="IRNazanin" w:cs="IRNazanin"/>
          <w:color w:val="111111"/>
          <w:sz w:val="28"/>
          <w:szCs w:val="28"/>
          <w:rtl w:val="true"/>
          <w:lang w:bidi="fa-IR"/>
        </w:rPr>
        <w:t xml:space="preserve">. </w:t>
      </w:r>
      <w:r>
        <w:rPr>
          <w:rStyle w:val="FootnoteAnchor"/>
          <w:rtl w:val="true"/>
        </w:rPr>
        <w:footnoteReference w:id="1257"/>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جَمَلى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حاملان حديث و قاريان قرآن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اصحاب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سه جنگ او شركت داشت</w:t>
      </w:r>
      <w:r>
        <w:rPr>
          <w:rFonts w:eastAsia="IRNazanin" w:cs="IRNazanin"/>
          <w:color w:val="111111"/>
          <w:sz w:val="28"/>
          <w:szCs w:val="28"/>
          <w:rtl w:val="true"/>
          <w:lang w:bidi="fa-IR"/>
        </w:rPr>
        <w:t xml:space="preserve">. </w:t>
      </w:r>
      <w:r>
        <w:rPr>
          <w:rStyle w:val="FootnoteAnchor"/>
          <w:rtl w:val="true"/>
        </w:rPr>
        <w:footnoteReference w:id="1258"/>
      </w:r>
      <w:bookmarkStart w:id="1468" w:name="pg1964_19824"/>
    </w:p>
    <w:p>
      <w:pPr>
        <w:pStyle w:val="BookText"/>
        <w:rPr/>
      </w:pPr>
      <w:bookmarkEnd w:id="1468"/>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حارث بن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يكى از صحابه و محدثان بود كه در باره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از قول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مى‌كرد و در كربلا به شهادت رسيد</w:t>
      </w:r>
      <w:r>
        <w:rPr>
          <w:rFonts w:eastAsia="IRNazanin" w:cs="IRNazanin"/>
          <w:color w:val="111111"/>
          <w:sz w:val="28"/>
          <w:szCs w:val="28"/>
          <w:rtl w:val="true"/>
          <w:lang w:bidi="fa-IR"/>
        </w:rPr>
        <w:t xml:space="preserve">. </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مظاهر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صحابه و از شاگردان حضرت‌على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حاملان علوم آن حضرت بود كه در كربلا به شهادت رسيد</w:t>
      </w:r>
      <w:r>
        <w:rPr>
          <w:rFonts w:eastAsia="IRNazanin" w:cs="IRNazanin"/>
          <w:color w:val="111111"/>
          <w:sz w:val="28"/>
          <w:szCs w:val="28"/>
          <w:rtl w:val="true"/>
          <w:lang w:bidi="fa-IR"/>
        </w:rPr>
        <w:t xml:space="preserve">. </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ياران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شعبى از او روايت نقل كرده است</w:t>
      </w:r>
      <w:r>
        <w:rPr>
          <w:rFonts w:eastAsia="IRNazanin" w:cs="IRNazanin"/>
          <w:color w:val="111111"/>
          <w:sz w:val="28"/>
          <w:szCs w:val="28"/>
          <w:rtl w:val="true"/>
          <w:lang w:bidi="fa-IR"/>
        </w:rPr>
        <w:t xml:space="preserve">. </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عَبْدرَبِّه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صحابه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ياران مخلص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262"/>
      </w:r>
    </w:p>
    <w:p>
      <w:pPr>
        <w:pStyle w:val="Heading3"/>
        <w:numPr>
          <w:ilvl w:val="2"/>
          <w:numId w:val="1"/>
        </w:numPr>
        <w:rPr/>
      </w:pPr>
      <w:bookmarkStart w:id="1469" w:name="__RefHeading___Toc3585669_3650668749"/>
      <w:bookmarkStart w:id="1470" w:name="_Toc631"/>
      <w:bookmarkEnd w:id="1469"/>
      <w:r>
        <w:rPr/>
        <w:t>٣</w:t>
      </w:r>
      <w:r>
        <w:rPr>
          <w:rtl w:val="true"/>
        </w:rPr>
        <w:t xml:space="preserve">. </w:t>
      </w:r>
      <w:r>
        <w:rPr>
          <w:rtl w:val="true"/>
        </w:rPr>
        <w:t>افسانه‌ها و اسطوره‌ها</w:t>
      </w:r>
      <w:bookmarkEnd w:id="1470"/>
    </w:p>
    <w:p>
      <w:pPr>
        <w:pStyle w:val="BookText"/>
        <w:rPr/>
      </w:pPr>
      <w:r>
        <w:rPr>
          <w:rFonts w:ascii="IRNazanin" w:hAnsi="IRNazanin" w:eastAsia="IRNazanin"/>
          <w:color w:val="111111"/>
          <w:sz w:val="28"/>
          <w:sz w:val="28"/>
          <w:szCs w:val="28"/>
          <w:rtl w:val="true"/>
          <w:lang w:bidi="fa-IR"/>
        </w:rPr>
        <w:t>قصه‌هاى رايج در ميان عرب عمدتاً مربوط به ايام عرب قبل از اسلام، جنگ‌هاى اعراب، زندگى شخصيت‌هاى قبايل مختلف و حماسه‌هاى پديد آمده در</w:t>
      </w:r>
    </w:p>
    <w:p>
      <w:pPr>
        <w:pStyle w:val="BookText"/>
        <w:rPr/>
      </w:pPr>
      <w:r>
        <w:rPr>
          <w:rFonts w:ascii="IRNazanin" w:hAnsi="IRNazanin" w:eastAsia="IRNazanin"/>
          <w:color w:val="111111"/>
          <w:sz w:val="28"/>
          <w:sz w:val="28"/>
          <w:szCs w:val="28"/>
          <w:rtl w:val="true"/>
          <w:lang w:bidi="fa-IR"/>
        </w:rPr>
        <w:t>ميان اعراب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حوادث بعد از اسلام، همانند جنگ‌هاى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جنگ‌هاى اعراب و ايرانيان و نيز قصه‌هاى مربوط به زندگى اقوام ديگر، مانند ايرانيان، روميان و حيريان نيز وجود داشته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اطلاعاتى از افسانه‌هاى رايج در ميان مردم كوفه به دست نيامد، اما از نصوص تاريخى مى‌توان وجود عده‌اى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مورد بحث،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قصه‌گويان در دربار خلفا و فرمانداران حضور داشته و با قصه‌هاى خود اسباب سرگرمى آنان را فراهم مى‌آوردند و احياناً به علم آنان مى‌افزودند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باره معاويه</w:t>
      </w:r>
    </w:p>
    <w:p>
      <w:pPr>
        <w:pStyle w:val="BookText"/>
        <w:rPr/>
      </w:pPr>
      <w:r>
        <w:rPr>
          <w:rFonts w:ascii="IRNazanin" w:hAnsi="IRNazanin" w:eastAsia="IRNazanin"/>
          <w:color w:val="111111"/>
          <w:sz w:val="28"/>
          <w:sz w:val="28"/>
          <w:szCs w:val="28"/>
          <w:rtl w:val="true"/>
          <w:lang w:bidi="fa-IR"/>
        </w:rPr>
        <w:t xml:space="preserve">چنين گفته شده است كه در دربار او قصه‌گوهايى بودند كه او را از اخبار و احوال امت‌هاى ديگر آگاه مى‌كردند و بدين‌منظور عبيد بن شربه كتابى با عنوان كتاب الملوك و اخبار الماضين؛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پادشاهان و خبرهاى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تأليف كرد</w:t>
      </w:r>
      <w:r>
        <w:rPr>
          <w:rFonts w:eastAsia="IRNazanin" w:cs="IRNazanin"/>
          <w:color w:val="111111"/>
          <w:sz w:val="28"/>
          <w:szCs w:val="28"/>
          <w:rtl w:val="true"/>
          <w:lang w:bidi="fa-IR"/>
        </w:rPr>
        <w:t xml:space="preserve">. </w:t>
      </w:r>
      <w:r>
        <w:rPr>
          <w:rStyle w:val="FootnoteAnchor"/>
          <w:rtl w:val="true"/>
        </w:rPr>
        <w:footnoteReference w:id="1263"/>
      </w:r>
      <w:r>
        <w:rPr>
          <w:rFonts w:ascii="IRNazanin" w:hAnsi="IRNazanin" w:eastAsia="IRNazanin"/>
          <w:color w:val="111111"/>
          <w:sz w:val="28"/>
          <w:sz w:val="28"/>
          <w:szCs w:val="28"/>
          <w:rtl w:val="true"/>
          <w:lang w:bidi="fa-IR"/>
        </w:rPr>
        <w:t>و نيز در دارالاماره كوفه در زمان وليد بن عقبه، ابوزُبَيد طايى و ديگر قصه‌گوها مجالس شب‌نشينى او را كارگردانى مى‌كردند و با قصه‌هاى خود وليد را سرگرم مى‌نمودند</w:t>
      </w:r>
      <w:r>
        <w:rPr>
          <w:rFonts w:eastAsia="IRNazanin" w:cs="IRNazanin"/>
          <w:color w:val="111111"/>
          <w:sz w:val="28"/>
          <w:szCs w:val="28"/>
          <w:rtl w:val="true"/>
          <w:lang w:bidi="fa-IR"/>
        </w:rPr>
        <w:t xml:space="preserve">. </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سرگرم نمودن مردم عادى يكى ديگر از كارهاى قصه‌گوهاى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مى‌توان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بعضى از نصوص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قصه‌گو را كه در بازار كوفه براى مردم قصه مى‌گفت به عنوان شاهد ذكر كرد</w:t>
      </w:r>
      <w:r>
        <w:rPr>
          <w:rFonts w:eastAsia="IRNazanin" w:cs="IRNazanin"/>
          <w:color w:val="111111"/>
          <w:sz w:val="28"/>
          <w:szCs w:val="28"/>
          <w:rtl w:val="true"/>
          <w:lang w:bidi="fa-IR"/>
        </w:rPr>
        <w:t xml:space="preserve">. </w:t>
      </w:r>
      <w:r>
        <w:rPr>
          <w:rStyle w:val="FootnoteAnchor"/>
          <w:rtl w:val="true"/>
        </w:rPr>
        <w:footnoteReference w:id="1265"/>
      </w:r>
      <w:r>
        <w:rPr>
          <w:rFonts w:ascii="IRNazanin" w:hAnsi="IRNazanin" w:eastAsia="IRNazanin"/>
          <w:color w:val="111111"/>
          <w:sz w:val="28"/>
          <w:sz w:val="28"/>
          <w:szCs w:val="28"/>
          <w:rtl w:val="true"/>
          <w:lang w:bidi="fa-IR"/>
        </w:rPr>
        <w:t>همين‌طور برخورد شديد آن حضرت با قصه‌گويى كه در مسجد قصه مى‌گفت، شاهد ديگرى بر مدعاست</w:t>
      </w:r>
      <w:r>
        <w:rPr>
          <w:rFonts w:eastAsia="IRNazanin" w:cs="IRNazanin"/>
          <w:color w:val="111111"/>
          <w:sz w:val="28"/>
          <w:szCs w:val="28"/>
          <w:rtl w:val="true"/>
          <w:lang w:bidi="fa-IR"/>
        </w:rPr>
        <w:t xml:space="preserve">. </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سومين و مهم‌ترين كار قصاصان شركت در جنگ‌ها و تشويق جنگاوران به</w:t>
      </w:r>
    </w:p>
    <w:p>
      <w:pPr>
        <w:pStyle w:val="BookText"/>
        <w:rPr/>
      </w:pPr>
      <w:r>
        <w:rPr>
          <w:rFonts w:ascii="IRNazanin" w:hAnsi="IRNazanin" w:eastAsia="IRNazanin"/>
          <w:color w:val="111111"/>
          <w:sz w:val="28"/>
          <w:sz w:val="28"/>
          <w:szCs w:val="28"/>
          <w:rtl w:val="true"/>
          <w:lang w:bidi="fa-IR"/>
        </w:rPr>
        <w:t>مبارزه و شجاعت، به وسيله قصه‌هاى حماسى خود بود كه در اين مورد مى‌توان از كسانى، همانند قيس بن هبيره اسدى، عاصم بن عمرو تَميمى، ربعى بن عامر و ربيع‌بن بلال سعدى در جنگ قادسيه و از افرادى، همچون صُخير بن حذيفه مَرّى و ابوالجويريه عَبْدى در جنگ توابين نام برد كه معمولاً اين صنف قَصّاص را فرماندهان لشكر و قهرمانان جنگ تشكيل مى‌دادند</w:t>
      </w:r>
      <w:r>
        <w:rPr>
          <w:rFonts w:eastAsia="IRNazanin" w:cs="IRNazanin"/>
          <w:color w:val="111111"/>
          <w:sz w:val="28"/>
          <w:szCs w:val="28"/>
          <w:rtl w:val="true"/>
          <w:lang w:bidi="fa-IR"/>
        </w:rPr>
        <w:t xml:space="preserve">. </w:t>
      </w:r>
      <w:r>
        <w:rPr>
          <w:rStyle w:val="FootnoteAnchor"/>
          <w:rtl w:val="true"/>
        </w:rPr>
        <w:footnoteReference w:id="1267"/>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بعضى مواقع، قاريان حاضر در جنگ نيز با ذكر آيات و توضيح آن، به تشويق و ترغيب جنگاوران مى‌پرداختند</w:t>
      </w:r>
      <w:r>
        <w:rPr>
          <w:rFonts w:eastAsia="IRNazanin" w:cs="IRNazanin"/>
          <w:color w:val="111111"/>
          <w:sz w:val="28"/>
          <w:szCs w:val="28"/>
          <w:rtl w:val="true"/>
          <w:lang w:bidi="fa-IR"/>
        </w:rPr>
        <w:t xml:space="preserve">. </w:t>
      </w:r>
      <w:r>
        <w:rPr>
          <w:rStyle w:val="FootnoteAnchor"/>
          <w:rtl w:val="true"/>
        </w:rPr>
        <w:footnoteReference w:id="1268"/>
      </w:r>
      <w:bookmarkStart w:id="1471" w:name="pg1964_19828"/>
    </w:p>
    <w:p>
      <w:pPr>
        <w:pStyle w:val="Heading3"/>
        <w:numPr>
          <w:ilvl w:val="2"/>
          <w:numId w:val="1"/>
        </w:numPr>
        <w:rPr/>
      </w:pPr>
      <w:bookmarkStart w:id="1472" w:name="__RefHeading___Toc3585671_3650668749"/>
      <w:bookmarkStart w:id="1473" w:name="_Toc632"/>
      <w:bookmarkEnd w:id="1471"/>
      <w:bookmarkEnd w:id="1472"/>
      <w:r>
        <w:rPr/>
        <w:t>۴</w:t>
      </w:r>
      <w:r>
        <w:rPr>
          <w:rtl w:val="true"/>
        </w:rPr>
        <w:t xml:space="preserve">. </w:t>
      </w:r>
      <w:r>
        <w:rPr>
          <w:rtl w:val="true"/>
        </w:rPr>
        <w:t>آداب قرائت قرآن</w:t>
      </w:r>
      <w:bookmarkEnd w:id="1473"/>
    </w:p>
    <w:p>
      <w:pPr>
        <w:pStyle w:val="Heading4"/>
        <w:numPr>
          <w:ilvl w:val="3"/>
          <w:numId w:val="1"/>
        </w:numPr>
        <w:rPr/>
      </w:pPr>
      <w:bookmarkStart w:id="1474" w:name="__RefHeading___Toc3585673_3650668749"/>
      <w:bookmarkStart w:id="1475" w:name="_Toc633"/>
      <w:bookmarkEnd w:id="1474"/>
      <w:r>
        <w:rPr>
          <w:rtl w:val="true"/>
        </w:rPr>
        <w:t>اشاره</w:t>
      </w:r>
      <w:bookmarkEnd w:id="1475"/>
    </w:p>
    <w:p>
      <w:pPr>
        <w:pStyle w:val="BookText"/>
        <w:rPr/>
      </w:pPr>
      <w:r>
        <w:rPr>
          <w:rFonts w:ascii="Amiri" w:hAnsi="Amiri" w:eastAsia="Amiri" w:cs="Amiri"/>
          <w:color w:val="111111"/>
          <w:sz w:val="28"/>
          <w:sz w:val="28"/>
          <w:szCs w:val="28"/>
          <w:rtl w:val="true"/>
          <w:lang w:bidi="ar-SA"/>
        </w:rPr>
        <w:t>بعضى از آداب قرائت قرآن كه از آيات و روايات مختلف مى‌توان به دست آورد، عبارت است از</w:t>
      </w:r>
      <w:r>
        <w:rPr>
          <w:rFonts w:eastAsia="Amiri" w:cs="Amiri" w:ascii="Amiri" w:hAnsi="Amiri"/>
          <w:color w:val="111111"/>
          <w:sz w:val="28"/>
          <w:szCs w:val="28"/>
          <w:rtl w:val="true"/>
          <w:lang w:bidi="ar-SA"/>
        </w:rPr>
        <w:t>:</w:t>
      </w:r>
    </w:p>
    <w:p>
      <w:pPr>
        <w:pStyle w:val="Heading4"/>
        <w:numPr>
          <w:ilvl w:val="3"/>
          <w:numId w:val="1"/>
        </w:numPr>
        <w:rPr/>
      </w:pPr>
      <w:bookmarkStart w:id="1476" w:name="__RefHeading___Toc3585675_3650668749"/>
      <w:bookmarkStart w:id="1477" w:name="_Toc634"/>
      <w:bookmarkEnd w:id="1476"/>
      <w:r>
        <w:rPr>
          <w:rtl w:val="true"/>
        </w:rPr>
        <w:t>الف</w:t>
      </w:r>
      <w:r>
        <w:rPr>
          <w:rtl w:val="true"/>
        </w:rPr>
        <w:t xml:space="preserve">) </w:t>
      </w:r>
      <w:r>
        <w:rPr>
          <w:rtl w:val="true"/>
        </w:rPr>
        <w:t>خواندن قرآن با صداى نيكو</w:t>
      </w:r>
      <w:bookmarkEnd w:id="1477"/>
    </w:p>
    <w:p>
      <w:pPr>
        <w:pStyle w:val="BookText"/>
        <w:rPr/>
      </w:pP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با صداى خود زينت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صداى نيكو، زينت قرآن است</w:t>
      </w:r>
      <w:r>
        <w:rPr>
          <w:rFonts w:eastAsia="IRNazanin" w:cs="IRNazanin"/>
          <w:color w:val="111111"/>
          <w:sz w:val="28"/>
          <w:szCs w:val="28"/>
          <w:rtl w:val="true"/>
          <w:lang w:bidi="fa-IR"/>
        </w:rPr>
        <w:t xml:space="preserve">» . </w:t>
      </w:r>
      <w:r>
        <w:rPr>
          <w:rStyle w:val="FootnoteAnchor"/>
          <w:rtl w:val="true"/>
        </w:rPr>
        <w:footnoteReference w:id="1269"/>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به صداى عرب‌ها و لغت آنها بخوانيد و با لحن فاسقان و نيز آن‌چنان‌كه مسيحيان و يهوديان كتاب‌هاى خود را مى‌خوانند، نخوانيد</w:t>
      </w:r>
      <w:r>
        <w:rPr>
          <w:rFonts w:eastAsia="IRNazanin" w:cs="IRNazanin"/>
          <w:color w:val="111111"/>
          <w:sz w:val="28"/>
          <w:szCs w:val="28"/>
          <w:rtl w:val="true"/>
          <w:lang w:bidi="fa-IR"/>
        </w:rPr>
        <w:t xml:space="preserve">» . </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در ميان اصحاب و قاريان كوفه بعضى همانند ابوموسى اشعرى، علقمة بن قيس و عبدالرحمان بن سائب به داشتن صداى نيكو هنگام قرائت قرآن مشهور بوده و مورد تشويق ديگران واقع مى‌شدند</w:t>
      </w:r>
      <w:r>
        <w:rPr>
          <w:rFonts w:eastAsia="IRNazanin" w:cs="IRNazanin"/>
          <w:color w:val="111111"/>
          <w:sz w:val="28"/>
          <w:szCs w:val="28"/>
          <w:rtl w:val="true"/>
          <w:lang w:bidi="fa-IR"/>
        </w:rPr>
        <w:t xml:space="preserve">. </w:t>
      </w:r>
      <w:r>
        <w:rPr>
          <w:rStyle w:val="FootnoteAnchor"/>
          <w:rtl w:val="true"/>
        </w:rPr>
        <w:footnoteReference w:id="1271"/>
      </w:r>
    </w:p>
    <w:p>
      <w:pPr>
        <w:pStyle w:val="Heading4"/>
        <w:numPr>
          <w:ilvl w:val="3"/>
          <w:numId w:val="1"/>
        </w:numPr>
        <w:rPr/>
      </w:pPr>
      <w:bookmarkStart w:id="1478" w:name="__RefHeading___Toc3585677_3650668749"/>
      <w:bookmarkStart w:id="1479" w:name="_Toc635"/>
      <w:bookmarkEnd w:id="1478"/>
      <w:r>
        <w:rPr>
          <w:rtl w:val="true"/>
        </w:rPr>
        <w:t>ب</w:t>
      </w:r>
      <w:r>
        <w:rPr>
          <w:rtl w:val="true"/>
        </w:rPr>
        <w:t xml:space="preserve">) </w:t>
      </w:r>
      <w:r>
        <w:rPr>
          <w:rtl w:val="true"/>
        </w:rPr>
        <w:t>پاكيزه كردن دهان</w:t>
      </w:r>
      <w:bookmarkEnd w:id="1479"/>
    </w:p>
    <w:p>
      <w:pPr>
        <w:pStyle w:val="BookText"/>
        <w:rPr/>
      </w:pPr>
      <w:r>
        <w:rPr>
          <w:rFonts w:ascii="IRNazanin" w:hAnsi="IRNazanin" w:eastAsia="IRNazanin"/>
          <w:color w:val="111111"/>
          <w:sz w:val="28"/>
          <w:sz w:val="28"/>
          <w:szCs w:val="28"/>
          <w:rtl w:val="true"/>
          <w:lang w:bidi="fa-IR"/>
        </w:rPr>
        <w:t xml:space="preserve">احاديثى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پاكيزه كردن دهان كه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به وسيله مسواك صادر شده است</w:t>
      </w:r>
      <w:r>
        <w:rPr>
          <w:rFonts w:eastAsia="IRNazanin" w:cs="IRNazanin"/>
          <w:color w:val="111111"/>
          <w:sz w:val="28"/>
          <w:szCs w:val="28"/>
          <w:rtl w:val="true"/>
          <w:lang w:bidi="fa-IR"/>
        </w:rPr>
        <w:t xml:space="preserve">. </w:t>
      </w:r>
      <w:r>
        <w:rPr>
          <w:rStyle w:val="FootnoteAnchor"/>
          <w:rtl w:val="true"/>
        </w:rPr>
        <w:footnoteReference w:id="1272"/>
      </w:r>
    </w:p>
    <w:p>
      <w:pPr>
        <w:pStyle w:val="Heading4"/>
        <w:numPr>
          <w:ilvl w:val="3"/>
          <w:numId w:val="1"/>
        </w:numPr>
        <w:rPr/>
      </w:pPr>
      <w:bookmarkStart w:id="1480" w:name="__RefHeading___Toc3585679_3650668749"/>
      <w:bookmarkStart w:id="1481" w:name="_Toc636"/>
      <w:bookmarkEnd w:id="1480"/>
      <w:r>
        <w:rPr>
          <w:rtl w:val="true"/>
        </w:rPr>
        <w:t>ج</w:t>
      </w:r>
      <w:r>
        <w:rPr>
          <w:rtl w:val="true"/>
        </w:rPr>
        <w:t xml:space="preserve">) </w:t>
      </w:r>
      <w:r>
        <w:rPr>
          <w:rtl w:val="true"/>
        </w:rPr>
        <w:t>استعاذه</w:t>
      </w:r>
      <w:bookmarkEnd w:id="148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استعاذه،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الشيطان الرجيم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عبارتى شبيه آن است كه بر پناه بردن به خدواند از شر شيطان دلالت كند</w:t>
      </w:r>
      <w:r>
        <w:rPr>
          <w:rFonts w:eastAsia="IRNazanin" w:cs="IRNazanin"/>
          <w:color w:val="111111"/>
          <w:sz w:val="28"/>
          <w:szCs w:val="28"/>
          <w:rtl w:val="true"/>
          <w:lang w:bidi="fa-IR"/>
        </w:rPr>
        <w:t xml:space="preserve">. </w:t>
      </w:r>
      <w:r>
        <w:rPr>
          <w:rStyle w:val="FootnoteAnchor"/>
          <w:rtl w:val="true"/>
        </w:rPr>
        <w:footnoteReference w:id="1273"/>
      </w:r>
      <w:r>
        <w:rPr>
          <w:rFonts w:ascii="IRNazanin" w:hAnsi="IRNazanin" w:eastAsia="IRNazanin"/>
          <w:color w:val="111111"/>
          <w:sz w:val="28"/>
          <w:sz w:val="28"/>
          <w:szCs w:val="28"/>
          <w:rtl w:val="true"/>
          <w:lang w:bidi="fa-IR"/>
        </w:rPr>
        <w:t>اصل در اين ادب، آيه قرآن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قَرَأْتَ الْقُرْآنَ فَاسْتَعِذْ بِاللهِ مِنَ الشَّيْطانِ الرَّجِيمِ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قرآن مى‌خوانى از شر شيطان رانده شده، به خداوند پناه ببر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bookmarkStart w:id="1482" w:name="pg1964_19830"/>
    </w:p>
    <w:p>
      <w:pPr>
        <w:pStyle w:val="Heading4"/>
        <w:numPr>
          <w:ilvl w:val="3"/>
          <w:numId w:val="1"/>
        </w:numPr>
        <w:rPr/>
      </w:pPr>
      <w:bookmarkStart w:id="1483" w:name="__RefHeading___Toc3585681_3650668749"/>
      <w:bookmarkStart w:id="1484" w:name="_Toc637"/>
      <w:bookmarkEnd w:id="1482"/>
      <w:bookmarkEnd w:id="1483"/>
      <w:r>
        <w:rPr>
          <w:rtl w:val="true"/>
        </w:rPr>
        <w:t>د</w:t>
      </w:r>
      <w:r>
        <w:rPr>
          <w:rtl w:val="true"/>
        </w:rPr>
        <w:t xml:space="preserve">) </w:t>
      </w:r>
      <w:r>
        <w:rPr>
          <w:rtl w:val="true"/>
        </w:rPr>
        <w:t>ترتيل</w:t>
      </w:r>
      <w:bookmarkEnd w:id="1484"/>
    </w:p>
    <w:p>
      <w:pPr>
        <w:pStyle w:val="BookText"/>
        <w:rPr/>
      </w:pPr>
      <w:r>
        <w:rPr>
          <w:rFonts w:ascii="IRNazanin" w:hAnsi="IRNazanin" w:eastAsia="IRNazanin"/>
          <w:color w:val="111111"/>
          <w:sz w:val="28"/>
          <w:sz w:val="28"/>
          <w:szCs w:val="28"/>
          <w:rtl w:val="true"/>
          <w:lang w:bidi="fa-IR"/>
        </w:rPr>
        <w:t>اصل در اين ادب، آيه قرآن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رَتِّلِ الْقُرْآنَ تَرْتِيلاً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با ترتيل بخوان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چنين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خوب بيان كن و همانند ريگ‌ها آن را پراكنده نكن و همچنان‌كه شعر را با شتاب مى‌خوانى، قرآن را باشتاب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عجايب قرآن برخورد مى‌نماييد، توقف كنيد و قلب‌هاى خود را با قرآن تحريك نماييد، و مبادا در فكر اتمام سوره باشيد</w:t>
      </w:r>
      <w:r>
        <w:rPr>
          <w:rFonts w:eastAsia="IRNazanin" w:cs="IRNazanin"/>
          <w:color w:val="111111"/>
          <w:sz w:val="28"/>
          <w:szCs w:val="28"/>
          <w:rtl w:val="true"/>
          <w:lang w:bidi="fa-IR"/>
        </w:rPr>
        <w:t xml:space="preserve">. </w:t>
      </w:r>
      <w:r>
        <w:rPr>
          <w:rStyle w:val="FootnoteAnchor"/>
          <w:rtl w:val="true"/>
        </w:rPr>
        <w:footnoteReference w:id="1274"/>
      </w:r>
    </w:p>
    <w:p>
      <w:pPr>
        <w:pStyle w:val="Heading4"/>
        <w:numPr>
          <w:ilvl w:val="3"/>
          <w:numId w:val="1"/>
        </w:numPr>
        <w:rPr/>
      </w:pPr>
      <w:bookmarkStart w:id="1485" w:name="__RefHeading___Toc3585683_3650668749"/>
      <w:bookmarkStart w:id="1486" w:name="_Toc638"/>
      <w:bookmarkEnd w:id="1485"/>
      <w:r>
        <w:rPr>
          <w:rtl w:val="true"/>
        </w:rPr>
        <w:t>ه</w:t>
      </w:r>
      <w:r>
        <w:rPr>
          <w:rtl w:val="true"/>
        </w:rPr>
        <w:t xml:space="preserve">) </w:t>
      </w:r>
      <w:r>
        <w:rPr>
          <w:rtl w:val="true"/>
        </w:rPr>
        <w:t>تدبّر</w:t>
      </w:r>
      <w:bookmarkEnd w:id="1486"/>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بدانيد قرائتى كه در آن تدبّر نباشد، خير ندارد</w:t>
      </w:r>
      <w:r>
        <w:rPr>
          <w:rFonts w:eastAsia="Amiri" w:cs="Amiri" w:ascii="Amiri" w:hAnsi="Amiri"/>
          <w:color w:val="111111"/>
          <w:sz w:val="28"/>
          <w:szCs w:val="28"/>
          <w:rtl w:val="true"/>
          <w:lang w:bidi="ar-SA"/>
        </w:rPr>
        <w:t xml:space="preserve">» . </w:t>
      </w:r>
      <w:r>
        <w:rPr>
          <w:rStyle w:val="FootnoteAnchor"/>
          <w:rtl w:val="true"/>
        </w:rPr>
        <w:footnoteReference w:id="1275"/>
      </w:r>
    </w:p>
    <w:p>
      <w:pPr>
        <w:pStyle w:val="Heading4"/>
        <w:numPr>
          <w:ilvl w:val="3"/>
          <w:numId w:val="1"/>
        </w:numPr>
        <w:rPr/>
      </w:pPr>
      <w:bookmarkStart w:id="1487" w:name="__RefHeading___Toc3585685_3650668749"/>
      <w:bookmarkStart w:id="1488" w:name="_Toc639"/>
      <w:bookmarkEnd w:id="1487"/>
      <w:r>
        <w:rPr>
          <w:rtl w:val="true"/>
        </w:rPr>
        <w:t>و</w:t>
      </w:r>
      <w:r>
        <w:rPr>
          <w:rtl w:val="true"/>
        </w:rPr>
        <w:t xml:space="preserve">) </w:t>
      </w:r>
      <w:r>
        <w:rPr>
          <w:rtl w:val="true"/>
        </w:rPr>
        <w:t>خشوع</w:t>
      </w:r>
      <w:bookmarkEnd w:id="1488"/>
    </w:p>
    <w:p>
      <w:pPr>
        <w:pStyle w:val="BookText"/>
        <w:rPr/>
      </w:pPr>
      <w:r>
        <w:rPr>
          <w:rFonts w:ascii="IRNazanin" w:hAnsi="IRNazanin" w:eastAsia="IRNazanin"/>
          <w:color w:val="111111"/>
          <w:sz w:val="28"/>
          <w:sz w:val="28"/>
          <w:szCs w:val="28"/>
          <w:rtl w:val="true"/>
          <w:lang w:bidi="fa-IR"/>
        </w:rPr>
        <w:t xml:space="preserve">در اين باره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چشمى كه هنگام خواندن قرآن گريان شود، در روز قيامت روشن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نيكوترين مردم از نظر قرائت قرآن آنانى هستند كه وقتى قرائت آنها را بشنوى خشيت آنان را از خداوند ببينى</w:t>
      </w:r>
      <w:r>
        <w:rPr>
          <w:rFonts w:eastAsia="IRNazanin" w:cs="IRNazanin"/>
          <w:color w:val="111111"/>
          <w:sz w:val="28"/>
          <w:szCs w:val="28"/>
          <w:rtl w:val="true"/>
          <w:lang w:bidi="fa-IR"/>
        </w:rPr>
        <w:t xml:space="preserve">» . </w:t>
      </w:r>
      <w:r>
        <w:rPr>
          <w:rStyle w:val="FootnoteAnchor"/>
          <w:rtl w:val="true"/>
        </w:rPr>
        <w:footnoteReference w:id="1276"/>
      </w:r>
    </w:p>
    <w:p>
      <w:pPr>
        <w:pStyle w:val="Heading4"/>
        <w:numPr>
          <w:ilvl w:val="3"/>
          <w:numId w:val="1"/>
        </w:numPr>
        <w:rPr/>
      </w:pPr>
      <w:bookmarkStart w:id="1489" w:name="__RefHeading___Toc3585687_3650668749"/>
      <w:bookmarkStart w:id="1490" w:name="_Toc640"/>
      <w:bookmarkEnd w:id="1489"/>
      <w:r>
        <w:rPr>
          <w:rtl w:val="true"/>
        </w:rPr>
        <w:t>ز</w:t>
      </w:r>
      <w:r>
        <w:rPr>
          <w:rtl w:val="true"/>
        </w:rPr>
        <w:t xml:space="preserve">) </w:t>
      </w:r>
      <w:r>
        <w:rPr>
          <w:rtl w:val="true"/>
        </w:rPr>
        <w:t>كسانى كه بهتر است قرآن نخوانند</w:t>
      </w:r>
      <w:bookmarkEnd w:id="149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دسته قرآن نمى‌خوانند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ركوع‌كننده در حال ركوع؛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سجودكننده در حال سجده؛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مستراح؛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حايض؛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بعضى از فقها و راويان حديث، اين را حمل بر كراهت نموده‌اند</w:t>
      </w:r>
      <w:r>
        <w:rPr>
          <w:rFonts w:eastAsia="IRNazanin" w:cs="IRNazanin"/>
          <w:color w:val="111111"/>
          <w:sz w:val="28"/>
          <w:szCs w:val="28"/>
          <w:rtl w:val="true"/>
          <w:lang w:bidi="fa-IR"/>
        </w:rPr>
        <w:t xml:space="preserve">. </w:t>
      </w:r>
      <w:r>
        <w:rPr>
          <w:rStyle w:val="FootnoteAnchor"/>
          <w:rtl w:val="true"/>
        </w:rPr>
        <w:footnoteReference w:id="1277"/>
      </w:r>
      <w:bookmarkStart w:id="1491" w:name="pg1964_19831"/>
    </w:p>
    <w:p>
      <w:pPr>
        <w:pStyle w:val="Heading4"/>
        <w:numPr>
          <w:ilvl w:val="3"/>
          <w:numId w:val="1"/>
        </w:numPr>
        <w:rPr/>
      </w:pPr>
      <w:bookmarkStart w:id="1492" w:name="__RefHeading___Toc3585689_3650668749"/>
      <w:bookmarkStart w:id="1493" w:name="_Toc641"/>
      <w:bookmarkEnd w:id="1491"/>
      <w:bookmarkEnd w:id="1492"/>
      <w:r>
        <w:rPr>
          <w:rtl w:val="true"/>
        </w:rPr>
        <w:t>قاريان قرآن</w:t>
      </w:r>
      <w:bookmarkEnd w:id="1493"/>
    </w:p>
    <w:p>
      <w:pPr>
        <w:pStyle w:val="BookText"/>
        <w:rPr/>
      </w:pPr>
      <w:r>
        <w:rPr>
          <w:rFonts w:ascii="IRNazanin" w:hAnsi="IRNazanin" w:eastAsia="IRNazanin"/>
          <w:color w:val="111111"/>
          <w:sz w:val="28"/>
          <w:sz w:val="28"/>
          <w:szCs w:val="28"/>
          <w:rtl w:val="true"/>
          <w:lang w:bidi="fa-IR"/>
        </w:rPr>
        <w:t>با بررسى تاريخ كوفه در مقطع مورد بحث درمى‌يابيم، كه اين شهر مملو از قاريان و حافظان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مطلب آن است كه تنها در جنگ صفين، جماعت قاريان، سه گروه به رهبرى عمار ياسر، قيس بن سعد و عبدالله بن بديل بودند كه تنها در گروه ابن‌بديل تعداد دويست يا سيصد نفر قارى وجود داشت</w:t>
      </w:r>
      <w:r>
        <w:rPr>
          <w:rFonts w:eastAsia="IRNazanin" w:cs="IRNazanin"/>
          <w:color w:val="111111"/>
          <w:sz w:val="28"/>
          <w:szCs w:val="28"/>
          <w:rtl w:val="true"/>
          <w:lang w:bidi="fa-IR"/>
        </w:rPr>
        <w:t xml:space="preserve">. </w:t>
      </w:r>
      <w:r>
        <w:rPr>
          <w:rStyle w:val="FootnoteAnchor"/>
          <w:rtl w:val="true"/>
        </w:rPr>
        <w:footnoteReference w:id="1278"/>
      </w:r>
      <w:r>
        <w:rPr>
          <w:rFonts w:ascii="IRNazanin" w:hAnsi="IRNazanin" w:eastAsia="IRNazanin"/>
          <w:color w:val="111111"/>
          <w:sz w:val="28"/>
          <w:sz w:val="28"/>
          <w:szCs w:val="28"/>
          <w:rtl w:val="true"/>
          <w:lang w:bidi="fa-IR"/>
        </w:rPr>
        <w:t xml:space="preserve">سپاه دوازده هزار نفرى خوارج كه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شدند با عنوان سپاه قراء شهرت يافت </w:t>
      </w:r>
      <w:r>
        <w:rPr>
          <w:rStyle w:val="FootnoteAnchor"/>
          <w:rtl w:val="true"/>
        </w:rPr>
        <w:footnoteReference w:id="1279"/>
      </w:r>
      <w:r>
        <w:rPr>
          <w:rFonts w:ascii="Amiri" w:hAnsi="Amiri" w:eastAsia="Amiri" w:cs="Amiri"/>
          <w:color w:val="111111"/>
          <w:sz w:val="28"/>
          <w:sz w:val="28"/>
          <w:szCs w:val="28"/>
          <w:rtl w:val="true"/>
          <w:lang w:bidi="ar-SA"/>
        </w:rPr>
        <w:t>زيرا بيشتر آنان را قاريان تشكيل مى‌دادند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اينجا تنها از كسانى ياد مى‌شود كه در كتاب‌هاى مختلف تاريخى از آنان به عنوان قارى ياد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قرآنى كه هم اكنون بين مسلمانان متداول است، به روايت حفص از عاصم از ابوعبدالرحمان از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از قرائت‌هاى</w:t>
      </w:r>
    </w:p>
    <w:p>
      <w:pPr>
        <w:pStyle w:val="BookText"/>
        <w:rPr/>
      </w:pPr>
      <w:r>
        <w:rPr>
          <w:rFonts w:ascii="IRNazanin" w:hAnsi="IRNazanin" w:eastAsia="IRNazanin"/>
          <w:color w:val="111111"/>
          <w:sz w:val="28"/>
          <w:sz w:val="28"/>
          <w:szCs w:val="28"/>
          <w:rtl w:val="true"/>
          <w:lang w:bidi="fa-IR"/>
        </w:rPr>
        <w:t>هفت‌گانه يا ده‌گانه يا چهارگانه، اين تنها قرائتى است كه سندش به آن حضرت مى‌رسد</w:t>
      </w:r>
      <w:r>
        <w:rPr>
          <w:rFonts w:eastAsia="IRNazanin" w:cs="IRNazanin"/>
          <w:color w:val="111111"/>
          <w:sz w:val="28"/>
          <w:szCs w:val="28"/>
          <w:rtl w:val="true"/>
          <w:lang w:bidi="fa-IR"/>
        </w:rPr>
        <w:t xml:space="preserve">. </w:t>
      </w:r>
      <w:r>
        <w:rPr>
          <w:rStyle w:val="FootnoteAnchor"/>
          <w:rtl w:val="true"/>
        </w:rPr>
        <w:footnoteReference w:id="12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ابوعبدالرحمان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قرائت قرآن را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 و به عاصم تعليم داد</w:t>
      </w:r>
      <w:r>
        <w:rPr>
          <w:rFonts w:eastAsia="IRNazanin" w:cs="IRNazanin"/>
          <w:color w:val="111111"/>
          <w:sz w:val="28"/>
          <w:szCs w:val="28"/>
          <w:rtl w:val="true"/>
          <w:lang w:bidi="fa-IR"/>
        </w:rPr>
        <w:t xml:space="preserve">. </w:t>
      </w:r>
      <w:r>
        <w:rPr>
          <w:rStyle w:val="FootnoteAnchor"/>
          <w:rtl w:val="true"/>
        </w:rPr>
        <w:footnoteReference w:id="12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مسعود هُذَلى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او به عنوان قارى و فقيه ياد شده است </w:t>
      </w:r>
      <w:r>
        <w:rPr>
          <w:rStyle w:val="FootnoteAnchor"/>
          <w:rtl w:val="true"/>
        </w:rPr>
        <w:footnoteReference w:id="1282"/>
      </w:r>
      <w:r>
        <w:rPr>
          <w:rFonts w:ascii="Amiri" w:hAnsi="Amiri" w:eastAsia="Amiri" w:cs="Amiri"/>
          <w:color w:val="111111"/>
          <w:sz w:val="28"/>
          <w:sz w:val="28"/>
          <w:szCs w:val="28"/>
          <w:rtl w:val="true"/>
          <w:lang w:bidi="ar-SA"/>
        </w:rPr>
        <w:t>كه تعليم قرآن را در كوفه به عهده داشت</w:t>
      </w:r>
      <w:r>
        <w:rPr>
          <w:rFonts w:eastAsia="Amiri" w:cs="Amiri" w:ascii="Amiri" w:hAnsi="Amiri"/>
          <w:color w:val="111111"/>
          <w:sz w:val="28"/>
          <w:szCs w:val="28"/>
          <w:rtl w:val="true"/>
          <w:lang w:bidi="ar-SA"/>
        </w:rPr>
        <w:t xml:space="preserve">. </w:t>
      </w:r>
      <w:r>
        <w:rPr>
          <w:rStyle w:val="FootnoteAnchor"/>
          <w:rtl w:val="true"/>
        </w:rPr>
        <w:footnoteReference w:id="1283"/>
      </w:r>
      <w:r>
        <w:rPr>
          <w:rFonts w:ascii="IRNazanin" w:hAnsi="IRNazanin" w:eastAsia="IRNazanin"/>
          <w:color w:val="111111"/>
          <w:sz w:val="28"/>
          <w:sz w:val="28"/>
          <w:szCs w:val="28"/>
          <w:rtl w:val="true"/>
          <w:lang w:bidi="fa-IR"/>
        </w:rPr>
        <w:t>او داراى مُصحفى خاص بود كه در ترتيب بعضى از سوره‌ها و نيز در بعضى از آيات با قرآن‌هاى ديگر اختلاف داشت</w:t>
      </w:r>
      <w:r>
        <w:rPr>
          <w:rFonts w:eastAsia="IRNazanin" w:cs="IRNazanin"/>
          <w:color w:val="111111"/>
          <w:sz w:val="28"/>
          <w:szCs w:val="28"/>
          <w:rtl w:val="true"/>
          <w:lang w:bidi="fa-IR"/>
        </w:rPr>
        <w:t xml:space="preserve">. </w:t>
      </w:r>
      <w:r>
        <w:rPr>
          <w:rStyle w:val="FootnoteAnchor"/>
          <w:rtl w:val="true"/>
        </w:rPr>
        <w:footnoteReference w:id="1284"/>
      </w:r>
      <w:r>
        <w:rPr>
          <w:rFonts w:ascii="Amiri" w:hAnsi="Amiri" w:eastAsia="Amiri" w:cs="Amiri"/>
          <w:color w:val="111111"/>
          <w:sz w:val="28"/>
          <w:sz w:val="28"/>
          <w:szCs w:val="28"/>
          <w:rtl w:val="true"/>
          <w:lang w:bidi="ar-SA"/>
        </w:rPr>
        <w:t xml:space="preserve">عبدالله بن مسعود يكى از اصحاب بود كه با يكى كردن قرآن در زمان عثمان مخالفت ورزيد </w:t>
      </w:r>
      <w:r>
        <w:rPr>
          <w:rStyle w:val="FootnoteAnchor"/>
          <w:rtl w:val="true"/>
        </w:rPr>
        <w:footnoteReference w:id="12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ازاين‌رو قرآن خود را تحويل نداد و قرآن او به نام او باقى ماند</w:t>
      </w:r>
      <w:r>
        <w:rPr>
          <w:rFonts w:eastAsia="Amiri" w:cs="Amiri" w:ascii="Amiri" w:hAnsi="Amiri"/>
          <w:color w:val="111111"/>
          <w:sz w:val="28"/>
          <w:szCs w:val="28"/>
          <w:rtl w:val="true"/>
          <w:lang w:bidi="ar-SA"/>
        </w:rPr>
        <w:t xml:space="preserve">. </w:t>
      </w:r>
      <w:r>
        <w:rPr>
          <w:rStyle w:val="FootnoteAnchor"/>
          <w:rtl w:val="true"/>
        </w:rPr>
        <w:footnoteReference w:id="1286"/>
      </w:r>
      <w:r>
        <w:rPr>
          <w:rFonts w:ascii="Amiri" w:hAnsi="Amiri" w:eastAsia="Amiri" w:cs="Amiri"/>
          <w:color w:val="111111"/>
          <w:sz w:val="28"/>
          <w:sz w:val="28"/>
          <w:szCs w:val="28"/>
          <w:rtl w:val="true"/>
          <w:lang w:bidi="ar-SA"/>
        </w:rPr>
        <w:t xml:space="preserve">او در سال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مدينه از دنيا رفت</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 بن حُبَيش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ابن‌مسعود بود و از سبك او در تلاوت قرآن پيروى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قارى مشهور علاوه بر تلمّذ نزد ابوعبدالرحمان سلمى نزد زرّ نيز شاگردى مى‌كرد</w:t>
      </w:r>
      <w:r>
        <w:rPr>
          <w:rFonts w:eastAsia="IRNazanin" w:cs="IRNazanin"/>
          <w:color w:val="111111"/>
          <w:sz w:val="28"/>
          <w:szCs w:val="28"/>
          <w:rtl w:val="true"/>
          <w:lang w:bidi="fa-IR"/>
        </w:rPr>
        <w:t xml:space="preserve">. </w:t>
      </w:r>
      <w:r>
        <w:rPr>
          <w:rStyle w:val="FootnoteAnchor"/>
          <w:rtl w:val="true"/>
        </w:rPr>
        <w:footnoteReference w:id="12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ياسر، عبدالله بن بديل، قيس بن سعد كه قبلاً يادآور شديم اين سه تن، فرماندهان گروه‌هاى قاريان در جنگ صفين بودند</w:t>
      </w:r>
      <w:r>
        <w:rPr>
          <w:rFonts w:eastAsia="IRNazanin" w:cs="IRNazanin"/>
          <w:color w:val="111111"/>
          <w:sz w:val="28"/>
          <w:szCs w:val="28"/>
          <w:rtl w:val="true"/>
          <w:lang w:bidi="fa-IR"/>
        </w:rPr>
        <w:t xml:space="preserve">. </w:t>
      </w:r>
      <w:r>
        <w:rPr>
          <w:rStyle w:val="FootnoteAnchor"/>
          <w:rtl w:val="true"/>
        </w:rPr>
        <w:footnoteReference w:id="128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كميل بن زياد،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اشتر،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حُرقوص بن هبيره،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بن اوفى،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مكفّف،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صوحان،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w:t>
      </w:r>
    </w:p>
    <w:p>
      <w:pPr>
        <w:pStyle w:val="BookText"/>
        <w:rPr/>
      </w:pP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هشت نفر كسانى هستند كه صاحب الاغانى از آنان به عنوان قاريانى نام مى‌برد كه در سال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سعيد بن عاص، والى كوفه از طرف عثمان، اعتراض كردند و به امر عثمان به شام تبعيد شدند</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بن 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يادآور شديم كه درباره او گفته‌اند كه همه قرآن غير از يك يا دو سوره آن را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كرد</w:t>
      </w:r>
      <w:r>
        <w:rPr>
          <w:rFonts w:eastAsia="IRNazanin" w:cs="IRNazanin"/>
          <w:color w:val="111111"/>
          <w:sz w:val="28"/>
          <w:szCs w:val="28"/>
          <w:rtl w:val="true"/>
          <w:lang w:bidi="fa-IR"/>
        </w:rPr>
        <w:t xml:space="preserve">. </w:t>
      </w:r>
      <w:r>
        <w:rPr>
          <w:rStyle w:val="FootnoteAnchor"/>
          <w:rtl w:val="true"/>
        </w:rPr>
        <w:footnoteReference w:id="129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وَهَب راسِبى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يكى از سران خوارج بود كه در جنگ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هلاكت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هلاكتش از او به عنوان قارى ياد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مُسَغَر بن فَدَكى تَميمى،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حصين طايى سُنْبُسى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قارى نيز از قاريان خوارج و رهبران آنان بودند</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عاصم بن عبدالله اَزْدى،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عَياش بن خازم هَمْدانى ثورى،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 بن هَديج هَمْدانى فاسيشى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تن از سران ياران مختار كه به عنوان حافظان قرآن معرفى شده‌اند</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اَنَس اَسَدى،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اَحْمر بن شُمَيط اَحْمسى،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كامل،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عَوْف نهدى،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سايب بن مالك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از سران سپاه مختار كه شعبى آنها را سروران قاريان و بزرگان شهر معرفى كرده است</w:t>
      </w:r>
      <w:r>
        <w:rPr>
          <w:rFonts w:eastAsia="IRNazanin" w:cs="IRNazanin"/>
          <w:color w:val="111111"/>
          <w:sz w:val="28"/>
          <w:szCs w:val="28"/>
          <w:rtl w:val="true"/>
          <w:lang w:bidi="fa-IR"/>
        </w:rPr>
        <w:t xml:space="preserve">. </w:t>
      </w:r>
      <w:r>
        <w:rPr>
          <w:rStyle w:val="FootnoteAnchor"/>
          <w:rtl w:val="true"/>
        </w:rPr>
        <w:footnoteReference w:id="1294"/>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الاَعْلى بن يزيد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اصحاب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شيعيان مخلص بود كه بعد از شكست نهضت حضرت مسلم، به دست عبيدالله به شهادت رسيد</w:t>
      </w:r>
      <w:r>
        <w:rPr>
          <w:rFonts w:eastAsia="IRNazanin" w:cs="IRNazanin"/>
          <w:color w:val="111111"/>
          <w:sz w:val="28"/>
          <w:szCs w:val="28"/>
          <w:rtl w:val="true"/>
          <w:lang w:bidi="fa-IR"/>
        </w:rPr>
        <w:t xml:space="preserve">. </w:t>
      </w:r>
      <w:r>
        <w:rPr>
          <w:rStyle w:val="FootnoteAnchor"/>
          <w:rtl w:val="true"/>
        </w:rPr>
        <w:footnoteReference w:id="1295"/>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هانى بن عُرْوَة مرادى مِذْحَجى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از اصحاب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قاريان</w:t>
      </w:r>
    </w:p>
    <w:p>
      <w:pPr>
        <w:pStyle w:val="BookText"/>
        <w:rPr/>
      </w:pPr>
      <w:r>
        <w:rPr>
          <w:rFonts w:ascii="IRNazanin" w:hAnsi="IRNazanin" w:eastAsia="IRNazanin"/>
          <w:color w:val="111111"/>
          <w:sz w:val="28"/>
          <w:sz w:val="28"/>
          <w:szCs w:val="28"/>
          <w:rtl w:val="true"/>
          <w:lang w:bidi="fa-IR"/>
        </w:rPr>
        <w:t>قرآن بود كه به جرم پناه دادن به حضرت مسلم و مقاومت در برابر عبيدالله بن زياد به دست او به شهادت رسيد</w:t>
      </w:r>
      <w:r>
        <w:rPr>
          <w:rFonts w:eastAsia="IRNazanin" w:cs="IRNazanin"/>
          <w:color w:val="111111"/>
          <w:sz w:val="28"/>
          <w:szCs w:val="28"/>
          <w:rtl w:val="true"/>
          <w:lang w:bidi="fa-IR"/>
        </w:rPr>
        <w:t xml:space="preserve">. </w:t>
      </w:r>
      <w:r>
        <w:rPr>
          <w:rStyle w:val="FootnoteAnchor"/>
          <w:rtl w:val="true"/>
        </w:rPr>
        <w:footnoteReference w:id="1296"/>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حُجر بن عدى كندى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به عنوان قارى معرفى شده است</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رَفاعة بن شَدّاد بَجَلى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سران سپاه توابين كه به عنوان سرور قاريان شهر كوفه معرفى شده است</w:t>
      </w:r>
      <w:r>
        <w:rPr>
          <w:rFonts w:eastAsia="IRNazanin" w:cs="IRNazanin"/>
          <w:color w:val="111111"/>
          <w:sz w:val="28"/>
          <w:szCs w:val="28"/>
          <w:rtl w:val="true"/>
          <w:lang w:bidi="fa-IR"/>
        </w:rPr>
        <w:t xml:space="preserve">. </w:t>
      </w:r>
      <w:r>
        <w:rPr>
          <w:rStyle w:val="FootnoteAnchor"/>
          <w:rtl w:val="true"/>
        </w:rPr>
        <w:footnoteReference w:id="1298"/>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عَلْقَمه،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اَسْوَء،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مسروق،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عُبَيْدَة بن شَرَحْبيل،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قيس،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بن خِيثَم،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ميمون،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بن فُضَيْله،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ابوزَرْعة بن عمرو،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جُبير،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شَعْبى،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قرآن را از اصحاب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فرا گرفتند </w:t>
      </w:r>
      <w:r>
        <w:rPr>
          <w:rStyle w:val="FootnoteAnchor"/>
          <w:rtl w:val="true"/>
        </w:rPr>
        <w:footnoteReference w:id="1299"/>
      </w:r>
      <w:r>
        <w:rPr>
          <w:rFonts w:ascii="Amiri" w:hAnsi="Amiri" w:eastAsia="Amiri" w:cs="Amiri"/>
          <w:color w:val="111111"/>
          <w:sz w:val="28"/>
          <w:sz w:val="28"/>
          <w:szCs w:val="28"/>
          <w:rtl w:val="true"/>
          <w:lang w:bidi="ar-SA"/>
        </w:rPr>
        <w:t>، ازاين‌رو به عنوان تابعين كوفه معرفى شدند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لُبَيد بن رَبيعه عامرى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شاعران از او 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عنوان قارى را به او نسبت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تنى چند از اصحاب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شهداى كربلا به عنوان قارى معرفى شده‌اند كه اسامى آنان در ادامه آورده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بُرَير بن خُضَير هَمْدانى مشرفى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طايفه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از اصحاب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 مى‌رفت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كوفه از او با عنوان شيخ‌القراء، و سيد القراء ياد شده است</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حَصين قارى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در زيارت شهداى كربلا به عنوان قارى ياد شده است</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حَنْظَلَة بن اَسْعَد شَبامى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بنى‌شبام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طايفه‌اى از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فردى فصيح و قارى معرفى شده است</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 تركى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غلام آزاد شده حرث مِذْحجى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با صفات شجاع و قارى ياد شده است</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كَنانة بن عتيق تَغلبى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عنوان پهلوان و عابد و قارى ياد شده است</w:t>
      </w:r>
      <w:r>
        <w:rPr>
          <w:rFonts w:eastAsia="IRNazanin" w:cs="IRNazanin"/>
          <w:color w:val="111111"/>
          <w:sz w:val="28"/>
          <w:szCs w:val="28"/>
          <w:rtl w:val="true"/>
          <w:lang w:bidi="fa-IR"/>
        </w:rPr>
        <w:t xml:space="preserve">. </w:t>
      </w:r>
      <w:r>
        <w:rPr>
          <w:rStyle w:val="FootnoteAnchor"/>
          <w:rtl w:val="true"/>
        </w:rPr>
        <w:footnoteReference w:id="1304"/>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نافع بن هلال بن نافع جَمَلى مِذْحَجى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اصحاب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حاملان حديث و قاريان قرآن بود كه در جنگ‌هاى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شركت داشت</w:t>
      </w:r>
      <w:r>
        <w:rPr>
          <w:rFonts w:eastAsia="IRNazanin" w:cs="IRNazanin"/>
          <w:color w:val="111111"/>
          <w:sz w:val="28"/>
          <w:szCs w:val="28"/>
          <w:rtl w:val="true"/>
          <w:lang w:bidi="fa-IR"/>
        </w:rPr>
        <w:t xml:space="preserve">. </w:t>
      </w:r>
      <w:r>
        <w:rPr>
          <w:rStyle w:val="FootnoteAnchor"/>
          <w:rtl w:val="true"/>
        </w:rPr>
        <w:footnoteReference w:id="1305"/>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حبيب بن مظاهر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اصحاب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نوشته‌ها از او به عنوان قارى ياد شده است</w:t>
      </w:r>
      <w:r>
        <w:rPr>
          <w:rFonts w:eastAsia="IRNazanin" w:cs="IRNazanin"/>
          <w:color w:val="111111"/>
          <w:sz w:val="28"/>
          <w:szCs w:val="28"/>
          <w:rtl w:val="true"/>
          <w:lang w:bidi="fa-IR"/>
        </w:rPr>
        <w:t xml:space="preserve">. </w:t>
      </w:r>
      <w:r>
        <w:rPr>
          <w:rStyle w:val="FootnoteAnchor"/>
          <w:rtl w:val="true"/>
        </w:rPr>
        <w:footnoteReference w:id="1306"/>
      </w:r>
      <w:bookmarkStart w:id="1494" w:name="pg1964_19835"/>
    </w:p>
    <w:p>
      <w:pPr>
        <w:pStyle w:val="Heading3"/>
        <w:numPr>
          <w:ilvl w:val="2"/>
          <w:numId w:val="1"/>
        </w:numPr>
        <w:rPr/>
      </w:pPr>
      <w:bookmarkStart w:id="1495" w:name="__RefHeading___Toc3585691_3650668749"/>
      <w:bookmarkStart w:id="1496" w:name="_Toc642"/>
      <w:bookmarkEnd w:id="1494"/>
      <w:bookmarkEnd w:id="1495"/>
      <w:r>
        <w:rPr/>
        <w:t>۵</w:t>
      </w:r>
      <w:r>
        <w:rPr>
          <w:rtl w:val="true"/>
        </w:rPr>
        <w:t xml:space="preserve">. </w:t>
      </w:r>
      <w:r>
        <w:rPr>
          <w:rtl w:val="true"/>
        </w:rPr>
        <w:t>موسيقى و اعمال خلاف شرع رايج</w:t>
      </w:r>
      <w:bookmarkEnd w:id="1496"/>
    </w:p>
    <w:p>
      <w:pPr>
        <w:pStyle w:val="Heading4"/>
        <w:numPr>
          <w:ilvl w:val="3"/>
          <w:numId w:val="1"/>
        </w:numPr>
        <w:rPr/>
      </w:pPr>
      <w:bookmarkStart w:id="1497" w:name="__RefHeading___Toc3585693_3650668749"/>
      <w:bookmarkStart w:id="1498" w:name="_Toc643"/>
      <w:bookmarkEnd w:id="1497"/>
      <w:r>
        <w:rPr>
          <w:rtl w:val="true"/>
        </w:rPr>
        <w:t>الف</w:t>
      </w:r>
      <w:r>
        <w:rPr>
          <w:rtl w:val="true"/>
        </w:rPr>
        <w:t xml:space="preserve">) </w:t>
      </w:r>
      <w:r>
        <w:rPr>
          <w:rtl w:val="true"/>
        </w:rPr>
        <w:t>موسيقى</w:t>
      </w:r>
      <w:bookmarkEnd w:id="1498"/>
    </w:p>
    <w:p>
      <w:pPr>
        <w:pStyle w:val="BookText"/>
        <w:rPr/>
      </w:pPr>
      <w:r>
        <w:rPr>
          <w:rFonts w:ascii="Amiri" w:hAnsi="Amiri" w:eastAsia="Amiri" w:cs="Amiri"/>
          <w:color w:val="111111"/>
          <w:sz w:val="28"/>
          <w:sz w:val="28"/>
          <w:szCs w:val="28"/>
          <w:rtl w:val="true"/>
          <w:lang w:bidi="ar-SA"/>
        </w:rPr>
        <w:t>موسيقى غنايى در دوران جاهليت و در نيمه اول قرن اول هجرت براى عرب‌ها ناشناخته بود</w:t>
      </w:r>
      <w:r>
        <w:rPr>
          <w:rFonts w:eastAsia="Amiri" w:cs="Amiri" w:ascii="Amiri" w:hAnsi="Amiri"/>
          <w:color w:val="111111"/>
          <w:sz w:val="28"/>
          <w:szCs w:val="28"/>
          <w:rtl w:val="true"/>
          <w:lang w:bidi="ar-SA"/>
        </w:rPr>
        <w:t xml:space="preserve">. </w:t>
      </w:r>
      <w:r>
        <w:rPr>
          <w:rStyle w:val="FootnoteAnchor"/>
          <w:rtl w:val="true"/>
        </w:rPr>
        <w:footnoteReference w:id="1307"/>
      </w:r>
      <w:r>
        <w:rPr>
          <w:rFonts w:ascii="Amiri" w:hAnsi="Amiri" w:eastAsia="Amiri" w:cs="Amiri"/>
          <w:color w:val="111111"/>
          <w:sz w:val="28"/>
          <w:sz w:val="28"/>
          <w:szCs w:val="28"/>
          <w:rtl w:val="true"/>
          <w:lang w:bidi="ar-SA"/>
        </w:rPr>
        <w:t>به نظر مى‌رسد در دهه اول نيمه دوم قرن 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وسيله سائب خاثر ايرانى، غلام عبدالله بن جعفر در مدينه رواج يافت</w:t>
      </w:r>
      <w:r>
        <w:rPr>
          <w:rFonts w:eastAsia="Amiri" w:cs="Amiri" w:ascii="Amiri" w:hAnsi="Amiri"/>
          <w:color w:val="111111"/>
          <w:sz w:val="28"/>
          <w:szCs w:val="28"/>
          <w:rtl w:val="true"/>
          <w:lang w:bidi="ar-SA"/>
        </w:rPr>
        <w:t xml:space="preserve">. </w:t>
      </w:r>
      <w:r>
        <w:rPr>
          <w:rStyle w:val="FootnoteAnchor"/>
          <w:rtl w:val="true"/>
        </w:rPr>
        <w:footnoteReference w:id="1308"/>
      </w:r>
      <w:r>
        <w:rPr>
          <w:rFonts w:ascii="Amiri" w:hAnsi="Amiri" w:eastAsia="Amiri" w:cs="Amiri"/>
          <w:color w:val="111111"/>
          <w:sz w:val="28"/>
          <w:sz w:val="28"/>
          <w:szCs w:val="28"/>
          <w:rtl w:val="true"/>
          <w:lang w:bidi="ar-SA"/>
        </w:rPr>
        <w:t xml:space="preserve">از آنجا كه عبدالله بن جعفر ملاقاتى با معاويه داشته و سائب خاثر را به او معرفى كرده است، مى‌توان رواج اين امر را در زمان حكومت معاويه، يعنى قبل از سال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 اين زمان اثرى از رواج اين نوع موسيقى در كوفه مشاهده نمى‌شود، بلكه مبدأ</w:t>
      </w:r>
    </w:p>
    <w:p>
      <w:pPr>
        <w:pStyle w:val="BookText"/>
        <w:rPr/>
      </w:pPr>
      <w:r>
        <w:rPr>
          <w:rFonts w:ascii="IRNazanin" w:hAnsi="IRNazanin" w:eastAsia="IRNazanin"/>
          <w:color w:val="111111"/>
          <w:sz w:val="28"/>
          <w:sz w:val="28"/>
          <w:szCs w:val="28"/>
          <w:rtl w:val="true"/>
          <w:lang w:bidi="fa-IR"/>
        </w:rPr>
        <w:t>آن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سائب خاثر در واقعه حره در سال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سپاهيان يزيد كشته شد</w:t>
      </w:r>
      <w:r>
        <w:rPr>
          <w:rFonts w:eastAsia="IRNazanin" w:cs="IRNazanin"/>
          <w:color w:val="111111"/>
          <w:sz w:val="28"/>
          <w:szCs w:val="28"/>
          <w:rtl w:val="true"/>
          <w:lang w:bidi="fa-IR"/>
        </w:rPr>
        <w:t xml:space="preserve">. </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چندى بعد طوَيس نيز در مدينه رواج بيشترى به اين امر داد</w:t>
      </w:r>
      <w:r>
        <w:rPr>
          <w:rFonts w:eastAsia="IRNazanin" w:cs="IRNazanin"/>
          <w:color w:val="111111"/>
          <w:sz w:val="28"/>
          <w:szCs w:val="28"/>
          <w:rtl w:val="true"/>
          <w:lang w:bidi="fa-IR"/>
        </w:rPr>
        <w:t xml:space="preserve">. </w:t>
      </w:r>
      <w:r>
        <w:rPr>
          <w:rStyle w:val="FootnoteAnchor"/>
          <w:rtl w:val="true"/>
        </w:rPr>
        <w:footnoteReference w:id="1310"/>
      </w:r>
      <w:r>
        <w:rPr>
          <w:rFonts w:ascii="IRNazanin" w:hAnsi="IRNazanin" w:eastAsia="IRNazanin"/>
          <w:color w:val="111111"/>
          <w:sz w:val="28"/>
          <w:sz w:val="28"/>
          <w:szCs w:val="28"/>
          <w:rtl w:val="true"/>
          <w:lang w:bidi="fa-IR"/>
        </w:rPr>
        <w:t>اما در مكه گفته شده است كه موسيقى از زمان حكومت ابن‌زبير در اين شهر به وسيله يك ايرانى آغاز شد</w:t>
      </w:r>
      <w:r>
        <w:rPr>
          <w:rFonts w:eastAsia="IRNazanin" w:cs="IRNazanin"/>
          <w:color w:val="111111"/>
          <w:sz w:val="28"/>
          <w:szCs w:val="28"/>
          <w:rtl w:val="true"/>
          <w:lang w:bidi="fa-IR"/>
        </w:rPr>
        <w:t xml:space="preserve">. </w:t>
      </w:r>
      <w:r>
        <w:rPr>
          <w:rStyle w:val="FootnoteAnchor"/>
          <w:rtl w:val="true"/>
        </w:rPr>
        <w:footnoteReference w:id="1311"/>
      </w:r>
      <w:r>
        <w:rPr>
          <w:rFonts w:ascii="Amiri" w:hAnsi="Amiri" w:eastAsia="Amiri" w:cs="Amiri"/>
          <w:color w:val="111111"/>
          <w:sz w:val="28"/>
          <w:sz w:val="28"/>
          <w:szCs w:val="28"/>
          <w:rtl w:val="true"/>
          <w:lang w:bidi="ar-SA"/>
        </w:rPr>
        <w:t>اما در شام، يزيد مغنيانى به دور خود جمع كرده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اينجا مى‌توان رواج موسيقى غنايى را در شام كه احتمالاً متأثر از روم بود، اثبات كرد</w:t>
      </w:r>
      <w:r>
        <w:rPr>
          <w:rFonts w:eastAsia="Amiri" w:cs="Amiri" w:ascii="Amiri" w:hAnsi="Amiri"/>
          <w:color w:val="111111"/>
          <w:sz w:val="28"/>
          <w:szCs w:val="28"/>
          <w:rtl w:val="true"/>
          <w:lang w:bidi="ar-SA"/>
        </w:rPr>
        <w:t xml:space="preserve">. </w:t>
      </w:r>
      <w:r>
        <w:rPr>
          <w:rStyle w:val="FootnoteAnchor"/>
          <w:rtl w:val="true"/>
        </w:rPr>
        <w:footnoteReference w:id="1312"/>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بدان معنا نيست كه آلات موسيقى براى مردم ناشناخته بود، بلكه مردم آنها را در سرتاسر مملكت اسلامى مى‌شناخته و احياناً استفاده‌هايى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كوچ اجبارى قبيله يهودى بنى‌نضير از مدينه در سال چهارم هجرت چنين آمده است كه آنها در حالى‌كه 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دايره زنگى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مى‌زدند و در مزمار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بوق 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مى‌دميدند و كنيزكان آنان آوازه‌خوانى مى‌نمودند، اين شهر را ترك مى‌كردند</w:t>
      </w:r>
      <w:r>
        <w:rPr>
          <w:rFonts w:eastAsia="IRNazanin" w:cs="IRNazanin"/>
          <w:color w:val="111111"/>
          <w:sz w:val="28"/>
          <w:szCs w:val="28"/>
          <w:rtl w:val="true"/>
          <w:lang w:bidi="fa-IR"/>
        </w:rPr>
        <w:t xml:space="preserve">. </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 xml:space="preserve">همچنين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مناهى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استعمال آلات موسيقى، همانند كُوبَه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نهى، بر شناخته شده بودن اين آلات و استعمال آن نزد عرب دلالت مى‌كند</w:t>
      </w:r>
      <w:r>
        <w:rPr>
          <w:rFonts w:eastAsia="IRNazanin" w:cs="IRNazanin"/>
          <w:color w:val="111111"/>
          <w:sz w:val="28"/>
          <w:szCs w:val="28"/>
          <w:rtl w:val="true"/>
          <w:lang w:bidi="fa-IR"/>
        </w:rPr>
        <w:t xml:space="preserve">. </w:t>
      </w:r>
      <w:r>
        <w:rPr>
          <w:rStyle w:val="FootnoteAnchor"/>
          <w:rtl w:val="true"/>
        </w:rPr>
        <w:footnoteReference w:id="1314"/>
      </w:r>
      <w:r>
        <w:rPr>
          <w:rFonts w:ascii="IRNazanin" w:hAnsi="IRNazanin" w:eastAsia="IRNazanin"/>
          <w:color w:val="111111"/>
          <w:sz w:val="28"/>
          <w:sz w:val="28"/>
          <w:szCs w:val="28"/>
          <w:rtl w:val="true"/>
          <w:lang w:bidi="fa-IR"/>
        </w:rPr>
        <w:t xml:space="preserve">همچنين نهى از استعمال كوبه و عرطبه از زبان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Style w:val="FootnoteAnchor"/>
          <w:rtl w:val="true"/>
        </w:rPr>
        <w:footnoteReference w:id="1315"/>
      </w:r>
      <w:r>
        <w:rPr>
          <w:rFonts w:ascii="Amiri" w:hAnsi="Amiri" w:eastAsia="Amiri" w:cs="Amiri"/>
          <w:color w:val="111111"/>
          <w:sz w:val="28"/>
          <w:sz w:val="28"/>
          <w:szCs w:val="28"/>
          <w:rtl w:val="true"/>
          <w:lang w:bidi="ar-SA"/>
        </w:rPr>
        <w:t>اين نهى، شايد بر رواج و استعمال آنها نزد كوفيان دلالت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قضاوت‌هاى شريح چنين آمده است كه او در مورد شخصى كه بربط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ديگرى را شكسته بود، حكم به تاوان نكرد</w:t>
      </w:r>
      <w:r>
        <w:rPr>
          <w:rFonts w:eastAsia="IRNazanin" w:cs="IRNazanin"/>
          <w:color w:val="111111"/>
          <w:sz w:val="28"/>
          <w:szCs w:val="28"/>
          <w:rtl w:val="true"/>
          <w:lang w:bidi="fa-IR"/>
        </w:rPr>
        <w:t xml:space="preserve">. </w:t>
      </w:r>
      <w:r>
        <w:rPr>
          <w:rStyle w:val="FootnoteAnchor"/>
          <w:rtl w:val="true"/>
        </w:rPr>
        <w:footnoteReference w:id="1316"/>
      </w:r>
      <w:r>
        <w:rPr>
          <w:rFonts w:ascii="Amiri" w:hAnsi="Amiri" w:eastAsia="Amiri" w:cs="Amiri"/>
          <w:color w:val="111111"/>
          <w:sz w:val="28"/>
          <w:sz w:val="28"/>
          <w:szCs w:val="28"/>
          <w:rtl w:val="true"/>
          <w:lang w:bidi="ar-SA"/>
        </w:rPr>
        <w:t>اين داستان بر استعمال</w:t>
      </w:r>
    </w:p>
    <w:p>
      <w:pPr>
        <w:pStyle w:val="BookText"/>
        <w:rPr/>
      </w:pPr>
      <w:r>
        <w:rPr>
          <w:rFonts w:ascii="IRNazanin" w:hAnsi="IRNazanin" w:eastAsia="IRNazanin"/>
          <w:color w:val="111111"/>
          <w:sz w:val="28"/>
          <w:sz w:val="28"/>
          <w:szCs w:val="28"/>
          <w:rtl w:val="true"/>
          <w:lang w:bidi="fa-IR"/>
        </w:rPr>
        <w:t>بربط از سوى كوفيان در زمان مورد بحث،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شهادت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نقل شده است كه كنيزكان قطامه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كه مشوق ابن‌ملجم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ابن‌ملجم با تار و مزمار و دايره زنگى و مِعْزَف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مى‌زدند و مى‌رقصيدند</w:t>
      </w:r>
      <w:r>
        <w:rPr>
          <w:rFonts w:eastAsia="IRNazanin" w:cs="IRNazanin"/>
          <w:color w:val="111111"/>
          <w:sz w:val="28"/>
          <w:szCs w:val="28"/>
          <w:rtl w:val="true"/>
          <w:lang w:bidi="fa-IR"/>
        </w:rPr>
        <w:t xml:space="preserve">. </w:t>
      </w:r>
      <w:r>
        <w:rPr>
          <w:rStyle w:val="FootnoteAnchor"/>
          <w:rtl w:val="true"/>
        </w:rPr>
        <w:footnoteReference w:id="1317"/>
      </w:r>
      <w:r>
        <w:rPr>
          <w:rFonts w:ascii="IRNazanin" w:hAnsi="IRNazanin" w:eastAsia="IRNazanin"/>
          <w:color w:val="111111"/>
          <w:sz w:val="28"/>
          <w:sz w:val="28"/>
          <w:szCs w:val="28"/>
          <w:rtl w:val="true"/>
          <w:lang w:bidi="fa-IR"/>
        </w:rPr>
        <w:t>اين گزارش بر فرض صحت، بر استعمال اين آلات نزد بعضى از كوفيان دلالت مى‌كند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قابل تذكر در پايان اين بحث آن است كه در ميان اعراب جاهلى و نيز پس از اسلام، نوعى آوازخوانى بدون آلات موسيقى رايج بود كه آن را براى تأثيرگذارى بر سرعت سير شتران مى‌خواندند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آوازه‌خوانى از سوى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 شد، چنان‌كه گفته شده است كه آن حضرت هنگام بازگشت از حجة الوداع، دو حادى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حدى‌خوان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يكى براء بن مالك كه براى مردان مى‌خواند و ديگرى انجشه اسود كه براى زنان مى‌خواند</w:t>
      </w:r>
      <w:r>
        <w:rPr>
          <w:rFonts w:eastAsia="IRNazanin" w:cs="IRNazanin"/>
          <w:color w:val="111111"/>
          <w:sz w:val="28"/>
          <w:szCs w:val="28"/>
          <w:rtl w:val="true"/>
          <w:lang w:bidi="fa-IR"/>
        </w:rPr>
        <w:t xml:space="preserve">. </w:t>
      </w:r>
      <w:r>
        <w:rPr>
          <w:rStyle w:val="FootnoteAnchor"/>
          <w:rtl w:val="true"/>
        </w:rPr>
        <w:footnoteReference w:id="1318"/>
      </w:r>
      <w:r>
        <w:rPr>
          <w:rFonts w:ascii="Amiri" w:hAnsi="Amiri" w:eastAsia="Amiri" w:cs="Amiri"/>
          <w:color w:val="111111"/>
          <w:sz w:val="28"/>
          <w:sz w:val="28"/>
          <w:szCs w:val="28"/>
          <w:rtl w:val="true"/>
          <w:lang w:bidi="ar-SA"/>
        </w:rPr>
        <w:t>بنابراين مى‌توان رواج اين نوع آوازه‌خوانى مشروع را در دوران مورد بحث، احتمال داد</w:t>
      </w:r>
      <w:r>
        <w:rPr>
          <w:rFonts w:eastAsia="Amiri" w:cs="Amiri" w:ascii="Amiri" w:hAnsi="Amiri"/>
          <w:color w:val="111111"/>
          <w:sz w:val="28"/>
          <w:szCs w:val="28"/>
          <w:rtl w:val="true"/>
          <w:lang w:bidi="ar-SA"/>
        </w:rPr>
        <w:t>.</w:t>
      </w:r>
      <w:bookmarkStart w:id="1499" w:name="pg1964_19837"/>
    </w:p>
    <w:p>
      <w:pPr>
        <w:pStyle w:val="Heading4"/>
        <w:numPr>
          <w:ilvl w:val="3"/>
          <w:numId w:val="1"/>
        </w:numPr>
        <w:rPr/>
      </w:pPr>
      <w:bookmarkStart w:id="1500" w:name="__RefHeading___Toc3585695_3650668749"/>
      <w:bookmarkStart w:id="1501" w:name="_Toc644"/>
      <w:bookmarkEnd w:id="1499"/>
      <w:bookmarkEnd w:id="1500"/>
      <w:r>
        <w:rPr>
          <w:rtl w:val="true"/>
        </w:rPr>
        <w:t>ب</w:t>
      </w:r>
      <w:r>
        <w:rPr>
          <w:rtl w:val="true"/>
        </w:rPr>
        <w:t xml:space="preserve">) </w:t>
      </w:r>
      <w:r>
        <w:rPr>
          <w:rtl w:val="true"/>
        </w:rPr>
        <w:t>مى‌خوارگى</w:t>
      </w:r>
      <w:bookmarkEnd w:id="1501"/>
    </w:p>
    <w:p>
      <w:pPr>
        <w:pStyle w:val="BookText"/>
        <w:rPr/>
      </w:pPr>
      <w:r>
        <w:rPr>
          <w:rFonts w:ascii="IRNazanin" w:hAnsi="IRNazanin" w:eastAsia="IRNazanin"/>
          <w:color w:val="111111"/>
          <w:sz w:val="28"/>
          <w:sz w:val="28"/>
          <w:szCs w:val="28"/>
          <w:rtl w:val="true"/>
          <w:lang w:bidi="fa-IR"/>
        </w:rPr>
        <w:t xml:space="preserve">به علت وجود نصارا در كوفه و ديرهاى اطراف آن، انواع شراب در اين شهر توليد مى‌شد كه در فصل اول هنگام ذكر ديرها از بعضى از آنها، مثل محله زاره نام برده شد كه محلى براى عياشى و مى‌خوارگى جوانان كوفه بود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سوزاند</w:t>
      </w:r>
      <w:r>
        <w:rPr>
          <w:rFonts w:eastAsia="IRNazanin" w:cs="IRNazanin"/>
          <w:color w:val="111111"/>
          <w:sz w:val="28"/>
          <w:szCs w:val="28"/>
          <w:rtl w:val="true"/>
          <w:lang w:bidi="fa-IR"/>
        </w:rPr>
        <w:t xml:space="preserve">. </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به نظر مى‌رسد مى‌خوارگى در كوفه از زمان خلافت عثمان رواج عمومى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در سال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وليد بن عقبه، فرماندار منصوب از سوى عثمان،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همراه ابوزبيد طائى، شاعر معروف، مجالس شراب‌خوارى تشكيل مى‌داد</w:t>
      </w:r>
      <w:r>
        <w:rPr>
          <w:rFonts w:eastAsia="Amiri" w:cs="Amiri" w:ascii="Amiri" w:hAnsi="Amiri"/>
          <w:color w:val="111111"/>
          <w:sz w:val="28"/>
          <w:szCs w:val="28"/>
          <w:rtl w:val="true"/>
          <w:lang w:bidi="ar-SA"/>
        </w:rPr>
        <w:t xml:space="preserve">. </w:t>
      </w:r>
      <w:r>
        <w:rPr>
          <w:rStyle w:val="FootnoteAnchor"/>
          <w:rtl w:val="true"/>
        </w:rPr>
        <w:footnoteReference w:id="1320"/>
      </w:r>
      <w:r>
        <w:rPr>
          <w:rFonts w:ascii="IRNazanin" w:hAnsi="IRNazanin" w:eastAsia="IRNazanin"/>
          <w:color w:val="111111"/>
          <w:sz w:val="28"/>
          <w:sz w:val="28"/>
          <w:szCs w:val="28"/>
          <w:rtl w:val="true"/>
          <w:lang w:bidi="fa-IR"/>
        </w:rPr>
        <w:t>وليد روزى نماز صبح را براى مردم كوفه از فرط مستى چهار ركعت خواند و در محراب مسجد، شراب استفراغ كرد و در نماز براى مردم اشعارى عاشقانه خواند</w:t>
      </w:r>
      <w:r>
        <w:rPr>
          <w:rFonts w:eastAsia="IRNazanin" w:cs="IRNazanin"/>
          <w:color w:val="111111"/>
          <w:sz w:val="28"/>
          <w:szCs w:val="28"/>
          <w:rtl w:val="true"/>
          <w:lang w:bidi="fa-IR"/>
        </w:rPr>
        <w:t xml:space="preserve">. </w:t>
      </w:r>
      <w:r>
        <w:rPr>
          <w:rStyle w:val="FootnoteAnchor"/>
          <w:rtl w:val="true"/>
        </w:rPr>
        <w:footnoteReference w:id="1321"/>
      </w:r>
      <w:r>
        <w:rPr>
          <w:rFonts w:ascii="IRNazanin" w:hAnsi="IRNazanin" w:eastAsia="IRNazanin"/>
          <w:color w:val="111111"/>
          <w:sz w:val="28"/>
          <w:sz w:val="28"/>
          <w:szCs w:val="28"/>
          <w:rtl w:val="true"/>
          <w:lang w:bidi="fa-IR"/>
        </w:rPr>
        <w:t xml:space="preserve">همين امر به عزل او و حدّ خوردنش در مدينه منجر شد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اجراى حدّ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ورود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ايشان به منظور مبارزه با مى‌خوارگى، هشتاد تازيانه براى هر مى‌خواره‌اى، اعم از مسلمان، يهودى، نصرانى و مجوسى و نيز آزاده و برده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حضرت در صورتى كه غير مسلمان آشكارا در ميان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خانه‌هاى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مى‌خوارگى مى‌كردند حد بر آنها جارى مى‌كرد </w:t>
      </w:r>
      <w:r>
        <w:rPr>
          <w:rStyle w:val="FootnoteAnchor"/>
          <w:rtl w:val="true"/>
        </w:rPr>
        <w:footnoteReference w:id="1322"/>
      </w:r>
      <w:r>
        <w:rPr>
          <w:rFonts w:ascii="Amiri" w:hAnsi="Amiri" w:eastAsia="Amiri" w:cs="Amiri"/>
          <w:color w:val="111111"/>
          <w:sz w:val="28"/>
          <w:sz w:val="28"/>
          <w:szCs w:val="28"/>
          <w:rtl w:val="true"/>
          <w:lang w:bidi="ar-SA"/>
        </w:rPr>
        <w:t>، حتى بر نجاشى شاعر كه از ياران خود او بود و در ماه مبارك رمضان شراب خورده بود، صد ضربه تازيانه وارد كرد كه بيست ضربه آن به سبب شكستن حرمت ماه مبارك بود</w:t>
      </w:r>
      <w:r>
        <w:rPr>
          <w:rFonts w:eastAsia="Amiri" w:cs="Amiri" w:ascii="Amiri" w:hAnsi="Amiri"/>
          <w:color w:val="111111"/>
          <w:sz w:val="28"/>
          <w:szCs w:val="28"/>
          <w:rtl w:val="true"/>
          <w:lang w:bidi="ar-SA"/>
        </w:rPr>
        <w:t xml:space="preserve">. </w:t>
      </w:r>
      <w:r>
        <w:rPr>
          <w:rStyle w:val="FootnoteAnchor"/>
          <w:rtl w:val="true"/>
        </w:rPr>
        <w:footnoteReference w:id="1323"/>
      </w:r>
      <w:r>
        <w:rPr>
          <w:rFonts w:ascii="IRNazanin" w:hAnsi="IRNazanin" w:eastAsia="IRNazanin"/>
          <w:color w:val="111111"/>
          <w:sz w:val="28"/>
          <w:sz w:val="28"/>
          <w:szCs w:val="28"/>
          <w:rtl w:val="true"/>
          <w:lang w:bidi="fa-IR"/>
        </w:rPr>
        <w:t>ايشان چنان با شدت عمل در اين مورد برخورد كرد كه حد قتل و كشتن را براى كسى كه در مرتبه سوم اقدام به شراب‌خوارى مى‌كرد، واجب نمود</w:t>
      </w:r>
      <w:r>
        <w:rPr>
          <w:rFonts w:eastAsia="IRNazanin" w:cs="IRNazanin"/>
          <w:color w:val="111111"/>
          <w:sz w:val="28"/>
          <w:szCs w:val="28"/>
          <w:rtl w:val="true"/>
          <w:lang w:bidi="fa-IR"/>
        </w:rPr>
        <w:t xml:space="preserve">. </w:t>
      </w:r>
      <w:r>
        <w:rPr>
          <w:rStyle w:val="FootnoteAnchor"/>
          <w:rtl w:val="true"/>
        </w:rPr>
        <w:footnoteReference w:id="1324"/>
      </w:r>
      <w:bookmarkStart w:id="1502" w:name="pg1964_19838"/>
    </w:p>
    <w:p>
      <w:pPr>
        <w:pStyle w:val="BookText"/>
        <w:rPr/>
      </w:pPr>
      <w:bookmarkEnd w:id="1502"/>
      <w:r>
        <w:rPr>
          <w:rFonts w:ascii="IRNazanin" w:hAnsi="IRNazanin" w:eastAsia="IRNazanin"/>
          <w:color w:val="111111"/>
          <w:sz w:val="28"/>
          <w:sz w:val="28"/>
          <w:szCs w:val="28"/>
          <w:rtl w:val="true"/>
          <w:lang w:bidi="fa-IR"/>
        </w:rPr>
        <w:t>گفتنى است در آن زمان نوعى شراب رايج بود كه از خرما گرفته مى‌شد و به آن نبيذ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مردم در آن زمان چنان بود كه اين شراب حلال است، اما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حرام دانسته و بر نوشنده آن همچون نوشنده شراب انگور حد جارى مى‌كرد</w:t>
      </w:r>
      <w:r>
        <w:rPr>
          <w:rFonts w:eastAsia="IRNazanin" w:cs="IRNazanin"/>
          <w:color w:val="111111"/>
          <w:sz w:val="28"/>
          <w:szCs w:val="28"/>
          <w:rtl w:val="true"/>
          <w:lang w:bidi="fa-IR"/>
        </w:rPr>
        <w:t xml:space="preserve">. </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 xml:space="preserve">اما با روى كار آمدن امويان مصرف شراب آن‌قدر رايج شد كه صناعتى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 النبيذ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همان‌گونه كه در بخش صناعات از آن ياد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w:t>
      </w:r>
      <w:r>
        <w:rPr>
          <w:rFonts w:eastAsia="IRNazanin" w:cs="IRNazanin"/>
          <w:color w:val="111111"/>
          <w:sz w:val="28"/>
          <w:szCs w:val="28"/>
          <w:rtl w:val="true"/>
          <w:lang w:bidi="fa-IR"/>
        </w:rPr>
        <w:t xml:space="preserve">. </w:t>
      </w:r>
      <w:r>
        <w:rPr>
          <w:rStyle w:val="FootnoteAnchor"/>
          <w:rtl w:val="true"/>
        </w:rPr>
        <w:footnoteReference w:id="1326"/>
      </w:r>
    </w:p>
    <w:p>
      <w:pPr>
        <w:pStyle w:val="Heading3"/>
        <w:numPr>
          <w:ilvl w:val="2"/>
          <w:numId w:val="1"/>
        </w:numPr>
        <w:rPr/>
      </w:pPr>
      <w:bookmarkStart w:id="1503" w:name="__RefHeading___Toc3585697_3650668749"/>
      <w:bookmarkStart w:id="1504" w:name="_Toc645"/>
      <w:bookmarkEnd w:id="1503"/>
      <w:r>
        <w:rPr/>
        <w:t>۶</w:t>
      </w:r>
      <w:r>
        <w:rPr>
          <w:rtl w:val="true"/>
        </w:rPr>
        <w:t xml:space="preserve">. </w:t>
      </w:r>
      <w:r>
        <w:rPr>
          <w:rtl w:val="true"/>
        </w:rPr>
        <w:t>كتابت و خط</w:t>
      </w:r>
      <w:bookmarkEnd w:id="1504"/>
    </w:p>
    <w:p>
      <w:pPr>
        <w:pStyle w:val="Heading4"/>
        <w:numPr>
          <w:ilvl w:val="3"/>
          <w:numId w:val="1"/>
        </w:numPr>
        <w:rPr/>
      </w:pPr>
      <w:bookmarkStart w:id="1505" w:name="__RefHeading___Toc3585699_3650668749"/>
      <w:bookmarkStart w:id="1506" w:name="_Toc646"/>
      <w:bookmarkEnd w:id="1505"/>
      <w:r>
        <w:rPr>
          <w:rtl w:val="true"/>
        </w:rPr>
        <w:t>الف</w:t>
      </w:r>
      <w:r>
        <w:rPr>
          <w:rtl w:val="true"/>
        </w:rPr>
        <w:t xml:space="preserve">) </w:t>
      </w:r>
      <w:r>
        <w:rPr>
          <w:rtl w:val="true"/>
        </w:rPr>
        <w:t>آداب نوشتن</w:t>
      </w:r>
      <w:bookmarkEnd w:id="1506"/>
    </w:p>
    <w:p>
      <w:pPr>
        <w:pStyle w:val="BookText"/>
        <w:rPr/>
      </w:pPr>
      <w:r>
        <w:rPr>
          <w:rFonts w:ascii="IRNazanin" w:hAnsi="IRNazanin" w:eastAsia="IRNazanin"/>
          <w:color w:val="111111"/>
          <w:sz w:val="28"/>
          <w:sz w:val="28"/>
          <w:szCs w:val="28"/>
          <w:rtl w:val="true"/>
          <w:lang w:bidi="fa-IR"/>
        </w:rPr>
        <w:t>با ظهور اسلام كتابت رشد چشم‌گيرى يافت و تعداد كاتبان و كسانى كه قدرت خواندن و نوشتن داشتند، روز افزون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دستوراتى،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قَيِّدُوا الْعِلْمَ بِالْكِتاب</w:t>
      </w:r>
      <w:r>
        <w:rPr>
          <w:rFonts w:eastAsia="IRNazanin" w:cs="IRNazanin"/>
          <w:color w:val="111111"/>
          <w:sz w:val="28"/>
          <w:szCs w:val="28"/>
          <w:rtl w:val="true"/>
          <w:lang w:bidi="fa-IR"/>
        </w:rPr>
        <w:t xml:space="preserve">» </w:t>
      </w:r>
      <w:r>
        <w:rPr>
          <w:rStyle w:val="FootnoteAnchor"/>
          <w:rtl w:val="true"/>
        </w:rPr>
        <w:footnoteReference w:id="1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به وسيله نوشتن در بند نماييد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فراگيرى نوشتن و استفاده از آن تشويق كرد و عوامل تسريع رشد كتابت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كلمات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سفارش‌هايى از آن دو بزرگوار در باره چگونه نوشتن وجود دارد كه مى‌توان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دستورات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بعضى از نويسندگان خود در باره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دوات، ليقه بگذار و قلم را كج نگه‌دار و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كشيده و بلند بنگار و دندانه‌هاى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مشخص بنويس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كور و تو پُر ننگار،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نيكو و زيبا بنگار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 بنگار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فراغت از</w:t>
      </w:r>
    </w:p>
    <w:p>
      <w:pPr>
        <w:pStyle w:val="BookText"/>
        <w:rPr/>
      </w:pP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را روى گوش چپ خود قرار بده؛ زيرا اين كار بهتر مى‌تواند تو را به قلم دسترسى داده و بدان يادآورت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زيد بن ثابت يكى از كاتبان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 كه 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مى‌نگارى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واضح و روشن بنويس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از ابن‌عباس چنين نقل شده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دندانه‌هاى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و برافراشته ننويس،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نپيوند و بدان نكشان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انس از پيامبر اكرم نقل مى‌كند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بسم‌الله‌الرحمن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مى‌نگارد،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كشيده بنويسد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از آن حضرت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بنگارد و آن را به منظور تعظيم خداوند با خط خوش و زيبا بنويسد، خداى متعال او را مورد رحمت و مغفرت خويش قرار مى‌دهد</w:t>
      </w:r>
      <w:r>
        <w:rPr>
          <w:rFonts w:eastAsia="IRNazanin" w:cs="IRNazanin"/>
          <w:color w:val="111111"/>
          <w:sz w:val="28"/>
          <w:szCs w:val="28"/>
          <w:rtl w:val="true"/>
          <w:lang w:bidi="fa-IR"/>
        </w:rPr>
        <w:t xml:space="preserve">» . </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انصارى، از قول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يكى از شما چيزى نوشته باشد، بايد بر آن خاك افشانى كند تا رطوبت مركب را بخشكاند؛ زيرا اين كار براى حفظ خط و نگاره، موفقيت آميزتر است</w:t>
      </w:r>
      <w:r>
        <w:rPr>
          <w:rFonts w:eastAsia="IRNazanin" w:cs="IRNazanin"/>
          <w:color w:val="111111"/>
          <w:sz w:val="28"/>
          <w:szCs w:val="28"/>
          <w:rtl w:val="true"/>
          <w:lang w:bidi="fa-IR"/>
        </w:rPr>
        <w:t xml:space="preserve">. </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كاتب خود عبيدالله بن ابى‌رافع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دوات، ليقه قرار بده و زبانه قلمت را دراز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مركب در آن روان و درست روى كاغذ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سطرها را گشادگير و حرف‌ها را نزديك هم بنويس كه اين روش براى زيبايى خط بسيار شايسته است</w:t>
      </w:r>
      <w:r>
        <w:rPr>
          <w:rFonts w:eastAsia="IRNazanin" w:cs="IRNazanin"/>
          <w:color w:val="111111"/>
          <w:sz w:val="28"/>
          <w:szCs w:val="28"/>
          <w:rtl w:val="true"/>
          <w:lang w:bidi="fa-IR"/>
        </w:rPr>
        <w:t xml:space="preserve">. </w:t>
      </w:r>
      <w:r>
        <w:rPr>
          <w:rStyle w:val="FootnoteAnchor"/>
          <w:rtl w:val="true"/>
        </w:rPr>
        <w:footnoteReference w:id="133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خطاب به فرمانداران و ديگر عمال خود اين دستورالعمل را صادر فرمود</w:t>
      </w:r>
      <w:r>
        <w:rPr>
          <w:rFonts w:eastAsia="IRNazanin" w:cs="IRNazanin"/>
          <w:color w:val="111111"/>
          <w:sz w:val="28"/>
          <w:szCs w:val="28"/>
          <w:rtl w:val="true"/>
          <w:lang w:bidi="fa-IR"/>
        </w:rPr>
        <w:t>:</w:t>
      </w:r>
      <w:bookmarkStart w:id="1507" w:name="pg1964_19840"/>
    </w:p>
    <w:p>
      <w:pPr>
        <w:pStyle w:val="BookText"/>
        <w:rPr/>
      </w:pPr>
      <w:bookmarkEnd w:id="1507"/>
      <w:r>
        <w:rPr>
          <w:rFonts w:ascii="IRNazanin" w:hAnsi="IRNazanin" w:eastAsia="IRNazanin"/>
          <w:color w:val="111111"/>
          <w:sz w:val="28"/>
          <w:sz w:val="28"/>
          <w:szCs w:val="28"/>
          <w:rtl w:val="true"/>
          <w:lang w:bidi="fa-IR"/>
        </w:rPr>
        <w:t>قلم‌هاى خود را تيز نماييد و سطرهاى نوشته‌هايتان را نزديك هم بنگاريد و هرگاه به من نامه مى‌نويسيد، حرف‌هاى اضافى را حذف نماييد و مقاصد اصلى را بنويسيد و از زياده‌نويسى بپرهيزيد؛ زيرا اموال مسلمانان تاب تحمل ضرر رساندن را ندارد</w:t>
      </w:r>
      <w:r>
        <w:rPr>
          <w:rFonts w:eastAsia="IRNazanin" w:cs="IRNazanin"/>
          <w:color w:val="111111"/>
          <w:sz w:val="28"/>
          <w:szCs w:val="28"/>
          <w:rtl w:val="true"/>
          <w:lang w:bidi="fa-IR"/>
        </w:rPr>
        <w:t xml:space="preserve">. </w:t>
      </w:r>
      <w:r>
        <w:rPr>
          <w:rStyle w:val="FootnoteAnchor"/>
          <w:rtl w:val="true"/>
        </w:rPr>
        <w:footnoteReference w:id="1331"/>
      </w:r>
    </w:p>
    <w:p>
      <w:pPr>
        <w:pStyle w:val="Heading4"/>
        <w:numPr>
          <w:ilvl w:val="3"/>
          <w:numId w:val="1"/>
        </w:numPr>
        <w:rPr/>
      </w:pPr>
      <w:bookmarkStart w:id="1508" w:name="__RefHeading___Toc3585701_3650668749"/>
      <w:bookmarkStart w:id="1509" w:name="_Toc647"/>
      <w:bookmarkEnd w:id="1508"/>
      <w:r>
        <w:rPr>
          <w:rtl w:val="true"/>
        </w:rPr>
        <w:t>ب</w:t>
      </w:r>
      <w:r>
        <w:rPr>
          <w:rtl w:val="true"/>
        </w:rPr>
        <w:t xml:space="preserve">) </w:t>
      </w:r>
      <w:r>
        <w:rPr>
          <w:rtl w:val="true"/>
        </w:rPr>
        <w:t xml:space="preserve">وسايل نوشتن </w:t>
      </w:r>
      <w:r>
        <w:rPr>
          <w:rtl w:val="true"/>
        </w:rPr>
        <w:t>(</w:t>
      </w:r>
      <w:r>
        <w:rPr>
          <w:rtl w:val="true"/>
        </w:rPr>
        <w:t>ادوات كتابت</w:t>
      </w:r>
      <w:r>
        <w:rPr>
          <w:rtl w:val="true"/>
        </w:rPr>
        <w:t>)</w:t>
      </w:r>
      <w:bookmarkEnd w:id="1509"/>
    </w:p>
    <w:p>
      <w:pPr>
        <w:pStyle w:val="Heading5"/>
        <w:numPr>
          <w:ilvl w:val="4"/>
          <w:numId w:val="1"/>
        </w:numPr>
        <w:rPr/>
      </w:pPr>
      <w:bookmarkStart w:id="1510" w:name="__RefHeading___Toc3585703_3650668749"/>
      <w:bookmarkStart w:id="1511" w:name="_Toc648"/>
      <w:bookmarkEnd w:id="1510"/>
      <w:r>
        <w:rPr>
          <w:rtl w:val="true"/>
        </w:rPr>
        <w:t>اشاره</w:t>
      </w:r>
      <w:bookmarkEnd w:id="1511"/>
    </w:p>
    <w:p>
      <w:pPr>
        <w:pStyle w:val="BookText"/>
        <w:rPr/>
      </w:pPr>
      <w:r>
        <w:rPr>
          <w:rFonts w:ascii="IRNazanin" w:hAnsi="IRNazanin" w:eastAsia="IRNazanin"/>
          <w:color w:val="111111"/>
          <w:sz w:val="28"/>
          <w:sz w:val="28"/>
          <w:szCs w:val="28"/>
          <w:rtl w:val="true"/>
          <w:lang w:bidi="fa-IR"/>
        </w:rPr>
        <w:t>مردم عرب چه هنگام نزول قرآن و چه بعد از نزول قرآن براى نوشتن قرآن و نيز</w:t>
      </w:r>
    </w:p>
    <w:p>
      <w:pPr>
        <w:pStyle w:val="BookText"/>
        <w:rPr/>
      </w:pPr>
      <w:r>
        <w:rPr>
          <w:rFonts w:ascii="IRNazanin" w:hAnsi="IRNazanin" w:eastAsia="IRNazanin"/>
          <w:color w:val="111111"/>
          <w:sz w:val="28"/>
          <w:sz w:val="28"/>
          <w:szCs w:val="28"/>
          <w:rtl w:val="true"/>
          <w:lang w:bidi="fa-IR"/>
        </w:rPr>
        <w:t>علوم ديگر از وسايل و مواد مختلفى استفاده مى‌كردند كه به بعضى از آنها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شاخه‌هاى پهن و محكم و بى‌برگ درخت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عسيب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زيدبن ثابت يكى از كاتبان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كسانى كه به فرمان عثمان قرآن را جمع‌آورى كرد،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قرآن را از شاخه بن‌هاى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پهن و بى‌برگ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مى‌كردم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شاخه‌هاى خرما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جَرائد النَخْل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سفيد نازك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لِخاف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تكّه پوست يا كاغذ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رُقْعه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ثابت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و قرآن را از قطعه‌هاى كاغذ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مى‌آورديم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چوپ‌هايى كه بر كوهان شتر مى‌گذارند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مورد نيز از زبان زيد بن ثابت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تكه‌هاى 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تركيب نيز در عبارت زيد بن ثابت به‌كار رفته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ابريشمى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رحلت خطاب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همانا قرآن پشت بستر من در ميان صحيفه‌ها و حرير و كاغذهاست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برگ‌ها و ورق‌هايى كه بر آن نوشته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جمع صحيفه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كلمه در روايت پيشين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استخوان‌هاى صاف دنده، مخصوصاً استخوان‌هاى دنده شتر كه درشت و پهن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ضلع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كلمه در عبارت زيد بن ثابت نيز به‌كار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كاغذ در آن زمان وجود داشته، اما به علت وارداتى بودن و قيمت گران آن كمتر مورد استفاده قرار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انعام آيه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قرطاس و در آيه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آن، يعنى قراطيس به‌كار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سفيد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پوست كه گاهى جزء وسايل زينتى زنان بود، در نوشتن نامه‌هاى مهم يا عهدنامه‌ها و پيمان‌نامه‌ها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شاخه‌ها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كتف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استخوان‌هاى شانه گوسفند، گاو و شتر براى نوشتن 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قرآنم در شاخه‌ها و بُن خرما و استخوان شانه‌هاى شتران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بيخ شاخه خرما كه پس از بريدن بر درخت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كرنافه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كرانيف، اصل شاخه خرماست كه درشت و پهن است و هرگاه خشك شود، مانند استخوان شانه شتر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چنين آمده است كه هنگام رحلت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قرآن در بيخ شاخه نخل و شاخه بُن‌ها جاى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پهن از چوب يا هر چه بر آن نويسند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روايتى چنين آمده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بن ثابت را بگوييد بيايد لوح و دوات و كتف همراه بياورد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خامه تراشيده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شانزده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دوات</w:t>
      </w:r>
      <w:r>
        <w:rPr>
          <w:rFonts w:eastAsia="Amiri" w:cs="Amiri" w:ascii="Amiri" w:hAnsi="Amiri"/>
          <w:color w:val="111111"/>
          <w:sz w:val="28"/>
          <w:szCs w:val="28"/>
          <w:rtl w:val="true"/>
          <w:lang w:bidi="ar-SA"/>
        </w:rPr>
        <w:t xml:space="preserve">) . </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ابن‌نديم در فهرست خود در باره وسايل نوشتن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فارسيان بر پوست گاوميش، گاو و گوسفند، و عرب بر استخوان كتف شتر و لخاف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پهن سپيدى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 درخت خرما كه برگ‌هاى آن را كنده باشند،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كاغذ خراسانى از كتان به دست مى‌آيد و گويند اين كار در زمان بنى‌اميه و به قولى بنى‌عباس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نيز بر پوست نوشته مى‌شد و چون پوست را با آهك دباغى مى‌كردند، خشكى زيادى پيدا مى‌كرد و بعد دباغى كوفى معمول شد كه پوست با خرما دباغى مى‌شد و نرم</w:t>
      </w:r>
    </w:p>
    <w:p>
      <w:pPr>
        <w:pStyle w:val="BookText"/>
        <w:rPr/>
      </w:pPr>
      <w:r>
        <w:rPr>
          <w:rFonts w:ascii="IRNazanin" w:hAnsi="IRNazanin" w:eastAsia="IRNazanin"/>
          <w:color w:val="111111"/>
          <w:sz w:val="28"/>
          <w:sz w:val="28"/>
          <w:szCs w:val="28"/>
          <w:rtl w:val="true"/>
          <w:lang w:bidi="fa-IR"/>
        </w:rPr>
        <w:t>مى‌ماند</w:t>
      </w:r>
      <w:r>
        <w:rPr>
          <w:rFonts w:eastAsia="IRNazanin" w:cs="IRNazanin"/>
          <w:color w:val="111111"/>
          <w:sz w:val="28"/>
          <w:szCs w:val="28"/>
          <w:rtl w:val="true"/>
          <w:lang w:bidi="fa-IR"/>
        </w:rPr>
        <w:t xml:space="preserve">. </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جرجى زيدان در باره ادوات نوشتن در قرن اول مى‌گويد كه تا اواخر دولت بنى‌اميه روى پوست‌هاى نازك و ديگر پوست‌ها نوشته مى‌شد و دفاتر حكومتى عبارت از پوست‌هاى به هم پيچيده شده بود</w:t>
      </w:r>
      <w:r>
        <w:rPr>
          <w:rFonts w:eastAsia="IRNazanin" w:cs="IRNazanin"/>
          <w:color w:val="111111"/>
          <w:sz w:val="28"/>
          <w:szCs w:val="28"/>
          <w:rtl w:val="true"/>
          <w:lang w:bidi="fa-IR"/>
        </w:rPr>
        <w:t xml:space="preserve">. </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وى در جاى ديگر مى‌نويسد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مى‌ساختند و مداد را از زغال ساييده شده به دست مى‌آوردند يا آن را از خاكه زغال كه در مايعى لزج همانند صمغ و شيره درختان قرار مى‌دادند، تهيه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عرب‌ها بر بعضى از پارچه‌ها مى‌نوشتند، مانند پارچه‌اى مصرى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كه معلقات سَبْع قبل از اسلام بر همين پارچه نوشته شده بود و آن را بر كعبه آويخته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هيچ‌كدام از اينها در دسترس نبود، ناگزير بر چيزهايى همانند چوب، استخوان، قطعه‌هاى سفال و سنگ مى‌نگاشتند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مصر فتح شد از بَرَدى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پاپيروس مصرى، گياهى كه در آب رويد و از آن كاغذ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بسيار استفاده كردند، چنان‌كه اموى‌ها بيشتر مكاتبات و نامه‌هاى خود را روى قباطى يا بردى مى‌نگاشتند</w:t>
      </w:r>
      <w:r>
        <w:rPr>
          <w:rFonts w:eastAsia="IRNazanin" w:cs="IRNazanin"/>
          <w:color w:val="111111"/>
          <w:sz w:val="28"/>
          <w:szCs w:val="28"/>
          <w:rtl w:val="true"/>
          <w:lang w:bidi="fa-IR"/>
        </w:rPr>
        <w:t xml:space="preserve">. </w:t>
      </w:r>
      <w:r>
        <w:rPr>
          <w:rStyle w:val="FootnoteAnchor"/>
          <w:rtl w:val="true"/>
        </w:rPr>
        <w:footnoteReference w:id="1335"/>
      </w:r>
      <w:bookmarkStart w:id="1512" w:name="pg1964_19843"/>
    </w:p>
    <w:p>
      <w:pPr>
        <w:pStyle w:val="Heading5"/>
        <w:numPr>
          <w:ilvl w:val="4"/>
          <w:numId w:val="1"/>
        </w:numPr>
        <w:rPr/>
      </w:pPr>
      <w:bookmarkStart w:id="1513" w:name="__RefHeading___Toc3585705_3650668749"/>
      <w:bookmarkStart w:id="1514" w:name="_Toc649"/>
      <w:bookmarkEnd w:id="1512"/>
      <w:bookmarkEnd w:id="1513"/>
      <w:r>
        <w:rPr>
          <w:rtl w:val="true"/>
        </w:rPr>
        <w:t>ج</w:t>
      </w:r>
      <w:r>
        <w:rPr>
          <w:rtl w:val="true"/>
        </w:rPr>
        <w:t xml:space="preserve">) </w:t>
      </w:r>
      <w:r>
        <w:rPr>
          <w:rtl w:val="true"/>
        </w:rPr>
        <w:t>خط كوفى</w:t>
      </w:r>
      <w:bookmarkEnd w:id="1514"/>
    </w:p>
    <w:p>
      <w:pPr>
        <w:pStyle w:val="BookText"/>
        <w:rPr/>
      </w:pPr>
      <w:r>
        <w:rPr>
          <w:rFonts w:ascii="IRNazanin" w:hAnsi="IRNazanin" w:eastAsia="IRNazanin"/>
          <w:color w:val="111111"/>
          <w:sz w:val="28"/>
          <w:sz w:val="28"/>
          <w:szCs w:val="28"/>
          <w:rtl w:val="true"/>
          <w:lang w:bidi="fa-IR"/>
        </w:rPr>
        <w:t xml:space="preserve">خط كوفى به خط زاويه‌دار و مسطحى مى‌گويند كه زاويه‌هاى آن مايل به تربيع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مسطحات آن، زواياى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ده‌ها سال خط غالب عرب به شمار مى‌رفت و قرآن‌ها و نامه‌ها با آن نوشته مى‌شد و همچنين روى سكه‌هاى درهم و دينار ضرب مى‌شد</w:t>
      </w:r>
      <w:r>
        <w:rPr>
          <w:rFonts w:eastAsia="IRNazanin" w:cs="IRNazanin"/>
          <w:color w:val="111111"/>
          <w:sz w:val="28"/>
          <w:szCs w:val="28"/>
          <w:rtl w:val="true"/>
          <w:lang w:bidi="fa-IR"/>
        </w:rPr>
        <w:t xml:space="preserve">. </w:t>
      </w:r>
      <w:r>
        <w:rPr>
          <w:rStyle w:val="FootnoteAnchor"/>
          <w:rtl w:val="true"/>
        </w:rPr>
        <w:footnoteReference w:id="1336"/>
      </w:r>
      <w:r>
        <w:rPr>
          <w:rFonts w:ascii="Amiri" w:hAnsi="Amiri" w:eastAsia="Amiri" w:cs="Amiri"/>
          <w:color w:val="111111"/>
          <w:sz w:val="28"/>
          <w:sz w:val="28"/>
          <w:szCs w:val="28"/>
          <w:rtl w:val="true"/>
          <w:lang w:bidi="ar-SA"/>
        </w:rPr>
        <w:t>در باره ريشه اين خط دو نظر عمده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نظر اول، جدّ اولى اين خط همان خط فينيقى است كه پس از چندى خط مُسْنَد از آن انشعاب يافت و چون اسناد آن به حضرت هود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 به آن مسند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اين خط از يمن به حيره و سپس به حجاز منتقل شد و از آنجا به كوفه آمد و به خط كوفى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اين انشعاب از قرار زير است </w:t>
      </w:r>
      <w:r>
        <w:rPr>
          <w:rStyle w:val="FootnoteAnchor"/>
          <w:rtl w:val="true"/>
        </w:rPr>
        <w:footnoteReference w:id="13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جدول‌هاى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طبق اين نظر، اهل خط با ايجاد اصلاحات و تغييراتى در خط مسند صفوى و نبطى، خطى جديد به دست آوردند كه به آن خط جَزْم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در اينجا به معناى قطع</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زيرا نسبت خود را از خط مسند قطع كرده بود و به صورت خطى جديد در آمده بود</w:t>
      </w:r>
      <w:r>
        <w:rPr>
          <w:rFonts w:eastAsia="IRNazanin" w:cs="IRNazanin"/>
          <w:color w:val="111111"/>
          <w:sz w:val="28"/>
          <w:szCs w:val="28"/>
          <w:rtl w:val="true"/>
          <w:lang w:bidi="fa-IR"/>
        </w:rPr>
        <w:t xml:space="preserve">. </w:t>
      </w:r>
      <w:r>
        <w:rPr>
          <w:rStyle w:val="FootnoteAnchor"/>
          <w:rtl w:val="true"/>
        </w:rPr>
        <w:footnoteReference w:id="1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 جزم همان پدر خط حيرى و انبارى است كه خود پدربزرگ خط كوفى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با اصلاحات ديگرى از قبيل وصل و فصل و مقايسه با حروف سريانى تغيير و تحول ديگرى در خط پديد آمد كه خط حيرى و انبارى ناميده شد؛</w:t>
      </w:r>
    </w:p>
    <w:p>
      <w:pPr>
        <w:pStyle w:val="BookText"/>
        <w:rPr/>
      </w:pPr>
      <w:r>
        <w:rPr>
          <w:rFonts w:ascii="IRNazanin" w:hAnsi="IRNazanin" w:eastAsia="IRNazanin"/>
          <w:color w:val="111111"/>
          <w:sz w:val="28"/>
          <w:sz w:val="28"/>
          <w:szCs w:val="28"/>
          <w:rtl w:val="true"/>
          <w:lang w:bidi="fa-IR"/>
        </w:rPr>
        <w:t>زيرا جايگاه اصلى آن در شهر حيره و انبار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رفتن اين خط به مكه و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حجازى معروف شد كه به دو صورت مبسوط و مستدير از آن استفاده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بناى شهر كوفه، خط كوفه و خطّ مبسوط در اين شهر تكامل يافت و به مرتبه بلندى از زيبايى رسيد و شايسته نوشتن قرآن‌ها گرديد كه از آن با خط كوفى ياد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الفباى خط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 ديگر، يعنى مستدير در همين زمان براى نوشتن نامه‌ها و مكاتبات رسمى و غير رسمى از آن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آغاز، اين خط در مقابل خطوط معروف آن زمان، مانند سريانى، عبرى و خطوط ايرانى و رومى اهميت چندانى نداشت، اما به تدريج رشد كرد و هنگامى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را مقر خلافت خود قرار داد، اين خط به اوج رشد خود نزديك‌تر شد و از حجازى فاصله پيدا كرد و در نيمه اول قرن اول هجرى به آخرين صورت مستقل و مشخص خود رسيد، به‌گونه‌اى كه قرآن، حديث و كتاب‌هاى علمى با خط كوفى نگارش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خط حجازى تقريباً به همان صورت ابتدايى خود باقى ماند</w:t>
      </w:r>
      <w:r>
        <w:rPr>
          <w:rFonts w:eastAsia="IRNazanin" w:cs="IRNazanin"/>
          <w:color w:val="111111"/>
          <w:sz w:val="28"/>
          <w:szCs w:val="28"/>
          <w:rtl w:val="true"/>
          <w:lang w:bidi="fa-IR"/>
        </w:rPr>
        <w:t xml:space="preserve">. </w:t>
      </w:r>
      <w:r>
        <w:rPr>
          <w:rStyle w:val="FootnoteAnchor"/>
          <w:rtl w:val="true"/>
        </w:rPr>
        <w:footnoteReference w:id="1339"/>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نظر دوم، اين خط را برگرفته از خط سريانى مى‌داند؛ بدين ترتيب كه سريانى‌هاى ساكن در عراق و به خصوص شهر حيره قبل از اسلام، خطوط مختلفى داشتند كه از آن جمله مى‌توان خط سَطْرَنْجيلى را نام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سريانى‌هاى مسيحى براى نوشتن كتاب‌هاى مقدس و مذهبى خود از اين خط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يكى از اهالى انبار، خط سطرنجيلى را فرا گرفت و سپس به مكه مهاجرت نمود و در آنجا با زنى به نام صَهْباء كه دختر حرب بن اميه و خواهر ابوسفيان بود،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مردم مكه، اين خط را از او فرا گرفتند و شروع به نگارش با آن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نظر در آن زمان اعراب از دو</w:t>
      </w:r>
    </w:p>
    <w:p>
      <w:pPr>
        <w:pStyle w:val="BookText"/>
        <w:rPr/>
      </w:pPr>
      <w:r>
        <w:rPr>
          <w:rFonts w:ascii="IRNazanin" w:hAnsi="IRNazanin" w:eastAsia="IRNazanin"/>
          <w:color w:val="111111"/>
          <w:sz w:val="28"/>
          <w:sz w:val="28"/>
          <w:szCs w:val="28"/>
          <w:rtl w:val="true"/>
          <w:lang w:bidi="fa-IR"/>
        </w:rPr>
        <w:t>خط استفاده مى‌كردند، يكى خط نبطى كه از اهالى حَوْران، شهرى از توابع دمشق كه در حين رفت و آمد تجارشان به شام با آنها آشنا شده بودند و ديگر خط سطرنجيلى كه از حيره و انبار به مكه منتقل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اسلام از خط سطرنجيلى براى نگارش قرآن كريم استفاده كردند، همچنان‌كه قبل از آن، مسيحيان سريانى از آن براى نگارش كتاب‌هاى مقدس خود استفاده مى‌كردند و از خط نبطى براى نوشتن نامه‌ها و مكاتبات دولتى و غير دولتى استفاده مى‌نمودند كه بعدها خط نَسْخى از خط نبطى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خلفاى راشدين و نيز زمان بنى‌اميه خط سطرنجيلى كه با تغييراتى به خط كوفى تغيير نام داده بود، براى نگارش قرآن به‌كار گرفته شد و به اوج شهرت خود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دسته براى ادعاى خود دلايلى اقامه كرده‌اند، از جمله اينكه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حروف در اين دو بسيار به هم شبيه است،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هنگامى كه الف حرف مدّ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حروف اصلى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وسط كلمه واقع شود در هر دو خط حذف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قرآن‌هاى خط كوفى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مى‌نگارند</w:t>
      </w:r>
      <w:r>
        <w:rPr>
          <w:rFonts w:eastAsia="IRNazanin" w:cs="IRNazanin"/>
          <w:color w:val="111111"/>
          <w:sz w:val="28"/>
          <w:szCs w:val="28"/>
          <w:rtl w:val="true"/>
          <w:lang w:bidi="fa-IR"/>
        </w:rPr>
        <w:t xml:space="preserve">. </w:t>
      </w:r>
      <w:r>
        <w:rPr>
          <w:rStyle w:val="FootnoteAnchor"/>
          <w:rtl w:val="true"/>
        </w:rPr>
        <w:footnoteReference w:id="1340"/>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 حال هركدام از اين دو نظر كه پذيرفته شود، واقعيت اين است كه حروف خط كوفى در آغاز بدون نقطه و بدون حركت‌هاى اعرابى نگاشته مى‌شد و به سبب آنكه حافظان و قاريان قرآن فراوان بودند و آن را سينه به سينه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w:t>
      </w:r>
    </w:p>
    <w:p>
      <w:pPr>
        <w:pStyle w:val="BookText"/>
        <w:rPr/>
      </w:pPr>
      <w:r>
        <w:rPr>
          <w:rFonts w:ascii="Amiri" w:hAnsi="Amiri" w:eastAsia="Amiri" w:cs="Amiri"/>
          <w:color w:val="111111"/>
          <w:sz w:val="28"/>
          <w:sz w:val="28"/>
          <w:szCs w:val="28"/>
          <w:rtl w:val="true"/>
          <w:lang w:bidi="ar-SA"/>
        </w:rPr>
        <w:t>بودند، اشتباه و خطا كمتر در آن رخ مى‌داد</w:t>
      </w:r>
      <w:r>
        <w:rPr>
          <w:rFonts w:eastAsia="Amiri" w:cs="Amiri" w:ascii="Amiri" w:hAnsi="Amiri"/>
          <w:color w:val="111111"/>
          <w:sz w:val="28"/>
          <w:szCs w:val="28"/>
          <w:rtl w:val="true"/>
          <w:lang w:bidi="ar-SA"/>
        </w:rPr>
        <w:t xml:space="preserve">. </w:t>
      </w:r>
      <w:r>
        <w:rPr>
          <w:rStyle w:val="FootnoteAnchor"/>
          <w:rtl w:val="true"/>
        </w:rPr>
        <w:footnoteReference w:id="1341"/>
      </w:r>
      <w:r>
        <w:rPr>
          <w:rFonts w:ascii="IRNazanin" w:hAnsi="IRNazanin" w:eastAsia="IRNazanin"/>
          <w:color w:val="111111"/>
          <w:sz w:val="28"/>
          <w:sz w:val="28"/>
          <w:szCs w:val="28"/>
          <w:rtl w:val="true"/>
          <w:lang w:bidi="fa-IR"/>
        </w:rPr>
        <w:t>اما پس از نيمه اول قرن اول كه ارتباط و استناد با فاصله شد و اعراب با اقليت‌هاى ديگر به شدت مختلط شده بودند، كم‌كم خطا و اشتباه در قرائت قرآن چهره خود را نمودار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زيادبن ابيه، والى عراق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ابوالأسود دُئلى خواست تا براى</w:t>
      </w:r>
    </w:p>
    <w:p>
      <w:pPr>
        <w:pStyle w:val="BookText"/>
        <w:rPr/>
      </w:pPr>
      <w:r>
        <w:rPr>
          <w:rFonts w:ascii="IRNazanin" w:hAnsi="IRNazanin" w:eastAsia="IRNazanin"/>
          <w:color w:val="111111"/>
          <w:sz w:val="28"/>
          <w:sz w:val="28"/>
          <w:szCs w:val="28"/>
          <w:rtl w:val="true"/>
          <w:lang w:bidi="fa-IR"/>
        </w:rPr>
        <w:t>جلوگيرى از وقوع اشتباه در قرائت قرآن چاره‌اى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ابوالأسود پس از تفكر فراوان چاره‌اى انديشيد و بدين منظور كاتبى انتخاب كرد و قرائت قرآن را از ابتدا آغاز كرد و خطاب به كاتب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ديدى من دهانم را گشاد كردم، نقطه‌اى بالاى حرف بگذار به جاى فتحه و هرگاه دهانم را به هم بستم نقطه‌اى در روبه‌روى حرف بِنِه به جاى ضمّه و چنان‌كه ديدى لب‌هاى خود را شكستم، نقطه‌اى پايين حرف بگذار به جاى كسره</w:t>
      </w:r>
      <w:r>
        <w:rPr>
          <w:rFonts w:eastAsia="IRNazanin" w:cs="IRNazanin"/>
          <w:color w:val="111111"/>
          <w:sz w:val="28"/>
          <w:szCs w:val="28"/>
          <w:rtl w:val="true"/>
          <w:lang w:bidi="fa-IR"/>
        </w:rPr>
        <w:t xml:space="preserve">» . </w:t>
      </w:r>
      <w:r>
        <w:rPr>
          <w:rStyle w:val="FootnoteAnchor"/>
          <w:rtl w:val="true"/>
        </w:rPr>
        <w:footnoteReference w:id="1342"/>
      </w:r>
      <w:r>
        <w:rPr>
          <w:rFonts w:ascii="IRNazanin" w:hAnsi="IRNazanin" w:eastAsia="IRNazanin"/>
          <w:color w:val="111111"/>
          <w:sz w:val="28"/>
          <w:sz w:val="28"/>
          <w:szCs w:val="28"/>
          <w:rtl w:val="true"/>
          <w:lang w:bidi="fa-IR"/>
        </w:rPr>
        <w:t>بدين ترتيب، نگارش فتحه و ضمه و كسره به وسيله نقطه‌ها پديد آمد كه معمولاً به رنگى غير از رنگ اصلى حروف قرآن و عمدتاً به رنگ قرمز نوشته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اين علائم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 به معناى گشودن، ضمه به معناى به هم بستن و كسره به معناى شكستن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نام‌هاى خود را از همين عبارت ابوالأسود گرفتند</w:t>
      </w:r>
      <w:r>
        <w:rPr>
          <w:rFonts w:eastAsia="IRNazanin" w:cs="IRNazanin"/>
          <w:color w:val="111111"/>
          <w:sz w:val="28"/>
          <w:szCs w:val="28"/>
          <w:rtl w:val="true"/>
          <w:lang w:bidi="fa-IR"/>
        </w:rPr>
        <w:t xml:space="preserve">. </w:t>
      </w:r>
      <w:r>
        <w:rPr>
          <w:rStyle w:val="FootnoteAnchor"/>
          <w:rtl w:val="true"/>
        </w:rPr>
        <w:footnoteReference w:id="1343"/>
      </w:r>
      <w:r>
        <w:rPr>
          <w:rFonts w:ascii="IRNazanin" w:hAnsi="IRNazanin" w:eastAsia="IRNazanin"/>
          <w:color w:val="111111"/>
          <w:sz w:val="28"/>
          <w:sz w:val="28"/>
          <w:szCs w:val="28"/>
          <w:rtl w:val="true"/>
          <w:lang w:bidi="fa-IR"/>
        </w:rPr>
        <w:t xml:space="preserve">در آن زمان اين‌گونه نقطه‌گذارى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آيه سَلامٌ قَوْلاً مِنْ رَبٍّ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نگارش مى‌يافت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ه‌ه قْوْلاْ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رب رحيم</w:t>
      </w:r>
      <w:r>
        <w:rPr>
          <w:rFonts w:eastAsia="IRNazanin" w:cs="IRNazanin"/>
          <w:color w:val="111111"/>
          <w:sz w:val="28"/>
          <w:szCs w:val="28"/>
          <w:rtl w:val="true"/>
          <w:lang w:bidi="fa-IR"/>
        </w:rPr>
        <w:t xml:space="preserve">» . </w:t>
      </w:r>
      <w:r>
        <w:rPr>
          <w:rStyle w:val="FootnoteAnchor"/>
          <w:rtl w:val="true"/>
        </w:rPr>
        <w:footnoteReference w:id="134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مشاهده مى‌شود، هنوز براى نقطه و ساكن و تشديد، چاره‌اى نينديشيده بودند تا اينكه در زمان فرماندارى حجاج بر عراق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شاگردان بزرگ ابوالأسود به نام‌هاى نصر بن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يحيى بن يعْمُر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نقطه‌گذارى براى حروف كوفى به شكل كنونى نمودند و براى آنكه نقطه‌هاى حروف با نقطه‌هاى علامت حركت اشتباه نشود، نقطه‌هاى</w:t>
      </w:r>
    </w:p>
    <w:p>
      <w:pPr>
        <w:pStyle w:val="BookText"/>
        <w:rPr/>
      </w:pPr>
      <w:r>
        <w:rPr>
          <w:rFonts w:ascii="IRNazanin" w:hAnsi="IRNazanin" w:eastAsia="IRNazanin"/>
          <w:color w:val="111111"/>
          <w:sz w:val="28"/>
          <w:sz w:val="28"/>
          <w:szCs w:val="28"/>
          <w:rtl w:val="true"/>
          <w:lang w:bidi="fa-IR"/>
        </w:rPr>
        <w:t>حروف را به همان رنگ حروف و نقطه‌هاى حركت را به رنگ ديگر مى‌نوشتند كه معمولاً رنگ قرمز بود</w:t>
      </w:r>
      <w:r>
        <w:rPr>
          <w:rFonts w:eastAsia="IRNazanin" w:cs="IRNazanin"/>
          <w:color w:val="111111"/>
          <w:sz w:val="28"/>
          <w:szCs w:val="28"/>
          <w:rtl w:val="true"/>
          <w:lang w:bidi="fa-IR"/>
        </w:rPr>
        <w:t xml:space="preserve">. </w:t>
      </w:r>
      <w:r>
        <w:rPr>
          <w:rStyle w:val="FootnoteAnchor"/>
          <w:rtl w:val="true"/>
        </w:rPr>
        <w:footnoteReference w:id="1345"/>
      </w:r>
      <w:r>
        <w:rPr>
          <w:rFonts w:ascii="IRNazanin" w:hAnsi="IRNazanin" w:eastAsia="IRNazanin"/>
          <w:color w:val="111111"/>
          <w:sz w:val="28"/>
          <w:sz w:val="28"/>
          <w:szCs w:val="28"/>
          <w:rtl w:val="true"/>
          <w:lang w:bidi="fa-IR"/>
        </w:rPr>
        <w:t xml:space="preserve">در پايان، خليل بن احمد فراهيدى اَزْدى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نحوى بزرگ و استاد سيبويه، نقطه‌هاى علامت حركت را به علامات كنونى فتحه، ضمه و كسره تبديل كرد و نيز علامات تنوين را وضع نمود و همچنين علاماتى</w:t>
      </w:r>
    </w:p>
    <w:p>
      <w:pPr>
        <w:pStyle w:val="BookText"/>
        <w:rPr/>
      </w:pPr>
      <w:r>
        <w:rPr>
          <w:rFonts w:ascii="Amiri" w:hAnsi="Amiri" w:eastAsia="Amiri" w:cs="Amiri"/>
          <w:color w:val="111111"/>
          <w:sz w:val="28"/>
          <w:sz w:val="28"/>
          <w:szCs w:val="28"/>
          <w:rtl w:val="true"/>
          <w:lang w:bidi="ar-SA"/>
        </w:rPr>
        <w:t>براى تشديد، سكون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تعيين نمود</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علامات او تقريباً تا هم‌اكنون رواج دارد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فصل ياد مى‌شود كه از مباحث مهم در تاريخ فرهنگى كوفه، بررسى جريانات فقهى و حديثى رايج در اين شهر درمقطع زمانى مورد بحث است كه چون اين مباحث در كتاب ديگر نگارنده با عنوان نقش تقيه در استنباط آمده از تكرار آنها در اينجا خوددارى مى‌شود</w:t>
      </w:r>
      <w:r>
        <w:rPr>
          <w:rFonts w:eastAsia="IRNazanin" w:cs="IRNazanin"/>
          <w:color w:val="111111"/>
          <w:sz w:val="28"/>
          <w:szCs w:val="28"/>
          <w:rtl w:val="true"/>
          <w:lang w:bidi="fa-IR"/>
        </w:rPr>
        <w:t xml:space="preserve">. </w:t>
      </w:r>
      <w:r>
        <w:rPr>
          <w:rStyle w:val="FootnoteAnchor"/>
          <w:rtl w:val="true"/>
        </w:rPr>
        <w:footnoteReference w:id="1347"/>
      </w:r>
      <w:bookmarkStart w:id="1515" w:name="pg1964_19849"/>
    </w:p>
    <w:p>
      <w:pPr>
        <w:pStyle w:val="Heading2"/>
        <w:numPr>
          <w:ilvl w:val="1"/>
          <w:numId w:val="1"/>
        </w:numPr>
        <w:rPr/>
      </w:pPr>
      <w:bookmarkStart w:id="1516" w:name="__RefHeading___Toc3585707_3650668749"/>
      <w:bookmarkStart w:id="1517" w:name="_Toc650"/>
      <w:bookmarkEnd w:id="1515"/>
      <w:bookmarkEnd w:id="1516"/>
      <w:r>
        <w:rPr>
          <w:rtl w:val="true"/>
        </w:rPr>
        <w:t>فصل ششم</w:t>
      </w:r>
      <w:r>
        <w:rPr>
          <w:rtl w:val="true"/>
        </w:rPr>
        <w:t xml:space="preserve">: </w:t>
      </w:r>
      <w:r>
        <w:rPr>
          <w:rtl w:val="true"/>
        </w:rPr>
        <w:t>آداب و رسوم</w:t>
      </w:r>
      <w:bookmarkEnd w:id="151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8" w:name="__RefHeading___Toc3585709_3650668749"/>
      <w:bookmarkStart w:id="1519" w:name="_Toc651"/>
      <w:bookmarkEnd w:id="1518"/>
      <w:r>
        <w:rPr>
          <w:rtl w:val="true"/>
        </w:rPr>
        <w:t>اشاره</w:t>
      </w:r>
      <w:bookmarkStart w:id="1520" w:name="pg1964_19851"/>
      <w:bookmarkEnd w:id="1519"/>
    </w:p>
    <w:p>
      <w:pPr>
        <w:pStyle w:val="Heading3"/>
        <w:numPr>
          <w:ilvl w:val="2"/>
          <w:numId w:val="1"/>
        </w:numPr>
        <w:rPr/>
      </w:pPr>
      <w:bookmarkStart w:id="1521" w:name="__RefHeading___Toc3585711_3650668749"/>
      <w:bookmarkStart w:id="1522" w:name="_Toc652"/>
      <w:bookmarkEnd w:id="1520"/>
      <w:bookmarkEnd w:id="1521"/>
      <w:r>
        <w:rPr/>
        <w:t>١</w:t>
      </w:r>
      <w:r>
        <w:rPr>
          <w:rtl w:val="true"/>
        </w:rPr>
        <w:t xml:space="preserve">. </w:t>
      </w:r>
      <w:r>
        <w:rPr>
          <w:rtl w:val="true"/>
        </w:rPr>
        <w:t>خواستگارى</w:t>
      </w:r>
      <w:bookmarkEnd w:id="1522"/>
    </w:p>
    <w:p>
      <w:pPr>
        <w:pStyle w:val="BookText"/>
        <w:rPr/>
      </w:pPr>
      <w:r>
        <w:rPr>
          <w:rFonts w:ascii="IRNazanin" w:hAnsi="IRNazanin" w:eastAsia="IRNazanin"/>
          <w:color w:val="111111"/>
          <w:sz w:val="28"/>
          <w:sz w:val="28"/>
          <w:szCs w:val="28"/>
          <w:rtl w:val="true"/>
          <w:lang w:bidi="fa-IR"/>
        </w:rPr>
        <w:t xml:space="preserve">در زبان عربى و در زمان مورد بحث، به عمل خواستگارى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مى‌شد و به خواستگار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زن يا دختر خواستگارى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بعضى از آداب و رسوم خواستگارى كه مى‌توان از منابع مختلف روايى و تاريخى اسلامى به دست آورد،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اسلام در مورد نگاه كردن به زنان محدوديت‌هايى قائل شده است، اما درباره مردى كه قصد ازدواج با زنى را دارد، بعضى از اين محدوديت‌ها برداشته شده است؛ چنان‌كه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مغيرة بن شعبه كه از زنى خواستگارى كرده بود،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خوب مى‌ديدى براى دوام ازدواج شما بهتر بود</w:t>
      </w:r>
      <w:r>
        <w:rPr>
          <w:rFonts w:eastAsia="IRNazanin" w:cs="IRNazanin"/>
          <w:color w:val="111111"/>
          <w:sz w:val="28"/>
          <w:szCs w:val="28"/>
          <w:rtl w:val="true"/>
          <w:lang w:bidi="fa-IR"/>
        </w:rPr>
        <w:t xml:space="preserve">» . </w:t>
      </w:r>
      <w:r>
        <w:rPr>
          <w:rStyle w:val="FootnoteAnchor"/>
          <w:rtl w:val="true"/>
        </w:rPr>
        <w:footnoteReference w:id="1349"/>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خواستگارى از طرف مردان انجام مى‌گرفت و طبق گفته يكى از زنان كه خطاب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عرض مى‌كرد، رسم چنان نبود كه زن به خواستگارى مرد برود</w:t>
      </w:r>
      <w:r>
        <w:rPr>
          <w:rFonts w:eastAsia="IRNazanin" w:cs="IRNazanin"/>
          <w:color w:val="111111"/>
          <w:sz w:val="28"/>
          <w:szCs w:val="28"/>
          <w:rtl w:val="true"/>
          <w:lang w:bidi="fa-IR"/>
        </w:rPr>
        <w:t xml:space="preserve">. </w:t>
      </w:r>
      <w:r>
        <w:rPr>
          <w:rStyle w:val="FootnoteAnchor"/>
          <w:rtl w:val="true"/>
        </w:rPr>
        <w:footnoteReference w:id="1350"/>
      </w:r>
      <w:r>
        <w:rPr>
          <w:rFonts w:ascii="IRNazanin" w:hAnsi="IRNazanin" w:eastAsia="IRNazanin"/>
          <w:color w:val="111111"/>
          <w:sz w:val="28"/>
          <w:sz w:val="28"/>
          <w:szCs w:val="28"/>
          <w:rtl w:val="true"/>
          <w:lang w:bidi="fa-IR"/>
        </w:rPr>
        <w:t xml:space="preserve">حال، خواستگارى يا به وسيله داماد انجام مى‌پذيرفت، چنان‌كه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خواستگارى نمود </w:t>
      </w:r>
      <w:r>
        <w:rPr>
          <w:rStyle w:val="FootnoteAnchor"/>
          <w:rtl w:val="true"/>
        </w:rPr>
        <w:footnoteReference w:id="1351"/>
      </w:r>
      <w:r>
        <w:rPr>
          <w:rFonts w:ascii="IRNazanin" w:hAnsi="IRNazanin" w:eastAsia="IRNazanin"/>
          <w:color w:val="111111"/>
          <w:sz w:val="28"/>
          <w:sz w:val="28"/>
          <w:szCs w:val="28"/>
          <w:rtl w:val="true"/>
          <w:lang w:bidi="fa-IR"/>
        </w:rPr>
        <w:t xml:space="preserve">و نيز پيامبراكرم خود به خواستگارى أم‌سلمه رفت </w:t>
      </w:r>
      <w:r>
        <w:rPr>
          <w:rStyle w:val="FootnoteAnchor"/>
          <w:rtl w:val="true"/>
        </w:rPr>
        <w:footnoteReference w:id="1352"/>
      </w:r>
      <w:r>
        <w:rPr>
          <w:rFonts w:ascii="Amiri" w:hAnsi="Amiri" w:eastAsia="Amiri" w:cs="Amiri"/>
          <w:color w:val="111111"/>
          <w:sz w:val="28"/>
          <w:sz w:val="28"/>
          <w:szCs w:val="28"/>
          <w:rtl w:val="true"/>
          <w:lang w:bidi="ar-SA"/>
        </w:rPr>
        <w:t>و يا اينكه</w:t>
      </w:r>
    </w:p>
    <w:p>
      <w:pPr>
        <w:pStyle w:val="BookText"/>
        <w:rPr/>
      </w:pPr>
      <w:r>
        <w:rPr>
          <w:rFonts w:ascii="IRNazanin" w:hAnsi="IRNazanin" w:eastAsia="IRNazanin"/>
          <w:color w:val="111111"/>
          <w:sz w:val="28"/>
          <w:sz w:val="28"/>
          <w:szCs w:val="28"/>
          <w:rtl w:val="true"/>
          <w:lang w:bidi="fa-IR"/>
        </w:rPr>
        <w:t xml:space="preserve">مردان بزرگ خاندان از طرف داماد به خواستگارى مى‌رفتند، چنان‌كه ابوطالب و ديگر بزرگان قريش براى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خواستگارى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خواستگار به سراغ پدر عروس مى‌رفت و دخترش را خواستگارى مى‌كرد، چنان‌كه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پدرش خواستگارى كردند</w:t>
      </w:r>
      <w:r>
        <w:rPr>
          <w:rFonts w:eastAsia="IRNazanin" w:cs="IRNazanin"/>
          <w:color w:val="111111"/>
          <w:sz w:val="28"/>
          <w:szCs w:val="28"/>
          <w:rtl w:val="true"/>
          <w:lang w:bidi="fa-IR"/>
        </w:rPr>
        <w:t xml:space="preserve">. </w:t>
      </w:r>
      <w:r>
        <w:rPr>
          <w:rStyle w:val="FootnoteAnchor"/>
          <w:rtl w:val="true"/>
        </w:rPr>
        <w:footnoteReference w:id="1354"/>
      </w:r>
      <w:r>
        <w:rPr>
          <w:rFonts w:ascii="IRNazanin" w:hAnsi="IRNazanin" w:eastAsia="IRNazanin"/>
          <w:color w:val="111111"/>
          <w:sz w:val="28"/>
          <w:sz w:val="28"/>
          <w:szCs w:val="28"/>
          <w:rtl w:val="true"/>
          <w:lang w:bidi="fa-IR"/>
        </w:rPr>
        <w:t xml:space="preserve">خود خديجه نيز خطاب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كه خويشان خود را بفرست تا مرا از پدرم خواستگارى كنند</w:t>
      </w:r>
      <w:r>
        <w:rPr>
          <w:rFonts w:eastAsia="IRNazanin" w:cs="IRNazanin"/>
          <w:color w:val="111111"/>
          <w:sz w:val="28"/>
          <w:szCs w:val="28"/>
          <w:rtl w:val="true"/>
          <w:lang w:bidi="fa-IR"/>
        </w:rPr>
        <w:t xml:space="preserve">. </w:t>
      </w:r>
      <w:r>
        <w:rPr>
          <w:rStyle w:val="FootnoteAnchor"/>
          <w:rtl w:val="true"/>
        </w:rPr>
        <w:footnoteReference w:id="1355"/>
      </w:r>
      <w:r>
        <w:rPr>
          <w:rFonts w:ascii="IRNazanin" w:hAnsi="IRNazanin" w:eastAsia="IRNazanin"/>
          <w:color w:val="111111"/>
          <w:sz w:val="28"/>
          <w:sz w:val="28"/>
          <w:szCs w:val="28"/>
          <w:rtl w:val="true"/>
          <w:lang w:bidi="fa-IR"/>
        </w:rPr>
        <w:t xml:space="preserve">همچنين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پدرش، يعنى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خواستگارى نمود</w:t>
      </w:r>
      <w:r>
        <w:rPr>
          <w:rFonts w:eastAsia="IRNazanin" w:cs="IRNazanin"/>
          <w:color w:val="111111"/>
          <w:sz w:val="28"/>
          <w:szCs w:val="28"/>
          <w:rtl w:val="true"/>
          <w:lang w:bidi="fa-IR"/>
        </w:rPr>
        <w:t xml:space="preserve">. </w:t>
      </w:r>
      <w:r>
        <w:rPr>
          <w:rStyle w:val="FootnoteAnchor"/>
          <w:rtl w:val="true"/>
        </w:rPr>
        <w:footnoteReference w:id="1356"/>
      </w:r>
      <w:r>
        <w:rPr>
          <w:rFonts w:ascii="IRNazanin" w:hAnsi="IRNazanin" w:eastAsia="IRNazanin"/>
          <w:color w:val="111111"/>
          <w:sz w:val="28"/>
          <w:sz w:val="28"/>
          <w:szCs w:val="28"/>
          <w:rtl w:val="true"/>
          <w:lang w:bidi="fa-IR"/>
        </w:rPr>
        <w:t xml:space="preserve">البته در مواردى كه عروس رشيده و بيوه و احياناً بدون پدر بود، خواستگارى مستقيماً از خود او صورت مى‌گرفت، چنان‌كه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اُم‌سلمه خواستگارى نمود</w:t>
      </w:r>
      <w:r>
        <w:rPr>
          <w:rFonts w:eastAsia="IRNazanin" w:cs="IRNazanin"/>
          <w:color w:val="111111"/>
          <w:sz w:val="28"/>
          <w:szCs w:val="28"/>
          <w:rtl w:val="true"/>
          <w:lang w:bidi="fa-IR"/>
        </w:rPr>
        <w:t xml:space="preserve">. </w:t>
      </w:r>
      <w:r>
        <w:rPr>
          <w:rStyle w:val="FootnoteAnchor"/>
          <w:rtl w:val="true"/>
        </w:rPr>
        <w:footnoteReference w:id="1357"/>
      </w:r>
      <w:r>
        <w:rPr>
          <w:rFonts w:ascii="IRNazanin" w:hAnsi="IRNazanin" w:eastAsia="IRNazanin"/>
          <w:color w:val="111111"/>
          <w:sz w:val="28"/>
          <w:sz w:val="28"/>
          <w:szCs w:val="28"/>
          <w:rtl w:val="true"/>
          <w:lang w:bidi="fa-IR"/>
        </w:rPr>
        <w:t>همچنين در بعضى از موارد، افراد يك خاندان امر دختران خود را به يكى از بزرگان خاندان واگذار مى‌كردند و خواستگاران مجبور بودند براى گرفتن رضايت به آن بزرگ مراجعه كنند، چنان‌كه وقتى معاويه دختر عبدالله بن جعفر را براى يزيد پسرش خواستگارى نمود،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زنان ما به عهده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خواستگار بايد به او مراجعه كند</w:t>
      </w:r>
      <w:r>
        <w:rPr>
          <w:rFonts w:eastAsia="IRNazanin" w:cs="IRNazanin"/>
          <w:color w:val="111111"/>
          <w:sz w:val="28"/>
          <w:szCs w:val="28"/>
          <w:rtl w:val="true"/>
          <w:lang w:bidi="fa-IR"/>
        </w:rPr>
        <w:t xml:space="preserve">. </w:t>
      </w:r>
      <w:r>
        <w:rPr>
          <w:rStyle w:val="FootnoteAnchor"/>
          <w:rtl w:val="true"/>
        </w:rPr>
        <w:footnoteReference w:id="1358"/>
      </w:r>
      <w:r>
        <w:rPr>
          <w:rFonts w:ascii="IRNazanin" w:hAnsi="IRNazanin" w:eastAsia="IRNazanin"/>
          <w:color w:val="111111"/>
          <w:sz w:val="28"/>
          <w:sz w:val="28"/>
          <w:szCs w:val="28"/>
          <w:rtl w:val="true"/>
          <w:lang w:bidi="fa-IR"/>
        </w:rPr>
        <w:t>البته در همه اين موارد در صورت بالغ بودن عروس، مسئله را با او نيز در ميان گذارده و نظر او را نيز جويا مى‌شدند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مسئله خواستگارى با دختر خواستگارى شده مطرح مى‌شد و او سكوت مى‌كرد، سكوت او دليل رضايت تلقى مى‌شد </w:t>
      </w:r>
      <w:r>
        <w:rPr>
          <w:rStyle w:val="FootnoteAnchor"/>
          <w:rtl w:val="true"/>
        </w:rPr>
        <w:footnoteReference w:id="1359"/>
      </w:r>
      <w:r>
        <w:rPr>
          <w:rFonts w:ascii="IRNazanin" w:hAnsi="IRNazanin" w:eastAsia="IRNazanin"/>
          <w:color w:val="111111"/>
          <w:sz w:val="28"/>
          <w:sz w:val="28"/>
          <w:szCs w:val="28"/>
          <w:rtl w:val="true"/>
          <w:lang w:bidi="fa-IR"/>
        </w:rPr>
        <w:t xml:space="preserve">چنان‌كه وقتى حضرت‌على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خواستگارى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 مردان ديگرى نيز از او خواستگارى نمودند و من ناخشنودى فاطمه</w:t>
      </w:r>
      <w:bookmarkStart w:id="1523" w:name="pg1964_19853"/>
    </w:p>
    <w:p>
      <w:pPr>
        <w:pStyle w:val="BookText"/>
        <w:rPr/>
      </w:pPr>
      <w:bookmarkEnd w:id="1523"/>
      <w:r>
        <w:rPr>
          <w:rFonts w:ascii="IRNazanin" w:hAnsi="IRNazanin" w:eastAsia="IRNazanin"/>
          <w:color w:val="111111"/>
          <w:sz w:val="28"/>
          <w:sz w:val="28"/>
          <w:szCs w:val="28"/>
          <w:rtl w:val="true"/>
          <w:lang w:bidi="fa-IR"/>
        </w:rPr>
        <w:t>را از چهره‌اش دريافتم، تو منتظر باش تا مسئله را با او مطرح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مسئله را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 و او سكوت نمود و چهره خود را برنگرداند، حضرت از چهره‌اش ناخشنودى او را استنباط نكرد، ازاين‌رو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سكوت او اقرار و پذيرش اوست</w:t>
      </w:r>
      <w:r>
        <w:rPr>
          <w:rFonts w:eastAsia="IRNazanin" w:cs="IRNazanin"/>
          <w:color w:val="111111"/>
          <w:sz w:val="28"/>
          <w:szCs w:val="28"/>
          <w:rtl w:val="true"/>
          <w:lang w:bidi="fa-IR"/>
        </w:rPr>
        <w:t xml:space="preserve">» . </w:t>
      </w:r>
      <w:r>
        <w:rPr>
          <w:rStyle w:val="FootnoteAnchor"/>
          <w:rtl w:val="true"/>
        </w:rPr>
        <w:footnoteReference w:id="1360"/>
      </w:r>
    </w:p>
    <w:p>
      <w:pPr>
        <w:pStyle w:val="Heading3"/>
        <w:numPr>
          <w:ilvl w:val="2"/>
          <w:numId w:val="1"/>
        </w:numPr>
        <w:rPr/>
      </w:pPr>
      <w:bookmarkStart w:id="1524" w:name="__RefHeading___Toc3585713_3650668749"/>
      <w:bookmarkStart w:id="1525" w:name="_Toc653"/>
      <w:bookmarkEnd w:id="1524"/>
      <w:r>
        <w:rPr/>
        <w:t>٢</w:t>
      </w:r>
      <w:r>
        <w:rPr>
          <w:rtl w:val="true"/>
        </w:rPr>
        <w:t xml:space="preserve">. </w:t>
      </w:r>
      <w:r>
        <w:rPr>
          <w:rtl w:val="true"/>
        </w:rPr>
        <w:t>ازدواج</w:t>
      </w:r>
      <w:bookmarkEnd w:id="1525"/>
    </w:p>
    <w:p>
      <w:pPr>
        <w:pStyle w:val="Heading4"/>
        <w:numPr>
          <w:ilvl w:val="3"/>
          <w:numId w:val="1"/>
        </w:numPr>
        <w:rPr/>
      </w:pPr>
      <w:bookmarkStart w:id="1526" w:name="__RefHeading___Toc3585715_3650668749"/>
      <w:bookmarkStart w:id="1527" w:name="_Toc654"/>
      <w:bookmarkEnd w:id="1526"/>
      <w:r>
        <w:rPr>
          <w:rtl w:val="true"/>
        </w:rPr>
        <w:t>اشاره</w:t>
      </w:r>
      <w:bookmarkEnd w:id="1527"/>
    </w:p>
    <w:p>
      <w:pPr>
        <w:pStyle w:val="BookText"/>
        <w:rPr/>
      </w:pPr>
      <w:r>
        <w:rPr>
          <w:rFonts w:ascii="IRNazanin" w:hAnsi="IRNazanin" w:eastAsia="IRNazanin"/>
          <w:color w:val="111111"/>
          <w:sz w:val="28"/>
          <w:sz w:val="28"/>
          <w:szCs w:val="28"/>
          <w:rtl w:val="true"/>
          <w:lang w:bidi="fa-IR"/>
        </w:rPr>
        <w:t>ازدواج در صدر اسلام و نيز در زمان مورد بحث، آداب و رسومى داشت كه در ادامه به مراحل آن پرداخته مى‌شود</w:t>
      </w:r>
      <w:r>
        <w:rPr>
          <w:rFonts w:eastAsia="IRNazanin" w:cs="IRNazanin"/>
          <w:color w:val="111111"/>
          <w:sz w:val="28"/>
          <w:szCs w:val="28"/>
          <w:rtl w:val="true"/>
          <w:lang w:bidi="fa-IR"/>
        </w:rPr>
        <w:t>:</w:t>
      </w:r>
    </w:p>
    <w:p>
      <w:pPr>
        <w:pStyle w:val="Heading4"/>
        <w:numPr>
          <w:ilvl w:val="3"/>
          <w:numId w:val="1"/>
        </w:numPr>
        <w:rPr/>
      </w:pPr>
      <w:bookmarkStart w:id="1528" w:name="__RefHeading___Toc3585717_3650668749"/>
      <w:bookmarkStart w:id="1529" w:name="_Toc655"/>
      <w:bookmarkEnd w:id="1528"/>
      <w:r>
        <w:rPr>
          <w:rtl w:val="true"/>
        </w:rPr>
        <w:t>الف</w:t>
      </w:r>
      <w:r>
        <w:rPr>
          <w:rtl w:val="true"/>
        </w:rPr>
        <w:t xml:space="preserve">) </w:t>
      </w:r>
      <w:r>
        <w:rPr>
          <w:rtl w:val="true"/>
        </w:rPr>
        <w:t>تعيين مهريه</w:t>
      </w:r>
      <w:bookmarkEnd w:id="152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تعيين مهريه پس از قبول خواستگارى و با توافق طرفين صورت مى‌پذيرفت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مهريه متفاوت بود و به رضايت طرفين بستگى داشت، چنان‌كه مقدار مهريه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بود </w:t>
      </w:r>
      <w:r>
        <w:rPr>
          <w:rStyle w:val="FootnoteAnchor"/>
          <w:rtl w:val="true"/>
        </w:rPr>
        <w:footnoteReference w:id="1361"/>
      </w:r>
      <w:r>
        <w:rPr>
          <w:rFonts w:ascii="IRNazanin" w:hAnsi="IRNazanin" w:eastAsia="IRNazanin"/>
          <w:color w:val="111111"/>
          <w:sz w:val="28"/>
          <w:sz w:val="28"/>
          <w:szCs w:val="28"/>
          <w:rtl w:val="true"/>
          <w:lang w:bidi="fa-IR"/>
        </w:rPr>
        <w:t xml:space="preserve">و نيز مهريه ام‌حبيبه يكى از زنان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ذكر شده است</w:t>
      </w:r>
      <w:r>
        <w:rPr>
          <w:rFonts w:eastAsia="IRNazanin" w:cs="IRNazanin"/>
          <w:color w:val="111111"/>
          <w:sz w:val="28"/>
          <w:szCs w:val="28"/>
          <w:rtl w:val="true"/>
          <w:lang w:bidi="fa-IR"/>
        </w:rPr>
        <w:t xml:space="preserve">. </w:t>
      </w:r>
      <w:r>
        <w:rPr>
          <w:rStyle w:val="FootnoteAnchor"/>
          <w:rtl w:val="true"/>
        </w:rPr>
        <w:footnoteReference w:id="1362"/>
      </w:r>
      <w:r>
        <w:rPr>
          <w:rFonts w:ascii="IRNazanin" w:hAnsi="IRNazanin" w:eastAsia="IRNazanin"/>
          <w:color w:val="111111"/>
          <w:sz w:val="28"/>
          <w:sz w:val="28"/>
          <w:szCs w:val="28"/>
          <w:rtl w:val="true"/>
          <w:lang w:bidi="fa-IR"/>
        </w:rPr>
        <w:t xml:space="preserve">همان‌طور كه ازدواج‌هايى با مهريه نيم ميليون درهم و بيشتر صورت مى‌گرفت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مُصعب‌بن زبير مهريه همسر خود، سكينه دختر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نيم ميليون درهم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ازدواج‌هايى نيز با مهريه يك درهم و دو درهم انجام مى‌شد</w:t>
      </w:r>
      <w:r>
        <w:rPr>
          <w:rFonts w:eastAsia="IRNazanin" w:cs="IRNazanin"/>
          <w:color w:val="111111"/>
          <w:sz w:val="28"/>
          <w:szCs w:val="28"/>
          <w:rtl w:val="true"/>
          <w:lang w:bidi="fa-IR"/>
        </w:rPr>
        <w:t xml:space="preserve">. </w:t>
      </w:r>
      <w:r>
        <w:rPr>
          <w:rStyle w:val="FootnoteAnchor"/>
          <w:rtl w:val="true"/>
        </w:rPr>
        <w:footnoteReference w:id="1363"/>
      </w:r>
      <w:r>
        <w:rPr>
          <w:rFonts w:ascii="IRNazanin" w:hAnsi="IRNazanin" w:eastAsia="IRNazanin"/>
          <w:color w:val="111111"/>
          <w:sz w:val="28"/>
          <w:sz w:val="28"/>
          <w:szCs w:val="28"/>
          <w:rtl w:val="true"/>
          <w:lang w:bidi="fa-IR"/>
        </w:rPr>
        <w:t>اما گرفتن شيربها در اسلام غير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بعضى نصوص تاريخى چنين برمى‌آيد كه برخى از مردم كوفه مقدارى از مهريه دختران خود را دريافت مى‌كردند، چنان‌كه طبق گزارشى، شريح قاضى مردى را كه شش‌صد درهم از مهريه دخترش برداشته بود، به زندان محكوم كرد</w:t>
      </w:r>
      <w:r>
        <w:rPr>
          <w:rFonts w:eastAsia="IRNazanin" w:cs="IRNazanin"/>
          <w:color w:val="111111"/>
          <w:sz w:val="28"/>
          <w:szCs w:val="28"/>
          <w:rtl w:val="true"/>
          <w:lang w:bidi="fa-IR"/>
        </w:rPr>
        <w:t xml:space="preserve">. </w:t>
      </w:r>
      <w:r>
        <w:rPr>
          <w:rStyle w:val="FootnoteAnchor"/>
          <w:rtl w:val="true"/>
        </w:rPr>
        <w:footnoteReference w:id="1364"/>
      </w:r>
      <w:bookmarkStart w:id="1530" w:name="pg1964_19854"/>
    </w:p>
    <w:p>
      <w:pPr>
        <w:pStyle w:val="Heading4"/>
        <w:numPr>
          <w:ilvl w:val="3"/>
          <w:numId w:val="1"/>
        </w:numPr>
        <w:rPr/>
      </w:pPr>
      <w:bookmarkStart w:id="1531" w:name="__RefHeading___Toc3585719_3650668749"/>
      <w:bookmarkStart w:id="1532" w:name="_Toc656"/>
      <w:bookmarkEnd w:id="1530"/>
      <w:bookmarkEnd w:id="1531"/>
      <w:r>
        <w:rPr>
          <w:rtl w:val="true"/>
        </w:rPr>
        <w:t>ب</w:t>
      </w:r>
      <w:r>
        <w:rPr>
          <w:rtl w:val="true"/>
        </w:rPr>
        <w:t xml:space="preserve">) </w:t>
      </w:r>
      <w:r>
        <w:rPr>
          <w:rtl w:val="true"/>
        </w:rPr>
        <w:t>جهيزيه</w:t>
      </w:r>
      <w:bookmarkEnd w:id="1532"/>
    </w:p>
    <w:p>
      <w:pPr>
        <w:pStyle w:val="BookText"/>
        <w:rPr/>
      </w:pPr>
      <w:r>
        <w:rPr>
          <w:rFonts w:ascii="IRNazanin" w:hAnsi="IRNazanin" w:eastAsia="IRNazanin"/>
          <w:color w:val="111111"/>
          <w:sz w:val="28"/>
          <w:sz w:val="28"/>
          <w:szCs w:val="28"/>
          <w:rtl w:val="true"/>
          <w:lang w:bidi="fa-IR"/>
        </w:rPr>
        <w:t xml:space="preserve">معمولاً مهريه زنان به آنها پرداخت مى‌شد، اما در مواردى كه احتياج به جهيزيه بود، اين مهريه صرف خريد جهيزيه مى‌شد، چنان‌كه در مورد ازدواج حضرت‌على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امرى صورت گرفت</w:t>
      </w:r>
      <w:r>
        <w:rPr>
          <w:rFonts w:eastAsia="IRNazanin" w:cs="IRNazanin"/>
          <w:color w:val="111111"/>
          <w:sz w:val="28"/>
          <w:szCs w:val="28"/>
          <w:rtl w:val="true"/>
          <w:lang w:bidi="fa-IR"/>
        </w:rPr>
        <w:t xml:space="preserve">. </w:t>
      </w:r>
      <w:r>
        <w:rPr>
          <w:rStyle w:val="FootnoteAnchor"/>
          <w:rtl w:val="true"/>
        </w:rPr>
        <w:footnoteReference w:id="1365"/>
      </w:r>
      <w:r>
        <w:rPr>
          <w:rFonts w:ascii="IRNazanin" w:hAnsi="IRNazanin" w:eastAsia="IRNazanin"/>
          <w:color w:val="111111"/>
          <w:sz w:val="28"/>
          <w:sz w:val="28"/>
          <w:szCs w:val="28"/>
          <w:rtl w:val="true"/>
          <w:lang w:bidi="fa-IR"/>
        </w:rPr>
        <w:t>ليست جهيزيه حضرت فاطمه كه شايد بتوان آن را يك زندگى متوسط در زمان مورد بحث تلقى كرد،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 به هفت درهم،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به چهار درهم،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قطيفه مشكى خيبرى،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رختخواب كه از كتان مصرى بسيار ضخيم بود و يكى از آنها با پشم گوسفند و ديگرى با ليف خرما پر شده بود،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عدد متكا كه از پوست‌هاى دباغى شده طايف فراهم گشته و درون آن از گياه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شده بود،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نازك پشمى،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حصير كه بافته هَجَر از توابع بحرين بود،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آسياب دستى،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طشت مسى،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 براى آب آوردن،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كاسه‌اى سفالين،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مشكى مخصوص خنك كردن آب،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كوزه سفالين،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سبويى سبز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533" w:name="__RefHeading___Toc3585721_3650668749"/>
      <w:bookmarkStart w:id="1534" w:name="_Toc657"/>
      <w:bookmarkEnd w:id="1533"/>
      <w:r>
        <w:rPr>
          <w:rtl w:val="true"/>
        </w:rPr>
        <w:t>ج</w:t>
      </w:r>
      <w:r>
        <w:rPr>
          <w:rtl w:val="true"/>
        </w:rPr>
        <w:t xml:space="preserve">) </w:t>
      </w:r>
      <w:r>
        <w:rPr>
          <w:rtl w:val="true"/>
        </w:rPr>
        <w:t>خطبه نكاح</w:t>
      </w:r>
      <w:bookmarkEnd w:id="1534"/>
    </w:p>
    <w:p>
      <w:pPr>
        <w:pStyle w:val="BookText"/>
        <w:rPr/>
      </w:pPr>
      <w:r>
        <w:rPr>
          <w:rFonts w:ascii="IRNazanin" w:hAnsi="IRNazanin" w:eastAsia="IRNazanin"/>
          <w:color w:val="111111"/>
          <w:sz w:val="28"/>
          <w:sz w:val="28"/>
          <w:szCs w:val="28"/>
          <w:rtl w:val="true"/>
          <w:lang w:bidi="fa-IR"/>
        </w:rPr>
        <w:t>معمولاً خطبه عروس به وسيله شخصيتى اجتماعى يا دينى خوانده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چنين آمده است كه گروهى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كردند تا خطبه عروس و داماد را بخواند</w:t>
      </w:r>
      <w:r>
        <w:rPr>
          <w:rFonts w:eastAsia="IRNazanin" w:cs="IRNazanin"/>
          <w:color w:val="111111"/>
          <w:sz w:val="28"/>
          <w:szCs w:val="28"/>
          <w:rtl w:val="true"/>
          <w:lang w:bidi="fa-IR"/>
        </w:rPr>
        <w:t xml:space="preserve">. </w:t>
      </w:r>
      <w:r>
        <w:rPr>
          <w:rStyle w:val="FootnoteAnchor"/>
          <w:rtl w:val="true"/>
        </w:rPr>
        <w:footnoteReference w:id="1366"/>
      </w:r>
      <w:r>
        <w:rPr>
          <w:rFonts w:ascii="IRNazanin" w:hAnsi="IRNazanin" w:eastAsia="IRNazanin"/>
          <w:color w:val="111111"/>
          <w:sz w:val="28"/>
          <w:sz w:val="28"/>
          <w:szCs w:val="28"/>
          <w:rtl w:val="true"/>
          <w:lang w:bidi="fa-IR"/>
        </w:rPr>
        <w:t xml:space="preserve">در بعضى موارد نيز، خود داماد خطبه را مى‌خواند، چنان‌كه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كه خطبه ازدواج خود را بخواند</w:t>
      </w:r>
      <w:r>
        <w:rPr>
          <w:rFonts w:eastAsia="IRNazanin" w:cs="IRNazanin"/>
          <w:color w:val="111111"/>
          <w:sz w:val="28"/>
          <w:szCs w:val="28"/>
          <w:rtl w:val="true"/>
          <w:lang w:bidi="fa-IR"/>
        </w:rPr>
        <w:t xml:space="preserve">. </w:t>
      </w:r>
      <w:r>
        <w:rPr>
          <w:rStyle w:val="FootnoteAnchor"/>
          <w:rtl w:val="true"/>
        </w:rPr>
        <w:footnoteReference w:id="1367"/>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خطبه‌هاى ازدواج مشتمل بر حمد و ثناى خداوند، وصيت به تقواى الهى، شمردن ويژگى‌هاى ازدواج، معرفى عروس و داماد و بيان مهريه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535" w:name="pg1964_19855"/>
    </w:p>
    <w:p>
      <w:pPr>
        <w:pStyle w:val="BookText"/>
        <w:rPr/>
      </w:pPr>
      <w:bookmarkEnd w:id="1535"/>
      <w:r>
        <w:rPr>
          <w:rFonts w:ascii="IRNazanin" w:hAnsi="IRNazanin" w:eastAsia="IRNazanin"/>
          <w:color w:val="111111"/>
          <w:sz w:val="28"/>
          <w:sz w:val="28"/>
          <w:szCs w:val="28"/>
          <w:rtl w:val="true"/>
          <w:lang w:bidi="fa-IR"/>
        </w:rPr>
        <w:t>بعضى از نوشته‌ها چنين آمده است كه عرب‌ها عادت داشتند هنگام قرائت خطبه‌هاى نكاح بنشينند</w:t>
      </w:r>
      <w:r>
        <w:rPr>
          <w:rFonts w:eastAsia="IRNazanin" w:cs="IRNazanin"/>
          <w:color w:val="111111"/>
          <w:sz w:val="28"/>
          <w:szCs w:val="28"/>
          <w:rtl w:val="true"/>
          <w:lang w:bidi="fa-IR"/>
        </w:rPr>
        <w:t xml:space="preserve">. </w:t>
      </w:r>
      <w:r>
        <w:rPr>
          <w:rStyle w:val="FootnoteAnchor"/>
          <w:rtl w:val="true"/>
        </w:rPr>
        <w:footnoteReference w:id="1368"/>
      </w:r>
    </w:p>
    <w:p>
      <w:pPr>
        <w:pStyle w:val="Heading4"/>
        <w:numPr>
          <w:ilvl w:val="3"/>
          <w:numId w:val="1"/>
        </w:numPr>
        <w:rPr/>
      </w:pPr>
      <w:bookmarkStart w:id="1536" w:name="__RefHeading___Toc3585723_3650668749"/>
      <w:bookmarkStart w:id="1537" w:name="_Toc658"/>
      <w:bookmarkEnd w:id="1536"/>
      <w:r>
        <w:rPr>
          <w:rtl w:val="true"/>
        </w:rPr>
        <w:t>د</w:t>
      </w:r>
      <w:r>
        <w:rPr>
          <w:rtl w:val="true"/>
        </w:rPr>
        <w:t xml:space="preserve">) </w:t>
      </w:r>
      <w:r>
        <w:rPr>
          <w:rtl w:val="true"/>
        </w:rPr>
        <w:t xml:space="preserve">فاصله بين عقد و عروسى </w:t>
      </w:r>
      <w:r>
        <w:rPr>
          <w:rtl w:val="true"/>
        </w:rPr>
        <w:t>(</w:t>
      </w:r>
      <w:r>
        <w:rPr>
          <w:rtl w:val="true"/>
        </w:rPr>
        <w:t>زفاف</w:t>
      </w:r>
      <w:r>
        <w:rPr>
          <w:rtl w:val="true"/>
        </w:rPr>
        <w:t>)</w:t>
      </w:r>
      <w:bookmarkEnd w:id="1537"/>
    </w:p>
    <w:p>
      <w:pPr>
        <w:pStyle w:val="BookText"/>
        <w:rPr/>
      </w:pPr>
      <w:r>
        <w:rPr>
          <w:rFonts w:ascii="IRNazanin" w:hAnsi="IRNazanin" w:eastAsia="IRNazanin"/>
          <w:color w:val="111111"/>
          <w:sz w:val="28"/>
          <w:sz w:val="28"/>
          <w:szCs w:val="28"/>
          <w:rtl w:val="true"/>
          <w:lang w:bidi="fa-IR"/>
        </w:rPr>
        <w:t xml:space="preserve">فاصله مشخصى بين اين دو نبود، چنان‌كه در باره بعضى از ازدواج‌هاى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آمده است كه فرداى عقد، زفاف برقرار شده </w:t>
      </w:r>
      <w:r>
        <w:rPr>
          <w:rStyle w:val="FootnoteAnchor"/>
          <w:rtl w:val="true"/>
        </w:rPr>
        <w:footnoteReference w:id="1369"/>
      </w:r>
      <w:r>
        <w:rPr>
          <w:rFonts w:ascii="IRNazanin" w:hAnsi="IRNazanin" w:eastAsia="IRNazanin"/>
          <w:color w:val="111111"/>
          <w:sz w:val="28"/>
          <w:sz w:val="28"/>
          <w:szCs w:val="28"/>
          <w:rtl w:val="true"/>
          <w:lang w:bidi="fa-IR"/>
        </w:rPr>
        <w:t xml:space="preserve">همين‌طور در مورد ازدواج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 شده كه فاصله بين عقد و زفاف يك‌ماه بوده است</w:t>
      </w:r>
      <w:r>
        <w:rPr>
          <w:rFonts w:eastAsia="IRNazanin" w:cs="IRNazanin"/>
          <w:color w:val="111111"/>
          <w:sz w:val="28"/>
          <w:szCs w:val="28"/>
          <w:rtl w:val="true"/>
          <w:lang w:bidi="fa-IR"/>
        </w:rPr>
        <w:t xml:space="preserve">. </w:t>
      </w:r>
      <w:r>
        <w:rPr>
          <w:rStyle w:val="FootnoteAnchor"/>
          <w:rtl w:val="true"/>
        </w:rPr>
        <w:footnoteReference w:id="1370"/>
      </w:r>
    </w:p>
    <w:p>
      <w:pPr>
        <w:pStyle w:val="Heading4"/>
        <w:numPr>
          <w:ilvl w:val="3"/>
          <w:numId w:val="1"/>
        </w:numPr>
        <w:rPr/>
      </w:pPr>
      <w:bookmarkStart w:id="1538" w:name="__RefHeading___Toc3585725_3650668749"/>
      <w:bookmarkStart w:id="1539" w:name="_Toc659"/>
      <w:bookmarkEnd w:id="1538"/>
      <w:r>
        <w:rPr>
          <w:rtl w:val="true"/>
        </w:rPr>
        <w:t>ه</w:t>
      </w:r>
      <w:r>
        <w:rPr>
          <w:rtl w:val="true"/>
        </w:rPr>
        <w:t xml:space="preserve">) </w:t>
      </w:r>
      <w:r>
        <w:rPr>
          <w:rtl w:val="true"/>
        </w:rPr>
        <w:t xml:space="preserve">مراسم عروسى </w:t>
      </w:r>
      <w:r>
        <w:rPr>
          <w:rtl w:val="true"/>
        </w:rPr>
        <w:t>(</w:t>
      </w:r>
      <w:r>
        <w:rPr>
          <w:rtl w:val="true"/>
        </w:rPr>
        <w:t>زفاف</w:t>
      </w:r>
      <w:r>
        <w:rPr>
          <w:rtl w:val="true"/>
        </w:rPr>
        <w:t>)</w:t>
      </w:r>
      <w:bookmarkEnd w:id="1539"/>
    </w:p>
    <w:p>
      <w:pPr>
        <w:pStyle w:val="Heading5"/>
        <w:numPr>
          <w:ilvl w:val="4"/>
          <w:numId w:val="1"/>
        </w:numPr>
        <w:rPr/>
      </w:pPr>
      <w:bookmarkStart w:id="1540" w:name="__RefHeading___Toc3585727_3650668749"/>
      <w:bookmarkStart w:id="1541" w:name="_Toc660"/>
      <w:bookmarkEnd w:id="1540"/>
      <w:r>
        <w:rPr>
          <w:rtl w:val="true"/>
        </w:rPr>
        <w:t>اشاره</w:t>
      </w:r>
      <w:bookmarkEnd w:id="1541"/>
    </w:p>
    <w:p>
      <w:pPr>
        <w:pStyle w:val="BookText"/>
        <w:rPr/>
      </w:pPr>
      <w:r>
        <w:rPr>
          <w:rFonts w:ascii="Amiri" w:hAnsi="Amiri" w:eastAsia="Amiri" w:cs="Amiri"/>
          <w:color w:val="111111"/>
          <w:sz w:val="28"/>
          <w:sz w:val="28"/>
          <w:szCs w:val="28"/>
          <w:rtl w:val="true"/>
          <w:lang w:bidi="ar-SA"/>
        </w:rPr>
        <w:t>به‌طور كلى مى‌توان از روايات تاريخى، مراسم زير را به عنوان مراسم زفاف به دست آورد</w:t>
      </w:r>
      <w:r>
        <w:rPr>
          <w:rFonts w:eastAsia="Amiri" w:cs="Amiri" w:ascii="Amiri" w:hAnsi="Amiri"/>
          <w:color w:val="111111"/>
          <w:sz w:val="28"/>
          <w:szCs w:val="28"/>
          <w:rtl w:val="true"/>
          <w:lang w:bidi="ar-SA"/>
        </w:rPr>
        <w:t>:</w:t>
      </w:r>
    </w:p>
    <w:p>
      <w:pPr>
        <w:pStyle w:val="Heading5"/>
        <w:numPr>
          <w:ilvl w:val="4"/>
          <w:numId w:val="1"/>
        </w:numPr>
        <w:rPr/>
      </w:pPr>
      <w:bookmarkStart w:id="1542" w:name="__RefHeading___Toc3585729_3650668749"/>
      <w:bookmarkStart w:id="1543" w:name="_Toc661"/>
      <w:bookmarkEnd w:id="1542"/>
      <w:r>
        <w:rPr>
          <w:rtl w:val="true"/>
        </w:rPr>
        <w:t xml:space="preserve">يك </w:t>
      </w:r>
      <w:r>
        <w:rPr>
          <w:rtl w:val="true"/>
        </w:rPr>
        <w:t xml:space="preserve">- </w:t>
      </w:r>
      <w:r>
        <w:rPr>
          <w:rtl w:val="true"/>
        </w:rPr>
        <w:t>وقوع عروسى در شب</w:t>
      </w:r>
      <w:bookmarkEnd w:id="1543"/>
    </w:p>
    <w:p>
      <w:pPr>
        <w:pStyle w:val="BookText"/>
        <w:rPr/>
      </w:pPr>
      <w:r>
        <w:rPr>
          <w:rFonts w:ascii="IRNazanin" w:hAnsi="IRNazanin" w:eastAsia="IRNazanin"/>
          <w:color w:val="111111"/>
          <w:sz w:val="28"/>
          <w:sz w:val="28"/>
          <w:szCs w:val="28"/>
          <w:rtl w:val="true"/>
          <w:lang w:bidi="fa-IR"/>
        </w:rPr>
        <w:t xml:space="preserve">در بعضى روايات چنين وارد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عروس‌هاى خود را در شب به زفاف ببريد</w:t>
      </w:r>
      <w:r>
        <w:rPr>
          <w:rFonts w:eastAsia="IRNazanin" w:cs="IRNazanin"/>
          <w:color w:val="111111"/>
          <w:sz w:val="28"/>
          <w:szCs w:val="28"/>
          <w:rtl w:val="true"/>
          <w:lang w:bidi="fa-IR"/>
        </w:rPr>
        <w:t xml:space="preserve">» . </w:t>
      </w:r>
      <w:r>
        <w:rPr>
          <w:rStyle w:val="FootnoteAnchor"/>
          <w:rtl w:val="true"/>
        </w:rPr>
        <w:footnoteReference w:id="1371"/>
      </w:r>
      <w:r>
        <w:rPr>
          <w:rFonts w:ascii="IRNazanin" w:hAnsi="IRNazanin" w:eastAsia="IRNazanin"/>
          <w:color w:val="111111"/>
          <w:sz w:val="28"/>
          <w:sz w:val="28"/>
          <w:szCs w:val="28"/>
          <w:rtl w:val="true"/>
          <w:lang w:bidi="fa-IR"/>
        </w:rPr>
        <w:t xml:space="preserve">نيز در روايتى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وارد شده است كه يكى از سه موردى كه شب بيدارى در آن روا و پسنديده است، شبى است كه عروس به خانه شوهر مى‌رود</w:t>
      </w:r>
      <w:r>
        <w:rPr>
          <w:rFonts w:eastAsia="IRNazanin" w:cs="IRNazanin"/>
          <w:color w:val="111111"/>
          <w:sz w:val="28"/>
          <w:szCs w:val="28"/>
          <w:rtl w:val="true"/>
          <w:lang w:bidi="fa-IR"/>
        </w:rPr>
        <w:t xml:space="preserve">. </w:t>
      </w:r>
      <w:r>
        <w:rPr>
          <w:rStyle w:val="FootnoteAnchor"/>
          <w:rtl w:val="true"/>
        </w:rPr>
        <w:footnoteReference w:id="1372"/>
      </w:r>
    </w:p>
    <w:p>
      <w:pPr>
        <w:pStyle w:val="Heading5"/>
        <w:numPr>
          <w:ilvl w:val="4"/>
          <w:numId w:val="1"/>
        </w:numPr>
        <w:rPr/>
      </w:pPr>
      <w:bookmarkStart w:id="1544" w:name="__RefHeading___Toc3585731_3650668749"/>
      <w:bookmarkStart w:id="1545" w:name="_Toc662"/>
      <w:bookmarkEnd w:id="1544"/>
      <w:r>
        <w:rPr>
          <w:rtl w:val="true"/>
        </w:rPr>
        <w:t xml:space="preserve">دو </w:t>
      </w:r>
      <w:r>
        <w:rPr>
          <w:rtl w:val="true"/>
        </w:rPr>
        <w:t xml:space="preserve">- </w:t>
      </w:r>
      <w:r>
        <w:rPr>
          <w:rtl w:val="true"/>
        </w:rPr>
        <w:t>آرايش عروس</w:t>
      </w:r>
      <w:bookmarkEnd w:id="154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مثال،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خود دستور داد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آرايش نمايند و آنها او را آرايش كرده و با عطر، خوشبوتر نمودند</w:t>
      </w:r>
      <w:r>
        <w:rPr>
          <w:rFonts w:eastAsia="IRNazanin" w:cs="IRNazanin"/>
          <w:color w:val="111111"/>
          <w:sz w:val="28"/>
          <w:szCs w:val="28"/>
          <w:rtl w:val="true"/>
          <w:lang w:bidi="fa-IR"/>
        </w:rPr>
        <w:t xml:space="preserve">. </w:t>
      </w:r>
      <w:r>
        <w:rPr>
          <w:rStyle w:val="FootnoteAnchor"/>
          <w:rtl w:val="true"/>
        </w:rPr>
        <w:footnoteReference w:id="1373"/>
      </w:r>
      <w:bookmarkStart w:id="1546" w:name="pg1964_19856"/>
    </w:p>
    <w:p>
      <w:pPr>
        <w:pStyle w:val="Heading5"/>
        <w:numPr>
          <w:ilvl w:val="4"/>
          <w:numId w:val="1"/>
        </w:numPr>
        <w:rPr/>
      </w:pPr>
      <w:bookmarkStart w:id="1547" w:name="__RefHeading___Toc3585733_3650668749"/>
      <w:bookmarkStart w:id="1548" w:name="_Toc663"/>
      <w:bookmarkEnd w:id="1546"/>
      <w:bookmarkEnd w:id="1547"/>
      <w:r>
        <w:rPr>
          <w:rtl w:val="true"/>
        </w:rPr>
        <w:t xml:space="preserve">سه </w:t>
      </w:r>
      <w:r>
        <w:rPr>
          <w:rtl w:val="true"/>
        </w:rPr>
        <w:t xml:space="preserve">- </w:t>
      </w:r>
      <w:r>
        <w:rPr>
          <w:rtl w:val="true"/>
        </w:rPr>
        <w:t>بردن عروس از خانه پدر به خانه شوهر</w:t>
      </w:r>
      <w:bookmarkEnd w:id="1548"/>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عروسى، با مراسم خاصى به خانه شوهر برده شد كه به آن پرداخته خواهد شد</w:t>
      </w:r>
      <w:r>
        <w:rPr>
          <w:rFonts w:eastAsia="IRNazanin" w:cs="IRNazanin"/>
          <w:color w:val="111111"/>
          <w:sz w:val="28"/>
          <w:szCs w:val="28"/>
          <w:rtl w:val="true"/>
          <w:lang w:bidi="fa-IR"/>
        </w:rPr>
        <w:t xml:space="preserve">. </w:t>
      </w:r>
      <w:r>
        <w:rPr>
          <w:rStyle w:val="FootnoteAnchor"/>
          <w:rtl w:val="true"/>
        </w:rPr>
        <w:footnoteReference w:id="1374"/>
      </w:r>
    </w:p>
    <w:p>
      <w:pPr>
        <w:pStyle w:val="Heading5"/>
        <w:numPr>
          <w:ilvl w:val="4"/>
          <w:numId w:val="1"/>
        </w:numPr>
        <w:rPr/>
      </w:pPr>
      <w:bookmarkStart w:id="1549" w:name="__RefHeading___Toc3585735_3650668749"/>
      <w:bookmarkStart w:id="1550" w:name="_Toc664"/>
      <w:bookmarkEnd w:id="1549"/>
      <w:r>
        <w:rPr>
          <w:rtl w:val="true"/>
        </w:rPr>
        <w:t xml:space="preserve">چهار </w:t>
      </w:r>
      <w:r>
        <w:rPr>
          <w:rtl w:val="true"/>
        </w:rPr>
        <w:t xml:space="preserve">- </w:t>
      </w:r>
      <w:r>
        <w:rPr>
          <w:rtl w:val="true"/>
        </w:rPr>
        <w:t>همراهان عروس</w:t>
      </w:r>
      <w:bookmarkEnd w:id="1550"/>
    </w:p>
    <w:p>
      <w:pPr>
        <w:pStyle w:val="BookText"/>
        <w:rPr/>
      </w:pPr>
      <w:r>
        <w:rPr>
          <w:rFonts w:ascii="IRNazanin" w:hAnsi="IRNazanin" w:eastAsia="IRNazanin"/>
          <w:color w:val="111111"/>
          <w:sz w:val="28"/>
          <w:sz w:val="28"/>
          <w:szCs w:val="28"/>
          <w:rtl w:val="true"/>
          <w:lang w:bidi="fa-IR"/>
        </w:rPr>
        <w:t xml:space="preserve">معمولاً هنگام بردن عروس به خانه شوهر، زنان دور عروس را گرفته و با هلهله و شادى و خواندن اشعار مناسب او را همراهى مى‌كردند </w:t>
      </w:r>
      <w:r>
        <w:rPr>
          <w:rStyle w:val="FootnoteAnchor"/>
          <w:rtl w:val="true"/>
        </w:rPr>
        <w:footnoteReference w:id="1375"/>
      </w:r>
      <w:r>
        <w:rPr>
          <w:rFonts w:ascii="IRNazanin" w:hAnsi="IRNazanin" w:eastAsia="IRNazanin"/>
          <w:color w:val="111111"/>
          <w:sz w:val="28"/>
          <w:sz w:val="28"/>
          <w:szCs w:val="28"/>
          <w:rtl w:val="true"/>
          <w:lang w:bidi="fa-IR"/>
        </w:rPr>
        <w:t>و مردان جدا از زنان در اين مراسم شركت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عروسى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آمده است كه زنان در جلوى روى او و مردانى همانند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حمزه، عقيل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حالى‌كه شمشيرهاى خود را برهنه كرده بودند، به دنبال عروس حركت مى‌كردند</w:t>
      </w:r>
      <w:r>
        <w:rPr>
          <w:rFonts w:eastAsia="IRNazanin" w:cs="IRNazanin"/>
          <w:color w:val="111111"/>
          <w:sz w:val="28"/>
          <w:szCs w:val="28"/>
          <w:rtl w:val="true"/>
          <w:lang w:bidi="fa-IR"/>
        </w:rPr>
        <w:t xml:space="preserve">. </w:t>
      </w:r>
      <w:r>
        <w:rPr>
          <w:rStyle w:val="FootnoteAnchor"/>
          <w:rtl w:val="true"/>
        </w:rPr>
        <w:footnoteReference w:id="1376"/>
      </w:r>
    </w:p>
    <w:p>
      <w:pPr>
        <w:pStyle w:val="Heading5"/>
        <w:numPr>
          <w:ilvl w:val="4"/>
          <w:numId w:val="1"/>
        </w:numPr>
        <w:rPr/>
      </w:pPr>
      <w:bookmarkStart w:id="1551" w:name="__RefHeading___Toc3585737_3650668749"/>
      <w:bookmarkStart w:id="1552" w:name="_Toc665"/>
      <w:bookmarkEnd w:id="1551"/>
      <w:r>
        <w:rPr>
          <w:rtl w:val="true"/>
        </w:rPr>
        <w:t xml:space="preserve">پنج </w:t>
      </w:r>
      <w:r>
        <w:rPr>
          <w:rtl w:val="true"/>
        </w:rPr>
        <w:t xml:space="preserve">- </w:t>
      </w:r>
      <w:r>
        <w:rPr>
          <w:rtl w:val="true"/>
        </w:rPr>
        <w:t>شعرخوانى و دف‌زدن و تكبير گفتن در شب عروسى</w:t>
      </w:r>
      <w:bookmarkEnd w:id="155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جريان عروسى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مهاجر و انصار و دختران عبدالمطلب دستور داد كه ضمن حركت همراه عروس، شادى نمايند و رجز بخوانند و تكبير بگويند و خدا را حمد نمايند و آنچه باعث ناخشنودى خداوند است بر زبان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عروسى، زنانى همانند ام‌سلمه، حفصه، عايشه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نوبت، شعرهايى با وزن رجز مى‌خواندند و زنان ديگر هنگام خواندن هر بيت شعر، اول آن رجز را تكرار مى‌كردند، سپس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تكبير وارد خانه نمودند</w:t>
      </w:r>
      <w:r>
        <w:rPr>
          <w:rFonts w:eastAsia="IRNazanin" w:cs="IRNazanin"/>
          <w:color w:val="111111"/>
          <w:sz w:val="28"/>
          <w:szCs w:val="28"/>
          <w:rtl w:val="true"/>
          <w:lang w:bidi="fa-IR"/>
        </w:rPr>
        <w:t xml:space="preserve">. </w:t>
      </w:r>
      <w:r>
        <w:rPr>
          <w:rStyle w:val="FootnoteAnchor"/>
          <w:rtl w:val="true"/>
        </w:rPr>
        <w:footnoteReference w:id="1377"/>
      </w:r>
      <w:r>
        <w:rPr>
          <w:rFonts w:ascii="IRNazanin" w:hAnsi="IRNazanin" w:eastAsia="IRNazanin"/>
          <w:color w:val="111111"/>
          <w:sz w:val="28"/>
          <w:sz w:val="28"/>
          <w:szCs w:val="28"/>
          <w:rtl w:val="true"/>
          <w:lang w:bidi="fa-IR"/>
        </w:rPr>
        <w:t xml:space="preserve">در روايت ديگرى نمونه‌اى از شعرى كه هنگام عروسى خوانده مى‌شد، از زبان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Style w:val="FootnoteAnchor"/>
          <w:rtl w:val="true"/>
        </w:rPr>
        <w:footnoteReference w:id="1378"/>
      </w:r>
      <w:bookmarkStart w:id="1553" w:name="pg1964_19857"/>
    </w:p>
    <w:p>
      <w:pPr>
        <w:pStyle w:val="BookText"/>
        <w:rPr/>
      </w:pPr>
      <w:bookmarkEnd w:id="1553"/>
      <w:r>
        <w:rPr>
          <w:rFonts w:ascii="IRNazanin" w:hAnsi="IRNazanin" w:eastAsia="IRNazanin"/>
          <w:color w:val="111111"/>
          <w:sz w:val="28"/>
          <w:sz w:val="28"/>
          <w:szCs w:val="28"/>
          <w:rtl w:val="true"/>
          <w:lang w:bidi="fa-IR"/>
        </w:rPr>
        <w:t xml:space="preserve">اما دف‌زدن، يعنى استفاده از دايره زنگى در روايتى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شمرده شده و فرق بين نكاح شرعى و زنا، دف زدن دانسته شده است </w:t>
      </w:r>
      <w:r>
        <w:rPr>
          <w:rStyle w:val="FootnoteAnchor"/>
          <w:rtl w:val="true"/>
        </w:rPr>
        <w:footnoteReference w:id="1379"/>
      </w:r>
      <w:r>
        <w:rPr>
          <w:rFonts w:ascii="IRNazanin" w:hAnsi="IRNazanin" w:eastAsia="IRNazanin"/>
          <w:color w:val="111111"/>
          <w:sz w:val="28"/>
          <w:sz w:val="28"/>
          <w:szCs w:val="28"/>
          <w:rtl w:val="true"/>
          <w:lang w:bidi="fa-IR"/>
        </w:rPr>
        <w:t>زيرا زنا مخفيانه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ديگرى چنين نقل شده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خانه يكى از اصحاب رد مى‌شد كه صداى دف را شنيد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عروسى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اينكار در باره نكاح خوب است كه آن را از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متمايز مى‌سازد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نكاح را مستند نماييد و آن را بين خود اعلان كنيد و در هنگام آن، دف بزنيد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رو، سنت بر اين امور جارى شد</w:t>
      </w:r>
      <w:r>
        <w:rPr>
          <w:rFonts w:eastAsia="IRNazanin" w:cs="IRNazanin"/>
          <w:color w:val="111111"/>
          <w:sz w:val="28"/>
          <w:szCs w:val="28"/>
          <w:rtl w:val="true"/>
          <w:lang w:bidi="fa-IR"/>
        </w:rPr>
        <w:t xml:space="preserve">. </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 xml:space="preserve">اما در خصوص تكبير در حديثى ديگر در باره عروسى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نقل شده است كه در شب عروسى، جبرئيل و ميكائيل و ديگر ملائكه و نيز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گفتند و از آن شب به بعد، تكبير گفتن در عروس‌هاى اسلامى وضع شد</w:t>
      </w:r>
      <w:r>
        <w:rPr>
          <w:rFonts w:eastAsia="IRNazanin" w:cs="IRNazanin"/>
          <w:color w:val="111111"/>
          <w:sz w:val="28"/>
          <w:szCs w:val="28"/>
          <w:rtl w:val="true"/>
          <w:lang w:bidi="fa-IR"/>
        </w:rPr>
        <w:t xml:space="preserve">. </w:t>
      </w:r>
      <w:r>
        <w:rPr>
          <w:rStyle w:val="FootnoteAnchor"/>
          <w:rtl w:val="true"/>
        </w:rPr>
        <w:footnoteReference w:id="1381"/>
      </w:r>
    </w:p>
    <w:p>
      <w:pPr>
        <w:pStyle w:val="Heading5"/>
        <w:numPr>
          <w:ilvl w:val="4"/>
          <w:numId w:val="1"/>
        </w:numPr>
        <w:rPr/>
      </w:pPr>
      <w:bookmarkStart w:id="1554" w:name="__RefHeading___Toc3585739_3650668749"/>
      <w:bookmarkStart w:id="1555" w:name="_Toc666"/>
      <w:bookmarkEnd w:id="1554"/>
      <w:r>
        <w:rPr>
          <w:rtl w:val="true"/>
        </w:rPr>
        <w:t xml:space="preserve">شش </w:t>
      </w:r>
      <w:r>
        <w:rPr>
          <w:rtl w:val="true"/>
        </w:rPr>
        <w:t xml:space="preserve">- </w:t>
      </w:r>
      <w:r>
        <w:rPr>
          <w:rtl w:val="true"/>
        </w:rPr>
        <w:t>نِثار عروسى</w:t>
      </w:r>
      <w:bookmarkEnd w:id="1555"/>
    </w:p>
    <w:p>
      <w:pPr>
        <w:pStyle w:val="BookText"/>
        <w:rPr/>
      </w:pPr>
      <w:r>
        <w:rPr>
          <w:rFonts w:ascii="IRNazanin" w:hAnsi="IRNazanin" w:eastAsia="IRNazanin"/>
          <w:color w:val="111111"/>
          <w:sz w:val="28"/>
          <w:sz w:val="28"/>
          <w:szCs w:val="28"/>
          <w:rtl w:val="true"/>
          <w:lang w:bidi="fa-IR"/>
        </w:rPr>
        <w:t>نثار به معناى پراكندنى است و در اصطلاح پول خرد، گلوله‌هاى شكر، بادام يا چيزهايى از اين قبيل بوده كه در شب عروسى به هوا پرتاب مى‌كردند و هركس هر چه به دست مى‌آورد، استفاده مى‌كرد</w:t>
      </w:r>
      <w:r>
        <w:rPr>
          <w:rFonts w:eastAsia="IRNazanin" w:cs="IRNazanin"/>
          <w:color w:val="111111"/>
          <w:sz w:val="28"/>
          <w:szCs w:val="28"/>
          <w:rtl w:val="true"/>
          <w:lang w:bidi="fa-IR"/>
        </w:rPr>
        <w:t xml:space="preserve">. </w:t>
      </w:r>
      <w:r>
        <w:rPr>
          <w:rStyle w:val="FootnoteAnchor"/>
          <w:rtl w:val="true"/>
        </w:rPr>
        <w:footnoteReference w:id="1382"/>
      </w:r>
      <w:r>
        <w:rPr>
          <w:rFonts w:ascii="IRNazanin" w:hAnsi="IRNazanin" w:eastAsia="IRNazanin"/>
          <w:color w:val="111111"/>
          <w:sz w:val="28"/>
          <w:sz w:val="28"/>
          <w:szCs w:val="28"/>
          <w:rtl w:val="true"/>
          <w:lang w:bidi="fa-IR"/>
        </w:rPr>
        <w:t xml:space="preserve">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ايمن در حالى‌كه تعدادى نثار به دست آورده بود، با آن حضرت ملاقات كرد و گفت وگويى بين آن دو واقع شد</w:t>
      </w:r>
      <w:r>
        <w:rPr>
          <w:rFonts w:eastAsia="IRNazanin" w:cs="IRNazanin"/>
          <w:color w:val="111111"/>
          <w:sz w:val="28"/>
          <w:szCs w:val="28"/>
          <w:rtl w:val="true"/>
          <w:lang w:bidi="fa-IR"/>
        </w:rPr>
        <w:t xml:space="preserve">. </w:t>
      </w:r>
      <w:r>
        <w:rPr>
          <w:rStyle w:val="FootnoteAnchor"/>
          <w:rtl w:val="true"/>
        </w:rPr>
        <w:footnoteReference w:id="1383"/>
      </w:r>
    </w:p>
    <w:p>
      <w:pPr>
        <w:pStyle w:val="Heading5"/>
        <w:numPr>
          <w:ilvl w:val="4"/>
          <w:numId w:val="1"/>
        </w:numPr>
        <w:rPr/>
      </w:pPr>
      <w:bookmarkStart w:id="1556" w:name="__RefHeading___Toc3585741_3650668749"/>
      <w:bookmarkStart w:id="1557" w:name="_Toc667"/>
      <w:bookmarkEnd w:id="1556"/>
      <w:r>
        <w:rPr>
          <w:rtl w:val="true"/>
        </w:rPr>
        <w:t xml:space="preserve">هفت </w:t>
      </w:r>
      <w:r>
        <w:rPr>
          <w:rtl w:val="true"/>
        </w:rPr>
        <w:t xml:space="preserve">- </w:t>
      </w:r>
      <w:r>
        <w:rPr>
          <w:rtl w:val="true"/>
        </w:rPr>
        <w:t>وليمه عروسى</w:t>
      </w:r>
      <w:bookmarkEnd w:id="155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غذا دادن هنگام عروسى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يكى از سنّت‌هاى مورد تأييد اسلام مى‌باشد كه از صدر اسلام به آن عمل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558" w:name="pg1964_19858"/>
    </w:p>
    <w:p>
      <w:pPr>
        <w:pStyle w:val="BookText"/>
        <w:rPr/>
      </w:pPr>
      <w:bookmarkEnd w:id="1558"/>
      <w:r>
        <w:rPr>
          <w:rFonts w:ascii="Amiri" w:hAnsi="Amiri" w:eastAsia="Amiri" w:cs="Amiri"/>
          <w:color w:val="111111"/>
          <w:sz w:val="28"/>
          <w:sz w:val="28"/>
          <w:szCs w:val="28"/>
          <w:rtl w:val="true"/>
          <w:lang w:bidi="ar-SA"/>
        </w:rPr>
        <w:t xml:space="preserve">مراسم عروسى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عروسى بايد وليمه داشته باشد، حضرت نيز دست به‌كار تهيه وليمه شد</w:t>
      </w:r>
      <w:r>
        <w:rPr>
          <w:rFonts w:eastAsia="Amiri" w:cs="Amiri" w:ascii="Amiri" w:hAnsi="Amiri"/>
          <w:color w:val="111111"/>
          <w:sz w:val="28"/>
          <w:szCs w:val="28"/>
          <w:rtl w:val="true"/>
          <w:lang w:bidi="ar-SA"/>
        </w:rPr>
        <w:t xml:space="preserve">. </w:t>
      </w:r>
      <w:r>
        <w:rPr>
          <w:rStyle w:val="FootnoteAnchor"/>
          <w:rtl w:val="true"/>
        </w:rPr>
        <w:footnoteReference w:id="1384"/>
      </w:r>
      <w:r>
        <w:rPr>
          <w:rFonts w:ascii="IRNazanin" w:hAnsi="IRNazanin" w:eastAsia="IRNazanin"/>
          <w:color w:val="111111"/>
          <w:sz w:val="28"/>
          <w:sz w:val="28"/>
          <w:szCs w:val="28"/>
          <w:rtl w:val="true"/>
          <w:lang w:bidi="fa-IR"/>
        </w:rPr>
        <w:t>اما آنچه از روايات به دست مى‌آيد اين است كه بهتر است عروسى در شب واقع شود و وليمه در روز، هنگام ظهر داده شود</w:t>
      </w:r>
      <w:r>
        <w:rPr>
          <w:rFonts w:eastAsia="IRNazanin" w:cs="IRNazanin"/>
          <w:color w:val="111111"/>
          <w:sz w:val="28"/>
          <w:szCs w:val="28"/>
          <w:rtl w:val="true"/>
          <w:lang w:bidi="fa-IR"/>
        </w:rPr>
        <w:t xml:space="preserve">. </w:t>
      </w:r>
      <w:r>
        <w:rPr>
          <w:rStyle w:val="FootnoteAnchor"/>
          <w:rtl w:val="true"/>
        </w:rPr>
        <w:footnoteReference w:id="1385"/>
      </w:r>
      <w:r>
        <w:rPr>
          <w:rFonts w:ascii="IRNazanin" w:hAnsi="IRNazanin" w:eastAsia="IRNazanin"/>
          <w:color w:val="111111"/>
          <w:sz w:val="28"/>
          <w:sz w:val="28"/>
          <w:szCs w:val="28"/>
          <w:rtl w:val="true"/>
          <w:lang w:bidi="fa-IR"/>
        </w:rPr>
        <w:t xml:space="preserve">اين مطلب از زبان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است</w:t>
      </w:r>
      <w:r>
        <w:rPr>
          <w:rFonts w:eastAsia="IRNazanin" w:cs="IRNazanin"/>
          <w:color w:val="111111"/>
          <w:sz w:val="28"/>
          <w:szCs w:val="28"/>
          <w:rtl w:val="true"/>
          <w:lang w:bidi="fa-IR"/>
        </w:rPr>
        <w:t xml:space="preserve">. </w:t>
      </w:r>
      <w:r>
        <w:rPr>
          <w:rStyle w:val="FootnoteAnchor"/>
          <w:rtl w:val="true"/>
        </w:rPr>
        <w:footnoteReference w:id="1386"/>
      </w:r>
      <w:r>
        <w:rPr>
          <w:rFonts w:ascii="IRNazanin" w:hAnsi="IRNazanin" w:eastAsia="IRNazanin"/>
          <w:color w:val="111111"/>
          <w:sz w:val="28"/>
          <w:sz w:val="28"/>
          <w:szCs w:val="28"/>
          <w:rtl w:val="true"/>
          <w:lang w:bidi="fa-IR"/>
        </w:rPr>
        <w:t xml:space="preserve">همچنين در باره تعداد روزهايى كه وليمه داده مى‌شود،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 كه روز اول، وليمه دادن حق است و روز دوم، كار نيكويى است و زيادتر از آن عملى ريايى مى‌باشد</w:t>
      </w:r>
      <w:r>
        <w:rPr>
          <w:rFonts w:eastAsia="IRNazanin" w:cs="IRNazanin"/>
          <w:color w:val="111111"/>
          <w:sz w:val="28"/>
          <w:szCs w:val="28"/>
          <w:rtl w:val="true"/>
          <w:lang w:bidi="fa-IR"/>
        </w:rPr>
        <w:t xml:space="preserve">. </w:t>
      </w:r>
      <w:r>
        <w:rPr>
          <w:rStyle w:val="FootnoteAnchor"/>
          <w:rtl w:val="true"/>
        </w:rPr>
        <w:footnoteReference w:id="1387"/>
      </w:r>
    </w:p>
    <w:p>
      <w:pPr>
        <w:pStyle w:val="Heading5"/>
        <w:numPr>
          <w:ilvl w:val="4"/>
          <w:numId w:val="1"/>
        </w:numPr>
        <w:rPr/>
      </w:pPr>
      <w:bookmarkStart w:id="1559" w:name="__RefHeading___Toc3585743_3650668749"/>
      <w:bookmarkStart w:id="1560" w:name="_Toc668"/>
      <w:bookmarkEnd w:id="1559"/>
      <w:r>
        <w:rPr>
          <w:rtl w:val="true"/>
        </w:rPr>
        <w:t xml:space="preserve">هشت </w:t>
      </w:r>
      <w:r>
        <w:rPr>
          <w:rtl w:val="true"/>
        </w:rPr>
        <w:t xml:space="preserve">- </w:t>
      </w:r>
      <w:r>
        <w:rPr>
          <w:rtl w:val="true"/>
        </w:rPr>
        <w:t>ماندن زنى از خويشان عروس در شب زفاف</w:t>
      </w:r>
      <w:bookmarkEnd w:id="1560"/>
    </w:p>
    <w:p>
      <w:pPr>
        <w:pStyle w:val="BookText"/>
        <w:rPr/>
      </w:pPr>
      <w:r>
        <w:rPr>
          <w:rFonts w:ascii="IRNazanin" w:hAnsi="IRNazanin" w:eastAsia="IRNazanin"/>
          <w:color w:val="111111"/>
          <w:sz w:val="28"/>
          <w:sz w:val="28"/>
          <w:szCs w:val="28"/>
          <w:rtl w:val="true"/>
          <w:lang w:bidi="fa-IR"/>
        </w:rPr>
        <w:t xml:space="preserve">در شب عروسى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همه زنان رفتند، زنى به نام اسماء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نمى‌روى؟ كيستى؟ آن زن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كسى هستم كه دختر تو را پاسدارى مى‌كنم؛ زيرا دختر جوان هنگام زفاف احتياج به زنى دارد كه نزديك او باشد تا اگر حاجتى داشت يا چيزى خواست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عمل او را تأييد فرمود</w:t>
      </w:r>
      <w:r>
        <w:rPr>
          <w:rFonts w:eastAsia="IRNazanin" w:cs="IRNazanin"/>
          <w:color w:val="111111"/>
          <w:sz w:val="28"/>
          <w:szCs w:val="28"/>
          <w:rtl w:val="true"/>
          <w:lang w:bidi="fa-IR"/>
        </w:rPr>
        <w:t xml:space="preserve">. </w:t>
      </w:r>
      <w:r>
        <w:rPr>
          <w:rStyle w:val="FootnoteAnchor"/>
          <w:rtl w:val="true"/>
        </w:rPr>
        <w:footnoteReference w:id="1388"/>
      </w:r>
    </w:p>
    <w:p>
      <w:pPr>
        <w:pStyle w:val="Heading5"/>
        <w:numPr>
          <w:ilvl w:val="4"/>
          <w:numId w:val="1"/>
        </w:numPr>
        <w:rPr/>
      </w:pPr>
      <w:bookmarkStart w:id="1561" w:name="__RefHeading___Toc3585745_3650668749"/>
      <w:bookmarkStart w:id="1562" w:name="_Toc669"/>
      <w:bookmarkEnd w:id="1561"/>
      <w:r>
        <w:rPr>
          <w:rtl w:val="true"/>
        </w:rPr>
        <w:t xml:space="preserve">نُه </w:t>
      </w:r>
      <w:r>
        <w:rPr>
          <w:rtl w:val="true"/>
        </w:rPr>
        <w:t xml:space="preserve">- </w:t>
      </w:r>
      <w:r>
        <w:rPr>
          <w:rtl w:val="true"/>
        </w:rPr>
        <w:t>تبريك عروسى</w:t>
      </w:r>
      <w:bookmarkEnd w:id="156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جريان عروسى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 كه مردم خطاب به پيامبر گرامى اسلام كلمات تبريك را كه در آن هنگام معمول بوده، بر زبان راندند و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بالرفاء والبنين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سازگارى با همديگر و با پسرانى كه متولد خواهند كرد، روزگار را به سر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bookmarkStart w:id="1563" w:name="pg1964_19859"/>
    </w:p>
    <w:p>
      <w:pPr>
        <w:pStyle w:val="BookText"/>
        <w:rPr/>
      </w:pPr>
      <w:bookmarkEnd w:id="1563"/>
      <w:r>
        <w:rPr>
          <w:rFonts w:ascii="IRNazanin" w:hAnsi="IRNazanin" w:eastAsia="IRNazanin"/>
          <w:color w:val="111111"/>
          <w:sz w:val="28"/>
          <w:sz w:val="28"/>
          <w:szCs w:val="28"/>
          <w:rtl w:val="true"/>
          <w:lang w:bidi="fa-IR"/>
        </w:rPr>
        <w:t>چنين نگوييد، بلكه بگوييد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الْخَيْرِ وَالبَرَكَه </w:t>
      </w:r>
      <w:r>
        <w:rPr>
          <w:rFonts w:eastAsia="IRNazanin" w:cs="IRNazanin"/>
          <w:color w:val="111111"/>
          <w:sz w:val="28"/>
          <w:szCs w:val="28"/>
          <w:rtl w:val="true"/>
          <w:lang w:bidi="fa-IR"/>
        </w:rPr>
        <w:t xml:space="preserve">» </w:t>
      </w:r>
      <w:r>
        <w:rPr>
          <w:rStyle w:val="FootnoteAnchor"/>
          <w:rtl w:val="true"/>
        </w:rPr>
        <w:footnoteReference w:id="13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خير و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را به سر آرند</w:t>
      </w:r>
      <w:r>
        <w:rPr>
          <w:rFonts w:eastAsia="IRNazanin" w:cs="IRNazanin"/>
          <w:color w:val="111111"/>
          <w:sz w:val="28"/>
          <w:szCs w:val="28"/>
          <w:rtl w:val="true"/>
          <w:lang w:bidi="fa-IR"/>
        </w:rPr>
        <w:t>) » .</w:t>
      </w:r>
    </w:p>
    <w:p>
      <w:pPr>
        <w:pStyle w:val="Heading5"/>
        <w:numPr>
          <w:ilvl w:val="4"/>
          <w:numId w:val="1"/>
        </w:numPr>
        <w:rPr/>
      </w:pPr>
      <w:bookmarkStart w:id="1564" w:name="__RefHeading___Toc3585747_3650668749"/>
      <w:bookmarkStart w:id="1565" w:name="_Toc670"/>
      <w:bookmarkEnd w:id="1564"/>
      <w:r>
        <w:rPr>
          <w:rtl w:val="true"/>
        </w:rPr>
        <w:t xml:space="preserve">ده </w:t>
      </w:r>
      <w:r>
        <w:rPr>
          <w:rtl w:val="true"/>
        </w:rPr>
        <w:t xml:space="preserve">- </w:t>
      </w:r>
      <w:r>
        <w:rPr>
          <w:rtl w:val="true"/>
        </w:rPr>
        <w:t>شستن پاى عروس</w:t>
      </w:r>
      <w:bookmarkEnd w:id="1565"/>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عروسى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دستورالعملى كه مى‌توان گفت به عنوان يك سنت اسلامى مورد عمل قرار مى‌گرفته،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عروس وارد خانه تو شد، درحالى‌كه نشسته است كفش‌هايش را درآور و پاهايش را شست‌وشو ده و آب آن را از در خانه تا آخرين حد خانه‌ات بپاش كه اگر چنين كنى، خداوند هفتاد هزار شكل فقر را از خانه تو خارج مى‌كند و هفتاد هزار شكل بركت را در خانه‌ات داخل مى‌كند</w:t>
      </w:r>
      <w:r>
        <w:rPr>
          <w:rFonts w:eastAsia="IRNazanin" w:cs="IRNazanin"/>
          <w:color w:val="111111"/>
          <w:sz w:val="28"/>
          <w:szCs w:val="28"/>
          <w:rtl w:val="true"/>
          <w:lang w:bidi="fa-IR"/>
        </w:rPr>
        <w:t xml:space="preserve">. . .» . </w:t>
      </w:r>
      <w:r>
        <w:rPr>
          <w:rStyle w:val="FootnoteAnchor"/>
          <w:rtl w:val="true"/>
        </w:rPr>
        <w:footnoteReference w:id="1390"/>
      </w:r>
    </w:p>
    <w:p>
      <w:pPr>
        <w:pStyle w:val="Heading3"/>
        <w:numPr>
          <w:ilvl w:val="2"/>
          <w:numId w:val="1"/>
        </w:numPr>
        <w:rPr/>
      </w:pPr>
      <w:bookmarkStart w:id="1566" w:name="__RefHeading___Toc3585749_3650668749"/>
      <w:bookmarkStart w:id="1567" w:name="_Toc671"/>
      <w:bookmarkEnd w:id="1566"/>
      <w:r>
        <w:rPr/>
        <w:t>٣</w:t>
      </w:r>
      <w:r>
        <w:rPr>
          <w:rtl w:val="true"/>
        </w:rPr>
        <w:t xml:space="preserve">. </w:t>
      </w:r>
      <w:r>
        <w:rPr>
          <w:rtl w:val="true"/>
        </w:rPr>
        <w:t>مراسم خاك‌سپارى مردگان</w:t>
      </w:r>
      <w:bookmarkEnd w:id="1567"/>
    </w:p>
    <w:p>
      <w:pPr>
        <w:pStyle w:val="Heading4"/>
        <w:numPr>
          <w:ilvl w:val="3"/>
          <w:numId w:val="1"/>
        </w:numPr>
        <w:rPr/>
      </w:pPr>
      <w:bookmarkStart w:id="1568" w:name="__RefHeading___Toc3585751_3650668749"/>
      <w:bookmarkStart w:id="1569" w:name="_Toc672"/>
      <w:bookmarkEnd w:id="1568"/>
      <w:r>
        <w:rPr>
          <w:rtl w:val="true"/>
        </w:rPr>
        <w:t>اشاره</w:t>
      </w:r>
      <w:bookmarkEnd w:id="1569"/>
    </w:p>
    <w:p>
      <w:pPr>
        <w:pStyle w:val="BookText"/>
        <w:rPr/>
      </w:pPr>
      <w:r>
        <w:rPr>
          <w:rFonts w:ascii="IRNazanin" w:hAnsi="IRNazanin" w:eastAsia="IRNazanin"/>
          <w:color w:val="111111"/>
          <w:sz w:val="28"/>
          <w:sz w:val="28"/>
          <w:szCs w:val="28"/>
          <w:rtl w:val="true"/>
          <w:lang w:bidi="fa-IR"/>
        </w:rPr>
        <w:t>منظور از مراسم خاك‌سپارى، مراسم اسلامى، همانند غسل دادن مرده، كفن كردن او، حنوط، تشييع جنازه، نماز بر ميت و تدفين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كلى مى‌توان اين مراسم را از لابه‌لاى كتاب‌هاى فقهى و رساله‌هاى عمليه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اينجا فقط به ذكر بعضى از روايات و نصوص تاريخى كه انجام اين مراسم را در زمان مورد بحث، گزارش مى‌كند، مى‌پردازيم</w:t>
      </w:r>
      <w:r>
        <w:rPr>
          <w:rFonts w:eastAsia="IRNazanin" w:cs="IRNazanin"/>
          <w:color w:val="111111"/>
          <w:sz w:val="28"/>
          <w:szCs w:val="28"/>
          <w:rtl w:val="true"/>
          <w:lang w:bidi="fa-IR"/>
        </w:rPr>
        <w:t>:</w:t>
      </w:r>
    </w:p>
    <w:p>
      <w:pPr>
        <w:pStyle w:val="Heading4"/>
        <w:numPr>
          <w:ilvl w:val="3"/>
          <w:numId w:val="1"/>
        </w:numPr>
        <w:rPr/>
      </w:pPr>
      <w:bookmarkStart w:id="1570" w:name="__RefHeading___Toc3585753_3650668749"/>
      <w:bookmarkStart w:id="1571" w:name="_Toc673"/>
      <w:bookmarkEnd w:id="1570"/>
      <w:r>
        <w:rPr>
          <w:rtl w:val="true"/>
        </w:rPr>
        <w:t>الف</w:t>
      </w:r>
      <w:r>
        <w:rPr>
          <w:rtl w:val="true"/>
        </w:rPr>
        <w:t xml:space="preserve">) </w:t>
      </w:r>
      <w:r>
        <w:rPr>
          <w:rtl w:val="true"/>
        </w:rPr>
        <w:t xml:space="preserve">غسل ميت </w:t>
      </w:r>
      <w:r>
        <w:rPr>
          <w:rtl w:val="true"/>
        </w:rPr>
        <w:t>(</w:t>
      </w:r>
      <w:r>
        <w:rPr>
          <w:rtl w:val="true"/>
        </w:rPr>
        <w:t>تغسيل</w:t>
      </w:r>
      <w:r>
        <w:rPr>
          <w:rtl w:val="true"/>
        </w:rPr>
        <w:t>)</w:t>
      </w:r>
      <w:bookmarkEnd w:id="157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ميت سه غسل داده مى‌شود كه اولى با آب سدر، دومى با آب كافور و سومى با آب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چنين آمده است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سدر و سپس با آبى كه به سه مثقال كافور و يك مثقال مشك</w:t>
      </w:r>
    </w:p>
    <w:p>
      <w:pPr>
        <w:pStyle w:val="BookText"/>
        <w:rPr/>
      </w:pPr>
      <w:r>
        <w:rPr>
          <w:rFonts w:ascii="IRNazanin" w:hAnsi="IRNazanin" w:eastAsia="IRNazanin"/>
          <w:color w:val="111111"/>
          <w:sz w:val="28"/>
          <w:sz w:val="28"/>
          <w:szCs w:val="28"/>
          <w:rtl w:val="true"/>
          <w:lang w:bidi="fa-IR"/>
        </w:rPr>
        <w:t>مخلوط شده بود، غسل داد، آن‌گاه مشك آبى كه در آن بسته بود، طلب كرد و حضرت را با آب آن، غسل داد</w:t>
      </w:r>
      <w:r>
        <w:rPr>
          <w:rFonts w:eastAsia="IRNazanin" w:cs="IRNazanin"/>
          <w:color w:val="111111"/>
          <w:sz w:val="28"/>
          <w:szCs w:val="28"/>
          <w:rtl w:val="true"/>
          <w:lang w:bidi="fa-IR"/>
        </w:rPr>
        <w:t xml:space="preserve">. </w:t>
      </w:r>
      <w:r>
        <w:rPr>
          <w:rStyle w:val="FootnoteAnchor"/>
          <w:rtl w:val="true"/>
        </w:rPr>
        <w:footnoteReference w:id="1391"/>
      </w:r>
      <w:r>
        <w:rPr>
          <w:rFonts w:ascii="IRNazanin" w:hAnsi="IRNazanin" w:eastAsia="IRNazanin"/>
          <w:color w:val="111111"/>
          <w:sz w:val="28"/>
          <w:sz w:val="28"/>
          <w:szCs w:val="28"/>
          <w:rtl w:val="true"/>
          <w:lang w:bidi="fa-IR"/>
        </w:rPr>
        <w:t xml:space="preserve">در روايت ديگر چنين آمده است كه اين سه غسل را در حالى انجام داد 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در بدن داشت</w:t>
      </w:r>
      <w:r>
        <w:rPr>
          <w:rFonts w:eastAsia="IRNazanin" w:cs="IRNazanin"/>
          <w:color w:val="111111"/>
          <w:sz w:val="28"/>
          <w:szCs w:val="28"/>
          <w:rtl w:val="true"/>
          <w:lang w:bidi="fa-IR"/>
        </w:rPr>
        <w:t xml:space="preserve">. </w:t>
      </w:r>
      <w:r>
        <w:rPr>
          <w:rStyle w:val="FootnoteAnchor"/>
          <w:rtl w:val="true"/>
        </w:rPr>
        <w:footnoteReference w:id="1392"/>
      </w:r>
      <w:r>
        <w:rPr>
          <w:rFonts w:ascii="IRNazanin" w:hAnsi="IRNazanin" w:eastAsia="IRNazanin"/>
          <w:color w:val="111111"/>
          <w:sz w:val="28"/>
          <w:sz w:val="28"/>
          <w:szCs w:val="28"/>
          <w:rtl w:val="true"/>
          <w:lang w:bidi="fa-IR"/>
        </w:rPr>
        <w:t xml:space="preserve">همچنين در روايت ديگرى آمده است 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فرمود كه او را با هفت ظرف مشك آب غسل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استحباب استفاده آب بيشتر در غسل را استنباط كرده‌اند</w:t>
      </w:r>
      <w:r>
        <w:rPr>
          <w:rFonts w:eastAsia="IRNazanin" w:cs="IRNazanin"/>
          <w:color w:val="111111"/>
          <w:sz w:val="28"/>
          <w:szCs w:val="28"/>
          <w:rtl w:val="true"/>
          <w:lang w:bidi="fa-IR"/>
        </w:rPr>
        <w:t xml:space="preserve">. </w:t>
      </w:r>
      <w:r>
        <w:rPr>
          <w:rStyle w:val="FootnoteAnchor"/>
          <w:rtl w:val="true"/>
        </w:rPr>
        <w:footnoteReference w:id="1393"/>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بايد توجه داشت كه همه مسلمانان به جز شهيد بايد غسل داده شوند، چنان‌كه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را كه در جنگ احد شهيد شد، غسل نداد</w:t>
      </w:r>
      <w:r>
        <w:rPr>
          <w:rFonts w:eastAsia="IRNazanin" w:cs="IRNazanin"/>
          <w:color w:val="111111"/>
          <w:sz w:val="28"/>
          <w:szCs w:val="28"/>
          <w:rtl w:val="true"/>
          <w:lang w:bidi="fa-IR"/>
        </w:rPr>
        <w:t xml:space="preserve">. </w:t>
      </w:r>
      <w:r>
        <w:rPr>
          <w:rStyle w:val="FootnoteAnchor"/>
          <w:rtl w:val="true"/>
        </w:rPr>
        <w:footnoteReference w:id="1394"/>
      </w:r>
      <w:r>
        <w:rPr>
          <w:rFonts w:ascii="Amiri" w:hAnsi="Amiri" w:eastAsia="Amiri" w:cs="Amiri"/>
          <w:color w:val="111111"/>
          <w:sz w:val="28"/>
          <w:sz w:val="28"/>
          <w:szCs w:val="28"/>
          <w:rtl w:val="true"/>
          <w:lang w:bidi="ar-SA"/>
        </w:rPr>
        <w:t>نيز آن حضرت در مورد عمويش حمزه دستور داد كه او را با لباس‌هايش و بدون غسل دفن كنند</w:t>
      </w:r>
      <w:r>
        <w:rPr>
          <w:rFonts w:eastAsia="Amiri" w:cs="Amiri" w:ascii="Amiri" w:hAnsi="Amiri"/>
          <w:color w:val="111111"/>
          <w:sz w:val="28"/>
          <w:szCs w:val="28"/>
          <w:rtl w:val="true"/>
          <w:lang w:bidi="ar-SA"/>
        </w:rPr>
        <w:t xml:space="preserve">. </w:t>
      </w:r>
      <w:r>
        <w:rPr>
          <w:rStyle w:val="FootnoteAnchor"/>
          <w:rtl w:val="true"/>
        </w:rPr>
        <w:footnoteReference w:id="1395"/>
      </w:r>
      <w:r>
        <w:rPr>
          <w:rFonts w:ascii="IRNazanin" w:hAnsi="IRNazanin" w:eastAsia="IRNazanin"/>
          <w:color w:val="111111"/>
          <w:sz w:val="28"/>
          <w:sz w:val="28"/>
          <w:szCs w:val="28"/>
          <w:rtl w:val="true"/>
          <w:lang w:bidi="fa-IR"/>
        </w:rPr>
        <w:t xml:space="preserve">همچنين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عمار ياسر و عتبه را كه در جنگ صفين به شهادت رسيده بودند، غسل نداد</w:t>
      </w:r>
      <w:r>
        <w:rPr>
          <w:rFonts w:eastAsia="IRNazanin" w:cs="IRNazanin"/>
          <w:color w:val="111111"/>
          <w:sz w:val="28"/>
          <w:szCs w:val="28"/>
          <w:rtl w:val="true"/>
          <w:lang w:bidi="fa-IR"/>
        </w:rPr>
        <w:t xml:space="preserve">. </w:t>
      </w:r>
      <w:r>
        <w:rPr>
          <w:rStyle w:val="FootnoteAnchor"/>
          <w:rtl w:val="true"/>
        </w:rPr>
        <w:footnoteReference w:id="1396"/>
      </w:r>
      <w:r>
        <w:rPr>
          <w:rFonts w:ascii="IRNazanin" w:hAnsi="IRNazanin" w:eastAsia="IRNazanin"/>
          <w:color w:val="111111"/>
          <w:sz w:val="28"/>
          <w:sz w:val="28"/>
          <w:szCs w:val="28"/>
          <w:rtl w:val="true"/>
          <w:lang w:bidi="fa-IR"/>
        </w:rPr>
        <w:t xml:space="preserve">در روايتى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پوستين، كفش، كلاه، عمامه، كمربند و شلوار شهيد در صورتى كه خون‌آلود نشده باشد، بيرون آورده مى‌شود و اگر خونين باشد به حال خود گذاشته مى‌شود و هر چيزى كه شهيد در بر كرده باشد و گره داشته باشد گره‌هاى آن باز مى‌شود</w:t>
      </w:r>
      <w:r>
        <w:rPr>
          <w:rFonts w:eastAsia="IRNazanin" w:cs="IRNazanin"/>
          <w:color w:val="111111"/>
          <w:sz w:val="28"/>
          <w:szCs w:val="28"/>
          <w:rtl w:val="true"/>
          <w:lang w:bidi="fa-IR"/>
        </w:rPr>
        <w:t xml:space="preserve">. </w:t>
      </w:r>
      <w:r>
        <w:rPr>
          <w:rStyle w:val="FootnoteAnchor"/>
          <w:rtl w:val="true"/>
        </w:rPr>
        <w:footnoteReference w:id="1397"/>
      </w:r>
      <w:r>
        <w:rPr>
          <w:rFonts w:ascii="IRNazanin" w:hAnsi="IRNazanin" w:eastAsia="IRNazanin"/>
          <w:color w:val="111111"/>
          <w:sz w:val="28"/>
          <w:sz w:val="28"/>
          <w:szCs w:val="28"/>
          <w:rtl w:val="true"/>
          <w:lang w:bidi="fa-IR"/>
        </w:rPr>
        <w:t xml:space="preserve">همچنين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كسى كه بناست به واسطه قصاص يا اجراى حد اعدام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 مردى كه بناست سنگسار شوند، خود غسل مى‌كنند و حنوط مى‌نمايند و خود كفن خود را مى‌پوشند و آن‌گاه سنگسار مى‌شوند</w:t>
      </w:r>
      <w:r>
        <w:rPr>
          <w:rFonts w:eastAsia="IRNazanin" w:cs="IRNazanin"/>
          <w:color w:val="111111"/>
          <w:sz w:val="28"/>
          <w:szCs w:val="28"/>
          <w:rtl w:val="true"/>
          <w:lang w:bidi="fa-IR"/>
        </w:rPr>
        <w:t xml:space="preserve">» . </w:t>
      </w:r>
      <w:r>
        <w:rPr>
          <w:rStyle w:val="FootnoteAnchor"/>
          <w:rtl w:val="true"/>
        </w:rPr>
        <w:footnoteReference w:id="1398"/>
      </w:r>
      <w:bookmarkStart w:id="1572" w:name="pg1964_19861"/>
    </w:p>
    <w:p>
      <w:pPr>
        <w:pStyle w:val="Heading4"/>
        <w:numPr>
          <w:ilvl w:val="3"/>
          <w:numId w:val="1"/>
        </w:numPr>
        <w:rPr/>
      </w:pPr>
      <w:bookmarkStart w:id="1573" w:name="__RefHeading___Toc3585755_3650668749"/>
      <w:bookmarkStart w:id="1574" w:name="_Toc674"/>
      <w:bookmarkEnd w:id="1572"/>
      <w:bookmarkEnd w:id="1573"/>
      <w:r>
        <w:rPr>
          <w:rtl w:val="true"/>
        </w:rPr>
        <w:t>ب</w:t>
      </w:r>
      <w:r>
        <w:rPr>
          <w:rtl w:val="true"/>
        </w:rPr>
        <w:t xml:space="preserve">) </w:t>
      </w:r>
      <w:r>
        <w:rPr>
          <w:rtl w:val="true"/>
        </w:rPr>
        <w:t>تكفين</w:t>
      </w:r>
      <w:bookmarkEnd w:id="1574"/>
    </w:p>
    <w:p>
      <w:pPr>
        <w:pStyle w:val="BookText"/>
        <w:rPr/>
      </w:pPr>
      <w:r>
        <w:rPr>
          <w:rFonts w:ascii="IRNazanin" w:hAnsi="IRNazanin" w:eastAsia="IRNazanin"/>
          <w:color w:val="111111"/>
          <w:sz w:val="28"/>
          <w:sz w:val="28"/>
          <w:szCs w:val="28"/>
          <w:rtl w:val="true"/>
          <w:lang w:bidi="fa-IR"/>
        </w:rPr>
        <w:t xml:space="preserve">در روايت چنين آمده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سه لباس، كفن كردند كه يكى از آنها برد قرمز رنگ و دولباس ديگر، سفيد صحارى بود</w:t>
      </w:r>
      <w:r>
        <w:rPr>
          <w:rFonts w:eastAsia="IRNazanin" w:cs="IRNazanin"/>
          <w:color w:val="111111"/>
          <w:sz w:val="28"/>
          <w:szCs w:val="28"/>
          <w:rtl w:val="true"/>
          <w:lang w:bidi="fa-IR"/>
        </w:rPr>
        <w:t xml:space="preserve">. </w:t>
      </w:r>
      <w:r>
        <w:rPr>
          <w:rStyle w:val="FootnoteAnchor"/>
          <w:rtl w:val="true"/>
        </w:rPr>
        <w:footnoteReference w:id="1399"/>
      </w:r>
      <w:r>
        <w:rPr>
          <w:rFonts w:ascii="IRNazanin" w:hAnsi="IRNazanin" w:eastAsia="IRNazanin"/>
          <w:color w:val="111111"/>
          <w:sz w:val="28"/>
          <w:sz w:val="28"/>
          <w:szCs w:val="28"/>
          <w:rtl w:val="true"/>
          <w:lang w:bidi="fa-IR"/>
        </w:rPr>
        <w:t xml:space="preserve">نيز در روايتى چنين آمده كه سنت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ميت با عمامه دفن شود كه البته عمامه جزء آن سه لباس نمى‌باشد</w:t>
      </w:r>
      <w:r>
        <w:rPr>
          <w:rFonts w:eastAsia="IRNazanin" w:cs="IRNazanin"/>
          <w:color w:val="111111"/>
          <w:sz w:val="28"/>
          <w:szCs w:val="28"/>
          <w:rtl w:val="true"/>
          <w:lang w:bidi="fa-IR"/>
        </w:rPr>
        <w:t xml:space="preserve">. </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 xml:space="preserve">اما در باره رنگ كفن، در دو حديث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مردگانتان را در پارچه سفيد رنگ كفن كنيد</w:t>
      </w:r>
      <w:r>
        <w:rPr>
          <w:rFonts w:eastAsia="IRNazanin" w:cs="IRNazanin"/>
          <w:color w:val="111111"/>
          <w:sz w:val="28"/>
          <w:szCs w:val="28"/>
          <w:rtl w:val="true"/>
          <w:lang w:bidi="fa-IR"/>
        </w:rPr>
        <w:t xml:space="preserve">» . </w:t>
      </w:r>
      <w:r>
        <w:rPr>
          <w:rStyle w:val="FootnoteAnchor"/>
          <w:rtl w:val="true"/>
        </w:rPr>
        <w:footnoteReference w:id="1401"/>
      </w:r>
    </w:p>
    <w:p>
      <w:pPr>
        <w:pStyle w:val="Heading4"/>
        <w:numPr>
          <w:ilvl w:val="3"/>
          <w:numId w:val="1"/>
        </w:numPr>
        <w:rPr/>
      </w:pPr>
      <w:bookmarkStart w:id="1575" w:name="__RefHeading___Toc3585757_3650668749"/>
      <w:bookmarkStart w:id="1576" w:name="_Toc675"/>
      <w:bookmarkEnd w:id="1575"/>
      <w:r>
        <w:rPr>
          <w:rtl w:val="true"/>
        </w:rPr>
        <w:t>ج</w:t>
      </w:r>
      <w:r>
        <w:rPr>
          <w:rtl w:val="true"/>
        </w:rPr>
        <w:t xml:space="preserve">) </w:t>
      </w:r>
      <w:r>
        <w:rPr>
          <w:rtl w:val="true"/>
        </w:rPr>
        <w:t>حنوط</w:t>
      </w:r>
      <w:bookmarkEnd w:id="1576"/>
    </w:p>
    <w:p>
      <w:pPr>
        <w:pStyle w:val="BookText"/>
        <w:rPr/>
      </w:pPr>
      <w:r>
        <w:rPr>
          <w:rFonts w:ascii="IRNazanin" w:hAnsi="IRNazanin" w:eastAsia="IRNazanin"/>
          <w:color w:val="111111"/>
          <w:sz w:val="28"/>
          <w:sz w:val="28"/>
          <w:szCs w:val="28"/>
          <w:rtl w:val="true"/>
          <w:lang w:bidi="fa-IR"/>
        </w:rPr>
        <w:t>حنوط عبارت است از گياه خوشبويى كه به مرده مى‌زنند تا از هم متلاشى نشود و بر بوى خوش باقى باشد</w:t>
      </w:r>
      <w:r>
        <w:rPr>
          <w:rFonts w:eastAsia="IRNazanin" w:cs="IRNazanin"/>
          <w:color w:val="111111"/>
          <w:sz w:val="28"/>
          <w:szCs w:val="28"/>
          <w:rtl w:val="true"/>
          <w:lang w:bidi="fa-IR"/>
        </w:rPr>
        <w:t xml:space="preserve">. </w:t>
      </w:r>
      <w:r>
        <w:rPr>
          <w:rStyle w:val="FootnoteAnchor"/>
          <w:rtl w:val="true"/>
        </w:rPr>
        <w:footnoteReference w:id="1402"/>
      </w:r>
      <w:r>
        <w:rPr>
          <w:rFonts w:ascii="IRNazanin" w:hAnsi="IRNazanin" w:eastAsia="IRNazanin"/>
          <w:color w:val="111111"/>
          <w:sz w:val="28"/>
          <w:sz w:val="28"/>
          <w:szCs w:val="28"/>
          <w:rtl w:val="true"/>
          <w:lang w:bidi="fa-IR"/>
        </w:rPr>
        <w:t>كيفيت آن چنان است كه آن را در حالى‌كه پودر شده است به تمام بدن مرده مى‌مالند</w:t>
      </w:r>
      <w:r>
        <w:rPr>
          <w:rFonts w:eastAsia="IRNazanin" w:cs="IRNazanin"/>
          <w:color w:val="111111"/>
          <w:sz w:val="28"/>
          <w:szCs w:val="28"/>
          <w:rtl w:val="true"/>
          <w:lang w:bidi="fa-IR"/>
        </w:rPr>
        <w:t xml:space="preserve">. </w:t>
      </w:r>
      <w:r>
        <w:rPr>
          <w:rStyle w:val="FootnoteAnchor"/>
          <w:rtl w:val="true"/>
        </w:rPr>
        <w:footnoteReference w:id="1403"/>
      </w:r>
      <w:r>
        <w:rPr>
          <w:rFonts w:ascii="IRNazanin" w:hAnsi="IRNazanin" w:eastAsia="IRNazanin"/>
          <w:color w:val="111111"/>
          <w:sz w:val="28"/>
          <w:sz w:val="28"/>
          <w:szCs w:val="28"/>
          <w:rtl w:val="true"/>
          <w:lang w:bidi="fa-IR"/>
        </w:rPr>
        <w:t>در بعضى روايات چنين آمده است كه آن را به محل‌هاى سجده، مفاصل، سر و ريش و سينه مرده مى‌مالند</w:t>
      </w:r>
      <w:r>
        <w:rPr>
          <w:rFonts w:eastAsia="IRNazanin" w:cs="IRNazanin"/>
          <w:color w:val="111111"/>
          <w:sz w:val="28"/>
          <w:szCs w:val="28"/>
          <w:rtl w:val="true"/>
          <w:lang w:bidi="fa-IR"/>
        </w:rPr>
        <w:t xml:space="preserve">. </w:t>
      </w:r>
      <w:r>
        <w:rPr>
          <w:rStyle w:val="FootnoteAnchor"/>
          <w:rtl w:val="true"/>
        </w:rPr>
        <w:footnoteReference w:id="1404"/>
      </w:r>
      <w:r>
        <w:rPr>
          <w:rFonts w:ascii="IRNazanin" w:hAnsi="IRNazanin" w:eastAsia="IRNazanin"/>
          <w:color w:val="111111"/>
          <w:sz w:val="28"/>
          <w:sz w:val="28"/>
          <w:szCs w:val="28"/>
          <w:rtl w:val="true"/>
          <w:lang w:bidi="fa-IR"/>
        </w:rPr>
        <w:t>البته در گوش ميت نمى‌مالند</w:t>
      </w:r>
      <w:r>
        <w:rPr>
          <w:rFonts w:eastAsia="IRNazanin" w:cs="IRNazanin"/>
          <w:color w:val="111111"/>
          <w:sz w:val="28"/>
          <w:szCs w:val="28"/>
          <w:rtl w:val="true"/>
          <w:lang w:bidi="fa-IR"/>
        </w:rPr>
        <w:t xml:space="preserve">. </w:t>
      </w:r>
      <w:r>
        <w:rPr>
          <w:rStyle w:val="FootnoteAnchor"/>
          <w:rtl w:val="true"/>
        </w:rPr>
        <w:footnoteReference w:id="1405"/>
      </w:r>
      <w:r>
        <w:rPr>
          <w:rFonts w:ascii="IRNazanin" w:hAnsi="IRNazanin" w:eastAsia="IRNazanin"/>
          <w:color w:val="111111"/>
          <w:sz w:val="28"/>
          <w:sz w:val="28"/>
          <w:szCs w:val="28"/>
          <w:rtl w:val="true"/>
          <w:lang w:bidi="fa-IR"/>
        </w:rPr>
        <w:t xml:space="preserve">اما در باره نوع گياه،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كافور به مردگان خود نماليد</w:t>
      </w:r>
      <w:r>
        <w:rPr>
          <w:rFonts w:eastAsia="IRNazanin" w:cs="IRNazanin"/>
          <w:color w:val="111111"/>
          <w:sz w:val="28"/>
          <w:szCs w:val="28"/>
          <w:rtl w:val="true"/>
          <w:lang w:bidi="fa-IR"/>
        </w:rPr>
        <w:t xml:space="preserve">» . </w:t>
      </w:r>
      <w:r>
        <w:rPr>
          <w:rStyle w:val="FootnoteAnchor"/>
          <w:rtl w:val="true"/>
        </w:rPr>
        <w:footnoteReference w:id="1406"/>
      </w:r>
      <w:r>
        <w:rPr>
          <w:rFonts w:ascii="IRNazanin" w:hAnsi="IRNazanin" w:eastAsia="IRNazanin"/>
          <w:color w:val="111111"/>
          <w:sz w:val="28"/>
          <w:sz w:val="28"/>
          <w:szCs w:val="28"/>
          <w:rtl w:val="true"/>
          <w:lang w:bidi="fa-IR"/>
        </w:rPr>
        <w:t xml:space="preserve">در روايات فراوانى از كافور به عنوان حنوط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آمده است</w:t>
      </w:r>
      <w:r>
        <w:rPr>
          <w:rFonts w:eastAsia="IRNazanin" w:cs="IRNazanin"/>
          <w:color w:val="111111"/>
          <w:sz w:val="28"/>
          <w:szCs w:val="28"/>
          <w:rtl w:val="true"/>
          <w:lang w:bidi="fa-IR"/>
        </w:rPr>
        <w:t xml:space="preserve">. </w:t>
      </w:r>
      <w:r>
        <w:rPr>
          <w:rStyle w:val="FootnoteAnchor"/>
          <w:rtl w:val="true"/>
        </w:rPr>
        <w:footnoteReference w:id="1407"/>
      </w:r>
    </w:p>
    <w:p>
      <w:pPr>
        <w:pStyle w:val="Heading4"/>
        <w:numPr>
          <w:ilvl w:val="3"/>
          <w:numId w:val="1"/>
        </w:numPr>
        <w:rPr/>
      </w:pPr>
      <w:bookmarkStart w:id="1577" w:name="__RefHeading___Toc3585759_3650668749"/>
      <w:bookmarkStart w:id="1578" w:name="_Toc676"/>
      <w:bookmarkEnd w:id="1577"/>
      <w:r>
        <w:rPr>
          <w:rtl w:val="true"/>
        </w:rPr>
        <w:t>د</w:t>
      </w:r>
      <w:r>
        <w:rPr>
          <w:rtl w:val="true"/>
        </w:rPr>
        <w:t xml:space="preserve">) </w:t>
      </w:r>
      <w:r>
        <w:rPr>
          <w:rtl w:val="true"/>
        </w:rPr>
        <w:t>نماز بر ميت</w:t>
      </w:r>
      <w:bookmarkEnd w:id="157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بر ميت در حقيقت نوعى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نماز خواندن حضرت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ميت را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مرده‌اى نماز مى‌خواند، ابتدا تكبير مى‌گفت و سپس شهادت به وحدانيت خداوند و شهادت به رسالت خود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بار دوم، تكبير مى‌گفت و آن‌گاه درود بر پيامبران مى‌فرستاد و براى آنها دعا مى‌كرد، سپس براى بار سوم، تكبير مى‌گفت و براى مؤمنان دعا و براى آنان و نيز براى زنان مؤمن استغفار مى‌كرد، بعد سپس براى بار چهارم، تكبير مى‌گفت و براى مرده دعا مى‌نمود و آن‌گاه تكبير پنجم را مى‌گفت و نماز را به پايان مى‌رساند</w:t>
      </w:r>
      <w:r>
        <w:rPr>
          <w:rFonts w:eastAsia="IRNazanin" w:cs="IRNazanin"/>
          <w:color w:val="111111"/>
          <w:sz w:val="28"/>
          <w:szCs w:val="28"/>
          <w:rtl w:val="true"/>
          <w:lang w:bidi="fa-IR"/>
        </w:rPr>
        <w:t xml:space="preserve">. </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در بعضى روايات چنين آمده است كه هرگاه پيامبر گرامى اسلام بر منافقان نماز مى‌خواند، نماز را با چهار تكبير به پايان مى‌رساند و ديگر براى ميت دعا نمى‌كرد</w:t>
      </w:r>
      <w:r>
        <w:rPr>
          <w:rFonts w:eastAsia="IRNazanin" w:cs="IRNazanin"/>
          <w:color w:val="111111"/>
          <w:sz w:val="28"/>
          <w:szCs w:val="28"/>
          <w:rtl w:val="true"/>
          <w:lang w:bidi="fa-IR"/>
        </w:rPr>
        <w:t xml:space="preserve">. </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 xml:space="preserve">در روايتى چنين آمده است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ميت را براى سهل بن حنيف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برگزار كرد</w:t>
      </w:r>
      <w:r>
        <w:rPr>
          <w:rFonts w:eastAsia="IRNazanin" w:cs="IRNazanin"/>
          <w:color w:val="111111"/>
          <w:sz w:val="28"/>
          <w:szCs w:val="28"/>
          <w:rtl w:val="true"/>
          <w:lang w:bidi="fa-IR"/>
        </w:rPr>
        <w:t xml:space="preserve">. </w:t>
      </w:r>
      <w:r>
        <w:rPr>
          <w:rStyle w:val="FootnoteAnchor"/>
          <w:rtl w:val="true"/>
        </w:rPr>
        <w:footnoteReference w:id="1410"/>
      </w:r>
      <w:r>
        <w:rPr>
          <w:rFonts w:ascii="IRNazanin" w:hAnsi="IRNazanin" w:eastAsia="IRNazanin"/>
          <w:color w:val="111111"/>
          <w:sz w:val="28"/>
          <w:sz w:val="28"/>
          <w:szCs w:val="28"/>
          <w:rtl w:val="true"/>
          <w:lang w:bidi="fa-IR"/>
        </w:rPr>
        <w:t>در روايت ديگر اين چنين توجيه شده كه آن حضرت در حقيقت پنج نماز بر سهل خواند؛ زيرا هر بار مردمى كه در نماز حاضر نبودند از آن حضرت تقاضا مى‌كردند كه بار ديگر نماز را بخواند</w:t>
      </w:r>
      <w:r>
        <w:rPr>
          <w:rFonts w:eastAsia="IRNazanin" w:cs="IRNazanin"/>
          <w:color w:val="111111"/>
          <w:sz w:val="28"/>
          <w:szCs w:val="28"/>
          <w:rtl w:val="true"/>
          <w:lang w:bidi="fa-IR"/>
        </w:rPr>
        <w:t xml:space="preserve">. </w:t>
      </w:r>
      <w:r>
        <w:rPr>
          <w:rStyle w:val="FootnoteAnchor"/>
          <w:rtl w:val="true"/>
        </w:rPr>
        <w:footnoteReference w:id="1411"/>
      </w:r>
      <w:r>
        <w:rPr>
          <w:rFonts w:ascii="IRNazanin" w:hAnsi="IRNazanin" w:eastAsia="IRNazanin"/>
          <w:color w:val="111111"/>
          <w:sz w:val="28"/>
          <w:sz w:val="28"/>
          <w:szCs w:val="28"/>
          <w:rtl w:val="true"/>
          <w:lang w:bidi="fa-IR"/>
        </w:rPr>
        <w:t xml:space="preserve">شايد بتوان روايتى را كه در آن آمده است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نمازى با هفتاد تكبير بر حمزه خواند </w:t>
      </w:r>
      <w:r>
        <w:rPr>
          <w:rStyle w:val="FootnoteAnchor"/>
          <w:rtl w:val="true"/>
        </w:rPr>
        <w:footnoteReference w:id="1412"/>
      </w:r>
      <w:r>
        <w:rPr>
          <w:rFonts w:ascii="Amiri" w:hAnsi="Amiri" w:eastAsia="Amiri" w:cs="Amiri"/>
          <w:color w:val="111111"/>
          <w:sz w:val="28"/>
          <w:sz w:val="28"/>
          <w:szCs w:val="28"/>
          <w:rtl w:val="true"/>
          <w:lang w:bidi="ar-SA"/>
        </w:rPr>
        <w:t>نيز به همين منوال توجيه كرد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بعضى روايات چنين بر مى‌آيد كه زنان نيز در نماز ميت شركت مى‌كردند، براى مثال،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بافضيلت‌ترين صف‌ها در نماز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برخلاف نمازهاى يوميه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صف‌هاى آخر است تا زن‌ها از ديدگان افرادى كه در جلو جنازه ايستاده‌اند محفوظ بمانند</w:t>
      </w:r>
      <w:r>
        <w:rPr>
          <w:rFonts w:eastAsia="IRNazanin" w:cs="IRNazanin"/>
          <w:color w:val="111111"/>
          <w:sz w:val="28"/>
          <w:szCs w:val="28"/>
          <w:rtl w:val="true"/>
          <w:lang w:bidi="fa-IR"/>
        </w:rPr>
        <w:t xml:space="preserve">» . </w:t>
      </w:r>
      <w:r>
        <w:rPr>
          <w:rStyle w:val="FootnoteAnchor"/>
          <w:rtl w:val="true"/>
        </w:rPr>
        <w:footnoteReference w:id="1413"/>
      </w:r>
      <w:r>
        <w:rPr>
          <w:rFonts w:ascii="IRNazanin" w:hAnsi="IRNazanin" w:eastAsia="IRNazanin"/>
          <w:color w:val="111111"/>
          <w:sz w:val="28"/>
          <w:sz w:val="28"/>
          <w:szCs w:val="28"/>
          <w:rtl w:val="true"/>
          <w:lang w:bidi="fa-IR"/>
        </w:rPr>
        <w:t xml:space="preserve">در بعضى روايات چنين آمده است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ميت خواهرش زينب كه همسر عثمان بود، حاضر شد</w:t>
      </w:r>
      <w:r>
        <w:rPr>
          <w:rFonts w:eastAsia="IRNazanin" w:cs="IRNazanin"/>
          <w:color w:val="111111"/>
          <w:sz w:val="28"/>
          <w:szCs w:val="28"/>
          <w:rtl w:val="true"/>
          <w:lang w:bidi="fa-IR"/>
        </w:rPr>
        <w:t xml:space="preserve">. </w:t>
      </w:r>
      <w:r>
        <w:rPr>
          <w:rStyle w:val="FootnoteAnchor"/>
          <w:rtl w:val="true"/>
        </w:rPr>
        <w:footnoteReference w:id="1414"/>
      </w:r>
      <w:bookmarkStart w:id="1579" w:name="pg1964_19863"/>
    </w:p>
    <w:p>
      <w:pPr>
        <w:pStyle w:val="BookText"/>
        <w:rPr/>
      </w:pPr>
      <w:bookmarkEnd w:id="1579"/>
      <w:r>
        <w:rPr>
          <w:rFonts w:ascii="IRNazanin" w:hAnsi="IRNazanin" w:eastAsia="IRNazanin"/>
          <w:color w:val="111111"/>
          <w:sz w:val="28"/>
          <w:sz w:val="28"/>
          <w:szCs w:val="28"/>
          <w:rtl w:val="true"/>
          <w:lang w:bidi="fa-IR"/>
        </w:rPr>
        <w:t xml:space="preserve">در مورد زمان حركت امام بعد از نماز چنين آمده است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جنازه را سر دست مردم نمى‌ديد، از مصلاى خود حركت نمى‌كرد</w:t>
      </w:r>
      <w:r>
        <w:rPr>
          <w:rFonts w:eastAsia="IRNazanin" w:cs="IRNazanin"/>
          <w:color w:val="111111"/>
          <w:sz w:val="28"/>
          <w:szCs w:val="28"/>
          <w:rtl w:val="true"/>
          <w:lang w:bidi="fa-IR"/>
        </w:rPr>
        <w:t xml:space="preserve">. </w:t>
      </w:r>
      <w:r>
        <w:rPr>
          <w:rStyle w:val="FootnoteAnchor"/>
          <w:rtl w:val="true"/>
        </w:rPr>
        <w:footnoteReference w:id="1415"/>
      </w:r>
    </w:p>
    <w:p>
      <w:pPr>
        <w:pStyle w:val="Heading4"/>
        <w:numPr>
          <w:ilvl w:val="3"/>
          <w:numId w:val="1"/>
        </w:numPr>
        <w:rPr/>
      </w:pPr>
      <w:bookmarkStart w:id="1580" w:name="__RefHeading___Toc3585761_3650668749"/>
      <w:bookmarkStart w:id="1581" w:name="_Toc677"/>
      <w:bookmarkEnd w:id="1580"/>
      <w:r>
        <w:rPr>
          <w:rtl w:val="true"/>
        </w:rPr>
        <w:t>ه</w:t>
      </w:r>
      <w:r>
        <w:rPr>
          <w:rtl w:val="true"/>
        </w:rPr>
        <w:t xml:space="preserve">) </w:t>
      </w:r>
      <w:r>
        <w:rPr>
          <w:rtl w:val="true"/>
        </w:rPr>
        <w:t>تشييع جنازه</w:t>
      </w:r>
      <w:bookmarkEnd w:id="1581"/>
    </w:p>
    <w:p>
      <w:pPr>
        <w:pStyle w:val="BookText"/>
        <w:rPr/>
      </w:pP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فوق‌العاده زيادى براى تشييع جنازه بيان فرموده است</w:t>
      </w:r>
      <w:r>
        <w:rPr>
          <w:rFonts w:eastAsia="IRNazanin" w:cs="IRNazanin"/>
          <w:color w:val="111111"/>
          <w:sz w:val="28"/>
          <w:szCs w:val="28"/>
          <w:rtl w:val="true"/>
          <w:lang w:bidi="fa-IR"/>
        </w:rPr>
        <w:t xml:space="preserve">. </w:t>
      </w:r>
      <w:r>
        <w:rPr>
          <w:rStyle w:val="FootnoteAnchor"/>
          <w:rtl w:val="true"/>
        </w:rPr>
        <w:footnoteReference w:id="1416"/>
      </w:r>
      <w:r>
        <w:rPr>
          <w:rFonts w:ascii="IRNazanin" w:hAnsi="IRNazanin" w:eastAsia="IRNazanin"/>
          <w:color w:val="111111"/>
          <w:sz w:val="28"/>
          <w:sz w:val="28"/>
          <w:szCs w:val="28"/>
          <w:rtl w:val="true"/>
          <w:lang w:bidi="fa-IR"/>
        </w:rPr>
        <w:t>همچنين آن حضرت فرموده است كه هنگام تشييع، پشت جنازه حركت نماييد نه اينكه مانند اهل كتاب در جلوى جنازه راه برويد</w:t>
      </w:r>
      <w:r>
        <w:rPr>
          <w:rFonts w:eastAsia="IRNazanin" w:cs="IRNazanin"/>
          <w:color w:val="111111"/>
          <w:sz w:val="28"/>
          <w:szCs w:val="28"/>
          <w:rtl w:val="true"/>
          <w:lang w:bidi="fa-IR"/>
        </w:rPr>
        <w:t xml:space="preserve">. </w:t>
      </w:r>
      <w:r>
        <w:rPr>
          <w:rStyle w:val="FootnoteAnchor"/>
          <w:rtl w:val="true"/>
        </w:rPr>
        <w:footnoteReference w:id="1417"/>
      </w:r>
      <w:r>
        <w:rPr>
          <w:rFonts w:ascii="Amiri" w:hAnsi="Amiri" w:eastAsia="Amiri" w:cs="Amiri"/>
          <w:color w:val="111111"/>
          <w:sz w:val="28"/>
          <w:sz w:val="28"/>
          <w:szCs w:val="28"/>
          <w:rtl w:val="true"/>
          <w:lang w:bidi="ar-SA"/>
        </w:rPr>
        <w:t>نيز فرموده است كه دنبال جنازه، سواره حركت نكنيد</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اما در خصوص كيفيت تابوت از بعضى روايات چنين بر مى‌آيد كه مردگان را به وسيله تختى شبيه برانكارد حمل مى‌نمودند و اگر مرده زن بود، روى او پارچه‌اى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بار اسماء بنت عميس تابوتى به شكل نيم دايره كه به وسيله چوب‌هاى تر و با پارچه و لباس پوشيده شده بود براى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نمود</w:t>
      </w:r>
      <w:r>
        <w:rPr>
          <w:rFonts w:eastAsia="IRNazanin" w:cs="IRNazanin"/>
          <w:color w:val="111111"/>
          <w:sz w:val="28"/>
          <w:szCs w:val="28"/>
          <w:rtl w:val="true"/>
          <w:lang w:bidi="fa-IR"/>
        </w:rPr>
        <w:t xml:space="preserve">. </w:t>
      </w:r>
      <w:r>
        <w:rPr>
          <w:rStyle w:val="FootnoteAnchor"/>
          <w:rtl w:val="true"/>
        </w:rPr>
        <w:footnoteReference w:id="1419"/>
      </w:r>
    </w:p>
    <w:p>
      <w:pPr>
        <w:pStyle w:val="Heading4"/>
        <w:numPr>
          <w:ilvl w:val="3"/>
          <w:numId w:val="1"/>
        </w:numPr>
        <w:rPr/>
      </w:pPr>
      <w:bookmarkStart w:id="1582" w:name="__RefHeading___Toc3585763_3650668749"/>
      <w:bookmarkStart w:id="1583" w:name="_Toc678"/>
      <w:bookmarkEnd w:id="1582"/>
      <w:r>
        <w:rPr>
          <w:rtl w:val="true"/>
        </w:rPr>
        <w:t>و</w:t>
      </w:r>
      <w:r>
        <w:rPr>
          <w:rtl w:val="true"/>
        </w:rPr>
        <w:t xml:space="preserve">) </w:t>
      </w:r>
      <w:r>
        <w:rPr>
          <w:rtl w:val="true"/>
        </w:rPr>
        <w:t>تدفين</w:t>
      </w:r>
      <w:bookmarkEnd w:id="1583"/>
    </w:p>
    <w:p>
      <w:pPr>
        <w:pStyle w:val="BookText"/>
        <w:rPr/>
      </w:pPr>
      <w:r>
        <w:rPr>
          <w:rFonts w:ascii="Amiri" w:hAnsi="Amiri" w:eastAsia="Amiri" w:cs="Amiri"/>
          <w:color w:val="111111"/>
          <w:sz w:val="28"/>
          <w:sz w:val="28"/>
          <w:szCs w:val="28"/>
          <w:rtl w:val="true"/>
          <w:lang w:bidi="ar-SA"/>
        </w:rPr>
        <w:t>مسائلى كه در مورد تدفين مى‌توان از روايات و نصوص تاريخى استخراج كرد، عبارت است از</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بخش اول در بحث جبّانات يادآور شديم، مردم در ابتدا مردگان خود را در منازل، حريم منازل و جبانات دفن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سال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خبّاب بن ارت وفات يافت، وصيت كرده بود كه او را در ظهر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غرب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كنند، از آن به بعد مردگان بيشترى در آن محل دفن شد</w:t>
      </w:r>
      <w:r>
        <w:rPr>
          <w:rFonts w:eastAsia="IRNazanin" w:cs="IRNazanin"/>
          <w:color w:val="111111"/>
          <w:sz w:val="28"/>
          <w:szCs w:val="28"/>
          <w:rtl w:val="true"/>
          <w:lang w:bidi="fa-IR"/>
        </w:rPr>
        <w:t xml:space="preserve">. </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آداب تدفين آن است كه قبل از قرار دادن ميت در قبر، دو شاخه تر درخت به اندازه نيم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مچ دستان تا ترقوه ميت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بار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آن را براى يكى از انصار صادر كرد</w:t>
      </w:r>
      <w:r>
        <w:rPr>
          <w:rFonts w:eastAsia="IRNazanin" w:cs="IRNazanin"/>
          <w:color w:val="111111"/>
          <w:sz w:val="28"/>
          <w:szCs w:val="28"/>
          <w:rtl w:val="true"/>
          <w:lang w:bidi="fa-IR"/>
        </w:rPr>
        <w:t xml:space="preserve">. </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و ارتفاع قبر نبايد زياد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كندن قبر بيش از سه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w:t>
      </w:r>
      <w:r>
        <w:rPr>
          <w:rFonts w:eastAsia="IRNazanin" w:cs="IRNazanin"/>
          <w:color w:val="111111"/>
          <w:sz w:val="28"/>
          <w:szCs w:val="28"/>
          <w:rtl w:val="true"/>
          <w:lang w:bidi="fa-IR"/>
        </w:rPr>
        <w:t xml:space="preserve">. </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آداب كندن قبر آن است كه در ته آن به اندازه طول بدن ميت مقدارى شكاف ايجاد نمايند و ميت را در آن جاى دهند كه به اين شكاف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آمده است كه براى قبر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 ايجاد كردند</w:t>
      </w:r>
      <w:r>
        <w:rPr>
          <w:rFonts w:eastAsia="IRNazanin" w:cs="IRNazanin"/>
          <w:color w:val="111111"/>
          <w:sz w:val="28"/>
          <w:szCs w:val="28"/>
          <w:rtl w:val="true"/>
          <w:lang w:bidi="fa-IR"/>
        </w:rPr>
        <w:t xml:space="preserve">. </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چنين وارد شده است كه سنت پيامبر گرامى اسلام آن است كه شخصى كه ميت را در قبر مى‌گذارد، بايد دگمه‌هاى خود را بگشايد و كلاه و عمامه بر سر نداشته و كفش نپوشيده باشد و نيز لباس طيلسان در بر نكرده باشد</w:t>
      </w:r>
      <w:r>
        <w:rPr>
          <w:rFonts w:eastAsia="IRNazanin" w:cs="IRNazanin"/>
          <w:color w:val="111111"/>
          <w:sz w:val="28"/>
          <w:szCs w:val="28"/>
          <w:rtl w:val="true"/>
          <w:lang w:bidi="fa-IR"/>
        </w:rPr>
        <w:t xml:space="preserve">. </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پر كردن قبر با خاكى غير از خاك خود قبر، نهى فرمودند</w:t>
      </w:r>
      <w:r>
        <w:rPr>
          <w:rFonts w:eastAsia="IRNazanin" w:cs="IRNazanin"/>
          <w:color w:val="111111"/>
          <w:sz w:val="28"/>
          <w:szCs w:val="28"/>
          <w:rtl w:val="true"/>
          <w:lang w:bidi="fa-IR"/>
        </w:rPr>
        <w:t xml:space="preserve">. </w:t>
      </w:r>
      <w:r>
        <w:rPr>
          <w:rStyle w:val="FootnoteAnchor"/>
          <w:rtl w:val="true"/>
        </w:rPr>
        <w:footnoteReference w:id="1425"/>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ارتفاع قبر از سطح زمين نيز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چنين آمده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ارتفاع قبرش را از زمين به اندازه چهار انگشت قرار دهد</w:t>
      </w:r>
      <w:r>
        <w:rPr>
          <w:rFonts w:eastAsia="IRNazanin" w:cs="IRNazanin"/>
          <w:color w:val="111111"/>
          <w:sz w:val="28"/>
          <w:szCs w:val="28"/>
          <w:rtl w:val="true"/>
          <w:lang w:bidi="fa-IR"/>
        </w:rPr>
        <w:t xml:space="preserve">. </w:t>
      </w:r>
      <w:r>
        <w:rPr>
          <w:rStyle w:val="FootnoteAnchor"/>
          <w:rtl w:val="true"/>
        </w:rPr>
        <w:footnoteReference w:id="1426"/>
      </w:r>
      <w:r>
        <w:rPr>
          <w:rFonts w:ascii="IRNazanin" w:hAnsi="IRNazanin" w:eastAsia="IRNazanin"/>
          <w:color w:val="111111"/>
          <w:sz w:val="28"/>
          <w:sz w:val="28"/>
          <w:szCs w:val="28"/>
          <w:rtl w:val="true"/>
          <w:lang w:bidi="fa-IR"/>
        </w:rPr>
        <w:t>در روايت ديگرى چنين آمده است كه ارتفاع قبر پيامبر گرامى اسلام از زمين به اندازه يك وجب بود</w:t>
      </w:r>
      <w:r>
        <w:rPr>
          <w:rFonts w:eastAsia="IRNazanin" w:cs="IRNazanin"/>
          <w:color w:val="111111"/>
          <w:sz w:val="28"/>
          <w:szCs w:val="28"/>
          <w:rtl w:val="true"/>
          <w:lang w:bidi="fa-IR"/>
        </w:rPr>
        <w:t xml:space="preserve">. </w:t>
      </w:r>
      <w:r>
        <w:rPr>
          <w:rStyle w:val="FootnoteAnchor"/>
          <w:rtl w:val="true"/>
        </w:rPr>
        <w:footnoteReference w:id="1427"/>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چگونگى پوشاندن قبر، در بعضى روايات چنين آمده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سعد بن معاذ را با خشت و سنگ بنا كرد و بين آنها را</w:t>
      </w:r>
      <w:bookmarkStart w:id="1584" w:name="pg1964_19865"/>
    </w:p>
    <w:p>
      <w:pPr>
        <w:pStyle w:val="BookText"/>
        <w:rPr/>
      </w:pPr>
      <w:bookmarkEnd w:id="1584"/>
      <w:r>
        <w:rPr>
          <w:rFonts w:ascii="IRNazanin" w:hAnsi="IRNazanin" w:eastAsia="IRNazanin"/>
          <w:color w:val="111111"/>
          <w:sz w:val="28"/>
          <w:sz w:val="28"/>
          <w:szCs w:val="28"/>
          <w:rtl w:val="true"/>
          <w:lang w:bidi="fa-IR"/>
        </w:rPr>
        <w:t>ملات گل قرار داد</w:t>
      </w:r>
      <w:r>
        <w:rPr>
          <w:rFonts w:eastAsia="IRNazanin" w:cs="IRNazanin"/>
          <w:color w:val="111111"/>
          <w:sz w:val="28"/>
          <w:szCs w:val="28"/>
          <w:rtl w:val="true"/>
          <w:lang w:bidi="fa-IR"/>
        </w:rPr>
        <w:t xml:space="preserve">. </w:t>
      </w:r>
      <w:r>
        <w:rPr>
          <w:rStyle w:val="FootnoteAnchor"/>
          <w:rtl w:val="true"/>
        </w:rPr>
        <w:footnoteReference w:id="1428"/>
      </w:r>
      <w:r>
        <w:rPr>
          <w:rFonts w:ascii="IRNazanin" w:hAnsi="IRNazanin" w:eastAsia="IRNazanin"/>
          <w:color w:val="111111"/>
          <w:sz w:val="28"/>
          <w:sz w:val="28"/>
          <w:szCs w:val="28"/>
          <w:rtl w:val="true"/>
          <w:lang w:bidi="fa-IR"/>
        </w:rPr>
        <w:t>و در بعضى ديگر از روايات نيز چنين آمده است كه قبر پيامبر گرامى اسلام را با خشت بنا كردند</w:t>
      </w:r>
      <w:r>
        <w:rPr>
          <w:rFonts w:eastAsia="IRNazanin" w:cs="IRNazanin"/>
          <w:color w:val="111111"/>
          <w:sz w:val="28"/>
          <w:szCs w:val="28"/>
          <w:rtl w:val="true"/>
          <w:lang w:bidi="fa-IR"/>
        </w:rPr>
        <w:t xml:space="preserve">. </w:t>
      </w:r>
      <w:r>
        <w:rPr>
          <w:rStyle w:val="FootnoteAnchor"/>
          <w:rtl w:val="true"/>
        </w:rPr>
        <w:footnoteReference w:id="1429"/>
      </w:r>
      <w:r>
        <w:rPr>
          <w:rFonts w:ascii="IRNazanin" w:hAnsi="IRNazanin" w:eastAsia="IRNazanin"/>
          <w:color w:val="111111"/>
          <w:sz w:val="28"/>
          <w:sz w:val="28"/>
          <w:szCs w:val="28"/>
          <w:rtl w:val="true"/>
          <w:lang w:bidi="fa-IR"/>
        </w:rPr>
        <w:t xml:space="preserve">در روايتى چنين آمده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گچ‌كارى قبرها نهى نمود</w:t>
      </w:r>
      <w:r>
        <w:rPr>
          <w:rFonts w:eastAsia="IRNazanin" w:cs="IRNazanin"/>
          <w:color w:val="111111"/>
          <w:sz w:val="28"/>
          <w:szCs w:val="28"/>
          <w:rtl w:val="true"/>
          <w:lang w:bidi="fa-IR"/>
        </w:rPr>
        <w:t xml:space="preserve">. </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اما مردم كوفه قبرهاى مردگان خود را با آجر، خشت و سنگ بنا مى‌نمودند و احياناً روى آنها كتيبه‌هايى مى‌نوشتند و عبارت‌هايى كه بر توبه و استغفار دلالت مى‌كرد، روى آنها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موارد نيز اسم مرده، اسم پدرش و تاريخ وفاتش را روى قبر مى‌نگاشتند، چنان‌كه روى قبرى مربوط به سال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نيز اين عبارت نگاشته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هذَا الْقَبْرُ لِعَبْدِ الرَّحْمنِ بنِ خَيْرِ الحِجْري، اَللّهُمَّ اغْفِرْ لَهُ وَ اَدْخِلْهُ في رَحْمَةٍ مِنْكَ وَ آتِنا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إسْتَغْفِرْ لَهُ إذا قَرَأتَ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في جُمادَى الآخِرَة مِنْ سِنَةِ اِحْدى وَثَلثينَ</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پاشيدن يكى ديگر از آداب اسلامى است كه از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شده بود و به اين عمل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1432"/>
      </w:r>
      <w:r>
        <w:rPr>
          <w:rFonts w:ascii="IRNazanin" w:hAnsi="IRNazanin" w:eastAsia="IRNazanin"/>
          <w:color w:val="111111"/>
          <w:sz w:val="28"/>
          <w:sz w:val="28"/>
          <w:szCs w:val="28"/>
          <w:rtl w:val="true"/>
          <w:lang w:bidi="fa-IR"/>
        </w:rPr>
        <w:t>سنت در اين مورد چنان است كه انسان رو به قبله بايستد و از طرف سر مرده شروع كرده تا به طرف پاى او برسد، سپس دور زده و به طرف ديگر بريزد وآن‌گاه وسط قبر را آب پاشى كند</w:t>
      </w:r>
      <w:r>
        <w:rPr>
          <w:rFonts w:eastAsia="IRNazanin" w:cs="IRNazanin"/>
          <w:color w:val="111111"/>
          <w:sz w:val="28"/>
          <w:szCs w:val="28"/>
          <w:rtl w:val="true"/>
          <w:lang w:bidi="fa-IR"/>
        </w:rPr>
        <w:t xml:space="preserve">. </w:t>
      </w:r>
      <w:r>
        <w:rPr>
          <w:rStyle w:val="FootnoteAnchor"/>
          <w:rtl w:val="true"/>
        </w:rPr>
        <w:footnoteReference w:id="1433"/>
      </w:r>
    </w:p>
    <w:p>
      <w:pPr>
        <w:pStyle w:val="Heading4"/>
        <w:numPr>
          <w:ilvl w:val="3"/>
          <w:numId w:val="1"/>
        </w:numPr>
        <w:rPr/>
      </w:pPr>
      <w:bookmarkStart w:id="1585" w:name="__RefHeading___Toc3585765_3650668749"/>
      <w:bookmarkStart w:id="1586" w:name="_Toc679"/>
      <w:bookmarkEnd w:id="1585"/>
      <w:r>
        <w:rPr>
          <w:rtl w:val="true"/>
        </w:rPr>
        <w:t>ز</w:t>
      </w:r>
      <w:r>
        <w:rPr>
          <w:rtl w:val="true"/>
        </w:rPr>
        <w:t xml:space="preserve">) </w:t>
      </w:r>
      <w:r>
        <w:rPr>
          <w:rtl w:val="true"/>
        </w:rPr>
        <w:t>مراسم بعد از تدفين</w:t>
      </w:r>
      <w:bookmarkEnd w:id="1586"/>
    </w:p>
    <w:p>
      <w:pPr>
        <w:pStyle w:val="BookText"/>
        <w:rPr/>
      </w:pPr>
      <w:r>
        <w:rPr>
          <w:rFonts w:ascii="Amiri" w:hAnsi="Amiri" w:eastAsia="Amiri" w:cs="Amiri"/>
          <w:color w:val="111111"/>
          <w:sz w:val="28"/>
          <w:sz w:val="28"/>
          <w:szCs w:val="28"/>
          <w:rtl w:val="true"/>
          <w:lang w:bidi="ar-SA"/>
        </w:rPr>
        <w:t>بعد از تدفين نيز آداب و رسومى برقرار بود كه بعضى از آنها عبارت است از</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تسليت به بستگان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بر تسليت گفتن به مصيبت‌زدگان و</w:t>
      </w:r>
    </w:p>
    <w:p>
      <w:pPr>
        <w:pStyle w:val="BookText"/>
        <w:rPr/>
      </w:pPr>
      <w:r>
        <w:rPr>
          <w:rFonts w:ascii="IRNazanin" w:hAnsi="IRNazanin" w:eastAsia="IRNazanin"/>
          <w:color w:val="111111"/>
          <w:sz w:val="28"/>
          <w:sz w:val="28"/>
          <w:szCs w:val="28"/>
          <w:rtl w:val="true"/>
          <w:lang w:bidi="fa-IR"/>
        </w:rPr>
        <w:t>نزديكان مرده، بسيار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اين روايات از زبان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نوحه‌سرايى بر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چنين آمده است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پدرش نوحه‌سرايى كرد و نيز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دستور به نوحه سرايى بر حمزه عمويش داد</w:t>
      </w:r>
      <w:r>
        <w:rPr>
          <w:rFonts w:eastAsia="IRNazanin" w:cs="IRNazanin"/>
          <w:color w:val="111111"/>
          <w:sz w:val="28"/>
          <w:szCs w:val="28"/>
          <w:rtl w:val="true"/>
          <w:lang w:bidi="fa-IR"/>
        </w:rPr>
        <w:t xml:space="preserve">. </w:t>
      </w:r>
      <w:r>
        <w:rPr>
          <w:rStyle w:val="FootnoteAnchor"/>
          <w:rtl w:val="true"/>
        </w:rPr>
        <w:footnoteReference w:id="1435"/>
      </w:r>
      <w:r>
        <w:rPr>
          <w:rFonts w:ascii="IRNazanin" w:hAnsi="IRNazanin" w:eastAsia="IRNazanin"/>
          <w:color w:val="111111"/>
          <w:sz w:val="28"/>
          <w:sz w:val="28"/>
          <w:szCs w:val="28"/>
          <w:rtl w:val="true"/>
          <w:lang w:bidi="fa-IR"/>
        </w:rPr>
        <w:t>البته هنگام نوحه‌سرايى، از گفتن سخنان دلالت‌كننده بر ناشكرى و نيز كندن صورت، پريشان كردن مو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غذا براى مصيبت 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چنين آمده است كه وقتى جعفر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موته به شهادت رسيد،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به مدت سه شبانه روز براى اسماء، همسر جعفر غذا تهيه كند</w:t>
      </w:r>
      <w:r>
        <w:rPr>
          <w:rFonts w:eastAsia="IRNazanin" w:cs="IRNazanin"/>
          <w:color w:val="111111"/>
          <w:sz w:val="28"/>
          <w:szCs w:val="28"/>
          <w:rtl w:val="true"/>
          <w:lang w:bidi="fa-IR"/>
        </w:rPr>
        <w:t xml:space="preserve">. </w:t>
      </w:r>
      <w:r>
        <w:rPr>
          <w:rStyle w:val="FootnoteAnchor"/>
          <w:rtl w:val="true"/>
        </w:rPr>
        <w:footnoteReference w:id="1436"/>
      </w:r>
      <w:r>
        <w:rPr>
          <w:rFonts w:ascii="IRNazanin" w:hAnsi="IRNazanin" w:eastAsia="IRNazanin"/>
          <w:color w:val="111111"/>
          <w:sz w:val="28"/>
          <w:sz w:val="28"/>
          <w:szCs w:val="28"/>
          <w:rtl w:val="true"/>
          <w:lang w:bidi="fa-IR"/>
        </w:rPr>
        <w:t>از آن پس اين عمل، يعنى تهيه سه روز غذا براى خانواده ميت، به صورت سنتى اسلامى درآمد</w:t>
      </w:r>
      <w:r>
        <w:rPr>
          <w:rFonts w:eastAsia="IRNazanin" w:cs="IRNazanin"/>
          <w:color w:val="111111"/>
          <w:sz w:val="28"/>
          <w:szCs w:val="28"/>
          <w:rtl w:val="true"/>
          <w:lang w:bidi="fa-IR"/>
        </w:rPr>
        <w:t xml:space="preserve">. </w:t>
      </w:r>
      <w:r>
        <w:rPr>
          <w:rStyle w:val="FootnoteAnchor"/>
          <w:rtl w:val="true"/>
        </w:rPr>
        <w:footnoteReference w:id="1437"/>
      </w:r>
      <w:r>
        <w:rPr>
          <w:rFonts w:ascii="IRNazanin" w:hAnsi="IRNazanin" w:eastAsia="IRNazanin"/>
          <w:color w:val="111111"/>
          <w:sz w:val="28"/>
          <w:sz w:val="28"/>
          <w:szCs w:val="28"/>
          <w:rtl w:val="true"/>
          <w:lang w:bidi="fa-IR"/>
        </w:rPr>
        <w:t>البته در آن هنگام جعفر در مدينه دفن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چنين آمده است كه خوردن غذا نزد اهل مصيبت و از غذاى آنان، از اعمالى بود كه در جاهليت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سنت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 مى‌باشد</w:t>
      </w:r>
      <w:r>
        <w:rPr>
          <w:rFonts w:eastAsia="IRNazanin" w:cs="IRNazanin"/>
          <w:color w:val="111111"/>
          <w:sz w:val="28"/>
          <w:szCs w:val="28"/>
          <w:rtl w:val="true"/>
          <w:lang w:bidi="fa-IR"/>
        </w:rPr>
        <w:t xml:space="preserve">. </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زيارت مردگان نيز در روايات توصيه و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چنين مى‌فرمايد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مردگان خود را زيارت كنيد كه آنها با زيارت كردن شما خوشحال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شخصى از شما حاجتى داشت، آن را نزد قبر پدر و مادرش از خداوند بطلبد</w:t>
      </w:r>
      <w:r>
        <w:rPr>
          <w:rFonts w:eastAsia="IRNazanin" w:cs="IRNazanin"/>
          <w:color w:val="111111"/>
          <w:sz w:val="28"/>
          <w:szCs w:val="28"/>
          <w:rtl w:val="true"/>
          <w:lang w:bidi="fa-IR"/>
        </w:rPr>
        <w:t xml:space="preserve">. </w:t>
      </w:r>
      <w:r>
        <w:rPr>
          <w:rStyle w:val="FootnoteAnchor"/>
          <w:rtl w:val="true"/>
        </w:rPr>
        <w:footnoteReference w:id="1439"/>
      </w:r>
      <w:bookmarkStart w:id="1587" w:name="pg1964_19867"/>
    </w:p>
    <w:p>
      <w:pPr>
        <w:pStyle w:val="Heading3"/>
        <w:numPr>
          <w:ilvl w:val="2"/>
          <w:numId w:val="1"/>
        </w:numPr>
        <w:rPr/>
      </w:pPr>
      <w:bookmarkStart w:id="1588" w:name="__RefHeading___Toc3585767_3650668749"/>
      <w:bookmarkStart w:id="1589" w:name="_Toc680"/>
      <w:bookmarkEnd w:id="1587"/>
      <w:bookmarkEnd w:id="1588"/>
      <w:r>
        <w:rPr/>
        <w:t>۴</w:t>
      </w:r>
      <w:r>
        <w:rPr>
          <w:rtl w:val="true"/>
        </w:rPr>
        <w:t xml:space="preserve">. </w:t>
      </w:r>
      <w:r>
        <w:rPr>
          <w:rtl w:val="true"/>
        </w:rPr>
        <w:t>جنگ و صلح</w:t>
      </w:r>
      <w:bookmarkEnd w:id="1589"/>
    </w:p>
    <w:p>
      <w:pPr>
        <w:pStyle w:val="Heading4"/>
        <w:numPr>
          <w:ilvl w:val="3"/>
          <w:numId w:val="1"/>
        </w:numPr>
        <w:rPr/>
      </w:pPr>
      <w:bookmarkStart w:id="1590" w:name="__RefHeading___Toc3585769_3650668749"/>
      <w:bookmarkStart w:id="1591" w:name="_Toc681"/>
      <w:bookmarkEnd w:id="1590"/>
      <w:r>
        <w:rPr>
          <w:rtl w:val="true"/>
        </w:rPr>
        <w:t>الف</w:t>
      </w:r>
      <w:r>
        <w:rPr>
          <w:rtl w:val="true"/>
        </w:rPr>
        <w:t xml:space="preserve">) </w:t>
      </w:r>
      <w:r>
        <w:rPr>
          <w:rtl w:val="true"/>
        </w:rPr>
        <w:t>اعلان جنگ</w:t>
      </w:r>
      <w:bookmarkEnd w:id="1591"/>
    </w:p>
    <w:p>
      <w:pPr>
        <w:pStyle w:val="BookText"/>
        <w:rPr/>
      </w:pPr>
      <w:r>
        <w:rPr>
          <w:rFonts w:ascii="IRNazanin" w:hAnsi="IRNazanin" w:eastAsia="IRNazanin"/>
          <w:color w:val="111111"/>
          <w:sz w:val="28"/>
          <w:sz w:val="28"/>
          <w:szCs w:val="28"/>
          <w:rtl w:val="true"/>
          <w:lang w:bidi="fa-IR"/>
        </w:rPr>
        <w:t>معمولاً اعلان جنگ به وسيله منادى كه در شهر گردش مى‌كرد و با صداى بلند با كلماتى كه بر جنگ و اعلان آن دلالت مى‌كرد، مردم را به حضور در جنگ دعوت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النَفيرَ، النَفيرَ</w:t>
      </w:r>
      <w:r>
        <w:rPr>
          <w:rFonts w:eastAsia="IRNazanin" w:cs="IRNazanin"/>
          <w:color w:val="111111"/>
          <w:sz w:val="28"/>
          <w:szCs w:val="28"/>
          <w:rtl w:val="true"/>
          <w:lang w:bidi="fa-IR"/>
        </w:rPr>
        <w:t xml:space="preserve">» </w:t>
      </w:r>
      <w:r>
        <w:rPr>
          <w:rStyle w:val="FootnoteAnchor"/>
          <w:rtl w:val="true"/>
        </w:rPr>
        <w:footnoteReference w:id="1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 كنيد، كوچ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صراحت آمادگى مردم را طلب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جريان جنگ صفين چنين وارد شده است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جنگ از حارث اَعْوَر خواست تا اين‌چنين در كوفه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خارج شده و به اردوگاه خود در نخيله برويد</w:t>
      </w:r>
      <w:r>
        <w:rPr>
          <w:rFonts w:eastAsia="IRNazanin" w:cs="IRNazanin"/>
          <w:color w:val="111111"/>
          <w:sz w:val="28"/>
          <w:szCs w:val="28"/>
          <w:rtl w:val="true"/>
          <w:lang w:bidi="fa-IR"/>
        </w:rPr>
        <w:t xml:space="preserve">» . </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 xml:space="preserve">براى اعلام عقب‌نشينى نيز منادى از الفاظى،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عقب‌نشينى كنيد، عقب‌نشينى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مى‌كرد</w:t>
      </w:r>
      <w:r>
        <w:rPr>
          <w:rFonts w:eastAsia="Amiri" w:cs="Amiri" w:ascii="Amiri" w:hAnsi="Amiri"/>
          <w:color w:val="111111"/>
          <w:sz w:val="28"/>
          <w:szCs w:val="28"/>
          <w:rtl w:val="true"/>
          <w:lang w:bidi="ar-SA"/>
        </w:rPr>
        <w:t xml:space="preserve">. </w:t>
      </w:r>
      <w:r>
        <w:rPr>
          <w:rStyle w:val="FootnoteAnchor"/>
          <w:rtl w:val="true"/>
        </w:rPr>
        <w:footnoteReference w:id="1442"/>
      </w:r>
      <w:r>
        <w:rPr>
          <w:rFonts w:ascii="IRNazanin" w:hAnsi="IRNazanin" w:eastAsia="IRNazanin"/>
          <w:color w:val="111111"/>
          <w:sz w:val="28"/>
          <w:sz w:val="28"/>
          <w:szCs w:val="28"/>
          <w:rtl w:val="true"/>
          <w:lang w:bidi="fa-IR"/>
        </w:rPr>
        <w:t xml:space="preserve">همچنين از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السَّلاحَ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آماده شدن افراد براى جنگ در معركه،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اَلْخَيْلَ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آماده شدن سواركاران براى حمله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متفرق شدن سربازان در دشت استفاده مى‌شد</w:t>
      </w:r>
      <w:r>
        <w:rPr>
          <w:rFonts w:eastAsia="IRNazanin" w:cs="IRNazanin"/>
          <w:color w:val="111111"/>
          <w:sz w:val="28"/>
          <w:szCs w:val="28"/>
          <w:rtl w:val="true"/>
          <w:lang w:bidi="fa-IR"/>
        </w:rPr>
        <w:t xml:space="preserve">. </w:t>
      </w:r>
      <w:r>
        <w:rPr>
          <w:rStyle w:val="FootnoteAnchor"/>
          <w:rtl w:val="true"/>
        </w:rPr>
        <w:footnoteReference w:id="1443"/>
      </w:r>
    </w:p>
    <w:p>
      <w:pPr>
        <w:pStyle w:val="Heading4"/>
        <w:numPr>
          <w:ilvl w:val="3"/>
          <w:numId w:val="1"/>
        </w:numPr>
        <w:rPr/>
      </w:pPr>
      <w:bookmarkStart w:id="1592" w:name="__RefHeading___Toc3585771_3650668749"/>
      <w:bookmarkStart w:id="1593" w:name="_Toc682"/>
      <w:bookmarkEnd w:id="1592"/>
      <w:r>
        <w:rPr>
          <w:rtl w:val="true"/>
        </w:rPr>
        <w:t>ب</w:t>
      </w:r>
      <w:r>
        <w:rPr>
          <w:rtl w:val="true"/>
        </w:rPr>
        <w:t xml:space="preserve">) </w:t>
      </w:r>
      <w:r>
        <w:rPr>
          <w:rtl w:val="true"/>
        </w:rPr>
        <w:t>سربازگيرى</w:t>
      </w:r>
      <w:bookmarkEnd w:id="159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جاهليت و در صدر اسلام و در زمان مورد بحث، هنوز سپاه منظمى با نيروهاى ثابت تشكيل نشده بود، ازاين‌رو هنگام جنگ، همه مردان بالغ و عاقل موظف به شركت در جنگ بودند، به خصوص هنگامى كه نظام عطاء برقرار شد، زيرا پرداخت عطاء تعهداتى براى مردم ايجاد مى‌كرد كه يكى از آنها شركت در</w:t>
      </w:r>
      <w:bookmarkStart w:id="1594" w:name="pg1964_19868"/>
    </w:p>
    <w:p>
      <w:pPr>
        <w:pStyle w:val="BookText"/>
        <w:rPr/>
      </w:pPr>
      <w:bookmarkEnd w:id="1594"/>
      <w:r>
        <w:rPr>
          <w:rFonts w:ascii="IRNazanin" w:hAnsi="IRNazanin" w:eastAsia="IRNazanin"/>
          <w:color w:val="111111"/>
          <w:sz w:val="28"/>
          <w:sz w:val="28"/>
          <w:szCs w:val="28"/>
          <w:rtl w:val="true"/>
          <w:lang w:bidi="fa-IR"/>
        </w:rPr>
        <w:t xml:space="preserve">جنگ، هنگام اعلام نياز حكومت بود و اگر كسى از فرمان حكومت در مورد رفتن به جنگ خوددارى مى‌كرد،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عطاى او قطع مى‌شد</w:t>
      </w:r>
      <w:r>
        <w:rPr>
          <w:rFonts w:eastAsia="IRNazanin" w:cs="IRNazanin"/>
          <w:color w:val="111111"/>
          <w:sz w:val="28"/>
          <w:szCs w:val="28"/>
          <w:rtl w:val="true"/>
          <w:lang w:bidi="fa-IR"/>
        </w:rPr>
        <w:t xml:space="preserve">. </w:t>
      </w:r>
      <w:r>
        <w:rPr>
          <w:rStyle w:val="FootnoteAnchor"/>
          <w:rtl w:val="true"/>
        </w:rPr>
        <w:footnoteReference w:id="1444"/>
      </w:r>
      <w:r>
        <w:rPr>
          <w:rFonts w:ascii="IRNazanin" w:hAnsi="IRNazanin" w:eastAsia="IRNazanin"/>
          <w:color w:val="111111"/>
          <w:sz w:val="28"/>
          <w:sz w:val="28"/>
          <w:szCs w:val="28"/>
          <w:rtl w:val="true"/>
          <w:lang w:bidi="fa-IR"/>
        </w:rPr>
        <w:t xml:space="preserve">براى مثال، عبيدالله با تهديد مردم به قطع عطاء توانست لشكر بزرگى براى مقابله 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 xml:space="preserve">. </w:t>
      </w:r>
      <w:r>
        <w:rPr>
          <w:rStyle w:val="FootnoteAnchor"/>
          <w:rtl w:val="true"/>
        </w:rPr>
        <w:footnoteReference w:id="1445"/>
      </w:r>
    </w:p>
    <w:p>
      <w:pPr>
        <w:pStyle w:val="BookText"/>
        <w:rPr/>
      </w:pPr>
      <w:r>
        <w:rPr>
          <w:rFonts w:ascii="IRNazanin" w:hAnsi="IRNazanin" w:eastAsia="IRNazanin"/>
          <w:color w:val="111111"/>
          <w:sz w:val="28"/>
          <w:sz w:val="28"/>
          <w:szCs w:val="28"/>
          <w:rtl w:val="true"/>
          <w:lang w:bidi="fa-IR"/>
        </w:rPr>
        <w:t>نكته قابل توجه اينكه هر سرباز وظيفه داشت مركب، سلاح و غذاى خود را در جنگ تأمين كند</w:t>
      </w:r>
      <w:r>
        <w:rPr>
          <w:rFonts w:eastAsia="IRNazanin" w:cs="IRNazanin"/>
          <w:color w:val="111111"/>
          <w:sz w:val="28"/>
          <w:szCs w:val="28"/>
          <w:rtl w:val="true"/>
          <w:lang w:bidi="fa-IR"/>
        </w:rPr>
        <w:t xml:space="preserve">. </w:t>
      </w:r>
      <w:r>
        <w:rPr>
          <w:rStyle w:val="FootnoteAnchor"/>
          <w:rtl w:val="true"/>
        </w:rPr>
        <w:footnoteReference w:id="1446"/>
      </w:r>
      <w:r>
        <w:rPr>
          <w:rFonts w:ascii="IRNazanin" w:hAnsi="IRNazanin" w:eastAsia="IRNazanin"/>
          <w:color w:val="111111"/>
          <w:sz w:val="28"/>
          <w:sz w:val="28"/>
          <w:szCs w:val="28"/>
          <w:rtl w:val="true"/>
          <w:lang w:bidi="fa-IR"/>
        </w:rPr>
        <w:t>نكته ديگر اينكه در بعضى موارد شخصى كه طبق قواعد عمومى عطاء، موظف به شركت در جهاد بود، مى‌توانست با استخدام فردى به جاى خود و تأمين غذا، سلاح و مركب او و نيز تعيين مزدى براى او، از خود رفع تكليف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برخى منابع،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چنين اجازه‌اى صادر فرمودند</w:t>
      </w:r>
      <w:r>
        <w:rPr>
          <w:rFonts w:eastAsia="IRNazanin" w:cs="IRNazanin"/>
          <w:color w:val="111111"/>
          <w:sz w:val="28"/>
          <w:szCs w:val="28"/>
          <w:rtl w:val="true"/>
          <w:lang w:bidi="fa-IR"/>
        </w:rPr>
        <w:t xml:space="preserve">. </w:t>
      </w:r>
      <w:r>
        <w:rPr>
          <w:rStyle w:val="FootnoteAnchor"/>
          <w:rtl w:val="true"/>
        </w:rPr>
        <w:footnoteReference w:id="1447"/>
      </w:r>
      <w:r>
        <w:rPr>
          <w:rFonts w:ascii="IRNazanin" w:hAnsi="IRNazanin" w:eastAsia="IRNazanin"/>
          <w:color w:val="111111"/>
          <w:sz w:val="28"/>
          <w:sz w:val="28"/>
          <w:szCs w:val="28"/>
          <w:rtl w:val="true"/>
          <w:lang w:bidi="fa-IR"/>
        </w:rPr>
        <w:t>البته اين عمل در مورد افراد عادى صورت مى‌گرفت نه كسانى‌كه داراى ويژگى‌هايى بودند و در جنگ، كارآيى فراوان داشتند</w:t>
      </w:r>
      <w:r>
        <w:rPr>
          <w:rFonts w:eastAsia="IRNazanin" w:cs="IRNazanin"/>
          <w:color w:val="111111"/>
          <w:sz w:val="28"/>
          <w:szCs w:val="28"/>
          <w:rtl w:val="true"/>
          <w:lang w:bidi="fa-IR"/>
        </w:rPr>
        <w:t>.</w:t>
      </w:r>
    </w:p>
    <w:p>
      <w:pPr>
        <w:pStyle w:val="Heading4"/>
        <w:numPr>
          <w:ilvl w:val="3"/>
          <w:numId w:val="1"/>
        </w:numPr>
        <w:rPr/>
      </w:pPr>
      <w:bookmarkStart w:id="1595" w:name="__RefHeading___Toc3585773_3650668749"/>
      <w:bookmarkStart w:id="1596" w:name="_Toc683"/>
      <w:bookmarkEnd w:id="1595"/>
      <w:r>
        <w:rPr>
          <w:rtl w:val="true"/>
        </w:rPr>
        <w:t>ج</w:t>
      </w:r>
      <w:r>
        <w:rPr>
          <w:rtl w:val="true"/>
        </w:rPr>
        <w:t xml:space="preserve">) </w:t>
      </w:r>
      <w:r>
        <w:rPr>
          <w:rtl w:val="true"/>
        </w:rPr>
        <w:t>نظام جمع</w:t>
      </w:r>
      <w:bookmarkEnd w:id="1596"/>
    </w:p>
    <w:p>
      <w:pPr>
        <w:pStyle w:val="BookText"/>
        <w:rPr/>
      </w:pPr>
      <w:r>
        <w:rPr>
          <w:rFonts w:ascii="IRNazanin" w:hAnsi="IRNazanin" w:eastAsia="IRNazanin"/>
          <w:color w:val="111111"/>
          <w:sz w:val="28"/>
          <w:sz w:val="28"/>
          <w:szCs w:val="28"/>
          <w:rtl w:val="true"/>
          <w:lang w:bidi="fa-IR"/>
        </w:rPr>
        <w:t>منظور از نظام جمع، منظم ساختن صفوف سربازان براى آمادگى بيشتر جهت شروع جنگ يا سانديدن فرمانده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روايات تاريخى چنين آمده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صفوف جنگ‌جويان 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هيمن‌طور نقل شده است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همانند درختان در جاى خود مى‌گمارد و پيامبر اكرم احياناً به وسيله عصايش آنها را منظم مى‌ساخت</w:t>
      </w:r>
      <w:r>
        <w:rPr>
          <w:rFonts w:eastAsia="IRNazanin" w:cs="IRNazanin"/>
          <w:color w:val="111111"/>
          <w:sz w:val="28"/>
          <w:szCs w:val="28"/>
          <w:rtl w:val="true"/>
          <w:lang w:bidi="fa-IR"/>
        </w:rPr>
        <w:t xml:space="preserve">. </w:t>
      </w:r>
      <w:r>
        <w:rPr>
          <w:rStyle w:val="FootnoteAnchor"/>
          <w:rtl w:val="true"/>
        </w:rPr>
        <w:footnoteReference w:id="1448"/>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روشن‌تر شدن كيفيت منظم ساختن صفوف در جنگ، بايد با آرايش‌هاى مختلف جنگى آشنايى داشته باشيم، ازاين‌رو بحث بيشتر را در اين‌باره به بحث آرايش‌هاى نظامى واگذار نموده و در اينجا تنها به ذكر</w:t>
      </w:r>
    </w:p>
    <w:p>
      <w:pPr>
        <w:pStyle w:val="BookText"/>
        <w:rPr/>
      </w:pPr>
      <w:r>
        <w:rPr>
          <w:rFonts w:ascii="IRNazanin" w:hAnsi="IRNazanin" w:eastAsia="IRNazanin"/>
          <w:color w:val="111111"/>
          <w:sz w:val="28"/>
          <w:sz w:val="28"/>
          <w:szCs w:val="28"/>
          <w:rtl w:val="true"/>
          <w:lang w:bidi="fa-IR"/>
        </w:rPr>
        <w:t xml:space="preserve">نمونه‌هايى از دستورالعمل‌هاى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كيفيت منظم نمودن صف‌ها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سپاه خود در جنگ صفين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صفوف خود را همانند بنيانى محكم استوار و منظم كنيد، پس زره‌داران را در جلو و بى‌زره‌ها را در عقب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دندان‌ها را برهم فشار دهيد كه اينكار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نتيجه‌اش استقامت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شمشيرها را از سرها بيشتر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نيزه‌ها پيچ و خم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فرود آوردن نيزه بر دشمن يا هنگامى كه دشمن بر شما نيزه وارد مى‌كند، خود را كوتاه و بلند يا دور و نزديك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اين كار براى نيزه زدن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را پايين اندازيد؛ زيرا باعث قوت قلب و آرامى دل‌ها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جنگ سكوت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كنيد؛ زيرا اينكار ترس را زودتر دور مى‌كند</w:t>
      </w:r>
      <w:r>
        <w:rPr>
          <w:rFonts w:eastAsia="IRNazanin" w:cs="IRNazanin"/>
          <w:color w:val="111111"/>
          <w:sz w:val="28"/>
          <w:szCs w:val="28"/>
          <w:rtl w:val="true"/>
          <w:lang w:bidi="fa-IR"/>
        </w:rPr>
        <w:t xml:space="preserve">. </w:t>
      </w:r>
      <w:r>
        <w:rPr>
          <w:rStyle w:val="FootnoteAnchor"/>
          <w:rtl w:val="true"/>
        </w:rPr>
        <w:footnoteReference w:id="1449"/>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ديگر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سفارش‌هايى، همچون لزوم آمادگى هر چه بيشتر براى مبارزه، جولان دادن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نيز فراوان به ياد خدا بودن مى‌نمايد و از آنها مى‌خواهد كه در جنگ از همديگر حمايت كنند، اما هنگامى كه يكى از آنها قصد حمله دارد، خود را تنها فرض كند</w:t>
      </w:r>
      <w:r>
        <w:rPr>
          <w:rFonts w:eastAsia="IRNazanin" w:cs="IRNazanin"/>
          <w:color w:val="111111"/>
          <w:sz w:val="28"/>
          <w:szCs w:val="28"/>
          <w:rtl w:val="true"/>
          <w:lang w:bidi="fa-IR"/>
        </w:rPr>
        <w:t xml:space="preserve">. </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ديگرى جابه‌جا كردن شمشيرها در غلاف قبل از كشيدن آن و شمشير زدن با نوك آن از جمله سفارش‌هاى جنگى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ذكر شده است</w:t>
      </w:r>
      <w:r>
        <w:rPr>
          <w:rFonts w:eastAsia="IRNazanin" w:cs="IRNazanin"/>
          <w:color w:val="111111"/>
          <w:sz w:val="28"/>
          <w:szCs w:val="28"/>
          <w:rtl w:val="true"/>
          <w:lang w:bidi="fa-IR"/>
        </w:rPr>
        <w:t xml:space="preserve">. </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جنگ نهروان چنين آمده است كه آن حضرت از قرار زير صف‌ها را منظم كرد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صفى از تيراندازان در جلو سپاه تشكيل داد، سپس صف اسب‌سواران را در پشت سر آنها منظم نمود و آن‌گاه دو صف از پيادگان در پشت صف اسب‌سواران تشكيل داد</w:t>
      </w:r>
      <w:r>
        <w:rPr>
          <w:rFonts w:eastAsia="IRNazanin" w:cs="IRNazanin"/>
          <w:color w:val="111111"/>
          <w:sz w:val="28"/>
          <w:szCs w:val="28"/>
          <w:rtl w:val="true"/>
          <w:lang w:bidi="fa-IR"/>
        </w:rPr>
        <w:t xml:space="preserve">. </w:t>
      </w:r>
      <w:r>
        <w:rPr>
          <w:rStyle w:val="FootnoteAnchor"/>
          <w:rtl w:val="true"/>
        </w:rPr>
        <w:footnoteReference w:id="1452"/>
      </w:r>
      <w:bookmarkStart w:id="1597" w:name="pg1964_19870"/>
    </w:p>
    <w:p>
      <w:pPr>
        <w:pStyle w:val="BookText"/>
        <w:rPr/>
      </w:pPr>
      <w:bookmarkEnd w:id="1597"/>
      <w:r>
        <w:rPr>
          <w:rFonts w:ascii="IRNazanin" w:hAnsi="IRNazanin" w:eastAsia="IRNazanin"/>
          <w:color w:val="111111"/>
          <w:sz w:val="28"/>
          <w:sz w:val="28"/>
          <w:szCs w:val="28"/>
          <w:rtl w:val="true"/>
          <w:lang w:bidi="fa-IR"/>
        </w:rPr>
        <w:t>در يكى از جنگ‌ها سعد بن ابى‌وقاص، طريقه منظم نمودن و حمله كردن سپاه خود را اين چنين به آنها گوشزد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تكبير اول مرا شنيديد، بند كفش‌هاى خود را محكم ببنديد و هنگامى كه براى دومين بار تكبير گفتم، كاملاً آماده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تكبير سوم، دندان‌ها را برهم فشار داده و حمله نماييد</w:t>
      </w:r>
      <w:r>
        <w:rPr>
          <w:rFonts w:eastAsia="IRNazanin" w:cs="IRNazanin"/>
          <w:color w:val="111111"/>
          <w:sz w:val="28"/>
          <w:szCs w:val="28"/>
          <w:rtl w:val="true"/>
          <w:lang w:bidi="fa-IR"/>
        </w:rPr>
        <w:t xml:space="preserve">» . </w:t>
      </w:r>
      <w:r>
        <w:rPr>
          <w:rStyle w:val="FootnoteAnchor"/>
          <w:rtl w:val="true"/>
        </w:rPr>
        <w:footnoteReference w:id="1453"/>
      </w:r>
    </w:p>
    <w:p>
      <w:pPr>
        <w:pStyle w:val="Heading4"/>
        <w:numPr>
          <w:ilvl w:val="3"/>
          <w:numId w:val="1"/>
        </w:numPr>
        <w:rPr/>
      </w:pPr>
      <w:bookmarkStart w:id="1598" w:name="__RefHeading___Toc3585775_3650668749"/>
      <w:bookmarkStart w:id="1599" w:name="_Toc684"/>
      <w:bookmarkEnd w:id="1598"/>
      <w:r>
        <w:rPr>
          <w:rtl w:val="true"/>
        </w:rPr>
        <w:t>د</w:t>
      </w:r>
      <w:r>
        <w:rPr>
          <w:rtl w:val="true"/>
        </w:rPr>
        <w:t xml:space="preserve">) </w:t>
      </w:r>
      <w:r>
        <w:rPr>
          <w:rtl w:val="true"/>
        </w:rPr>
        <w:t>ادوات و سلاح‌هاى جنگى</w:t>
      </w:r>
      <w:bookmarkEnd w:id="1599"/>
    </w:p>
    <w:p>
      <w:pPr>
        <w:pStyle w:val="Heading5"/>
        <w:numPr>
          <w:ilvl w:val="4"/>
          <w:numId w:val="1"/>
        </w:numPr>
        <w:rPr/>
      </w:pPr>
      <w:bookmarkStart w:id="1600" w:name="__RefHeading___Toc3585777_3650668749"/>
      <w:bookmarkStart w:id="1601" w:name="_Toc685"/>
      <w:bookmarkEnd w:id="1600"/>
      <w:r>
        <w:rPr>
          <w:rtl w:val="true"/>
        </w:rPr>
        <w:t>اشاره</w:t>
      </w:r>
      <w:bookmarkEnd w:id="1601"/>
    </w:p>
    <w:p>
      <w:pPr>
        <w:pStyle w:val="BookText"/>
        <w:rPr/>
      </w:pPr>
      <w:r>
        <w:rPr>
          <w:rFonts w:ascii="IRNazanin" w:hAnsi="IRNazanin" w:eastAsia="IRNazanin"/>
          <w:color w:val="111111"/>
          <w:sz w:val="28"/>
          <w:sz w:val="28"/>
          <w:szCs w:val="28"/>
          <w:rtl w:val="true"/>
          <w:lang w:bidi="fa-IR"/>
        </w:rPr>
        <w:t xml:space="preserve">براى سهولت هرچه بيشتر بحث سلاح‌هاى جنگى مورد استفاده در زمان مورد بحث را ابتدا به دو قسم سلاح‌هاى هجومى و سلاح‌هاى دفاعى تقسيم نموده </w:t>
      </w:r>
      <w:r>
        <w:rPr>
          <w:rStyle w:val="FootnoteAnchor"/>
          <w:rtl w:val="true"/>
        </w:rPr>
        <w:footnoteReference w:id="1454"/>
      </w:r>
      <w:r>
        <w:rPr>
          <w:rFonts w:ascii="IRNazanin" w:hAnsi="IRNazanin" w:eastAsia="IRNazanin"/>
          <w:color w:val="111111"/>
          <w:sz w:val="28"/>
          <w:sz w:val="28"/>
          <w:szCs w:val="28"/>
          <w:rtl w:val="true"/>
          <w:lang w:bidi="fa-IR"/>
        </w:rPr>
        <w:t>، آن‌گاه هر يك از آنان را در دو محور سلاح‌هاى سبك و سلاح‌هاى سنگين بررسى مى‌كنيم</w:t>
      </w:r>
      <w:r>
        <w:rPr>
          <w:rFonts w:eastAsia="IRNazanin" w:cs="IRNazanin"/>
          <w:color w:val="111111"/>
          <w:sz w:val="28"/>
          <w:szCs w:val="28"/>
          <w:rtl w:val="true"/>
          <w:lang w:bidi="fa-IR"/>
        </w:rPr>
        <w:t>:</w:t>
      </w:r>
    </w:p>
    <w:p>
      <w:pPr>
        <w:pStyle w:val="Heading5"/>
        <w:numPr>
          <w:ilvl w:val="4"/>
          <w:numId w:val="1"/>
        </w:numPr>
        <w:rPr/>
      </w:pPr>
      <w:bookmarkStart w:id="1602" w:name="__RefHeading___Toc3585779_3650668749"/>
      <w:bookmarkStart w:id="1603" w:name="_Toc686"/>
      <w:bookmarkEnd w:id="1602"/>
      <w:r>
        <w:rPr>
          <w:rtl w:val="true"/>
        </w:rPr>
        <w:t xml:space="preserve">يك </w:t>
      </w:r>
      <w:r>
        <w:rPr>
          <w:rtl w:val="true"/>
        </w:rPr>
        <w:t xml:space="preserve">- </w:t>
      </w:r>
      <w:r>
        <w:rPr>
          <w:rtl w:val="true"/>
        </w:rPr>
        <w:t>سلاح‌هاى هجومى</w:t>
      </w:r>
      <w:bookmarkEnd w:id="1603"/>
    </w:p>
    <w:p>
      <w:pPr>
        <w:pStyle w:val="Heading6"/>
        <w:numPr>
          <w:ilvl w:val="5"/>
          <w:numId w:val="1"/>
        </w:numPr>
        <w:rPr/>
      </w:pPr>
      <w:bookmarkStart w:id="1604" w:name="__RefHeading___Toc3585781_3650668749"/>
      <w:bookmarkStart w:id="1605" w:name="_Toc687"/>
      <w:bookmarkEnd w:id="1604"/>
      <w:r>
        <w:rPr>
          <w:rtl w:val="true"/>
        </w:rPr>
        <w:t xml:space="preserve">اول </w:t>
      </w:r>
      <w:r>
        <w:rPr>
          <w:rtl w:val="true"/>
        </w:rPr>
        <w:t xml:space="preserve">- </w:t>
      </w:r>
      <w:r>
        <w:rPr>
          <w:rtl w:val="true"/>
        </w:rPr>
        <w:t>سلاح‌هاى هجومى سبك</w:t>
      </w:r>
      <w:bookmarkEnd w:id="1605"/>
    </w:p>
    <w:p>
      <w:pPr>
        <w:pStyle w:val="Heading6"/>
        <w:numPr>
          <w:ilvl w:val="5"/>
          <w:numId w:val="1"/>
        </w:numPr>
        <w:rPr/>
      </w:pPr>
      <w:bookmarkStart w:id="1606" w:name="__RefHeading___Toc3585783_3650668749"/>
      <w:bookmarkStart w:id="1607" w:name="_Toc688"/>
      <w:bookmarkEnd w:id="1606"/>
      <w:r>
        <w:rPr>
          <w:rtl w:val="true"/>
        </w:rPr>
        <w:t>اشاره</w:t>
      </w:r>
      <w:bookmarkEnd w:id="1607"/>
    </w:p>
    <w:p>
      <w:pPr>
        <w:pStyle w:val="BookText"/>
        <w:rPr/>
      </w:pPr>
      <w:r>
        <w:rPr>
          <w:rFonts w:ascii="Amiri" w:hAnsi="Amiri" w:eastAsia="Amiri" w:cs="Amiri"/>
          <w:color w:val="111111"/>
          <w:sz w:val="28"/>
          <w:sz w:val="28"/>
          <w:szCs w:val="28"/>
          <w:rtl w:val="true"/>
          <w:lang w:bidi="ar-SA"/>
        </w:rPr>
        <w:t>سلاح‌هاى هجومى سبك رايج در آن زمان عبارت بود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08" w:name="__RefHeading___Toc3585785_3650668749"/>
      <w:bookmarkStart w:id="1609" w:name="_Toc689"/>
      <w:bookmarkEnd w:id="1608"/>
      <w:r>
        <w:rPr>
          <w:rtl w:val="true"/>
        </w:rPr>
        <w:t xml:space="preserve">شمشير </w:t>
      </w:r>
      <w:r>
        <w:rPr>
          <w:rtl w:val="true"/>
        </w:rPr>
        <w:t>(</w:t>
      </w:r>
      <w:r>
        <w:rPr>
          <w:rtl w:val="true"/>
        </w:rPr>
        <w:t>سيف</w:t>
      </w:r>
      <w:r>
        <w:rPr>
          <w:rtl w:val="true"/>
        </w:rPr>
        <w:t>)</w:t>
      </w:r>
      <w:bookmarkEnd w:id="160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امتى مانند امت عرب از شمشير استفاده‌هاى متنوع و گوناگون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كه به شجاعت و قهرمانى شناخته شده بودند، هميشه شمشير با خود داشتند و حتى كارهاى ادوات ديگر را نيز با آن انجام مى‌دادند، براى مثال، گاهى به‌وسيله آن همانند نيزه، طعنه وارد مى‌كردند و گاهى همانند عمود با آن ضربه مى‌زدند و احياناً همانند چاقو اشيا را قطع مى‌كردند و حتى گاهى به عنوان شلاق از آن بهره مى‌بردند و در خواب و بيدارى آن را از خود جدا نمى‌كردند</w:t>
      </w:r>
      <w:r>
        <w:rPr>
          <w:rFonts w:eastAsia="IRNazanin" w:cs="IRNazanin"/>
          <w:color w:val="111111"/>
          <w:sz w:val="28"/>
          <w:szCs w:val="28"/>
          <w:rtl w:val="true"/>
          <w:lang w:bidi="fa-IR"/>
        </w:rPr>
        <w:t xml:space="preserve">. </w:t>
      </w:r>
      <w:r>
        <w:rPr>
          <w:rStyle w:val="FootnoteAnchor"/>
          <w:rtl w:val="true"/>
        </w:rPr>
        <w:footnoteReference w:id="1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610" w:name="pg1964_19871"/>
    </w:p>
    <w:p>
      <w:pPr>
        <w:pStyle w:val="BookText"/>
        <w:rPr/>
      </w:pPr>
      <w:bookmarkEnd w:id="1610"/>
      <w:r>
        <w:rPr>
          <w:rFonts w:eastAsia="Times New Roman" w:cs="Times New Roman" w:ascii="Times New Roman" w:hAnsi="Times New Roman"/>
          <w:color w:val="111111"/>
          <w:sz w:val="28"/>
          <w:szCs w:val="28"/>
          <w:lang w:val="en-US" w:bidi="en-US"/>
        </w:rPr>
        <w:t>o</w:t>
      </w:r>
    </w:p>
    <w:p>
      <w:pPr>
        <w:pStyle w:val="Heading6"/>
        <w:numPr>
          <w:ilvl w:val="5"/>
          <w:numId w:val="1"/>
        </w:numPr>
        <w:rPr/>
      </w:pPr>
      <w:bookmarkStart w:id="1611" w:name="__RefHeading___Toc3585787_3650668749"/>
      <w:bookmarkStart w:id="1612" w:name="_Toc690"/>
      <w:bookmarkEnd w:id="1611"/>
      <w:r>
        <w:rPr>
          <w:rtl w:val="true"/>
        </w:rPr>
        <w:t>انواع شمشير</w:t>
      </w:r>
      <w:bookmarkEnd w:id="1612"/>
    </w:p>
    <w:p>
      <w:pPr>
        <w:pStyle w:val="BookText"/>
        <w:rPr/>
      </w:pPr>
      <w:r>
        <w:rPr>
          <w:rFonts w:ascii="Amiri" w:hAnsi="Amiri" w:eastAsia="Amiri" w:cs="Amiri"/>
          <w:color w:val="111111"/>
          <w:sz w:val="28"/>
          <w:sz w:val="28"/>
          <w:szCs w:val="28"/>
          <w:rtl w:val="true"/>
          <w:lang w:bidi="ar-SA"/>
        </w:rPr>
        <w:t xml:space="preserve">به‌طور كلى شمشيرهاى رايج در عرب به دو قسم شمشيرهاى قديمى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شمشيرهاى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مى‌شد كه در زمان مورد بحث، بيشتر قسم اول وجود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شمشيرهاى عتيقه خود اقسامى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شمشيرهاى 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السيوف اليمانيه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شمشيرها كه تيزترين و بهترين شمشيرهاى عرب بود، در يمن ساخته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اين شمشيرها نازكى فوق‌العاده كناره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خيلى زود مى‌شكست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ديگر اين شمشيرها وجود دو سوراخ در ته دستگيره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اتصال دستگيره و تيغه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بعضى مواقع، سوراخ‌ها در يكى از دو وجه دستگيره وسيع‌تر از وجه ديگر بود و در بعضى از اين شمشيرها سوراخ‌ها در هر دو طرف متساوى، اما در وسط تنگ‌تر بود</w:t>
      </w:r>
      <w:r>
        <w:rPr>
          <w:rFonts w:eastAsia="IRNazanin" w:cs="IRNazanin"/>
          <w:color w:val="111111"/>
          <w:sz w:val="28"/>
          <w:szCs w:val="28"/>
          <w:rtl w:val="true"/>
          <w:lang w:bidi="fa-IR"/>
        </w:rPr>
        <w:t xml:space="preserve">. </w:t>
      </w:r>
      <w:r>
        <w:rPr>
          <w:rStyle w:val="FootnoteAnchor"/>
          <w:rtl w:val="true"/>
        </w:rPr>
        <w:footnoteReference w:id="14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شمشيرهاى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السيوف الهنديه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شمشيرها در هند ساخته مى‌شد و از جهت تيزى و برندگى در رده بعد از شمشيرهاى يمانى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شمشيرهاى قَلعى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السيوف القلعيه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شمشيرها در يكى از قلعه‌هاى بيابان 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ساخته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اين محل نزديك حُلْوان عراق قرار داشته است</w:t>
      </w:r>
      <w:r>
        <w:rPr>
          <w:rFonts w:eastAsia="IRNazanin" w:cs="IRNazanin"/>
          <w:color w:val="111111"/>
          <w:sz w:val="28"/>
          <w:szCs w:val="28"/>
          <w:rtl w:val="true"/>
          <w:lang w:bidi="fa-IR"/>
        </w:rPr>
        <w:t xml:space="preserve">. </w:t>
      </w:r>
      <w:r>
        <w:rPr>
          <w:rStyle w:val="FootnoteAnchor"/>
          <w:rtl w:val="true"/>
        </w:rPr>
        <w:footnoteReference w:id="14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شمشيرهاى مشرقى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السيوف المَشْرَقيه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شمشيرها در محلى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توابع شام بوده ساخته مى‌شد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شمشيرهاى سريجى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السيوف السريجيه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شمشيرها منسوب به مردى از بنى‌اسد به نام سريج بود كه به شغل آهنگرى اشتغال داشت و شمشيرهاى خوبى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آهن اين شمشيرها از خارج جزيره عرب و عموماً از هند وارد مى‌شد</w:t>
      </w:r>
      <w:r>
        <w:rPr>
          <w:rFonts w:eastAsia="IRNazanin" w:cs="IRNazanin"/>
          <w:color w:val="111111"/>
          <w:sz w:val="28"/>
          <w:szCs w:val="28"/>
          <w:rtl w:val="true"/>
          <w:lang w:bidi="fa-IR"/>
        </w:rPr>
        <w:t>.</w:t>
      </w:r>
      <w:bookmarkStart w:id="1613" w:name="pg1964_19872"/>
    </w:p>
    <w:p>
      <w:pPr>
        <w:pStyle w:val="BookText"/>
        <w:rPr/>
      </w:pPr>
      <w:bookmarkEnd w:id="1613"/>
      <w:r>
        <w:rPr>
          <w:rFonts w:ascii="Amiri" w:hAnsi="Amiri" w:eastAsia="Amiri" w:cs="Amiri"/>
          <w:color w:val="111111"/>
          <w:sz w:val="28"/>
          <w:sz w:val="28"/>
          <w:szCs w:val="28"/>
          <w:rtl w:val="true"/>
          <w:lang w:bidi="ar-SA"/>
        </w:rPr>
        <w:t xml:space="preserve">اما شمشيرهاى جديد كه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السيوف المُوَلَّده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اشتهار داشت </w:t>
      </w:r>
      <w:r>
        <w:rPr>
          <w:rStyle w:val="FootnoteAnchor"/>
          <w:rtl w:val="true"/>
        </w:rPr>
        <w:footnoteReference w:id="1458"/>
      </w:r>
      <w:r>
        <w:rPr>
          <w:rFonts w:ascii="IRNazanin" w:hAnsi="IRNazanin" w:eastAsia="IRNazanin"/>
          <w:color w:val="111111"/>
          <w:sz w:val="28"/>
          <w:sz w:val="28"/>
          <w:szCs w:val="28"/>
          <w:rtl w:val="true"/>
          <w:lang w:bidi="fa-IR"/>
        </w:rPr>
        <w:t>، اقسام زير را دربر مى‌گرفت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شمشيرهاى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السيوف الخراسانيه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شمشيرهاى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السيوف البصريه يا البصرويه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شمشيرهاى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السيوف الدمشقيه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شمشيرهاى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السيوف المصريه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شمشيرهاى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السيوف البغداديه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شمشيرهاى كوفى يا شمشيرهاى زيدى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السيوف الكوفيه يا السيوف الزيديه</w:t>
      </w:r>
      <w:r>
        <w:rPr>
          <w:rFonts w:eastAsia="Amiri" w:cs="Amiri" w:ascii="Amiri" w:hAnsi="Amiri"/>
          <w:color w:val="111111"/>
          <w:sz w:val="28"/>
          <w:szCs w:val="28"/>
          <w:rtl w:val="true"/>
          <w:lang w:bidi="ar-SA"/>
        </w:rPr>
        <w:t xml:space="preserve">) . </w:t>
      </w:r>
      <w:r>
        <w:rPr>
          <w:rStyle w:val="FootnoteAnchor"/>
          <w:rtl w:val="true"/>
        </w:rPr>
        <w:footnoteReference w:id="1459"/>
      </w:r>
    </w:p>
    <w:p>
      <w:pPr>
        <w:pStyle w:val="BookText"/>
        <w:rPr/>
      </w:pPr>
      <w:r>
        <w:rPr>
          <w:rFonts w:eastAsia="Times New Roman" w:cs="Times New Roman" w:ascii="Times New Roman" w:hAnsi="Times New Roman"/>
          <w:color w:val="111111"/>
          <w:sz w:val="28"/>
          <w:szCs w:val="28"/>
          <w:lang w:val="en-US" w:bidi="en-US"/>
        </w:rPr>
        <w:t>o</w:t>
      </w:r>
    </w:p>
    <w:p>
      <w:pPr>
        <w:pStyle w:val="Heading6"/>
        <w:numPr>
          <w:ilvl w:val="5"/>
          <w:numId w:val="1"/>
        </w:numPr>
        <w:rPr/>
      </w:pPr>
      <w:bookmarkStart w:id="1614" w:name="__RefHeading___Toc3585789_3650668749"/>
      <w:bookmarkStart w:id="1615" w:name="_Toc691"/>
      <w:bookmarkEnd w:id="1614"/>
      <w:r>
        <w:rPr>
          <w:rtl w:val="true"/>
        </w:rPr>
        <w:t>اجزاى شمشير</w:t>
      </w:r>
      <w:bookmarkEnd w:id="1615"/>
    </w:p>
    <w:p>
      <w:pPr>
        <w:pStyle w:val="BookText"/>
        <w:rPr/>
      </w:pPr>
      <w:r>
        <w:rPr>
          <w:rFonts w:ascii="Amiri" w:hAnsi="Amiri" w:eastAsia="Amiri" w:cs="Amiri"/>
          <w:color w:val="111111"/>
          <w:sz w:val="28"/>
          <w:sz w:val="28"/>
          <w:szCs w:val="28"/>
          <w:rtl w:val="true"/>
          <w:lang w:bidi="ar-SA"/>
        </w:rPr>
        <w:t>اجزاى شمشير را خود شمشير و غلاف آن تشكيل مى‌دادند و هر يك از آن دو نيز اجزايى داشتند كه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از دو قسمت اصلى تيغه و دستگيره تشكيل مى‌شد و هر يك از آنها نيز اجزايى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تيغه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تيغه شمشير ممكن بود به شكل مستقيم يا منحنى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تيغه يا از آهن نرم بود كه به آن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السيف الانيث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آهن نرم مى‌باشد، و يا از آهن سخت و فولاد بود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السيف الفولاذ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Style w:val="FootnoteAnchor"/>
          <w:rtl w:val="true"/>
        </w:rPr>
        <w:footnoteReference w:id="1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تيغه شامل قسمت‌هايى از قرار زير مى‌شد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و روى شمشير صفحه گفته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ظُبَة حَدّ يا شفره يا عرار مى‌گفتند و به كناره شمشير كه معمولاً برندگى بيشتر داشت، گفته مى‌شد</w:t>
      </w:r>
      <w:r>
        <w:rPr>
          <w:rFonts w:eastAsia="IRNazanin" w:cs="IRNazanin"/>
          <w:color w:val="111111"/>
          <w:sz w:val="28"/>
          <w:szCs w:val="28"/>
          <w:rtl w:val="true"/>
          <w:lang w:bidi="fa-IR"/>
        </w:rPr>
        <w:t>.</w:t>
      </w:r>
      <w:bookmarkStart w:id="1616" w:name="pg1964_19873"/>
    </w:p>
    <w:p>
      <w:pPr>
        <w:pStyle w:val="BookText"/>
        <w:rPr/>
      </w:pPr>
      <w:bookmarkEnd w:id="161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روبه‌روى كناره كه برندگى كمترى داشت گفته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قسمتى از شمشير گفته مى‌شد كه مى‌بريد كه حدوداً يك وجب تا نوك شمشير را شامل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نوك شمشير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ذؤابَة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قسمتى از انتهاى تيغه در سمت بالا كه حد فاصل تيغه و دستگيره بود، گفته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گاهى در صفحه رويى بعضى شمشيرها كه به آن متن مى‌گفتند، زينت‌هايى حكّاكى مى‌كردند كه در بعضى مواقع اين زينت‌ها با رنگى غير از رنگ اصيل شمشير رنگ‌آميزى مى‌شد كه در اين صورت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شمشيرهاى جوهردار و نقارين از شمشيرهاى ممتاز عرب به شمار مى‌رفت</w:t>
      </w:r>
      <w:r>
        <w:rPr>
          <w:rFonts w:eastAsia="IRNazanin" w:cs="IRNazanin"/>
          <w:color w:val="111111"/>
          <w:sz w:val="28"/>
          <w:szCs w:val="28"/>
          <w:rtl w:val="true"/>
          <w:lang w:bidi="fa-IR"/>
        </w:rPr>
        <w:t xml:space="preserve">. </w:t>
      </w:r>
      <w:r>
        <w:rPr>
          <w:rStyle w:val="FootnoteAnchor"/>
          <w:rtl w:val="true"/>
        </w:rPr>
        <w:footnoteReference w:id="146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دستگيره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آن از چوب، آهن، عاج يا آبنوس بود و شامل قسمت‌هاى زير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محلى گفته مى‌شد كه كف دست شمشير زن آن را احاطه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بخشى گفته مى‌شد كه سنخ </w:t>
      </w:r>
      <w:r>
        <w:rPr>
          <w:rStyle w:val="FootnoteAnchor"/>
          <w:rtl w:val="true"/>
        </w:rPr>
        <w:footnoteReference w:id="1462"/>
      </w:r>
      <w:r>
        <w:rPr>
          <w:rFonts w:ascii="IRNazanin" w:hAnsi="IRNazanin" w:eastAsia="IRNazanin"/>
          <w:color w:val="111111"/>
          <w:sz w:val="28"/>
          <w:sz w:val="28"/>
          <w:szCs w:val="28"/>
          <w:rtl w:val="true"/>
          <w:lang w:bidi="fa-IR"/>
        </w:rPr>
        <w:t>را از بيرون دربر مى‌گرفتند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كناره شمشير كه در انتهاى دستگيره قرار داشت و به سمت چپ و راست بود مى‌گفتند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ميخى كه روى قائم كوبيده شده بود مى‌گفتند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تكه آهنى كه در سمت بالاى قائم قرار داشت مى‌گفتند</w:t>
      </w:r>
      <w:r>
        <w:rPr>
          <w:rFonts w:eastAsia="IRNazanin" w:cs="IRNazanin"/>
          <w:color w:val="111111"/>
          <w:sz w:val="28"/>
          <w:szCs w:val="28"/>
          <w:rtl w:val="true"/>
          <w:lang w:bidi="fa-IR"/>
        </w:rPr>
        <w:t xml:space="preserve">. </w:t>
      </w:r>
      <w:r>
        <w:rPr>
          <w:rStyle w:val="FootnoteAnchor"/>
          <w:rtl w:val="true"/>
        </w:rPr>
        <w:footnoteReference w:id="1463"/>
      </w:r>
    </w:p>
    <w:p>
      <w:pPr>
        <w:pStyle w:val="BookText"/>
        <w:rPr/>
      </w:pPr>
      <w:r>
        <w:rPr>
          <w:rFonts w:eastAsia="Times New Roman" w:cs="Times New Roman" w:ascii="Times New Roman" w:hAnsi="Times New Roman"/>
          <w:color w:val="111111"/>
          <w:sz w:val="28"/>
          <w:szCs w:val="28"/>
          <w:lang w:val="en-US" w:bidi="en-US"/>
        </w:rPr>
        <w:t>o</w:t>
      </w:r>
    </w:p>
    <w:p>
      <w:pPr>
        <w:pStyle w:val="Heading6"/>
        <w:numPr>
          <w:ilvl w:val="5"/>
          <w:numId w:val="1"/>
        </w:numPr>
        <w:rPr/>
      </w:pPr>
      <w:bookmarkStart w:id="1617" w:name="__RefHeading___Toc3585791_3650668749"/>
      <w:bookmarkStart w:id="1618" w:name="_Toc692"/>
      <w:bookmarkEnd w:id="1617"/>
      <w:r>
        <w:rPr>
          <w:rtl w:val="true"/>
        </w:rPr>
        <w:t>غلاف شمشير</w:t>
      </w:r>
      <w:bookmarkEnd w:id="161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غلاف شمشير از پارچه يا پوست و يا پوستى كه آستر آن مخمل و حرير بود، ساخته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 قسمت‌هاى زير را دربر مى‌گرفت</w:t>
      </w:r>
      <w:r>
        <w:rPr>
          <w:rFonts w:eastAsia="IRNazanin" w:cs="IRNazanin"/>
          <w:color w:val="111111"/>
          <w:sz w:val="28"/>
          <w:szCs w:val="28"/>
          <w:rtl w:val="true"/>
          <w:lang w:bidi="fa-IR"/>
        </w:rPr>
        <w:t>:</w:t>
      </w:r>
      <w:bookmarkStart w:id="1619" w:name="pg1964_19874"/>
    </w:p>
    <w:p>
      <w:pPr>
        <w:pStyle w:val="BookText"/>
        <w:rPr/>
      </w:pPr>
      <w:bookmarkEnd w:id="161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قَراب يا جَراب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استقرار شمشير در داخل غلاف مى‌گفتند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خِلّة يا خِلَل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آستر غلاف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پوست يا پارچه‌اى كه براى آستر غلاف از آن استفاده مى‌شد، مى‌گفتند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پايينى غلاف گفته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حَماله يا نجاده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تسمه شمشير گفته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قطعه‌اى آهنى يا نقره‌اى كه در مدخل غلاف به منظور حفظ غلاف از برندگى شمشير هنگام فرو رفتن در غلاف نصب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حلقه‌هايى گفته مى‌شد كه گره‌هاى تسمه را به هم وصل مى‌كرد</w:t>
      </w:r>
      <w:r>
        <w:rPr>
          <w:rFonts w:eastAsia="IRNazanin" w:cs="IRNazanin"/>
          <w:color w:val="111111"/>
          <w:sz w:val="28"/>
          <w:szCs w:val="28"/>
          <w:rtl w:val="true"/>
          <w:lang w:bidi="fa-IR"/>
        </w:rPr>
        <w:t xml:space="preserve">. </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حمايل كردن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چنين تصور مى‌شود كه شمشير را به كمر مى‌بستند، اما از بعضى نصوص تاريخى چنين بر مى‌آيد كه حمايل كردن شمشير اين‌گونه بود كه بند آن را به گردن يا شانه آويزان مى‌كردند، چنان‌كه در باره مسلم بن عقيل چنين آمده است كه شمشير را از گردن او بازكردند</w:t>
      </w:r>
      <w:r>
        <w:rPr>
          <w:rFonts w:eastAsia="IRNazanin" w:cs="IRNazanin"/>
          <w:color w:val="111111"/>
          <w:sz w:val="28"/>
          <w:szCs w:val="28"/>
          <w:rtl w:val="true"/>
          <w:lang w:bidi="fa-IR"/>
        </w:rPr>
        <w:t xml:space="preserve">. </w:t>
      </w:r>
      <w:r>
        <w:rPr>
          <w:rStyle w:val="FootnoteAnchor"/>
          <w:rtl w:val="true"/>
        </w:rPr>
        <w:footnoteReference w:id="1465"/>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20" w:name="__RefHeading___Toc3585793_3650668749"/>
      <w:bookmarkStart w:id="1621" w:name="_Toc693"/>
      <w:bookmarkEnd w:id="1620"/>
      <w:r>
        <w:rPr>
          <w:rtl w:val="true"/>
        </w:rPr>
        <w:t>خنجر</w:t>
      </w:r>
      <w:bookmarkEnd w:id="162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سلاحى برنده و كوچك‌تر از شمشير و همانند آن بود كه به علت كوچكى آن، قابليت مخفى شدن داشت، ازاين‌رو در ترورها فراوان از آن 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اين سلاح در زير كمربند جنگ‌جو بسته مى‌شد يا اينكه آن را زير لباس‌هايش پنهان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زنان مسلمان در بعضى از جنگ‌ها نيز اين وسيله را زير لباس‌هاى خود پنهان مى‌كردند تا در مواقع دفاع شخصى از آن استفاده كنند</w:t>
      </w:r>
      <w:r>
        <w:rPr>
          <w:rFonts w:eastAsia="IRNazanin" w:cs="IRNazanin"/>
          <w:color w:val="111111"/>
          <w:sz w:val="28"/>
          <w:szCs w:val="28"/>
          <w:rtl w:val="true"/>
          <w:lang w:bidi="fa-IR"/>
        </w:rPr>
        <w:t xml:space="preserve">. </w:t>
      </w:r>
      <w:r>
        <w:rPr>
          <w:rStyle w:val="FootnoteAnchor"/>
          <w:rtl w:val="true"/>
        </w:rPr>
        <w:footnoteReference w:id="1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622" w:name="pg1964_19875"/>
    </w:p>
    <w:p>
      <w:pPr>
        <w:pStyle w:val="BookText"/>
        <w:rPr/>
      </w:pPr>
      <w:bookmarkEnd w:id="1622"/>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23" w:name="__RefHeading___Toc3585795_3650668749"/>
      <w:bookmarkStart w:id="1624" w:name="_Toc694"/>
      <w:bookmarkEnd w:id="1623"/>
      <w:r>
        <w:rPr>
          <w:rtl w:val="true"/>
        </w:rPr>
        <w:t xml:space="preserve">نيزه </w:t>
      </w:r>
      <w:r>
        <w:rPr>
          <w:rtl w:val="true"/>
        </w:rPr>
        <w:t>(</w:t>
      </w:r>
      <w:r>
        <w:rPr>
          <w:rtl w:val="true"/>
        </w:rPr>
        <w:t>رُمح</w:t>
      </w:r>
      <w:r>
        <w:rPr>
          <w:rtl w:val="true"/>
        </w:rPr>
        <w:t>)</w:t>
      </w:r>
      <w:bookmarkEnd w:id="1624"/>
    </w:p>
    <w:p>
      <w:pPr>
        <w:pStyle w:val="BookText"/>
        <w:rPr/>
      </w:pPr>
      <w:r>
        <w:rPr>
          <w:rFonts w:eastAsia="Times New Roman" w:cs="Times New Roman" w:ascii="Times New Roman" w:hAnsi="Times New Roman"/>
          <w:color w:val="111111"/>
          <w:sz w:val="28"/>
          <w:szCs w:val="28"/>
          <w:lang w:val="en-US" w:bidi="en-US"/>
        </w:rPr>
        <w:t>o</w:t>
      </w:r>
    </w:p>
    <w:p>
      <w:pPr>
        <w:pStyle w:val="Heading6"/>
        <w:numPr>
          <w:ilvl w:val="5"/>
          <w:numId w:val="1"/>
        </w:numPr>
        <w:rPr/>
      </w:pPr>
      <w:bookmarkStart w:id="1625" w:name="__RefHeading___Toc3585797_3650668749"/>
      <w:bookmarkStart w:id="1626" w:name="_Toc695"/>
      <w:bookmarkEnd w:id="1625"/>
      <w:r>
        <w:rPr>
          <w:rtl w:val="true"/>
        </w:rPr>
        <w:t>كاربردى‌هاى نيزه</w:t>
      </w:r>
      <w:bookmarkEnd w:id="1626"/>
    </w:p>
    <w:p>
      <w:pPr>
        <w:pStyle w:val="BookText"/>
        <w:rPr/>
      </w:pPr>
      <w:r>
        <w:rPr>
          <w:rFonts w:ascii="IRNazanin" w:hAnsi="IRNazanin" w:eastAsia="IRNazanin"/>
          <w:color w:val="111111"/>
          <w:sz w:val="28"/>
          <w:sz w:val="28"/>
          <w:szCs w:val="28"/>
          <w:rtl w:val="true"/>
          <w:lang w:bidi="fa-IR"/>
        </w:rPr>
        <w:t>عرب‌ها از قديم‌الايام و در موارد مختلفى از نيزه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براى مجروح كردن دشمن و گاهى نيز به عنوان سلاحى آتش‌زا از آن بهره مى‌بردند؛ بدين‌ترتيب كه روى سرنيزه مقدارى نمد همراه با مواد اشتعال‌زا مى‌بستند و سپس آن را آتش زده و به طرف مكانى كه قصد آتش زدن آن را داشتند پرتاب مى‌كردند</w:t>
      </w:r>
      <w:r>
        <w:rPr>
          <w:rFonts w:eastAsia="IRNazanin" w:cs="IRNazanin"/>
          <w:color w:val="111111"/>
          <w:sz w:val="28"/>
          <w:szCs w:val="28"/>
          <w:rtl w:val="true"/>
          <w:lang w:bidi="fa-IR"/>
        </w:rPr>
        <w:t xml:space="preserve">. </w:t>
      </w:r>
      <w:r>
        <w:rPr>
          <w:rStyle w:val="FootnoteAnchor"/>
          <w:rtl w:val="true"/>
        </w:rPr>
        <w:footnoteReference w:id="1467"/>
      </w:r>
      <w:r>
        <w:rPr>
          <w:rFonts w:ascii="IRNazanin" w:hAnsi="IRNazanin" w:eastAsia="IRNazanin"/>
          <w:color w:val="111111"/>
          <w:sz w:val="28"/>
          <w:sz w:val="28"/>
          <w:szCs w:val="28"/>
          <w:rtl w:val="true"/>
          <w:lang w:bidi="fa-IR"/>
        </w:rPr>
        <w:t>همچنين سواره نظام و پياده نظام در جنگ‌ها از نيزه استفاده مى‌كردند</w:t>
      </w:r>
      <w:r>
        <w:rPr>
          <w:rFonts w:eastAsia="IRNazanin" w:cs="IRNazanin"/>
          <w:color w:val="111111"/>
          <w:sz w:val="28"/>
          <w:szCs w:val="28"/>
          <w:rtl w:val="true"/>
          <w:lang w:bidi="fa-IR"/>
        </w:rPr>
        <w:t xml:space="preserve">. </w:t>
      </w:r>
      <w:r>
        <w:rPr>
          <w:rStyle w:val="FootnoteAnchor"/>
          <w:rtl w:val="true"/>
        </w:rPr>
        <w:footnoteReference w:id="1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p>
    <w:p>
      <w:pPr>
        <w:pStyle w:val="Heading6"/>
        <w:numPr>
          <w:ilvl w:val="5"/>
          <w:numId w:val="1"/>
        </w:numPr>
        <w:rPr/>
      </w:pPr>
      <w:bookmarkStart w:id="1627" w:name="__RefHeading___Toc3585799_3650668749"/>
      <w:bookmarkStart w:id="1628" w:name="_Toc696"/>
      <w:bookmarkEnd w:id="1627"/>
      <w:r>
        <w:rPr>
          <w:rtl w:val="true"/>
        </w:rPr>
        <w:t>اجزاى نيزه</w:t>
      </w:r>
      <w:bookmarkEnd w:id="1628"/>
    </w:p>
    <w:p>
      <w:pPr>
        <w:pStyle w:val="BookText"/>
        <w:rPr/>
      </w:pPr>
      <w:r>
        <w:rPr>
          <w:rFonts w:ascii="IRNazanin" w:hAnsi="IRNazanin" w:eastAsia="IRNazanin"/>
          <w:color w:val="111111"/>
          <w:sz w:val="28"/>
          <w:sz w:val="28"/>
          <w:szCs w:val="28"/>
          <w:rtl w:val="true"/>
          <w:lang w:bidi="fa-IR"/>
        </w:rPr>
        <w:t>نيزه انواع مختلفى داشت كه كم و بيش اجزاى زير را دربر مى‌گرفت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آهن يا چوب‌هاى قوى ساخته مى‌شد و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نوك سرنيزه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ظُبَة؛ نوك تيز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عبارت‌ها چنين آمده است كه بعضى از سنان‌ها از شاخ گاو ساخته مى‌شد</w:t>
      </w:r>
      <w:r>
        <w:rPr>
          <w:rFonts w:eastAsia="IRNazanin" w:cs="IRNazanin"/>
          <w:color w:val="111111"/>
          <w:sz w:val="28"/>
          <w:szCs w:val="28"/>
          <w:rtl w:val="true"/>
          <w:lang w:bidi="fa-IR"/>
        </w:rPr>
        <w:t xml:space="preserve">. </w:t>
      </w:r>
      <w:r>
        <w:rPr>
          <w:rStyle w:val="FootnoteAnchor"/>
          <w:rtl w:val="true"/>
        </w:rPr>
        <w:footnoteReference w:id="1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 الرُّمح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دسته نيزه كه در دست نيزه زن قرار مى‌گرفت گفته مى‌شد و داراى اجزاى زير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بالايى دسته گفته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پايينى سرنيزه را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اتصال دسته نيزه به سرنيزه گفته مى‌شد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دو پيوند دسته نيزه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بعضى مواقع چوب دسته از نى ساخته مى‌شد و به ميان پيوندهاى 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اين لغت را در باره هر نوع دسته نيز به‌كار بردند</w:t>
      </w:r>
      <w:r>
        <w:rPr>
          <w:rFonts w:eastAsia="IRNazanin" w:cs="IRNazanin"/>
          <w:color w:val="111111"/>
          <w:sz w:val="28"/>
          <w:szCs w:val="28"/>
          <w:rtl w:val="true"/>
          <w:lang w:bidi="fa-IR"/>
        </w:rPr>
        <w:t>.</w:t>
      </w:r>
      <w:bookmarkStart w:id="1629" w:name="pg1964_19876"/>
    </w:p>
    <w:p>
      <w:pPr>
        <w:pStyle w:val="BookText"/>
        <w:rPr/>
      </w:pPr>
      <w:bookmarkEnd w:id="1629"/>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بَند دسته نيزه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كه به جمع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پايينى برخى از نيزه‌ها دسته آهنى نيز تعبيه مى‌كردند كه به نيزه زن قدرت مانور بيشترى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نيزه‌هاى دو سر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o</w:t>
      </w:r>
    </w:p>
    <w:p>
      <w:pPr>
        <w:pStyle w:val="Heading6"/>
        <w:numPr>
          <w:ilvl w:val="5"/>
          <w:numId w:val="1"/>
        </w:numPr>
        <w:rPr/>
      </w:pPr>
      <w:bookmarkStart w:id="1630" w:name="__RefHeading___Toc3585801_3650668749"/>
      <w:bookmarkStart w:id="1631" w:name="_Toc697"/>
      <w:bookmarkEnd w:id="1630"/>
      <w:r>
        <w:rPr>
          <w:rtl w:val="true"/>
        </w:rPr>
        <w:t>انواع نيزه</w:t>
      </w:r>
      <w:bookmarkEnd w:id="1631"/>
    </w:p>
    <w:p>
      <w:pPr>
        <w:pStyle w:val="BookText"/>
        <w:rPr/>
      </w:pPr>
      <w:r>
        <w:rPr>
          <w:rFonts w:ascii="IRNazanin" w:hAnsi="IRNazanin" w:eastAsia="IRNazanin"/>
          <w:color w:val="111111"/>
          <w:sz w:val="28"/>
          <w:sz w:val="28"/>
          <w:szCs w:val="28"/>
          <w:rtl w:val="true"/>
          <w:lang w:bidi="fa-IR"/>
        </w:rPr>
        <w:t>عرب‌ها در جنگ‌هاى خود از انواع مختلف نيزه استفاده مى‌نمودند كه بعضى از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اين لغت به معناى اضطراب مى‌باشد و از آنجا كه اين نوع نيزه بسيار بلند بود و دست نيزه زن به سبب بلندى آن، اضطراب شديد داشت، به اين نام موسوم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نوع نيزه فقط مردان قوى استفاده مى‌كردند</w:t>
      </w:r>
      <w:r>
        <w:rPr>
          <w:rFonts w:eastAsia="Amiri" w:cs="Amiri" w:ascii="Amiri" w:hAnsi="Amiri"/>
          <w:color w:val="111111"/>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داشتن نيزه خطل يكى از افتخارات براى مالك آن شمرده مى‌شد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نيزه كه طول آن پنج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نيزه كه طول آن چهار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دو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4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نيزه كه طول آن مقدارى از خَطَل كمتر بوده و معمولاً از نوعى نى قوى ساخته مى‌شد و سواره و پياده از آن استفاده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نيزه با طول پنج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سرنيزه‌اى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عريض و طويل داشت به گونه‌اى كه طول آن از يك ذراع بيشتر و عرض آن از يك 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فاصله بين انگشت شصت 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نيزه كه سرنيزه آن بلند و دسته آن در مقايسه با نيزه‌هاى ديگر كوتاه‌تر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نيزه گاهى طول سرنيزه حدود طول دسته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قِنْطاريه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نيزه كه بيشتر سواركار از آن استفاده مى‌كرد؛ زيرا چندان بلند نبود و سرنيزه آن كوتاه و عريض بود</w:t>
      </w:r>
      <w:r>
        <w:rPr>
          <w:rFonts w:eastAsia="IRNazanin" w:cs="IRNazanin"/>
          <w:color w:val="111111"/>
          <w:sz w:val="28"/>
          <w:szCs w:val="28"/>
          <w:rtl w:val="true"/>
          <w:lang w:bidi="fa-IR"/>
        </w:rPr>
        <w:t xml:space="preserve">. </w:t>
      </w:r>
      <w:r>
        <w:rPr>
          <w:rStyle w:val="FootnoteAnchor"/>
          <w:rtl w:val="true"/>
        </w:rPr>
        <w:footnoteReference w:id="147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عصا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چوب‌دستى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سر آن آهنى همانند سرنيزه نصب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حدود نصف طول نيزه عادى بود و بيشتر سلاح زنان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چوب دستى آهن‌دار مى‌باشد نيز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47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نيزه‌اى كه اندكى از عنزه بلندتر بود و سرنيزه برنده‌اى داشت و در مواقع جنگ تن به تن به‌كار مى‌رفت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نيزه‌اى كوچك كه طول آن از سه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نمى‌كرد و در بعضى مواقع سرنيزه‌اى مربع شكل و برنده داشت كه براى پاره كردن زره از آن استفاده مى‌شده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سلاح به عنوان سلاحى پرتابى نيز مورد استفاده قرار مى‌گرفت كه امكان پرتاب آن حدود پنج تا پانزده قدم امكان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سلاح فقط پياده نظام استفاده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نيزه كه مقدارى از مزراق بلندتر بود و همانند مزراق پرتاب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سرنيزه آن عريض بود و تأثير آن را بيشتر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نوعى نيزه كه شبيه حربه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نوعى نيزه كه كوتاه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خطاف در لغت به هر نوع آهن كج نوك تيز گفته مى‌شود و در اصطلاح جنگى به نوعى نيزه گفته مى‌شد كه در سر آن يك يا دو سرنيزه مستقيم و يك سرنيزه كج وجود داشت و براى وارد آوردن جراحت به دشمن يا سوراخ كردن ديوار قلعه‌ها از آن استفاده مى‌شد</w:t>
      </w:r>
      <w:r>
        <w:rPr>
          <w:rFonts w:eastAsia="IRNazanin" w:cs="IRNazanin"/>
          <w:color w:val="111111"/>
          <w:sz w:val="28"/>
          <w:szCs w:val="28"/>
          <w:rtl w:val="true"/>
          <w:lang w:bidi="fa-IR"/>
        </w:rPr>
        <w:t xml:space="preserve">. </w:t>
      </w:r>
      <w:r>
        <w:rPr>
          <w:rStyle w:val="FootnoteAnchor"/>
          <w:rtl w:val="true"/>
        </w:rPr>
        <w:footnoteReference w:id="1474"/>
      </w:r>
      <w:bookmarkStart w:id="1632" w:name="pg1964_19878"/>
    </w:p>
    <w:p>
      <w:pPr>
        <w:pStyle w:val="BookText"/>
        <w:rPr/>
      </w:pPr>
      <w:bookmarkEnd w:id="1632"/>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33" w:name="__RefHeading___Toc3585803_3650668749"/>
      <w:bookmarkStart w:id="1634" w:name="_Toc698"/>
      <w:bookmarkEnd w:id="1633"/>
      <w:r>
        <w:rPr>
          <w:rtl w:val="true"/>
        </w:rPr>
        <w:t xml:space="preserve">تير وكمان </w:t>
      </w:r>
      <w:r>
        <w:rPr>
          <w:rtl w:val="true"/>
        </w:rPr>
        <w:t>(</w:t>
      </w:r>
      <w:r>
        <w:rPr>
          <w:rtl w:val="true"/>
        </w:rPr>
        <w:t>سهم و قوس</w:t>
      </w:r>
      <w:r>
        <w:rPr>
          <w:rtl w:val="true"/>
        </w:rPr>
        <w:t>)</w:t>
      </w:r>
      <w:bookmarkEnd w:id="1634"/>
    </w:p>
    <w:p>
      <w:pPr>
        <w:pStyle w:val="BookText"/>
        <w:rPr/>
      </w:pPr>
      <w:r>
        <w:rPr>
          <w:rFonts w:eastAsia="Times New Roman" w:cs="Times New Roman" w:ascii="Times New Roman" w:hAnsi="Times New Roman"/>
          <w:color w:val="111111"/>
          <w:sz w:val="28"/>
          <w:szCs w:val="28"/>
          <w:lang w:val="en-US" w:bidi="en-US"/>
        </w:rPr>
        <w:t>o</w:t>
      </w:r>
    </w:p>
    <w:p>
      <w:pPr>
        <w:pStyle w:val="Heading6"/>
        <w:numPr>
          <w:ilvl w:val="5"/>
          <w:numId w:val="1"/>
        </w:numPr>
        <w:rPr/>
      </w:pPr>
      <w:bookmarkStart w:id="1635" w:name="__RefHeading___Toc3585805_3650668749"/>
      <w:bookmarkStart w:id="1636" w:name="_Toc699"/>
      <w:bookmarkEnd w:id="1635"/>
      <w:r>
        <w:rPr>
          <w:rtl w:val="true"/>
        </w:rPr>
        <w:t>كاربرد تير وكمان</w:t>
      </w:r>
      <w:bookmarkEnd w:id="1636"/>
    </w:p>
    <w:p>
      <w:pPr>
        <w:pStyle w:val="BookText"/>
        <w:rPr/>
      </w:pPr>
      <w:r>
        <w:rPr>
          <w:rFonts w:ascii="Amiri" w:hAnsi="Amiri" w:eastAsia="Amiri" w:cs="Amiri"/>
          <w:color w:val="111111"/>
          <w:sz w:val="28"/>
          <w:sz w:val="28"/>
          <w:szCs w:val="28"/>
          <w:rtl w:val="true"/>
          <w:lang w:bidi="ar-SA"/>
        </w:rPr>
        <w:t>توسط افراد عادى از تير و كمان براى شكار حيوانات و واحد تيراندازان براى هجوم يا دفاع استفاده مى‌كردند</w:t>
      </w:r>
      <w:r>
        <w:rPr>
          <w:rFonts w:eastAsia="Amiri" w:cs="Amiri" w:ascii="Amiri" w:hAnsi="Amiri"/>
          <w:color w:val="111111"/>
          <w:sz w:val="28"/>
          <w:szCs w:val="28"/>
          <w:rtl w:val="true"/>
          <w:lang w:bidi="ar-SA"/>
        </w:rPr>
        <w:t xml:space="preserve">. </w:t>
      </w:r>
      <w:r>
        <w:rPr>
          <w:rStyle w:val="FootnoteAnchor"/>
          <w:rtl w:val="true"/>
        </w:rPr>
        <w:footnoteReference w:id="1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p>
    <w:p>
      <w:pPr>
        <w:pStyle w:val="Heading6"/>
        <w:numPr>
          <w:ilvl w:val="5"/>
          <w:numId w:val="1"/>
        </w:numPr>
        <w:rPr/>
      </w:pPr>
      <w:bookmarkStart w:id="1637" w:name="__RefHeading___Toc3585807_3650668749"/>
      <w:bookmarkStart w:id="1638" w:name="_Toc700"/>
      <w:bookmarkEnd w:id="1637"/>
      <w:r>
        <w:rPr>
          <w:rtl w:val="true"/>
        </w:rPr>
        <w:t>اجزاى تير و كمان</w:t>
      </w:r>
      <w:bookmarkEnd w:id="1638"/>
    </w:p>
    <w:p>
      <w:pPr>
        <w:pStyle w:val="BookText"/>
        <w:rPr/>
      </w:pPr>
      <w:r>
        <w:rPr>
          <w:rFonts w:ascii="Amiri" w:hAnsi="Amiri" w:eastAsia="Amiri" w:cs="Amiri"/>
          <w:color w:val="111111"/>
          <w:sz w:val="28"/>
          <w:sz w:val="28"/>
          <w:szCs w:val="28"/>
          <w:rtl w:val="true"/>
          <w:lang w:bidi="ar-SA"/>
        </w:rPr>
        <w:t>تير و كمان از سه قسمت اصلى كمان، تير و جعبه‌دان تشكيل مى‌شد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كمان از دو قسمت اصلى چوب كمان و زه كمان تشكيل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كمان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معمولاً از چوبى نرم و محكم تهيه مى‌شد و آن را به شكل هلالى در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چوب كمان نرم‌تر بود، مسافتى كه تير طى مى‌كرد بيشتر و اصابت به هدف، دقيق‌تر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نرمى چوب كمان بستگى به مقدار رطوبت و ترى آن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چوب كمان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مى‌گفتند، از قسمت‌هاى زير تشكيل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يدُالقوس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قسمت بالايى چوب گفته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رِجْل‌القوس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كمان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قسمت پايينى كمان گفته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دستگيره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محل دست گرفتن تيرانداز كه معمولاً دست چپ خود را به آن مى‌گرفت، مى‌گفتند و گاهى نيز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سر برگشته كمان كه در دو طرف آن قرار داشت،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كمان دو سيه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قسمتى از سيه كه زه بسته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قسمتى كه در دو طرف زه باقى 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بين سيه و مقبض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كمان دو قاب داشت كه به قاب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العُلْوِّى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قاب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السُفْلِى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تسمه‌اى كه كمان را به آن مى‌بستند و بدين وسيله آن را حمايل خود مى‌نمودند، حماله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تيرانداز در مواقع عادى اين تسمه را بر شانه راست خود قرار داده و دست چپ خود را از آن بيرون مى‌آورد كه در اين هنگام كمان در پشت او واقع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عمل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كمان‌دار در بعضى مواقع، حماله را روى سينه خود قرار داده و هر دو دست خود را از آن بيرون مى‌آورد كه در اين هنگام كمان روى دو شانه وى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عمل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 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و از پوست حيوانات، نخ تابيده شده يا از عصبى كه در گردن شتر مسن وجود داشت و يا از عصبى كه در قسمت ساق پاى شتر يا اسب بود، فراهم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مى‌گفتند؛ زيرا ابتدا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گرماى شديد خورشيد و آب باران باعث از بين رفتن زه مى‌شد، ازاين‌رو معمولاً آن را در كيسه‌اى كه به همين منظور تهيه شده بود، نگهدارى مى‌كردند</w:t>
      </w:r>
      <w:r>
        <w:rPr>
          <w:rFonts w:eastAsia="IRNazanin" w:cs="IRNazanin"/>
          <w:color w:val="111111"/>
          <w:sz w:val="28"/>
          <w:szCs w:val="28"/>
          <w:rtl w:val="true"/>
          <w:lang w:bidi="fa-IR"/>
        </w:rPr>
        <w:t xml:space="preserve">. </w:t>
      </w:r>
      <w:r>
        <w:rPr>
          <w:rStyle w:val="FootnoteAnchor"/>
          <w:rtl w:val="true"/>
        </w:rPr>
        <w:footnoteReference w:id="14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تير از چوب سخت تهيه مى‌شد و اندازه آن يك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نيم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تهيه آن از قرار زير بود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چوبى از شاخه درخت مى‌بريدند كه در اين مرحله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آن‌گاه آن را صاف كرده و مى‌تراشيدند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سپس در قسمت پايين آن، بريدگى‌هاى دايره‌اى مانند ايجاد مى‌كردند تا در آن پرهاى تير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جاى دهند، بعد قسمت فوقانى آن را براى قرار دادن نوك تير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مهيا مى‌ساختند كه در اين مرحله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پرهاى كمان و پيكان روى آن تعبيه مى‌شد،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اجزاى تير عبارت بود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مى‌گفتند و آن عبارت بود از چوب تير بدون پيكان و پر كه طول آن يك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آن به اندازه عرض انگشت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عبارت بود از آهنى كه آهنگر آن را در آتش، گداخته مى‌نمود و سپس آن را با سوهان، سوهان‌كارى مى‌كرد و براى آن خارهايى در اطراف قرار مى‌داد تا هرگاه در جايى فرو رود، بيرون كشيدن آن مشكل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نصل انواع مختلفى داشت، از جمله به صورت عريض و بلند، عريض و كوتاه، گرد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عرض، كوچك به اندازه يك هسته، كوچك به اندازه يك انگشت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بعضى پيكان‌ها به صورت چند شعبه‌اى ساخته مى‌شدند كه هر شعبه آنها نوك تيزى داشت و تا چهار شعبه نيز ساخته مى‌شد</w:t>
      </w:r>
      <w:r>
        <w:rPr>
          <w:rFonts w:eastAsia="IRNazanin" w:cs="IRNazanin"/>
          <w:color w:val="111111"/>
          <w:sz w:val="28"/>
          <w:szCs w:val="28"/>
          <w:rtl w:val="true"/>
          <w:lang w:bidi="fa-IR"/>
        </w:rPr>
        <w:t xml:space="preserve">. </w:t>
      </w:r>
      <w:r>
        <w:rPr>
          <w:rStyle w:val="FootnoteAnchor"/>
          <w:rtl w:val="true"/>
        </w:rPr>
        <w:footnoteReference w:id="1479"/>
      </w:r>
      <w:r>
        <w:rPr>
          <w:rFonts w:ascii="Amiri" w:hAnsi="Amiri" w:eastAsia="Amiri" w:cs="Amiri"/>
          <w:color w:val="111111"/>
          <w:sz w:val="28"/>
          <w:sz w:val="28"/>
          <w:szCs w:val="28"/>
          <w:rtl w:val="true"/>
          <w:lang w:bidi="ar-SA"/>
        </w:rPr>
        <w:t xml:space="preserve">مراد از تير سه شعبه كه در جريان حوادث كربلا از آن ياد شده </w:t>
      </w:r>
      <w:r>
        <w:rPr>
          <w:rStyle w:val="FootnoteAnchor"/>
          <w:rtl w:val="true"/>
        </w:rPr>
        <w:footnoteReference w:id="1480"/>
      </w:r>
      <w:r>
        <w:rPr>
          <w:rFonts w:ascii="IRNazanin" w:hAnsi="IRNazanin" w:eastAsia="IRNazanin"/>
          <w:color w:val="111111"/>
          <w:sz w:val="28"/>
          <w:sz w:val="28"/>
          <w:szCs w:val="28"/>
          <w:rtl w:val="true"/>
          <w:lang w:bidi="fa-IR"/>
        </w:rPr>
        <w:t>، تيرى است كه با پيكانى سه شعبه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قسمت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مجوف و تو خالى بود و چوب تير در آن داخل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 النَصل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مدخل ورودى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عقبى تير كه در آن پر مى‌نهادند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اين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آن محلى از تير بود كه به صورت شكاف در ته تير ساخته مى‌شد تا هنگام تيراندازى و قبل از آن، تير در چلّه كمان بند شود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زَنْمَتان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طرف انتهايى تير كه شكاف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مى‌گرفتند، زنمتان مى‌گفتند</w:t>
      </w:r>
      <w:r>
        <w:rPr>
          <w:rFonts w:eastAsia="IRNazanin" w:cs="IRNazanin"/>
          <w:color w:val="111111"/>
          <w:sz w:val="28"/>
          <w:szCs w:val="28"/>
          <w:rtl w:val="true"/>
          <w:lang w:bidi="fa-IR"/>
        </w:rPr>
        <w:t>.</w:t>
      </w:r>
      <w:bookmarkStart w:id="1639" w:name="pg1964_19881"/>
    </w:p>
    <w:p>
      <w:pPr>
        <w:pStyle w:val="BookText"/>
        <w:rPr/>
      </w:pPr>
      <w:bookmarkEnd w:id="1639"/>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ابتداى قسمتى از تير گفته مى‌شد كه پر روى آن چسبانده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معمولاً دو يا سه پر از عقاب، كلاغ، كركس يا پرندگان ديگر به انتهاى تير به وسيله سريشم يا بند بسته مى‌شد تا توازن تير را هنگام پرتاب و نيز دقت اصابت به هدف،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پرها مى‌بايست از يك جنس باشد تا توازن به هم نخورد</w:t>
      </w:r>
      <w:r>
        <w:rPr>
          <w:rFonts w:eastAsia="IRNazanin" w:cs="IRNazanin"/>
          <w:color w:val="111111"/>
          <w:sz w:val="28"/>
          <w:szCs w:val="28"/>
          <w:rtl w:val="true"/>
          <w:lang w:bidi="fa-IR"/>
        </w:rPr>
        <w:t xml:space="preserve">. </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جعبه تير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 به تيردان،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كه البته جفير ظرفيت بيشترى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تيردان از چوب بود و پوست حيوانات و چرم روى آن مى‌كشيدند و در بعضى از تيردان‌ها اصلاً چوب به‌كار نمى‌رفت كه در اين هنگام چرم را پاره‌پاره كرده و سپس مى‌دوختند تا هوا به پرهاى تير برسد و فاسد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تيردان به وسيله تسمه‌اى بر شانه تيرانداز آويزان مى‌شد</w:t>
      </w:r>
      <w:r>
        <w:rPr>
          <w:rFonts w:eastAsia="IRNazanin" w:cs="IRNazanin"/>
          <w:color w:val="111111"/>
          <w:sz w:val="28"/>
          <w:szCs w:val="28"/>
          <w:rtl w:val="true"/>
          <w:lang w:bidi="fa-IR"/>
        </w:rPr>
        <w:t xml:space="preserve">. </w:t>
      </w:r>
      <w:r>
        <w:rPr>
          <w:rStyle w:val="FootnoteAnchor"/>
          <w:rtl w:val="true"/>
        </w:rPr>
        <w:footnoteReference w:id="1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p>
    <w:p>
      <w:pPr>
        <w:pStyle w:val="Heading6"/>
        <w:numPr>
          <w:ilvl w:val="5"/>
          <w:numId w:val="1"/>
        </w:numPr>
        <w:rPr/>
      </w:pPr>
      <w:bookmarkStart w:id="1640" w:name="__RefHeading___Toc3585809_3650668749"/>
      <w:bookmarkStart w:id="1641" w:name="_Toc701"/>
      <w:bookmarkEnd w:id="1640"/>
      <w:r>
        <w:rPr>
          <w:rtl w:val="true"/>
        </w:rPr>
        <w:t>انواع كمان</w:t>
      </w:r>
      <w:bookmarkEnd w:id="1641"/>
    </w:p>
    <w:p>
      <w:pPr>
        <w:pStyle w:val="BookText"/>
        <w:rPr/>
      </w:pPr>
      <w:r>
        <w:rPr>
          <w:rFonts w:ascii="IRNazanin" w:hAnsi="IRNazanin" w:eastAsia="IRNazanin"/>
          <w:color w:val="111111"/>
          <w:sz w:val="28"/>
          <w:sz w:val="28"/>
          <w:szCs w:val="28"/>
          <w:rtl w:val="true"/>
          <w:lang w:bidi="fa-IR"/>
        </w:rPr>
        <w:t xml:space="preserve">انواع مختلفى براى كمان شمرده‌اند كه بسيارى از آنها در زمان مورد بحث، وجود نداشته است و از آن انواع فقط كمان دستى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يدوى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بوده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كمان، ساده‌ترين انواع كمان به شمار مى‌رفت كه اجزاى آن توضيح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كمان خود به اقسامى تقسيم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قوس حجازى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كمان كه قبل از اسلام نيز در جزيرة العرب وجود داشت، به صورت يك‌پارچه و از يك تكه چوب درختان نَبْع و شوحَطْ كه دو نوع درخت مخصوص كمان‌سازى بودند، ساخته مى‌شد و سِيه و دستگيره نداشت</w:t>
      </w:r>
      <w:r>
        <w:rPr>
          <w:rFonts w:eastAsia="IRNazanin" w:cs="IRNazanin"/>
          <w:color w:val="111111"/>
          <w:sz w:val="28"/>
          <w:szCs w:val="28"/>
          <w:rtl w:val="true"/>
          <w:lang w:bidi="fa-IR"/>
        </w:rPr>
        <w:t>.</w:t>
      </w:r>
      <w:bookmarkStart w:id="1642" w:name="pg1964_19882"/>
    </w:p>
    <w:p>
      <w:pPr>
        <w:pStyle w:val="BookText"/>
        <w:rPr/>
      </w:pPr>
      <w:bookmarkEnd w:id="164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قوس شُرَيحى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كمان كاملاً شبيه قوس حجازى بود به جز آنكه با دو تكه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صورت يك‌پارچه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قوس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واسطى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اجزاى اين قوس ابتدا ساخته شده و سپس با سريشم به هم وصل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قوس، سيه و دستگيره 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ساخت آن به پيش از بنيان شهر واسط برمى‌گردد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قوس دمشقى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اجزاى اين نوع كمان نيز جداگانه ساخته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قوس ماسِخى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نوع كمان به سازنده آن، يعنى ماسخه كه مردى از اَزْد بوده، منسوب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قوس عُصْفورى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سازنده اين نوع كمان در ابتدا شخصى به نام عصفور بوده است</w:t>
      </w:r>
      <w:r>
        <w:rPr>
          <w:rFonts w:eastAsia="Amiri" w:cs="Amiri" w:ascii="Amiri" w:hAnsi="Amiri"/>
          <w:color w:val="111111"/>
          <w:sz w:val="28"/>
          <w:szCs w:val="28"/>
          <w:rtl w:val="true"/>
          <w:lang w:bidi="ar-SA"/>
        </w:rPr>
        <w:t xml:space="preserve">. </w:t>
      </w:r>
      <w:r>
        <w:rPr>
          <w:rStyle w:val="FootnoteAnchor"/>
          <w:rtl w:val="true"/>
        </w:rPr>
        <w:footnoteReference w:id="1483"/>
      </w:r>
    </w:p>
    <w:p>
      <w:pPr>
        <w:pStyle w:val="BookText"/>
        <w:rPr/>
      </w:pPr>
      <w:r>
        <w:rPr>
          <w:rFonts w:eastAsia="Times New Roman" w:cs="Times New Roman" w:ascii="Times New Roman" w:hAnsi="Times New Roman"/>
          <w:color w:val="111111"/>
          <w:sz w:val="28"/>
          <w:szCs w:val="28"/>
          <w:lang w:val="en-US" w:bidi="en-US"/>
        </w:rPr>
        <w:t>o</w:t>
      </w:r>
    </w:p>
    <w:p>
      <w:pPr>
        <w:pStyle w:val="Heading6"/>
        <w:numPr>
          <w:ilvl w:val="5"/>
          <w:numId w:val="1"/>
        </w:numPr>
        <w:rPr/>
      </w:pPr>
      <w:bookmarkStart w:id="1643" w:name="__RefHeading___Toc3585811_3650668749"/>
      <w:bookmarkStart w:id="1644" w:name="_Toc702"/>
      <w:bookmarkEnd w:id="1643"/>
      <w:r>
        <w:rPr>
          <w:rtl w:val="true"/>
        </w:rPr>
        <w:t>طريقه تيراندازى</w:t>
      </w:r>
      <w:bookmarkEnd w:id="1644"/>
    </w:p>
    <w:p>
      <w:pPr>
        <w:pStyle w:val="BookText"/>
        <w:rPr/>
      </w:pPr>
      <w:r>
        <w:rPr>
          <w:rFonts w:ascii="IRNazanin" w:hAnsi="IRNazanin" w:eastAsia="IRNazanin"/>
          <w:color w:val="111111"/>
          <w:sz w:val="28"/>
          <w:sz w:val="28"/>
          <w:szCs w:val="28"/>
          <w:rtl w:val="true"/>
          <w:lang w:bidi="fa-IR"/>
        </w:rPr>
        <w:t xml:space="preserve">در تيراندازى با كمان‌دستى، تيرانداز دستگيره كمان را با دست چپ مى‌گرفت و در حالى‌كه تير را در چله نهاده بود، زه را با تمام توان با دست راست به عقب مى‌كشيد تا آرنج راستش در راستاى شانه راست قرار مى‌گرفت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زه بيشتر به عقب كشيده مى‌شد، مسافتى كه تير طى مى‌كرد زيادتر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زه را رها كرده و تير به شدت از كمان خارج مى‌شد و به سمت هدف پيش مى‌رفت</w:t>
      </w:r>
      <w:r>
        <w:rPr>
          <w:rFonts w:eastAsia="IRNazanin" w:cs="IRNazanin"/>
          <w:color w:val="111111"/>
          <w:sz w:val="28"/>
          <w:szCs w:val="28"/>
          <w:rtl w:val="true"/>
          <w:lang w:bidi="fa-IR"/>
        </w:rPr>
        <w:t xml:space="preserve">. </w:t>
      </w:r>
      <w:r>
        <w:rPr>
          <w:rStyle w:val="FootnoteAnchor"/>
          <w:rtl w:val="true"/>
        </w:rPr>
        <w:footnoteReference w:id="1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45" w:name="__RefHeading___Toc3585813_3650668749"/>
      <w:bookmarkStart w:id="1646" w:name="_Toc703"/>
      <w:bookmarkEnd w:id="1645"/>
      <w:r>
        <w:rPr>
          <w:rtl w:val="true"/>
        </w:rPr>
        <w:t>عمود</w:t>
      </w:r>
      <w:bookmarkEnd w:id="164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فارسى به آن گرز مى‌گويند و آن وسيله‌اى جنگى بود كه از آهن ساخته شده و در بالاى آن برآمدگى‌هايى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سواران آن را زير زين اسب مى‌گذاشتند و بعد از جنگ كردن با شمشير و نيزه از آن استفاده مى‌كردند</w:t>
      </w:r>
      <w:r>
        <w:rPr>
          <w:rFonts w:eastAsia="IRNazanin" w:cs="IRNazanin"/>
          <w:color w:val="111111"/>
          <w:sz w:val="28"/>
          <w:szCs w:val="28"/>
          <w:rtl w:val="true"/>
          <w:lang w:bidi="fa-IR"/>
        </w:rPr>
        <w:t xml:space="preserve">. </w:t>
      </w:r>
      <w:r>
        <w:rPr>
          <w:rStyle w:val="FootnoteAnchor"/>
          <w:rtl w:val="true"/>
        </w:rPr>
        <w:footnoteReference w:id="1485"/>
      </w:r>
      <w:r>
        <w:rPr>
          <w:rFonts w:ascii="Amiri" w:hAnsi="Amiri" w:eastAsia="Amiri" w:cs="Amiri"/>
          <w:color w:val="111111"/>
          <w:sz w:val="28"/>
          <w:sz w:val="28"/>
          <w:szCs w:val="28"/>
          <w:rtl w:val="true"/>
          <w:lang w:bidi="ar-SA"/>
        </w:rPr>
        <w:t>از اين</w:t>
      </w:r>
      <w:bookmarkStart w:id="1647" w:name="pg1964_19883"/>
    </w:p>
    <w:p>
      <w:pPr>
        <w:pStyle w:val="BookText"/>
        <w:rPr/>
      </w:pPr>
      <w:bookmarkEnd w:id="1647"/>
      <w:r>
        <w:rPr>
          <w:rFonts w:ascii="Amiri" w:hAnsi="Amiri" w:eastAsia="Amiri" w:cs="Amiri"/>
          <w:color w:val="111111"/>
          <w:sz w:val="28"/>
          <w:sz w:val="28"/>
          <w:szCs w:val="28"/>
          <w:rtl w:val="true"/>
          <w:lang w:bidi="ar-SA"/>
        </w:rPr>
        <w:t xml:space="preserve">سلاح، دشمن در روز عاشورا فراوان استفاده كرد، به خصوص در جريان به شهادت رساندن حضرت اباالفضل‌العباس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486"/>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كلمات خود از اين سلاح نام برده است</w:t>
      </w:r>
      <w:r>
        <w:rPr>
          <w:rFonts w:eastAsia="Amiri" w:cs="Amiri" w:ascii="Amiri" w:hAnsi="Amiri"/>
          <w:color w:val="111111"/>
          <w:sz w:val="28"/>
          <w:szCs w:val="28"/>
          <w:rtl w:val="true"/>
          <w:lang w:bidi="ar-SA"/>
        </w:rPr>
        <w:t xml:space="preserve">. </w:t>
      </w:r>
      <w:r>
        <w:rPr>
          <w:rStyle w:val="FootnoteAnchor"/>
          <w:rtl w:val="true"/>
        </w:rPr>
        <w:footnoteReference w:id="1487"/>
      </w:r>
    </w:p>
    <w:p>
      <w:pPr>
        <w:pStyle w:val="BookText"/>
        <w:rPr/>
      </w:pPr>
      <w:r>
        <w:rPr>
          <w:rFonts w:ascii="IRNazanin" w:hAnsi="IRNazanin" w:eastAsia="IRNazanin"/>
          <w:color w:val="111111"/>
          <w:sz w:val="28"/>
          <w:sz w:val="28"/>
          <w:szCs w:val="28"/>
          <w:rtl w:val="true"/>
          <w:lang w:bidi="fa-IR"/>
        </w:rPr>
        <w:t xml:space="preserve">دَبوس نيز نوعى گرز كه دسته آن همانند عصا كوتاه بود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كوبيدن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مى‌گفتند</w:t>
      </w:r>
      <w:r>
        <w:rPr>
          <w:rFonts w:eastAsia="IRNazanin" w:cs="IRNazanin"/>
          <w:color w:val="111111"/>
          <w:sz w:val="28"/>
          <w:szCs w:val="28"/>
          <w:rtl w:val="true"/>
          <w:lang w:bidi="fa-IR"/>
        </w:rPr>
        <w:t xml:space="preserve">. </w:t>
      </w:r>
      <w:r>
        <w:rPr>
          <w:rStyle w:val="FootnoteAnchor"/>
          <w:rtl w:val="true"/>
        </w:rPr>
        <w:footnoteReference w:id="1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48" w:name="__RefHeading___Toc3585815_3650668749"/>
      <w:bookmarkStart w:id="1649" w:name="_Toc704"/>
      <w:bookmarkEnd w:id="1648"/>
      <w:r>
        <w:rPr>
          <w:rtl w:val="true"/>
        </w:rPr>
        <w:t xml:space="preserve">فَلاخُن </w:t>
      </w:r>
      <w:r>
        <w:rPr>
          <w:rtl w:val="true"/>
        </w:rPr>
        <w:t>(</w:t>
      </w:r>
      <w:r>
        <w:rPr>
          <w:rtl w:val="true"/>
        </w:rPr>
        <w:t>مقلاع</w:t>
      </w:r>
      <w:r>
        <w:rPr>
          <w:rtl w:val="true"/>
        </w:rPr>
        <w:t>)</w:t>
      </w:r>
      <w:bookmarkEnd w:id="1649"/>
    </w:p>
    <w:p>
      <w:pPr>
        <w:pStyle w:val="BookText"/>
        <w:rPr/>
      </w:pPr>
      <w:r>
        <w:rPr>
          <w:rFonts w:ascii="IRNazanin" w:hAnsi="IRNazanin" w:eastAsia="IRNazanin"/>
          <w:color w:val="111111"/>
          <w:sz w:val="28"/>
          <w:sz w:val="28"/>
          <w:szCs w:val="28"/>
          <w:rtl w:val="true"/>
          <w:lang w:bidi="fa-IR"/>
        </w:rPr>
        <w:t xml:space="preserve">مقلاع كه به آن در فارسى فلاخن يا قلاب سنگ مى‌گويند، شامل يك صفحه چرمين يا پارچه‌اى به شكل دايره يا بيضى بود كه 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تكه طناب و 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تكه طناب به طول پنجاه تا شصت سانتى‌متر، اطراف آن بسته مى‌شد كه يك سر اين طناب‌ها به صفحه و سر ديگر آزاد بود و در سر ديگر يكى از طناب‌ها دستگيره‌اى به اندازه داخل شدن يك انگشت تعبيه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پرتاب سنگ، ابتدا سنگ مناسبى درون صفحه گذاشته شده و آن‌گاه سنگ‌انداز در حالى‌كه تمام طناب‌ها را به دست گرفته، فلاخن را به سرعت دور سر خود مى‌چرخاند و بعد از دو يا سه دور چرخاندن، غير از تكه طنابى كه داراى دستگيره بود، بقيه را رها مى‌كرد و بدين ترتيب سنگ به سمت هدف پيش مى‌رفت</w:t>
      </w:r>
      <w:r>
        <w:rPr>
          <w:rFonts w:eastAsia="IRNazanin" w:cs="IRNazanin"/>
          <w:color w:val="111111"/>
          <w:sz w:val="28"/>
          <w:szCs w:val="28"/>
          <w:rtl w:val="true"/>
          <w:lang w:bidi="fa-IR"/>
        </w:rPr>
        <w:t xml:space="preserve">. </w:t>
      </w:r>
      <w:r>
        <w:rPr>
          <w:rStyle w:val="FootnoteAnchor"/>
          <w:rtl w:val="true"/>
        </w:rPr>
        <w:footnoteReference w:id="1489"/>
      </w:r>
    </w:p>
    <w:p>
      <w:pPr>
        <w:pStyle w:val="Heading6"/>
        <w:numPr>
          <w:ilvl w:val="5"/>
          <w:numId w:val="1"/>
        </w:numPr>
        <w:rPr/>
      </w:pPr>
      <w:bookmarkStart w:id="1650" w:name="__RefHeading___Toc3585817_3650668749"/>
      <w:bookmarkStart w:id="1651" w:name="_Toc705"/>
      <w:bookmarkEnd w:id="1650"/>
      <w:r>
        <w:rPr>
          <w:rtl w:val="true"/>
        </w:rPr>
        <w:t xml:space="preserve">دوم </w:t>
      </w:r>
      <w:r>
        <w:rPr>
          <w:rtl w:val="true"/>
        </w:rPr>
        <w:t xml:space="preserve">- </w:t>
      </w:r>
      <w:r>
        <w:rPr>
          <w:rtl w:val="true"/>
        </w:rPr>
        <w:t>سلاح‌هاى هجومى سنگين</w:t>
      </w:r>
      <w:bookmarkEnd w:id="1651"/>
    </w:p>
    <w:p>
      <w:pPr>
        <w:pStyle w:val="Heading6"/>
        <w:numPr>
          <w:ilvl w:val="5"/>
          <w:numId w:val="1"/>
        </w:numPr>
        <w:rPr/>
      </w:pPr>
      <w:bookmarkStart w:id="1652" w:name="__RefHeading___Toc3585819_3650668749"/>
      <w:bookmarkStart w:id="1653" w:name="_Toc706"/>
      <w:bookmarkEnd w:id="1652"/>
      <w:r>
        <w:rPr>
          <w:rtl w:val="true"/>
        </w:rPr>
        <w:t>منجنيق</w:t>
      </w:r>
      <w:bookmarkEnd w:id="165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منجنيق وسيله جنگى بزرگى بود كه عمدتاً در شكستن ديوارهاى مستحكم قلعه‌ها و نفوذ به داخل آنها مورد استفاده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ساختمان اين</w:t>
      </w:r>
    </w:p>
    <w:p>
      <w:pPr>
        <w:pStyle w:val="BookText"/>
        <w:rPr/>
      </w:pPr>
      <w:r>
        <w:rPr>
          <w:rFonts w:ascii="IRNazanin" w:hAnsi="IRNazanin" w:eastAsia="IRNazanin"/>
          <w:color w:val="111111"/>
          <w:sz w:val="28"/>
          <w:sz w:val="28"/>
          <w:szCs w:val="28"/>
          <w:rtl w:val="true"/>
          <w:lang w:bidi="fa-IR"/>
        </w:rPr>
        <w:t>وسيله را چوب قوى و محكم عمودى تشكيل مى‌داد كه بر سر آن، فلاخن مانند بزرگى نصب شده بود كه در آن سنگ، نفت، آتش و هر چيزى كه قصد پرتاب آن را داشتند، مى‌نهادند و سپس چوب عمودى را به وسيله طناب‌هاى محكمى به عقب مى‌كشيدند و آن‌گاه آن را رها مى‌كردند، در اين هنگام سنگ يا آتش به سرعت و با قوت به حصار دشمن برخورد مى‌كرد</w:t>
      </w:r>
      <w:r>
        <w:rPr>
          <w:rFonts w:eastAsia="IRNazanin" w:cs="IRNazanin"/>
          <w:color w:val="111111"/>
          <w:sz w:val="28"/>
          <w:szCs w:val="28"/>
          <w:rtl w:val="true"/>
          <w:lang w:bidi="fa-IR"/>
        </w:rPr>
        <w:t xml:space="preserve">. </w:t>
      </w:r>
      <w:r>
        <w:rPr>
          <w:rStyle w:val="FootnoteAnchor"/>
          <w:rtl w:val="true"/>
        </w:rPr>
        <w:footnoteReference w:id="1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مشهور آن است كه اين وسيله جنگى را اولين بار در تاريخ قديم، فينيقى‌ها اختراع كردند و سپس يونانى‌ها طريقه ساخت آن را از آنها فرا گرفتند و پس از آن، ساير كشورها و از جمله ايرانى‌ها طرز ساخت آن را از يونانى‌ها آموختند و سرانجام اين صنعت از ايران به عرب‌ها منتقل شد</w:t>
      </w:r>
      <w:r>
        <w:rPr>
          <w:rFonts w:eastAsia="IRNazanin" w:cs="IRNazanin"/>
          <w:color w:val="111111"/>
          <w:sz w:val="28"/>
          <w:szCs w:val="28"/>
          <w:rtl w:val="true"/>
          <w:lang w:bidi="fa-IR"/>
        </w:rPr>
        <w:t xml:space="preserve">. </w:t>
      </w:r>
      <w:r>
        <w:rPr>
          <w:rStyle w:val="FootnoteAnchor"/>
          <w:rtl w:val="true"/>
        </w:rPr>
        <w:footnoteReference w:id="1491"/>
      </w:r>
      <w:r>
        <w:rPr>
          <w:rFonts w:ascii="IRNazanin" w:hAnsi="IRNazanin" w:eastAsia="IRNazanin"/>
          <w:color w:val="111111"/>
          <w:sz w:val="28"/>
          <w:sz w:val="28"/>
          <w:szCs w:val="28"/>
          <w:rtl w:val="true"/>
          <w:lang w:bidi="fa-IR"/>
        </w:rPr>
        <w:t xml:space="preserve">در اسلام براى اولين بار اين وسيله با پيشنهاد سلمان فارسى در جنگ طايف كه محاصره آن به وسيله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انجاميد، ساخته و به‌كار گرفته شد</w:t>
      </w:r>
      <w:r>
        <w:rPr>
          <w:rFonts w:eastAsia="IRNazanin" w:cs="IRNazanin"/>
          <w:color w:val="111111"/>
          <w:sz w:val="28"/>
          <w:szCs w:val="28"/>
          <w:rtl w:val="true"/>
          <w:lang w:bidi="fa-IR"/>
        </w:rPr>
        <w:t xml:space="preserve">. </w:t>
      </w:r>
      <w:r>
        <w:rPr>
          <w:rStyle w:val="FootnoteAnchor"/>
          <w:rtl w:val="true"/>
        </w:rPr>
        <w:footnoteReference w:id="1492"/>
      </w:r>
      <w:r>
        <w:rPr>
          <w:rFonts w:ascii="IRNazanin" w:hAnsi="IRNazanin" w:eastAsia="IRNazanin"/>
          <w:color w:val="111111"/>
          <w:sz w:val="28"/>
          <w:sz w:val="28"/>
          <w:szCs w:val="28"/>
          <w:rtl w:val="true"/>
          <w:lang w:bidi="fa-IR"/>
        </w:rPr>
        <w:t>همچنين گفته شده است هنگامى كه مسلمانان دژهاى خيبر را گشودند در آن با منجنيق‌هايى برخورد كردند</w:t>
      </w:r>
      <w:r>
        <w:rPr>
          <w:rFonts w:eastAsia="IRNazanin" w:cs="IRNazanin"/>
          <w:color w:val="111111"/>
          <w:sz w:val="28"/>
          <w:szCs w:val="28"/>
          <w:rtl w:val="true"/>
          <w:lang w:bidi="fa-IR"/>
        </w:rPr>
        <w:t xml:space="preserve">. </w:t>
      </w:r>
      <w:r>
        <w:rPr>
          <w:rStyle w:val="FootnoteAnchor"/>
          <w:rtl w:val="true"/>
        </w:rPr>
        <w:footnoteReference w:id="1493"/>
      </w:r>
      <w:r>
        <w:rPr>
          <w:rFonts w:ascii="IRNazanin" w:hAnsi="IRNazanin" w:eastAsia="IRNazanin"/>
          <w:color w:val="111111"/>
          <w:sz w:val="28"/>
          <w:sz w:val="28"/>
          <w:szCs w:val="28"/>
          <w:rtl w:val="true"/>
          <w:lang w:bidi="fa-IR"/>
        </w:rPr>
        <w:t xml:space="preserve">نيز گفته شده است كه در سال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سعد بن ابى‌وقاص در محاصره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شهرى نزديك بغداد امروزى و يكى از شهرهاى هفت‌گانه مداين بود </w:t>
      </w:r>
      <w:r>
        <w:rPr>
          <w:rStyle w:val="FootnoteAnchor"/>
          <w:rtl w:val="true"/>
        </w:rPr>
        <w:footnoteReference w:id="1494"/>
      </w:r>
      <w:r>
        <w:rPr>
          <w:rFonts w:ascii="Amiri" w:hAnsi="Amiri" w:eastAsia="Amiri" w:cs="Amiri"/>
          <w:color w:val="111111"/>
          <w:sz w:val="28"/>
          <w:sz w:val="28"/>
          <w:szCs w:val="28"/>
          <w:rtl w:val="true"/>
          <w:lang w:bidi="ar-SA"/>
        </w:rPr>
        <w:t>و ديوار محكمى داشت و محاصره آن به طول انجاميد، از متخصصان منجنيق‌سازى در لشكرش استفاده كرد و تعداد بيست عدد منجنيق ساخت و محاصره شهر را درهم شكست</w:t>
      </w:r>
      <w:r>
        <w:rPr>
          <w:rFonts w:eastAsia="Amiri" w:cs="Amiri" w:ascii="Amiri" w:hAnsi="Amiri"/>
          <w:color w:val="111111"/>
          <w:sz w:val="28"/>
          <w:szCs w:val="28"/>
          <w:rtl w:val="true"/>
          <w:lang w:bidi="ar-SA"/>
        </w:rPr>
        <w:t xml:space="preserve">. </w:t>
      </w:r>
      <w:r>
        <w:rPr>
          <w:rStyle w:val="FootnoteAnchor"/>
          <w:rtl w:val="true"/>
        </w:rPr>
        <w:footnoteReference w:id="1495"/>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اين وسيله در سال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فتح مصر به‌كار گرفته شد</w:t>
      </w:r>
      <w:r>
        <w:rPr>
          <w:rFonts w:eastAsia="IRNazanin" w:cs="IRNazanin"/>
          <w:color w:val="111111"/>
          <w:sz w:val="28"/>
          <w:szCs w:val="28"/>
          <w:rtl w:val="true"/>
          <w:lang w:bidi="fa-IR"/>
        </w:rPr>
        <w:t xml:space="preserve">. </w:t>
      </w:r>
      <w:r>
        <w:rPr>
          <w:rStyle w:val="FootnoteAnchor"/>
          <w:rtl w:val="true"/>
        </w:rPr>
        <w:footnoteReference w:id="1496"/>
      </w:r>
      <w:r>
        <w:rPr>
          <w:rFonts w:ascii="Amiri" w:hAnsi="Amiri" w:eastAsia="Amiri" w:cs="Amiri"/>
          <w:color w:val="111111"/>
          <w:sz w:val="28"/>
          <w:sz w:val="28"/>
          <w:szCs w:val="28"/>
          <w:rtl w:val="true"/>
          <w:lang w:bidi="ar-SA"/>
        </w:rPr>
        <w:t xml:space="preserve">همين‌طور در سال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منجنيق كشور مصر استفاده شد</w:t>
      </w:r>
      <w:r>
        <w:rPr>
          <w:rFonts w:eastAsia="Amiri" w:cs="Amiri" w:ascii="Amiri" w:hAnsi="Amiri"/>
          <w:color w:val="111111"/>
          <w:sz w:val="28"/>
          <w:szCs w:val="28"/>
          <w:rtl w:val="true"/>
          <w:lang w:bidi="ar-SA"/>
        </w:rPr>
        <w:t xml:space="preserve">. </w:t>
      </w:r>
      <w:r>
        <w:rPr>
          <w:rStyle w:val="FootnoteAnchor"/>
          <w:rtl w:val="true"/>
        </w:rPr>
        <w:footnoteReference w:id="1497"/>
      </w:r>
      <w:r>
        <w:rPr>
          <w:rFonts w:ascii="Amiri" w:hAnsi="Amiri" w:eastAsia="Amiri" w:cs="Amiri"/>
          <w:color w:val="111111"/>
          <w:sz w:val="28"/>
          <w:sz w:val="28"/>
          <w:szCs w:val="28"/>
          <w:rtl w:val="true"/>
          <w:lang w:bidi="ar-SA"/>
        </w:rPr>
        <w:t>اين وسيله در</w:t>
      </w:r>
      <w:bookmarkStart w:id="1654" w:name="pg1964_19885"/>
    </w:p>
    <w:p>
      <w:pPr>
        <w:pStyle w:val="BookText"/>
        <w:rPr/>
      </w:pPr>
      <w:bookmarkEnd w:id="1654"/>
      <w:r>
        <w:rPr>
          <w:rFonts w:ascii="IRNazanin" w:hAnsi="IRNazanin" w:eastAsia="IRNazanin"/>
          <w:color w:val="111111"/>
          <w:sz w:val="28"/>
          <w:sz w:val="28"/>
          <w:szCs w:val="28"/>
          <w:rtl w:val="true"/>
          <w:lang w:bidi="fa-IR"/>
        </w:rPr>
        <w:t xml:space="preserve">جنگ‌هاى سه‌گانه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وقايع كربلا كه حصارى در ميان نبود، كاربردى نداشت، اما در جنگ‌هاى شام با كشورهاى ديگر در زمان مورد بحث، از آن استفاده مى‌شد</w:t>
      </w:r>
      <w:r>
        <w:rPr>
          <w:rFonts w:eastAsia="IRNazanin" w:cs="IRNazanin"/>
          <w:color w:val="111111"/>
          <w:sz w:val="28"/>
          <w:szCs w:val="28"/>
          <w:rtl w:val="true"/>
          <w:lang w:bidi="fa-IR"/>
        </w:rPr>
        <w:t xml:space="preserve">. </w:t>
      </w:r>
      <w:r>
        <w:rPr>
          <w:rStyle w:val="FootnoteAnchor"/>
          <w:rtl w:val="true"/>
        </w:rPr>
        <w:footnoteReference w:id="1498"/>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55" w:name="__RefHeading___Toc3585821_3650668749"/>
      <w:bookmarkStart w:id="1656" w:name="_Toc707"/>
      <w:bookmarkEnd w:id="1655"/>
      <w:r>
        <w:rPr>
          <w:rtl w:val="true"/>
        </w:rPr>
        <w:t>دبابه</w:t>
      </w:r>
      <w:bookmarkEnd w:id="1656"/>
    </w:p>
    <w:p>
      <w:pPr>
        <w:pStyle w:val="BookText"/>
        <w:rPr/>
      </w:pPr>
      <w:r>
        <w:rPr>
          <w:rFonts w:ascii="IRNazanin" w:hAnsi="IRNazanin" w:eastAsia="IRNazanin"/>
          <w:color w:val="111111"/>
          <w:sz w:val="28"/>
          <w:sz w:val="28"/>
          <w:szCs w:val="28"/>
          <w:rtl w:val="true"/>
          <w:lang w:bidi="fa-IR"/>
        </w:rPr>
        <w:t>دبابه وسيله‌اى متحرك بود كه روى چرخ‌هاى دايره‌اى شكل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چرخ‌ها چوب‌هاى ضخيم را به هم مى‌بستند و روى آن را با پوست حيوانات يا نمدى كه آن را براى جلوگيرى از آتش گرفتن در سركه خيسانده بودند، مى‌پوشاندند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كاربرد آن بدين صورت بود كه مردانى روى اين وسيله سوار مى‌شدند و سپس عده‌اى آن را به سمت ديوارهاى دشمن حركت مى‌دادند و وقتى به كنار ديوار مى‌رسيدند، آن را با چوب‌هاى محكمى سوراخ مى‌كردند يا به‌وسيله نردبان‌هاى بلندى به بالاى آن مى‌رفتند</w:t>
      </w:r>
      <w:r>
        <w:rPr>
          <w:rFonts w:eastAsia="IRNazanin" w:cs="IRNazanin"/>
          <w:color w:val="111111"/>
          <w:sz w:val="28"/>
          <w:szCs w:val="28"/>
          <w:rtl w:val="true"/>
          <w:lang w:bidi="fa-IR"/>
        </w:rPr>
        <w:t xml:space="preserve">. </w:t>
      </w:r>
      <w:r>
        <w:rPr>
          <w:rStyle w:val="FootnoteAnchor"/>
          <w:rtl w:val="true"/>
        </w:rPr>
        <w:footnoteReference w:id="1499"/>
      </w:r>
    </w:p>
    <w:p>
      <w:pPr>
        <w:pStyle w:val="BookText"/>
        <w:rPr/>
      </w:pPr>
      <w:r>
        <w:rPr>
          <w:rFonts w:ascii="IRNazanin" w:hAnsi="IRNazanin" w:eastAsia="IRNazanin"/>
          <w:color w:val="111111"/>
          <w:sz w:val="28"/>
          <w:sz w:val="28"/>
          <w:szCs w:val="28"/>
          <w:rtl w:val="true"/>
          <w:lang w:bidi="fa-IR"/>
        </w:rPr>
        <w:t>قدمت اين وسيله از منجنيق بيشتر بود، ابتدا مصرى‌ها، سپس آشورى‌ها، بعد رومى‌ها و پس از آن ايرانى‌ها از آن استفاده مى‌كردند و سرانجام مسلمانان نيز فن ساختن آن را از ايرانى‌ها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مسلمانان براى اولين بار در قلعه خيبر با به اين وسيله برخورد نمودند</w:t>
      </w:r>
      <w:r>
        <w:rPr>
          <w:rFonts w:eastAsia="IRNazanin" w:cs="IRNazanin"/>
          <w:color w:val="111111"/>
          <w:sz w:val="28"/>
          <w:szCs w:val="28"/>
          <w:rtl w:val="true"/>
          <w:lang w:bidi="fa-IR"/>
        </w:rPr>
        <w:t xml:space="preserve">. </w:t>
      </w:r>
      <w:r>
        <w:rPr>
          <w:rStyle w:val="FootnoteAnchor"/>
          <w:rtl w:val="true"/>
        </w:rPr>
        <w:footnoteReference w:id="1500"/>
      </w:r>
      <w:r>
        <w:rPr>
          <w:rFonts w:ascii="Amiri" w:hAnsi="Amiri" w:eastAsia="Amiri" w:cs="Amiri"/>
          <w:color w:val="111111"/>
          <w:sz w:val="28"/>
          <w:sz w:val="28"/>
          <w:szCs w:val="28"/>
          <w:rtl w:val="true"/>
          <w:lang w:bidi="ar-SA"/>
        </w:rPr>
        <w:t xml:space="preserve">سعد بن ابى‌وقاص از اين وسيله نيز در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 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كرد</w:t>
      </w:r>
      <w:r>
        <w:rPr>
          <w:rFonts w:eastAsia="Amiri" w:cs="Amiri" w:ascii="Amiri" w:hAnsi="Amiri"/>
          <w:color w:val="111111"/>
          <w:sz w:val="28"/>
          <w:szCs w:val="28"/>
          <w:rtl w:val="true"/>
          <w:lang w:bidi="ar-SA"/>
        </w:rPr>
        <w:t xml:space="preserve">. </w:t>
      </w:r>
      <w:r>
        <w:rPr>
          <w:rStyle w:val="FootnoteAnchor"/>
          <w:rtl w:val="true"/>
        </w:rPr>
        <w:footnoteReference w:id="1501"/>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خاصى از دبابه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الكبش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مورد استفاده مسلمانان قرار گرفت و از آنجا كه وسيله‌اى به شكل سر قوچ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جلوى آن به‌كار رفته بود، به اين نام موسوم شده بود</w:t>
      </w:r>
      <w:r>
        <w:rPr>
          <w:rFonts w:eastAsia="IRNazanin" w:cs="IRNazanin"/>
          <w:color w:val="111111"/>
          <w:sz w:val="28"/>
          <w:szCs w:val="28"/>
          <w:rtl w:val="true"/>
          <w:lang w:bidi="fa-IR"/>
        </w:rPr>
        <w:t xml:space="preserve">. </w:t>
      </w:r>
      <w:r>
        <w:rPr>
          <w:rStyle w:val="FootnoteAnchor"/>
          <w:rtl w:val="true"/>
        </w:rPr>
        <w:footnoteReference w:id="1502"/>
      </w:r>
      <w:bookmarkStart w:id="1657" w:name="pg1964_19886"/>
    </w:p>
    <w:p>
      <w:pPr>
        <w:pStyle w:val="BookText"/>
        <w:rPr/>
      </w:pPr>
      <w:bookmarkEnd w:id="1657"/>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58" w:name="__RefHeading___Toc3585823_3650668749"/>
      <w:bookmarkStart w:id="1659" w:name="_Toc708"/>
      <w:bookmarkEnd w:id="1658"/>
      <w:r>
        <w:rPr>
          <w:rtl w:val="true"/>
        </w:rPr>
        <w:t xml:space="preserve">نردبان‌هاى بلند </w:t>
      </w:r>
      <w:r>
        <w:rPr>
          <w:rtl w:val="true"/>
        </w:rPr>
        <w:t>(</w:t>
      </w:r>
      <w:r>
        <w:rPr>
          <w:rtl w:val="true"/>
        </w:rPr>
        <w:t>سَلالِمُ الحِصار</w:t>
      </w:r>
      <w:r>
        <w:rPr>
          <w:rtl w:val="true"/>
        </w:rPr>
        <w:t>)</w:t>
      </w:r>
      <w:bookmarkEnd w:id="1659"/>
    </w:p>
    <w:p>
      <w:pPr>
        <w:pStyle w:val="BookText"/>
        <w:rPr/>
      </w:pPr>
      <w:r>
        <w:rPr>
          <w:rFonts w:ascii="IRNazanin" w:hAnsi="IRNazanin" w:eastAsia="IRNazanin"/>
          <w:color w:val="111111"/>
          <w:sz w:val="28"/>
          <w:sz w:val="28"/>
          <w:szCs w:val="28"/>
          <w:rtl w:val="true"/>
          <w:lang w:bidi="fa-IR"/>
        </w:rPr>
        <w:t>البته نردبان به خودى خود وسيله جنگى نبود، اما از آنجا كه هنگام هجوم به قلعه‌هاى دشمن مورد استفاده فراوان داشت، در اينجا از آن 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نردبان‌ها بسيار بلند و عريض ساخته مى‌شد و هنگام هجوم، روى ديوارها قرار مى‌گرفت و لشكريان از آن بالا رفته و به قلعه دشمن نفوذ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نردبان‌هايى كه در زمان خلافت عمر در فتح شهرها و كشورها مورد استفاده قرار مى‌گرفت، عمدتاً از دو رشته طناب محكمى كه در عرض آن پله‌هايى با چنگال‌هاى آهنى در فواصل مختلف تعبيه كرده بودند، تشكيل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وليد در سال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هنگام فتح دمشق و زُبَير بن عوام در سال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 فتح يكى از شهرهاى مصر، از اين نوع نردبان‌ها استفاده كردند</w:t>
      </w:r>
      <w:r>
        <w:rPr>
          <w:rFonts w:eastAsia="IRNazanin" w:cs="IRNazanin"/>
          <w:color w:val="111111"/>
          <w:sz w:val="28"/>
          <w:szCs w:val="28"/>
          <w:rtl w:val="true"/>
          <w:lang w:bidi="fa-IR"/>
        </w:rPr>
        <w:t xml:space="preserve">. </w:t>
      </w:r>
      <w:r>
        <w:rPr>
          <w:rStyle w:val="FootnoteAnchor"/>
          <w:rtl w:val="true"/>
        </w:rPr>
        <w:footnoteReference w:id="1503"/>
      </w:r>
    </w:p>
    <w:p>
      <w:pPr>
        <w:pStyle w:val="Heading5"/>
        <w:numPr>
          <w:ilvl w:val="4"/>
          <w:numId w:val="1"/>
        </w:numPr>
        <w:rPr/>
      </w:pPr>
      <w:bookmarkStart w:id="1660" w:name="__RefHeading___Toc3585825_3650668749"/>
      <w:bookmarkStart w:id="1661" w:name="_Toc709"/>
      <w:bookmarkEnd w:id="1660"/>
      <w:r>
        <w:rPr>
          <w:rtl w:val="true"/>
        </w:rPr>
        <w:t xml:space="preserve">دو </w:t>
      </w:r>
      <w:r>
        <w:rPr>
          <w:rtl w:val="true"/>
        </w:rPr>
        <w:t xml:space="preserve">- </w:t>
      </w:r>
      <w:r>
        <w:rPr>
          <w:rtl w:val="true"/>
        </w:rPr>
        <w:t>سلاح‌هاى دفاعى</w:t>
      </w:r>
      <w:bookmarkEnd w:id="1661"/>
    </w:p>
    <w:p>
      <w:pPr>
        <w:pStyle w:val="Heading6"/>
        <w:numPr>
          <w:ilvl w:val="5"/>
          <w:numId w:val="1"/>
        </w:numPr>
        <w:rPr/>
      </w:pPr>
      <w:bookmarkStart w:id="1662" w:name="__RefHeading___Toc3585827_3650668749"/>
      <w:bookmarkStart w:id="1663" w:name="_Toc710"/>
      <w:bookmarkEnd w:id="1662"/>
      <w:r>
        <w:rPr>
          <w:rtl w:val="true"/>
        </w:rPr>
        <w:t>اشاره</w:t>
      </w:r>
      <w:bookmarkEnd w:id="1663"/>
    </w:p>
    <w:p>
      <w:pPr>
        <w:pStyle w:val="BookText"/>
        <w:rPr/>
      </w:pPr>
      <w:r>
        <w:rPr>
          <w:rFonts w:ascii="IRNazanin" w:hAnsi="IRNazanin" w:eastAsia="IRNazanin"/>
          <w:color w:val="111111"/>
          <w:sz w:val="28"/>
          <w:sz w:val="28"/>
          <w:szCs w:val="28"/>
          <w:rtl w:val="true"/>
          <w:lang w:bidi="fa-IR"/>
        </w:rPr>
        <w:t>اين سلاح‌ها را نيز به دو قسم سبك و سنگين تقسيم مى‌نماييم</w:t>
      </w:r>
      <w:r>
        <w:rPr>
          <w:rFonts w:eastAsia="IRNazanin" w:cs="IRNazanin"/>
          <w:color w:val="111111"/>
          <w:sz w:val="28"/>
          <w:szCs w:val="28"/>
          <w:rtl w:val="true"/>
          <w:lang w:bidi="fa-IR"/>
        </w:rPr>
        <w:t>:</w:t>
      </w:r>
    </w:p>
    <w:p>
      <w:pPr>
        <w:pStyle w:val="Heading6"/>
        <w:numPr>
          <w:ilvl w:val="5"/>
          <w:numId w:val="1"/>
        </w:numPr>
        <w:rPr/>
      </w:pPr>
      <w:bookmarkStart w:id="1664" w:name="__RefHeading___Toc3585829_3650668749"/>
      <w:bookmarkStart w:id="1665" w:name="_Toc711"/>
      <w:bookmarkEnd w:id="1664"/>
      <w:r>
        <w:rPr>
          <w:rtl w:val="true"/>
        </w:rPr>
        <w:t xml:space="preserve">اول </w:t>
      </w:r>
      <w:r>
        <w:rPr>
          <w:rtl w:val="true"/>
        </w:rPr>
        <w:t xml:space="preserve">- </w:t>
      </w:r>
      <w:r>
        <w:rPr>
          <w:rtl w:val="true"/>
        </w:rPr>
        <w:t>سلاح‌هاى دفاعى سبك</w:t>
      </w:r>
      <w:bookmarkEnd w:id="1665"/>
    </w:p>
    <w:p>
      <w:pPr>
        <w:pStyle w:val="Heading6"/>
        <w:numPr>
          <w:ilvl w:val="5"/>
          <w:numId w:val="1"/>
        </w:numPr>
        <w:rPr/>
      </w:pPr>
      <w:bookmarkStart w:id="1666" w:name="__RefHeading___Toc3585831_3650668749"/>
      <w:bookmarkStart w:id="1667" w:name="_Toc712"/>
      <w:bookmarkEnd w:id="1666"/>
      <w:r>
        <w:rPr>
          <w:rtl w:val="true"/>
        </w:rPr>
        <w:t>اشاره</w:t>
      </w:r>
      <w:bookmarkEnd w:id="1667"/>
    </w:p>
    <w:p>
      <w:pPr>
        <w:pStyle w:val="BookText"/>
        <w:rPr/>
      </w:pPr>
      <w:r>
        <w:rPr>
          <w:rFonts w:ascii="Amiri" w:hAnsi="Amiri" w:eastAsia="Amiri" w:cs="Amiri"/>
          <w:color w:val="111111"/>
          <w:sz w:val="28"/>
          <w:sz w:val="28"/>
          <w:szCs w:val="28"/>
          <w:rtl w:val="true"/>
          <w:lang w:bidi="ar-SA"/>
        </w:rPr>
        <w:t>اين سلاح‌ها عبارت بود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68" w:name="__RefHeading___Toc3585833_3650668749"/>
      <w:bookmarkStart w:id="1669" w:name="_Toc713"/>
      <w:bookmarkEnd w:id="1668"/>
      <w:r>
        <w:rPr>
          <w:rtl w:val="true"/>
        </w:rPr>
        <w:t xml:space="preserve">زره </w:t>
      </w:r>
      <w:r>
        <w:rPr>
          <w:rtl w:val="true"/>
        </w:rPr>
        <w:t>(</w:t>
      </w:r>
      <w:r>
        <w:rPr>
          <w:rtl w:val="true"/>
        </w:rPr>
        <w:t>درع</w:t>
      </w:r>
      <w:r>
        <w:rPr>
          <w:rtl w:val="true"/>
        </w:rPr>
        <w:t>)</w:t>
      </w:r>
      <w:bookmarkEnd w:id="166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زره عبارت بود از لباسى كه از حلقه‌هاى آهنى يا فولادى يا كتان و يا صفحه‌هايى از اين اجناس تهيه مى‌شد و سر و گردن و بدن جنگ‌جو را از انواع سلاح‌هاى دشمن محافظت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حلقه‌هاى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زره‌هاى تهيه شده از صفحه‌هاى كتان يا پوست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كه به معناى زره نرم مى‌باشد و به زره‌هاى تهيه شده از صفحه‌هاى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زره‌هاى</w:t>
      </w:r>
    </w:p>
    <w:p>
      <w:pPr>
        <w:pStyle w:val="BookText"/>
        <w:rPr/>
      </w:pPr>
      <w:r>
        <w:rPr>
          <w:rFonts w:ascii="IRNazanin" w:hAnsi="IRNazanin" w:eastAsia="IRNazanin"/>
          <w:color w:val="111111"/>
          <w:sz w:val="28"/>
          <w:sz w:val="28"/>
          <w:szCs w:val="28"/>
          <w:rtl w:val="true"/>
          <w:lang w:bidi="fa-IR"/>
        </w:rPr>
        <w:t xml:space="preserve">آهنين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زره‌هايى كه از حلقه‌هاى اين اجناس تشكيل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1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زره در انواع مختلفى تهيه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غالب‌ترين نوع زره، زره‌اى بود كه از گردن تا زانوها از جلو و عقب و بلكه پايين‌تر از آن را محافظت مى‌كرد و بلكه قسمتى از آن پشت گردن را نيز مى‌پوشانيد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از انواع آن، قسمت پشتى را نداشت، چنان‌كه زره‌اى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مى‌كرد، از اين نوع بود و در توجيه آن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هيچ‌گاه پشت به دشمن نمى‌نمايم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زره‌ها آستين نداشت، چنان‌كه بعضى از انواع ديگر آن آستين‌هاى بلند و گشادى داشت كه حتى انگشتان دست را نيز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نوع زره‌ها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كه به معناى زره فراخ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عرب‌ها بيشتر اوقات، سواران از زره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زره‌هاى رايج در ميان عرب ابتدا ساخت روم، ايران و يمن بود، آن‌گاه در زمان بنى‌اميه در ساير شهرهاى عربى، كارگاه‌هايى براى زره‌سازى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جنگ‌جويان براى جلوگيرى از آزار و اذيت حلقه‌هاى زره بر بدن، لباس‌هاى آستردار ضخيمى كه بيشتر شباهت به بالش داشت، زير آن مى‌پوشيدند</w:t>
      </w:r>
      <w:r>
        <w:rPr>
          <w:rFonts w:eastAsia="IRNazanin" w:cs="IRNazanin"/>
          <w:color w:val="111111"/>
          <w:sz w:val="28"/>
          <w:szCs w:val="28"/>
          <w:rtl w:val="true"/>
          <w:lang w:bidi="fa-IR"/>
        </w:rPr>
        <w:t xml:space="preserve">. </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زره به اضافه ملحقات آن داراى اجزاى زير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سينه‌اى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جوشن، قسمتى از زره بود كه سينه و كمر يا تنها سينه را مى‌پوشاند و معمولاً از صفحه كوچك آهنى يا از آهن مخلوط شده با پودر شاخ حيوانات و يا از پوست حيوانات تهيه مى‌شد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فارسى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آن كلاه مانندى بود كه از آهن و يا فلزات ديگر به شكل دايره ساخته مى‌شد و سر جنگ‌جو را از شمشير، نيزه، سنگ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حفظ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كلاه به تخم</w:t>
      </w:r>
      <w:bookmarkStart w:id="1670" w:name="pg1964_19888"/>
    </w:p>
    <w:p>
      <w:pPr>
        <w:pStyle w:val="BookText"/>
        <w:rPr/>
      </w:pPr>
      <w:bookmarkEnd w:id="1670"/>
      <w:r>
        <w:rPr>
          <w:rFonts w:ascii="IRNazanin" w:hAnsi="IRNazanin" w:eastAsia="IRNazanin"/>
          <w:color w:val="111111"/>
          <w:sz w:val="28"/>
          <w:sz w:val="28"/>
          <w:szCs w:val="28"/>
          <w:rtl w:val="true"/>
          <w:lang w:bidi="fa-IR"/>
        </w:rPr>
        <w:t xml:space="preserve">شترمرغ شباهت داشت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معناى تخم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قسمت جلويى بيضه،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عقبى آن گاهى تا پايين‌تر از گردن جنگ‌جو نيز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بالاى كلاه خود به شكل منحنى و محدب ساخته مى‌شد تا جلوى ضربه شمشير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عرب‌ها هنگام جنگ، عمامه خود را روى كلاه خود مى‌نهادند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كلاه‌خُود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مغفر به زره‌اى گفته مى‌شد كه به منظور محافظت از سر جنگ‌جو هنگام شكاف يا شكستن كلاه خود، از آن استفاده مى‌شد و بخشى از آن نيز روى صورت جنگ‌جو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مغفرى آهنين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 در بعضى مواقع، پشت گردن جنگ‌جو را نيز مى‌پوشاند و به وسيله حلقه‌هايى به زره تنه متصل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اَلاَْذرع، سيقان، اَكُفّ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نام به قسمت‌هايى از زره اطلاق مى‌شد كه دست‌ها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ساق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سيقان جمع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اكف جمع 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قسمت ابتدا ميان عرب‌ها معمول نبود، بلكه بعد از مشاهده زره‌هاى رومى و ايرانى، اين قسمت‌ها را در زره‌هاى خود تعبيه كردند</w:t>
      </w:r>
      <w:r>
        <w:rPr>
          <w:rFonts w:eastAsia="IRNazanin" w:cs="IRNazanin"/>
          <w:color w:val="111111"/>
          <w:sz w:val="28"/>
          <w:szCs w:val="28"/>
          <w:rtl w:val="true"/>
          <w:lang w:bidi="fa-IR"/>
        </w:rPr>
        <w:t xml:space="preserve">. </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 xml:space="preserve">در بعضى از نصوص تاريخى از نوعى زره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درع حَطْيمه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زره شكننده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ياد شده است كه به سبب آنكه نيزه و شمشيرهاى دشمن را مى‌شكست به اين عنوان موسوم شده بود</w:t>
      </w:r>
      <w:r>
        <w:rPr>
          <w:rFonts w:eastAsia="Amiri" w:cs="Amiri" w:ascii="Amiri" w:hAnsi="Amiri"/>
          <w:color w:val="111111"/>
          <w:sz w:val="28"/>
          <w:szCs w:val="28"/>
          <w:rtl w:val="true"/>
          <w:lang w:bidi="ar-SA"/>
        </w:rPr>
        <w:t xml:space="preserve">. </w:t>
      </w:r>
      <w:r>
        <w:rPr>
          <w:rStyle w:val="FootnoteAnchor"/>
          <w:rtl w:val="true"/>
        </w:rPr>
        <w:footnoteReference w:id="1507"/>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71" w:name="__RefHeading___Toc3585835_3650668749"/>
      <w:bookmarkStart w:id="1672" w:name="_Toc714"/>
      <w:bookmarkEnd w:id="1671"/>
      <w:r>
        <w:rPr>
          <w:rtl w:val="true"/>
        </w:rPr>
        <w:t xml:space="preserve">سپر </w:t>
      </w:r>
      <w:r>
        <w:rPr>
          <w:rtl w:val="true"/>
        </w:rPr>
        <w:t>(</w:t>
      </w:r>
      <w:r>
        <w:rPr>
          <w:rtl w:val="true"/>
        </w:rPr>
        <w:t>تُرس، مِجَنّ</w:t>
      </w:r>
      <w:r>
        <w:rPr>
          <w:rtl w:val="true"/>
        </w:rPr>
        <w:t>)</w:t>
      </w:r>
      <w:bookmarkEnd w:id="167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سپر وسيله‌اى دفاعى و عبارت از صفحه‌اى بود كه جنگ‌جو، اعم از سوار و پياده به وسيله دستگيره‌اى كه درون آن قرار داشت، آن را مقابل خود مى‌گرفت تا او را از شمشير، نيزه و تيرهاى دشمن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آن ممكن بود از پوست</w:t>
      </w:r>
      <w:bookmarkStart w:id="1673" w:name="pg1964_19889"/>
    </w:p>
    <w:p>
      <w:pPr>
        <w:pStyle w:val="BookText"/>
        <w:rPr/>
      </w:pPr>
      <w:bookmarkEnd w:id="1673"/>
      <w:r>
        <w:rPr>
          <w:rFonts w:ascii="IRNazanin" w:hAnsi="IRNazanin" w:eastAsia="IRNazanin"/>
          <w:color w:val="111111"/>
          <w:sz w:val="28"/>
          <w:sz w:val="28"/>
          <w:szCs w:val="28"/>
          <w:rtl w:val="true"/>
          <w:lang w:bidi="fa-IR"/>
        </w:rPr>
        <w:t>حيوانات، چوب يا آهن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ابتدا سپرهاى خود را از پوست گاو تهيه مى‌كردند، اما از آنجا كه اين نوع سپرها در مقابل ضربه‌هاى شمشير و نيزه پاره مى‌شد، ناچار شدند كه آن را از چوبى كه روى آن پوست كشيده شده بود، تهيه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اين نوع سپرها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در جنگ قادسيه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پيروزى بر ايران و نيز گرفتن بعضى از متصرفات روم، سپرهاى خود را از آهن تهيه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سپر در مراحل مختلفِ جنگ، همانند حمله، دفاع و به خصوص جنگ تن به تن، كاربرد فراوانى داشت</w:t>
      </w:r>
      <w:r>
        <w:rPr>
          <w:rFonts w:eastAsia="IRNazanin" w:cs="IRNazanin"/>
          <w:color w:val="111111"/>
          <w:sz w:val="28"/>
          <w:szCs w:val="28"/>
          <w:rtl w:val="true"/>
          <w:lang w:bidi="fa-IR"/>
        </w:rPr>
        <w:t xml:space="preserve">. </w:t>
      </w:r>
      <w:r>
        <w:rPr>
          <w:rStyle w:val="FootnoteAnchor"/>
          <w:rtl w:val="true"/>
        </w:rPr>
        <w:footnoteReference w:id="1508"/>
      </w:r>
    </w:p>
    <w:p>
      <w:pPr>
        <w:pStyle w:val="BookText"/>
        <w:rPr/>
      </w:pPr>
      <w:r>
        <w:rPr>
          <w:rFonts w:ascii="IRNazanin" w:hAnsi="IRNazanin" w:eastAsia="IRNazanin"/>
          <w:color w:val="111111"/>
          <w:sz w:val="28"/>
          <w:sz w:val="28"/>
          <w:szCs w:val="28"/>
          <w:rtl w:val="true"/>
          <w:lang w:bidi="fa-IR"/>
        </w:rPr>
        <w:t>سپر انواع مختلفى داشت كه بعضى از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p>
    <w:p>
      <w:pPr>
        <w:pStyle w:val="Heading6"/>
        <w:numPr>
          <w:ilvl w:val="5"/>
          <w:numId w:val="1"/>
        </w:numPr>
        <w:rPr/>
      </w:pPr>
      <w:bookmarkStart w:id="1674" w:name="__RefHeading___Toc3585837_3650668749"/>
      <w:bookmarkStart w:id="1675" w:name="_Toc715"/>
      <w:bookmarkEnd w:id="1674"/>
      <w:r>
        <w:rPr>
          <w:rtl w:val="true"/>
        </w:rPr>
        <w:t xml:space="preserve">سپر مستطيل </w:t>
      </w:r>
      <w:r>
        <w:rPr>
          <w:rtl w:val="true"/>
        </w:rPr>
        <w:t>(</w:t>
      </w:r>
      <w:r>
        <w:rPr>
          <w:rtl w:val="true"/>
        </w:rPr>
        <w:t>الترس المستطيل</w:t>
      </w:r>
      <w:r>
        <w:rPr>
          <w:rtl w:val="true"/>
        </w:rPr>
        <w:t>)</w:t>
      </w:r>
      <w:bookmarkEnd w:id="1675"/>
    </w:p>
    <w:p>
      <w:pPr>
        <w:pStyle w:val="BookText"/>
        <w:rPr/>
      </w:pPr>
      <w:r>
        <w:rPr>
          <w:rFonts w:ascii="IRNazanin" w:hAnsi="IRNazanin" w:eastAsia="IRNazanin"/>
          <w:color w:val="111111"/>
          <w:sz w:val="28"/>
          <w:sz w:val="28"/>
          <w:szCs w:val="28"/>
          <w:rtl w:val="true"/>
          <w:lang w:bidi="fa-IR"/>
        </w:rPr>
        <w:t>از اين نوع سپر براى جلوگيرى از اصابت تيرها استفاده مى‌شد و معمولاً سواركاران از آن استفاده مى‌كردند؛ زيرا براى حمايت از نيمه بالايى تنه كفايت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اين نوع سپر به شكل خاصى به صورت مقعر ساخته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p>
    <w:p>
      <w:pPr>
        <w:pStyle w:val="Heading6"/>
        <w:numPr>
          <w:ilvl w:val="5"/>
          <w:numId w:val="1"/>
        </w:numPr>
        <w:rPr/>
      </w:pPr>
      <w:bookmarkStart w:id="1676" w:name="__RefHeading___Toc3585839_3650668749"/>
      <w:bookmarkStart w:id="1677" w:name="_Toc716"/>
      <w:bookmarkEnd w:id="1676"/>
      <w:r>
        <w:rPr>
          <w:rtl w:val="true"/>
        </w:rPr>
        <w:t xml:space="preserve">سپر دايره‌اى </w:t>
      </w:r>
      <w:r>
        <w:rPr>
          <w:rtl w:val="true"/>
        </w:rPr>
        <w:t>(</w:t>
      </w:r>
      <w:r>
        <w:rPr>
          <w:rtl w:val="true"/>
        </w:rPr>
        <w:t>الترس المستدير</w:t>
      </w:r>
      <w:r>
        <w:rPr>
          <w:rtl w:val="true"/>
        </w:rPr>
        <w:t>)</w:t>
      </w:r>
      <w:bookmarkEnd w:id="1677"/>
    </w:p>
    <w:p>
      <w:pPr>
        <w:pStyle w:val="BookText"/>
        <w:rPr/>
      </w:pPr>
      <w:r>
        <w:rPr>
          <w:rFonts w:ascii="IRNazanin" w:hAnsi="IRNazanin" w:eastAsia="IRNazanin"/>
          <w:color w:val="111111"/>
          <w:sz w:val="28"/>
          <w:sz w:val="28"/>
          <w:szCs w:val="28"/>
          <w:rtl w:val="true"/>
          <w:lang w:bidi="fa-IR"/>
        </w:rPr>
        <w:t>اين نوع سپر كه رايج‌ترين نوع سپر نزد عرب‌ها به شمار مى‌رفت، دايره‌اى شكل بود و در وسط آن به طرف بيرون، گنبد شكلى تعبيه شده بود كه باعث رد شدن نيزها از آن مى‌گشت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يكى از سپرهاى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به احتمال زياد از همين نوع سپر بوده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لغزان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آنجا كه اين نوع سپر باعث لغزيدن نيزها و شمشيرها مى‌شد، مى‌توان حدس زد كه سپر پيامبر از اين نوع بوده است</w:t>
      </w:r>
      <w:r>
        <w:rPr>
          <w:rFonts w:eastAsia="IRNazanin" w:cs="IRNazanin"/>
          <w:color w:val="111111"/>
          <w:sz w:val="28"/>
          <w:szCs w:val="28"/>
          <w:rtl w:val="true"/>
          <w:lang w:bidi="fa-IR"/>
        </w:rPr>
        <w:t>.</w:t>
      </w:r>
      <w:bookmarkStart w:id="1678" w:name="pg1964_19890"/>
    </w:p>
    <w:p>
      <w:pPr>
        <w:pStyle w:val="BookText"/>
        <w:rPr/>
      </w:pPr>
      <w:bookmarkEnd w:id="1678"/>
      <w:r>
        <w:rPr>
          <w:rFonts w:eastAsia="Times New Roman" w:cs="Times New Roman" w:ascii="Times New Roman" w:hAnsi="Times New Roman"/>
          <w:color w:val="111111"/>
          <w:sz w:val="28"/>
          <w:szCs w:val="28"/>
          <w:lang w:val="en-US" w:bidi="en-US"/>
        </w:rPr>
        <w:t>o</w:t>
      </w:r>
    </w:p>
    <w:p>
      <w:pPr>
        <w:pStyle w:val="Heading6"/>
        <w:numPr>
          <w:ilvl w:val="5"/>
          <w:numId w:val="1"/>
        </w:numPr>
        <w:rPr/>
      </w:pPr>
      <w:bookmarkStart w:id="1679" w:name="__RefHeading___Toc3585841_3650668749"/>
      <w:bookmarkStart w:id="1680" w:name="_Toc717"/>
      <w:bookmarkEnd w:id="1679"/>
      <w:r>
        <w:rPr>
          <w:rtl w:val="true"/>
        </w:rPr>
        <w:t xml:space="preserve">سپر گنبدى </w:t>
      </w:r>
      <w:r>
        <w:rPr>
          <w:rtl w:val="true"/>
        </w:rPr>
        <w:t>(</w:t>
      </w:r>
      <w:r>
        <w:rPr>
          <w:rtl w:val="true"/>
        </w:rPr>
        <w:t>ترس المُقَبَّب</w:t>
      </w:r>
      <w:r>
        <w:rPr>
          <w:rtl w:val="true"/>
        </w:rPr>
        <w:t>)</w:t>
      </w:r>
      <w:bookmarkEnd w:id="1680"/>
    </w:p>
    <w:p>
      <w:pPr>
        <w:pStyle w:val="BookText"/>
        <w:rPr/>
      </w:pPr>
      <w:r>
        <w:rPr>
          <w:rFonts w:ascii="IRNazanin" w:hAnsi="IRNazanin" w:eastAsia="IRNazanin"/>
          <w:color w:val="111111"/>
          <w:sz w:val="28"/>
          <w:sz w:val="28"/>
          <w:szCs w:val="28"/>
          <w:rtl w:val="true"/>
          <w:lang w:bidi="fa-IR"/>
        </w:rPr>
        <w:t>اطراف اين نوع سپر، منحنى بوده و بيشتر براى دفع شمشير و سنگ، كارايى داشت و براى دفع نيزه به‌كار نمى‌رفت؛ زيرا شكل آن به گونه‌اى بود كه نيزه در آن نفوذ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p>
    <w:p>
      <w:pPr>
        <w:pStyle w:val="Heading6"/>
        <w:numPr>
          <w:ilvl w:val="5"/>
          <w:numId w:val="1"/>
        </w:numPr>
        <w:rPr/>
      </w:pPr>
      <w:bookmarkStart w:id="1681" w:name="__RefHeading___Toc3585843_3650668749"/>
      <w:bookmarkStart w:id="1682" w:name="_Toc718"/>
      <w:bookmarkEnd w:id="1681"/>
      <w:r>
        <w:rPr>
          <w:rtl w:val="true"/>
        </w:rPr>
        <w:t xml:space="preserve">سپر مسطح </w:t>
      </w:r>
      <w:r>
        <w:rPr>
          <w:rtl w:val="true"/>
        </w:rPr>
        <w:t>(</w:t>
      </w:r>
      <w:r>
        <w:rPr>
          <w:rtl w:val="true"/>
        </w:rPr>
        <w:t>ترس المسطح</w:t>
      </w:r>
      <w:r>
        <w:rPr>
          <w:rtl w:val="true"/>
        </w:rPr>
        <w:t>)</w:t>
      </w:r>
      <w:bookmarkEnd w:id="1682"/>
    </w:p>
    <w:p>
      <w:pPr>
        <w:pStyle w:val="BookText"/>
        <w:rPr/>
      </w:pPr>
      <w:r>
        <w:rPr>
          <w:rFonts w:ascii="IRNazanin" w:hAnsi="IRNazanin" w:eastAsia="IRNazanin"/>
          <w:color w:val="111111"/>
          <w:sz w:val="28"/>
          <w:sz w:val="28"/>
          <w:szCs w:val="28"/>
          <w:rtl w:val="true"/>
          <w:lang w:bidi="fa-IR"/>
        </w:rPr>
        <w:t>اين نوع سپر مسطح و صاف بود و بيشتر براى دفع نيزه از آن استفاده مى‌شد</w:t>
      </w:r>
      <w:r>
        <w:rPr>
          <w:rFonts w:eastAsia="IRNazanin" w:cs="IRNazanin"/>
          <w:color w:val="111111"/>
          <w:sz w:val="28"/>
          <w:szCs w:val="28"/>
          <w:rtl w:val="true"/>
          <w:lang w:bidi="fa-IR"/>
        </w:rPr>
        <w:t xml:space="preserve">. </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 xml:space="preserve">در بعضى از جنگ‌ها بعضى افراد با سپرهاى خاصى كه به‌كار مى‌بردند، مشهور مى‌شدند، چنان‌كه در جنگ صفين از يكى از سپاهيان معاويه با عنوان صاحب سپر طلاكارى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التُرس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Style w:val="FootnoteAnchor"/>
          <w:rtl w:val="true"/>
        </w:rPr>
        <w:footnoteReference w:id="1510"/>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83" w:name="__RefHeading___Toc3585845_3650668749"/>
      <w:bookmarkStart w:id="1684" w:name="_Toc719"/>
      <w:bookmarkEnd w:id="1683"/>
      <w:r>
        <w:rPr>
          <w:rtl w:val="true"/>
        </w:rPr>
        <w:t xml:space="preserve">خارهاى سه پهلو </w:t>
      </w:r>
      <w:r>
        <w:rPr>
          <w:rtl w:val="true"/>
        </w:rPr>
        <w:t>(</w:t>
      </w:r>
      <w:r>
        <w:rPr>
          <w:rtl w:val="true"/>
        </w:rPr>
        <w:t>حَسَك الشايك</w:t>
      </w:r>
      <w:r>
        <w:rPr>
          <w:rtl w:val="true"/>
        </w:rPr>
        <w:t>)</w:t>
      </w:r>
      <w:bookmarkEnd w:id="168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سلاح دفاعى، كارى مانند مين‌هاى امروزى را انجام مى‌داد؛ بدين ترتيب كه طرز ساخت آن به گونه‌اى بود كه به هر گونه‌اى كه آن را روى زمين مى‌انداختند، خارهايى از آن به سمت بالا قرار مى‌گرفت و در سُم اسبان سواره نظام و پاى افراد پياده، فرو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خارها را در اطراف پادگان‌ها، شهرها، راه‌ها و خندق‌ها مى‌ريختند تا از هجوم دشمن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نوعى از اين وسيله كه عبارت از تخته‌هاى ميخ كارى شده بود،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آشنايى عرب با اين وسيله دفاعى كه به‌طور كلى از آهن ساخته شده بود، در سال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جنگ نهاوند صورت گرفت كه ايرانى‌ها آن را به‌كار برده بودند، سپس عرب‌ها طريقه ساخت آن را از ايرانى‌ها آموختند و آن را در محل‌هايى كه احتمال عبور دشمن مى‌رفت، كار مى‌گذاشتند و خود از راه‌هاى سالمى كه دشمن از آنها اطلاع نداشت، رفت و آمد مى‌كردند</w:t>
      </w:r>
      <w:r>
        <w:rPr>
          <w:rFonts w:eastAsia="IRNazanin" w:cs="IRNazanin"/>
          <w:color w:val="111111"/>
          <w:sz w:val="28"/>
          <w:szCs w:val="28"/>
          <w:rtl w:val="true"/>
          <w:lang w:bidi="fa-IR"/>
        </w:rPr>
        <w:t xml:space="preserve">. </w:t>
      </w:r>
      <w:r>
        <w:rPr>
          <w:rStyle w:val="FootnoteAnchor"/>
          <w:rtl w:val="true"/>
        </w:rPr>
        <w:footnoteReference w:id="1511"/>
      </w:r>
      <w:bookmarkStart w:id="1685" w:name="pg1964_19891"/>
    </w:p>
    <w:p>
      <w:pPr>
        <w:pStyle w:val="BookText"/>
        <w:rPr/>
      </w:pPr>
      <w:bookmarkEnd w:id="1685"/>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86" w:name="__RefHeading___Toc3585847_3650668749"/>
      <w:bookmarkStart w:id="1687" w:name="_Toc720"/>
      <w:bookmarkEnd w:id="1686"/>
      <w:r>
        <w:rPr>
          <w:rtl w:val="true"/>
        </w:rPr>
        <w:t>تِجْفاف</w:t>
      </w:r>
      <w:bookmarkEnd w:id="1687"/>
    </w:p>
    <w:p>
      <w:pPr>
        <w:pStyle w:val="BookText"/>
        <w:rPr/>
      </w:pPr>
      <w:r>
        <w:rPr>
          <w:rFonts w:ascii="IRNazanin" w:hAnsi="IRNazanin" w:eastAsia="IRNazanin"/>
          <w:color w:val="111111"/>
          <w:sz w:val="28"/>
          <w:sz w:val="28"/>
          <w:szCs w:val="28"/>
          <w:rtl w:val="true"/>
          <w:lang w:bidi="fa-IR"/>
        </w:rPr>
        <w:t>تجفاف، نوعى وسيله دفاعى بود كه به منظور نگهدارى و حفظ اسبان و شتران از تير و نيزه دشمن به‌كار مى‌رفت و به اصطلاح، نقش زره را در مورد اسب و شتر ايفاد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استفاده از آن، اين‌گونه بود كه مَرْكب را به وسيله مقدارى پوست يا آهن مى‌پوشانيدند و به اين اسب‌ها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خيول مُجَفَّفَه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و به اسب‌هايى كه اين نوع پوشش را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خيول مُجَرَّدَه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اسب‌هاى عريان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اسب‌ها چون قدرت تحرّك كمترى داشتند، هنگام دفاع كه احتياج به سكون و عدم تحرك بيشترى بود، مورد استفاده قرار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واحدى كه از اسب سوارانى با اين خصوصيات تشكيل مى‌شد،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مُجَفَّفَه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w:t>
      </w:r>
      <w:r>
        <w:rPr>
          <w:rFonts w:eastAsia="IRNazanin" w:cs="IRNazanin"/>
          <w:color w:val="111111"/>
          <w:sz w:val="28"/>
          <w:szCs w:val="28"/>
          <w:rtl w:val="true"/>
          <w:lang w:bidi="fa-IR"/>
        </w:rPr>
        <w:t xml:space="preserve">. </w:t>
      </w:r>
      <w:r>
        <w:rPr>
          <w:rStyle w:val="FootnoteAnchor"/>
          <w:rtl w:val="true"/>
        </w:rPr>
        <w:footnoteReference w:id="1512"/>
      </w:r>
      <w:r>
        <w:rPr>
          <w:rFonts w:ascii="Amiri" w:hAnsi="Amiri" w:eastAsia="Amiri" w:cs="Amiri"/>
          <w:color w:val="111111"/>
          <w:sz w:val="28"/>
          <w:sz w:val="28"/>
          <w:szCs w:val="28"/>
          <w:rtl w:val="true"/>
          <w:lang w:bidi="ar-SA"/>
        </w:rPr>
        <w:t xml:space="preserve">در لشكركشى كوفيان مقابل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واحد، سخن به ميان آمده است</w:t>
      </w:r>
      <w:r>
        <w:rPr>
          <w:rFonts w:eastAsia="Amiri" w:cs="Amiri" w:ascii="Amiri" w:hAnsi="Amiri"/>
          <w:color w:val="111111"/>
          <w:sz w:val="28"/>
          <w:szCs w:val="28"/>
          <w:rtl w:val="true"/>
          <w:lang w:bidi="ar-SA"/>
        </w:rPr>
        <w:t xml:space="preserve">. </w:t>
      </w:r>
      <w:r>
        <w:rPr>
          <w:rStyle w:val="FootnoteAnchor"/>
          <w:rtl w:val="true"/>
        </w:rPr>
        <w:footnoteReference w:id="1513"/>
      </w:r>
      <w:r>
        <w:rPr>
          <w:rFonts w:ascii="IRNazanin" w:hAnsi="IRNazanin" w:eastAsia="IRNazanin"/>
          <w:color w:val="111111"/>
          <w:sz w:val="28"/>
          <w:sz w:val="28"/>
          <w:szCs w:val="28"/>
          <w:rtl w:val="true"/>
          <w:lang w:bidi="fa-IR"/>
        </w:rPr>
        <w:t>همچنين از شتر مجفّف در جريان جنگ جمل، در ميان لشكر بصره ياد شده است</w:t>
      </w:r>
      <w:r>
        <w:rPr>
          <w:rFonts w:eastAsia="IRNazanin" w:cs="IRNazanin"/>
          <w:color w:val="111111"/>
          <w:sz w:val="28"/>
          <w:szCs w:val="28"/>
          <w:rtl w:val="true"/>
          <w:lang w:bidi="fa-IR"/>
        </w:rPr>
        <w:t xml:space="preserve">. </w:t>
      </w:r>
      <w:r>
        <w:rPr>
          <w:rStyle w:val="FootnoteAnchor"/>
          <w:rtl w:val="true"/>
        </w:rPr>
        <w:footnoteReference w:id="1514"/>
      </w:r>
    </w:p>
    <w:p>
      <w:pPr>
        <w:pStyle w:val="Heading6"/>
        <w:numPr>
          <w:ilvl w:val="5"/>
          <w:numId w:val="1"/>
        </w:numPr>
        <w:rPr/>
      </w:pPr>
      <w:bookmarkStart w:id="1688" w:name="__RefHeading___Toc3585849_3650668749"/>
      <w:bookmarkStart w:id="1689" w:name="_Toc721"/>
      <w:bookmarkEnd w:id="1688"/>
      <w:r>
        <w:rPr>
          <w:rtl w:val="true"/>
        </w:rPr>
        <w:t xml:space="preserve">دوم </w:t>
      </w:r>
      <w:r>
        <w:rPr>
          <w:rtl w:val="true"/>
        </w:rPr>
        <w:t xml:space="preserve">- </w:t>
      </w:r>
      <w:r>
        <w:rPr>
          <w:rtl w:val="true"/>
        </w:rPr>
        <w:t>سلاح‌هاى دفاعى سنگين</w:t>
      </w:r>
      <w:bookmarkEnd w:id="168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وسايل دفاعى سنگين در آن زمان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طبيعى، مانند كوه‌ها، رودخانه‌ها، درياها، باتلاق‌ها و جنگل‌ها كه امكان برخورد مسلمانان با انواع آن در جنگ‌هايى كه به منظور پيشبرد اسلام در سرزمين‌هاى ايران و روم انجام مى‌دادند،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موانع مصنوعى، همانند خندق‌ها، قلعه‌ها و ديوار شهرها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در زمان مورد بحث، در شهرهاى خود قلعه و ديوار نمى‌ساختند؛ زيرا آنان در حال پيشرفت بودند و قلعه و ديوار آنها را در موضع دفاعى قرار مى‌داد، چنان‌كه در مورد شهرهايى، همانند بصره و كوفه كه در زمان مورد بحث ساخته شده است، به ديوار و قلعه برخورد نمى‌نماييم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آنجا كه خندق در حالت دفاعى ساخته مى‌شود، در زمان مورد بحث كه نبردهاى اسلامى</w:t>
      </w:r>
      <w:bookmarkStart w:id="1690" w:name="pg1964_19892"/>
    </w:p>
    <w:p>
      <w:pPr>
        <w:pStyle w:val="BookText"/>
        <w:rPr/>
      </w:pPr>
      <w:bookmarkEnd w:id="1690"/>
      <w:r>
        <w:rPr>
          <w:rFonts w:ascii="IRNazanin" w:hAnsi="IRNazanin" w:eastAsia="IRNazanin"/>
          <w:color w:val="111111"/>
          <w:sz w:val="28"/>
          <w:sz w:val="28"/>
          <w:szCs w:val="28"/>
          <w:rtl w:val="true"/>
          <w:lang w:bidi="fa-IR"/>
        </w:rPr>
        <w:t xml:space="preserve">نقش تهاجمى ايفا مى‌نمودند، به چشم نمى‌خورد، بلكه اولين خندق در اسلام در سال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جنگ احزاب ساخته شد كه به همين سبب به جنگ خندق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اين جنگ به پيشنهاد سلمان فارسى براى محافظت مدينه در اطراف آن خندق حفر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ويژگى‌هاى خندق آن بود كه ساخت سريع آن ممكن بود</w:t>
      </w:r>
      <w:r>
        <w:rPr>
          <w:rFonts w:eastAsia="IRNazanin" w:cs="IRNazanin"/>
          <w:color w:val="111111"/>
          <w:sz w:val="28"/>
          <w:szCs w:val="28"/>
          <w:rtl w:val="true"/>
          <w:lang w:bidi="fa-IR"/>
        </w:rPr>
        <w:t xml:space="preserve">. </w:t>
      </w:r>
      <w:r>
        <w:rPr>
          <w:rStyle w:val="FootnoteAnchor"/>
          <w:rtl w:val="true"/>
        </w:rPr>
        <w:footnoteReference w:id="1515"/>
      </w:r>
    </w:p>
    <w:p>
      <w:pPr>
        <w:pStyle w:val="Heading4"/>
        <w:numPr>
          <w:ilvl w:val="3"/>
          <w:numId w:val="1"/>
        </w:numPr>
        <w:rPr/>
      </w:pPr>
      <w:bookmarkStart w:id="1691" w:name="__RefHeading___Toc3585851_3650668749"/>
      <w:bookmarkStart w:id="1692" w:name="_Toc722"/>
      <w:bookmarkEnd w:id="1691"/>
      <w:r>
        <w:rPr>
          <w:rtl w:val="true"/>
        </w:rPr>
        <w:t>ه</w:t>
      </w:r>
      <w:r>
        <w:rPr>
          <w:rtl w:val="true"/>
        </w:rPr>
        <w:t xml:space="preserve">) </w:t>
      </w:r>
      <w:r>
        <w:rPr>
          <w:rtl w:val="true"/>
        </w:rPr>
        <w:t>تعليم جنگاوران</w:t>
      </w:r>
      <w:bookmarkEnd w:id="169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بارها يادآور شديم، در زمان مورد بحث، نيروى اصلى جنگى را مردم عادى تشكيل مى‌دادند؛ يعنى همان مردمى كه در مواقع غير جنگى مشغول كسب و كار خود بودند و نيروى آماده‌اى به عنوان ارتش تشكيل نشده بود، حتى در جنگ‌ها، سربازان موظف به تهيه غذا، سلاح و مركب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نظامى طبعاً ارگانى براى تعليم جنگاوران وجود نداشت، بلكه هر فردى از كودكى به‌وسيله پدر و يا ديگر افراد قبيله خود، فنون جنگى و اسب سوارى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مى‌آموخت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اسلام نيز مردم را به تعليم فنون جنگى به فرزندانشان تشويق مى‌كرد، چنان‌كه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خطاب به مردم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فرزندان خود تيراندازى و اسب سوارى را بياموزيد</w:t>
      </w:r>
      <w:r>
        <w:rPr>
          <w:rFonts w:eastAsia="IRNazanin" w:cs="IRNazanin"/>
          <w:color w:val="111111"/>
          <w:sz w:val="28"/>
          <w:szCs w:val="28"/>
          <w:rtl w:val="true"/>
          <w:lang w:bidi="fa-IR"/>
        </w:rPr>
        <w:t xml:space="preserve">» . </w:t>
      </w:r>
      <w:r>
        <w:rPr>
          <w:rStyle w:val="FootnoteAnchor"/>
          <w:rtl w:val="true"/>
        </w:rPr>
        <w:footnoteReference w:id="1516"/>
      </w:r>
      <w:r>
        <w:rPr>
          <w:rFonts w:ascii="IRNazanin" w:hAnsi="IRNazanin" w:eastAsia="IRNazanin"/>
          <w:color w:val="111111"/>
          <w:sz w:val="28"/>
          <w:sz w:val="28"/>
          <w:szCs w:val="28"/>
          <w:rtl w:val="true"/>
          <w:lang w:bidi="fa-IR"/>
        </w:rPr>
        <w:t xml:space="preserve">همچنين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تشويق مردم براى يادگيرى فنون جنگى، خود در تمرين‌هاى آنها شركت مى‌كرد، چنان‌كه نقل شده است آن حضرت در تمرين‌هاى تيراندازى انصار كه به صورت مسابقه برگزار شده بود، شركت نمود و همراه آنان تير انداخت</w:t>
      </w:r>
      <w:r>
        <w:rPr>
          <w:rFonts w:eastAsia="IRNazanin" w:cs="IRNazanin"/>
          <w:color w:val="111111"/>
          <w:sz w:val="28"/>
          <w:szCs w:val="28"/>
          <w:rtl w:val="true"/>
          <w:lang w:bidi="fa-IR"/>
        </w:rPr>
        <w:t xml:space="preserve">. </w:t>
      </w:r>
      <w:r>
        <w:rPr>
          <w:rStyle w:val="FootnoteAnchor"/>
          <w:rtl w:val="true"/>
        </w:rPr>
        <w:footnoteReference w:id="1517"/>
      </w:r>
      <w:r>
        <w:rPr>
          <w:rFonts w:ascii="Amiri" w:hAnsi="Amiri" w:eastAsia="Amiri" w:cs="Amiri"/>
          <w:color w:val="111111"/>
          <w:sz w:val="28"/>
          <w:sz w:val="28"/>
          <w:szCs w:val="28"/>
          <w:rtl w:val="true"/>
          <w:lang w:bidi="ar-SA"/>
        </w:rPr>
        <w:t>عمر نيز در نامه‌اى خطاب به اهل فتوحات از آنان خواست كه به فرزندانشان شنا و اسب سوارى بياموزند</w:t>
      </w:r>
      <w:r>
        <w:rPr>
          <w:rFonts w:eastAsia="Amiri" w:cs="Amiri" w:ascii="Amiri" w:hAnsi="Amiri"/>
          <w:color w:val="111111"/>
          <w:sz w:val="28"/>
          <w:szCs w:val="28"/>
          <w:rtl w:val="true"/>
          <w:lang w:bidi="ar-SA"/>
        </w:rPr>
        <w:t xml:space="preserve">. </w:t>
      </w:r>
      <w:r>
        <w:rPr>
          <w:rStyle w:val="FootnoteAnchor"/>
          <w:rtl w:val="true"/>
        </w:rPr>
        <w:footnoteReference w:id="1518"/>
      </w:r>
      <w:bookmarkStart w:id="1693" w:name="pg1964_19893"/>
    </w:p>
    <w:p>
      <w:pPr>
        <w:pStyle w:val="BookText"/>
        <w:rPr/>
      </w:pPr>
      <w:bookmarkEnd w:id="1693"/>
      <w:r>
        <w:rPr>
          <w:rFonts w:ascii="IRNazanin" w:hAnsi="IRNazanin" w:eastAsia="IRNazanin"/>
          <w:color w:val="111111"/>
          <w:sz w:val="28"/>
          <w:sz w:val="28"/>
          <w:szCs w:val="28"/>
          <w:rtl w:val="true"/>
          <w:lang w:bidi="fa-IR"/>
        </w:rPr>
        <w:t xml:space="preserve">در كتاب‌هاى روايى، شايد بتوان گفت كه يكى از مهم‌ترين تشويق‌هاى اسلام براى يادگيرى فنون جنگى از سوى مردم، تشويق به برقرارى مسابقه و حلال شمردن شرطبندى در موارد مسابقات فنون جنگى، مانند تيراندازى و اسب سوارى بود، چنان‌كه روايات فراوانى در باره تشويق مردم به مسابقه، مسابقه‌هاى شتر سوارى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كشتى گرفتن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عرب قوى و مشروعيت شرطبندى در مسابقات وارد شده است</w:t>
      </w:r>
      <w:r>
        <w:rPr>
          <w:rFonts w:eastAsia="IRNazanin" w:cs="IRNazanin"/>
          <w:color w:val="111111"/>
          <w:sz w:val="28"/>
          <w:szCs w:val="28"/>
          <w:rtl w:val="true"/>
          <w:lang w:bidi="fa-IR"/>
        </w:rPr>
        <w:t xml:space="preserve">. </w:t>
      </w:r>
      <w:r>
        <w:rPr>
          <w:rStyle w:val="FootnoteAnchor"/>
          <w:rtl w:val="true"/>
        </w:rPr>
        <w:footnoteReference w:id="1519"/>
      </w:r>
    </w:p>
    <w:p>
      <w:pPr>
        <w:pStyle w:val="Heading4"/>
        <w:numPr>
          <w:ilvl w:val="3"/>
          <w:numId w:val="1"/>
        </w:numPr>
        <w:rPr/>
      </w:pPr>
      <w:bookmarkStart w:id="1694" w:name="__RefHeading___Toc3585853_3650668749"/>
      <w:bookmarkStart w:id="1695" w:name="_Toc723"/>
      <w:bookmarkEnd w:id="1694"/>
      <w:r>
        <w:rPr>
          <w:rtl w:val="true"/>
        </w:rPr>
        <w:t>و</w:t>
      </w:r>
      <w:r>
        <w:rPr>
          <w:rtl w:val="true"/>
        </w:rPr>
        <w:t xml:space="preserve">) </w:t>
      </w:r>
      <w:r>
        <w:rPr>
          <w:rtl w:val="true"/>
        </w:rPr>
        <w:t>اسلحه‌سازى</w:t>
      </w:r>
      <w:bookmarkEnd w:id="1695"/>
    </w:p>
    <w:p>
      <w:pPr>
        <w:pStyle w:val="BookText"/>
        <w:rPr/>
      </w:pPr>
      <w:r>
        <w:rPr>
          <w:rFonts w:ascii="IRNazanin" w:hAnsi="IRNazanin" w:eastAsia="IRNazanin"/>
          <w:color w:val="111111"/>
          <w:sz w:val="28"/>
          <w:sz w:val="28"/>
          <w:szCs w:val="28"/>
          <w:rtl w:val="true"/>
          <w:lang w:bidi="fa-IR"/>
        </w:rPr>
        <w:t>چنان‌كه در فصل چهارم در بخش واردات كوفه آورديم، در كوفه سلاح ساخته نمى‌شد، بلكه عمده سلاح آن از شهرها و كشورهاى ديگر، مانند ايران، يمن، هند و شام وارد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سلاح‌هاى هر مكان به نام آن مكان معروف بود، مثلاً شمشيرهاى يمنى، هندى، مَشْرِفى، نام‌هايى بود كه در آن زمان بسيار رايج بود</w:t>
      </w:r>
      <w:r>
        <w:rPr>
          <w:rFonts w:eastAsia="IRNazanin" w:cs="IRNazanin"/>
          <w:color w:val="111111"/>
          <w:sz w:val="28"/>
          <w:szCs w:val="28"/>
          <w:rtl w:val="true"/>
          <w:lang w:bidi="fa-IR"/>
        </w:rPr>
        <w:t xml:space="preserve">. </w:t>
      </w:r>
      <w:r>
        <w:rPr>
          <w:rStyle w:val="FootnoteAnchor"/>
          <w:rtl w:val="true"/>
        </w:rPr>
        <w:footnoteReference w:id="1520"/>
      </w:r>
      <w:r>
        <w:rPr>
          <w:rFonts w:ascii="IRNazanin" w:hAnsi="IRNazanin" w:eastAsia="IRNazanin"/>
          <w:color w:val="111111"/>
          <w:sz w:val="28"/>
          <w:sz w:val="28"/>
          <w:szCs w:val="28"/>
          <w:rtl w:val="true"/>
          <w:lang w:bidi="fa-IR"/>
        </w:rPr>
        <w:t xml:space="preserve">در بعضى از متون تاريخى، از جمله در مورد سلاح دفاعى مالك اشتر در جنگ صفين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صَفيحه يمانيه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نوعى سپر يمنى بوده، سخن به ميان آمده است</w:t>
      </w:r>
      <w:r>
        <w:rPr>
          <w:rFonts w:eastAsia="IRNazanin" w:cs="IRNazanin"/>
          <w:color w:val="111111"/>
          <w:sz w:val="28"/>
          <w:szCs w:val="28"/>
          <w:rtl w:val="true"/>
          <w:lang w:bidi="fa-IR"/>
        </w:rPr>
        <w:t xml:space="preserve">. </w:t>
      </w:r>
      <w:r>
        <w:rPr>
          <w:rStyle w:val="FootnoteAnchor"/>
          <w:rtl w:val="true"/>
        </w:rPr>
        <w:footnoteReference w:id="1521"/>
      </w:r>
    </w:p>
    <w:p>
      <w:pPr>
        <w:pStyle w:val="Heading4"/>
        <w:numPr>
          <w:ilvl w:val="3"/>
          <w:numId w:val="1"/>
        </w:numPr>
        <w:rPr/>
      </w:pPr>
      <w:bookmarkStart w:id="1696" w:name="__RefHeading___Toc3585855_3650668749"/>
      <w:bookmarkStart w:id="1697" w:name="_Toc724"/>
      <w:bookmarkEnd w:id="1696"/>
      <w:r>
        <w:rPr>
          <w:rtl w:val="true"/>
        </w:rPr>
        <w:t>ز</w:t>
      </w:r>
      <w:r>
        <w:rPr>
          <w:rtl w:val="true"/>
        </w:rPr>
        <w:t xml:space="preserve">) </w:t>
      </w:r>
      <w:r>
        <w:rPr>
          <w:rtl w:val="true"/>
        </w:rPr>
        <w:t>پيك</w:t>
      </w:r>
      <w:bookmarkEnd w:id="1697"/>
    </w:p>
    <w:p>
      <w:pPr>
        <w:pStyle w:val="BookText"/>
        <w:rPr/>
      </w:pPr>
      <w:r>
        <w:rPr>
          <w:rFonts w:ascii="IRNazanin" w:hAnsi="IRNazanin" w:eastAsia="IRNazanin"/>
          <w:color w:val="111111"/>
          <w:sz w:val="28"/>
          <w:sz w:val="28"/>
          <w:szCs w:val="28"/>
          <w:rtl w:val="true"/>
          <w:lang w:bidi="fa-IR"/>
        </w:rPr>
        <w:t>مراد از پيك در اينجا، پيك جنگى است، اما بحث را فراتر برده و به‌طور كلى پُست را در زمان مورد بحث، بررسى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نامه‌رسان در اين زمان دو لغت به‌كار برده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 ضَيج كه عربى شده لغت پيك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لغت در بعضى از كتاب‌هاى لغت عربى، به دونده‌اى كه اخبار را از شهرى به شهر ديگر منتقل مى‌كند، معنا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نشانه آن است كه معمولاً پيك مسير را پياده طى مى‌كرده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 بَريد كه امروزه به معناى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گفته‌اند كه اشتقاق اين لغت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است و چون در آن زمان از قاطرهاى دُم بُريده به عنوان مركب‌هاى پستى استفاده مى‌شد،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كه بعدها در عربى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بعضى نيز آن را از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 به معناى حمل و نقل مشتق مى‌دانند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بعضى هم آن را از اصل رومى كلمه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veredus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مركب پُستى است، مشتق دانسته‌و بالاخره عده‌اى آن را كلمه اصيل عربى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باره تاريخ آن در اسلام، گفتنى است كه در برخى روايات تاريخى اين لفظ به‌كار برده شده كه نشانه استعمال اين لفظ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سران قبايل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 فرستاديد، سعى نماييد شخصى با اسم نيكو و صورتى زيبا باشد</w:t>
      </w:r>
      <w:r>
        <w:rPr>
          <w:rFonts w:eastAsia="IRNazanin" w:cs="IRNazanin"/>
          <w:color w:val="111111"/>
          <w:sz w:val="28"/>
          <w:szCs w:val="28"/>
          <w:rtl w:val="true"/>
          <w:lang w:bidi="fa-IR"/>
        </w:rPr>
        <w:t xml:space="preserve">» . </w:t>
      </w:r>
      <w:r>
        <w:rPr>
          <w:rStyle w:val="FootnoteAnchor"/>
          <w:rtl w:val="true"/>
        </w:rPr>
        <w:footnoteReference w:id="1522"/>
      </w:r>
      <w:r>
        <w:rPr>
          <w:rFonts w:ascii="IRNazanin" w:hAnsi="IRNazanin" w:eastAsia="IRNazanin"/>
          <w:color w:val="111111"/>
          <w:sz w:val="28"/>
          <w:sz w:val="28"/>
          <w:szCs w:val="28"/>
          <w:rtl w:val="true"/>
          <w:lang w:bidi="fa-IR"/>
        </w:rPr>
        <w:t xml:space="preserve">و نيز به عبارتى در زمان آن حضرت برخورد مى‌نماييم كه در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در مورد جنگ تبوك در سال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بازگشت از آن و با خبر شدن آن حضرت از بعضى از اخبار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ماجرا وقتى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وحى الهى از اخبار با خبر شد، منافقان تعجب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پيك سريع‌السيرى براى او خبر آورده است يا اينكه پرنده‌اى را از مدينه همراه با خبر براى او فرستاده‌اند</w:t>
      </w:r>
      <w:r>
        <w:rPr>
          <w:rFonts w:eastAsia="IRNazanin" w:cs="IRNazanin"/>
          <w:color w:val="111111"/>
          <w:sz w:val="28"/>
          <w:szCs w:val="28"/>
          <w:rtl w:val="true"/>
          <w:lang w:bidi="fa-IR"/>
        </w:rPr>
        <w:t xml:space="preserve">. </w:t>
      </w:r>
      <w:r>
        <w:rPr>
          <w:rStyle w:val="FootnoteAnchor"/>
          <w:rtl w:val="true"/>
        </w:rPr>
        <w:footnoteReference w:id="1523"/>
      </w:r>
      <w:r>
        <w:rPr>
          <w:rFonts w:ascii="IRNazanin" w:hAnsi="IRNazanin" w:eastAsia="IRNazanin"/>
          <w:color w:val="111111"/>
          <w:sz w:val="28"/>
          <w:sz w:val="28"/>
          <w:szCs w:val="28"/>
          <w:rtl w:val="true"/>
          <w:lang w:bidi="fa-IR"/>
        </w:rPr>
        <w:t>از اين عبارت چنين استفاده مى‌شود كه عرب‌ها در آن زمان نيز با عمل كبوتران نامه‌بَر آشنا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ابوبكر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خالد كه در عراق و ايران مشغول جنگ بود، دستور داد كه به روم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p>
    <w:p>
      <w:pPr>
        <w:pStyle w:val="BookText"/>
        <w:rPr/>
      </w:pPr>
      <w:r>
        <w:rPr>
          <w:rFonts w:ascii="IRNazanin" w:hAnsi="IRNazanin" w:eastAsia="IRNazanin"/>
          <w:color w:val="111111"/>
          <w:sz w:val="28"/>
          <w:sz w:val="28"/>
          <w:szCs w:val="28"/>
          <w:rtl w:val="true"/>
          <w:lang w:bidi="fa-IR"/>
        </w:rPr>
        <w:t>در همين سال، خبر درگذشت ابوبكر به وسيله بريد كه نام او محميّة بن زَنيم بود به خالد رسيد</w:t>
      </w:r>
      <w:r>
        <w:rPr>
          <w:rFonts w:eastAsia="IRNazanin" w:cs="IRNazanin"/>
          <w:color w:val="111111"/>
          <w:sz w:val="28"/>
          <w:szCs w:val="28"/>
          <w:rtl w:val="true"/>
          <w:lang w:bidi="fa-IR"/>
        </w:rPr>
        <w:t xml:space="preserve">. </w:t>
      </w:r>
      <w:r>
        <w:rPr>
          <w:rStyle w:val="FootnoteAnchor"/>
          <w:rtl w:val="true"/>
        </w:rPr>
        <w:footnoteReference w:id="1524"/>
      </w:r>
    </w:p>
    <w:p>
      <w:pPr>
        <w:pStyle w:val="BookText"/>
        <w:rPr/>
      </w:pPr>
      <w:r>
        <w:rPr>
          <w:rFonts w:ascii="IRNazanin" w:hAnsi="IRNazanin" w:eastAsia="IRNazanin"/>
          <w:color w:val="111111"/>
          <w:sz w:val="28"/>
          <w:sz w:val="28"/>
          <w:szCs w:val="28"/>
          <w:rtl w:val="true"/>
          <w:lang w:bidi="fa-IR"/>
        </w:rPr>
        <w:t xml:space="preserve">همين‌طور ابوذر هنگام وفات خود در سال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رَبذه،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مكانى كه به وسيله عثمان به آنجا تبعيد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و اكيداً سفارش مى‌نمايد شخصى كه به شغل بريد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اشتغال داشته است، متكفل كفن و دفن او نشود</w:t>
      </w:r>
      <w:r>
        <w:rPr>
          <w:rFonts w:eastAsia="IRNazanin" w:cs="IRNazanin"/>
          <w:color w:val="111111"/>
          <w:sz w:val="28"/>
          <w:szCs w:val="28"/>
          <w:rtl w:val="true"/>
          <w:lang w:bidi="fa-IR"/>
        </w:rPr>
        <w:t xml:space="preserve">. </w:t>
      </w:r>
      <w:r>
        <w:rPr>
          <w:rStyle w:val="FootnoteAnchor"/>
          <w:rtl w:val="true"/>
        </w:rPr>
        <w:footnoteReference w:id="1525"/>
      </w:r>
      <w:r>
        <w:rPr>
          <w:rFonts w:ascii="Amiri" w:hAnsi="Amiri" w:eastAsia="Amiri" w:cs="Amiri"/>
          <w:color w:val="111111"/>
          <w:sz w:val="28"/>
          <w:sz w:val="28"/>
          <w:szCs w:val="28"/>
          <w:rtl w:val="true"/>
          <w:lang w:bidi="ar-SA"/>
        </w:rPr>
        <w:t>از اينجا معلوم مى‌شود كه بريد در زمان عثمان وجهه خوبى نداشته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يكى از ياران خود به نام نُوف سفارش مى‌كند كه به شغل بريد اشتغال نورزد</w:t>
      </w:r>
      <w:r>
        <w:rPr>
          <w:rFonts w:eastAsia="Amiri" w:cs="Amiri" w:ascii="Amiri" w:hAnsi="Amiri"/>
          <w:color w:val="111111"/>
          <w:sz w:val="28"/>
          <w:szCs w:val="28"/>
          <w:rtl w:val="true"/>
          <w:lang w:bidi="ar-SA"/>
        </w:rPr>
        <w:t xml:space="preserve">. </w:t>
      </w:r>
      <w:r>
        <w:rPr>
          <w:rStyle w:val="FootnoteAnchor"/>
          <w:rtl w:val="true"/>
        </w:rPr>
        <w:footnoteReference w:id="1526"/>
      </w:r>
      <w:r>
        <w:rPr>
          <w:rFonts w:ascii="Amiri" w:hAnsi="Amiri" w:eastAsia="Amiri" w:cs="Amiri"/>
          <w:color w:val="111111"/>
          <w:sz w:val="28"/>
          <w:sz w:val="28"/>
          <w:szCs w:val="28"/>
          <w:rtl w:val="true"/>
          <w:lang w:bidi="ar-SA"/>
        </w:rPr>
        <w:t>اين سفارش بر حساسيت اين شغل و مظالمى كه از اين شغل از راه اخبار دروغ به رؤسا و ظلم به مردم ايجاد مى‌شود، دلالت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تا اينجا دانستيم كه بريد قبل از حكومت معاويه نيز وجود داشته است و اينكه ايجاد آن را در اسلام به معاويه نسبت مى‌دهند </w:t>
      </w:r>
      <w:r>
        <w:rPr>
          <w:rStyle w:val="FootnoteAnchor"/>
          <w:rtl w:val="true"/>
        </w:rPr>
        <w:footnoteReference w:id="1527"/>
      </w:r>
      <w:r>
        <w:rPr>
          <w:rFonts w:ascii="IRNazanin" w:hAnsi="IRNazanin" w:eastAsia="IRNazanin"/>
          <w:color w:val="111111"/>
          <w:sz w:val="28"/>
          <w:sz w:val="28"/>
          <w:szCs w:val="28"/>
          <w:rtl w:val="true"/>
          <w:lang w:bidi="fa-IR"/>
        </w:rPr>
        <w:t>، سخن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گفته شود كه معاويه نظم و ترتيب بهترى به اين امر داد و براى آن مثلاً در فواصل مختلف، منزل‌گاه و مركب‌هاى آماده‌اى تعبيه كرد</w:t>
      </w:r>
      <w:r>
        <w:rPr>
          <w:rFonts w:eastAsia="IRNazanin" w:cs="IRNazanin"/>
          <w:color w:val="111111"/>
          <w:sz w:val="28"/>
          <w:szCs w:val="28"/>
          <w:rtl w:val="true"/>
          <w:lang w:bidi="fa-IR"/>
        </w:rPr>
        <w:t xml:space="preserve">. </w:t>
      </w:r>
      <w:r>
        <w:rPr>
          <w:rStyle w:val="FootnoteAnchor"/>
          <w:rtl w:val="true"/>
        </w:rPr>
        <w:footnoteReference w:id="1528"/>
      </w:r>
      <w:r>
        <w:rPr>
          <w:rFonts w:ascii="Amiri" w:hAnsi="Amiri" w:eastAsia="Amiri" w:cs="Amiri"/>
          <w:color w:val="111111"/>
          <w:sz w:val="28"/>
          <w:sz w:val="28"/>
          <w:szCs w:val="28"/>
          <w:rtl w:val="true"/>
          <w:lang w:bidi="ar-SA"/>
        </w:rPr>
        <w:t>به هر حال، به مواردى از استعمال بريد در زمان معاويه و بعد از آن اشاره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باره ورود زياد به كوفه در سال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نقل شده است كه او با بريد وارد كوفه شد</w:t>
      </w:r>
      <w:r>
        <w:rPr>
          <w:rFonts w:eastAsia="Amiri" w:cs="Amiri" w:ascii="Amiri" w:hAnsi="Amiri"/>
          <w:color w:val="111111"/>
          <w:sz w:val="28"/>
          <w:szCs w:val="28"/>
          <w:rtl w:val="true"/>
          <w:lang w:bidi="ar-SA"/>
        </w:rPr>
        <w:t xml:space="preserve">. </w:t>
      </w:r>
      <w:r>
        <w:rPr>
          <w:rStyle w:val="FootnoteAnchor"/>
          <w:rtl w:val="true"/>
        </w:rPr>
        <w:footnoteReference w:id="1529"/>
      </w:r>
      <w:r>
        <w:rPr>
          <w:rFonts w:ascii="IRNazanin" w:hAnsi="IRNazanin" w:eastAsia="IRNazanin"/>
          <w:color w:val="111111"/>
          <w:sz w:val="28"/>
          <w:sz w:val="28"/>
          <w:szCs w:val="28"/>
          <w:rtl w:val="true"/>
          <w:lang w:bidi="fa-IR"/>
        </w:rPr>
        <w:t>اين نشانه آن است كه بريد در آن زمان، تشكيلات منظمى داشت، به گونه‌اى كه فرماندار از آن استفاده مى‌كرد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جريان حوادث مربوط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هنگامى كه يزيد، عبيدالله بن زياد را والى كوفه كرد، به او دستور داد كه هر روز اخبار كوفه را</w:t>
      </w:r>
      <w:bookmarkStart w:id="1698" w:name="pg1964_19896"/>
    </w:p>
    <w:p>
      <w:pPr>
        <w:pStyle w:val="BookText"/>
        <w:rPr/>
      </w:pPr>
      <w:bookmarkEnd w:id="1698"/>
      <w:r>
        <w:rPr>
          <w:rFonts w:ascii="Amiri" w:hAnsi="Amiri" w:eastAsia="Amiri" w:cs="Amiri"/>
          <w:color w:val="111111"/>
          <w:sz w:val="28"/>
          <w:sz w:val="28"/>
          <w:szCs w:val="28"/>
          <w:rtl w:val="true"/>
          <w:lang w:bidi="ar-SA"/>
        </w:rPr>
        <w:t>براى او بنويسد</w:t>
      </w:r>
      <w:r>
        <w:rPr>
          <w:rFonts w:eastAsia="Amiri" w:cs="Amiri" w:ascii="Amiri" w:hAnsi="Amiri"/>
          <w:color w:val="111111"/>
          <w:sz w:val="28"/>
          <w:szCs w:val="28"/>
          <w:rtl w:val="true"/>
          <w:lang w:bidi="ar-SA"/>
        </w:rPr>
        <w:t xml:space="preserve">. </w:t>
      </w:r>
      <w:r>
        <w:rPr>
          <w:rStyle w:val="FootnoteAnchor"/>
          <w:rtl w:val="true"/>
        </w:rPr>
        <w:footnoteReference w:id="1530"/>
      </w:r>
      <w:r>
        <w:rPr>
          <w:rFonts w:ascii="Amiri" w:hAnsi="Amiri" w:eastAsia="Amiri" w:cs="Amiri"/>
          <w:color w:val="111111"/>
          <w:sz w:val="28"/>
          <w:sz w:val="28"/>
          <w:szCs w:val="28"/>
          <w:rtl w:val="true"/>
          <w:lang w:bidi="ar-SA"/>
        </w:rPr>
        <w:t>اين مطلب نيز بر وجود تشكيلات بريد در آن زمان دلالت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قابل توجه اينكه در زمان معاويه گاهى از بريد براى رساندن نامه‌هاى مردم استفاده مى‌شد، چنان‌كه در باره فرماندار مدينه در زمان معاويه چنين آمده است كه او هرگاه قصد داشت بريدى روانه شام نمايد، به منادى دستور مى‌داد كه در شهر جار بزند كه هركس حاجتى و تقاضايى از معاويه دارد مى‌تواند آن را بنويسد تا با بريد روانه شود</w:t>
      </w:r>
      <w:r>
        <w:rPr>
          <w:rFonts w:eastAsia="IRNazanin" w:cs="IRNazanin"/>
          <w:color w:val="111111"/>
          <w:sz w:val="28"/>
          <w:szCs w:val="28"/>
          <w:rtl w:val="true"/>
          <w:lang w:bidi="fa-IR"/>
        </w:rPr>
        <w:t xml:space="preserve">. </w:t>
      </w:r>
      <w:r>
        <w:rPr>
          <w:rStyle w:val="FootnoteAnchor"/>
          <w:rtl w:val="true"/>
        </w:rPr>
        <w:footnoteReference w:id="1531"/>
      </w:r>
    </w:p>
    <w:p>
      <w:pPr>
        <w:pStyle w:val="BookText"/>
        <w:rPr/>
      </w:pPr>
      <w:r>
        <w:rPr>
          <w:rFonts w:ascii="IRNazanin" w:hAnsi="IRNazanin" w:eastAsia="IRNazanin"/>
          <w:color w:val="111111"/>
          <w:sz w:val="28"/>
          <w:sz w:val="28"/>
          <w:szCs w:val="28"/>
          <w:rtl w:val="true"/>
          <w:lang w:bidi="fa-IR"/>
        </w:rPr>
        <w:t>اما مركبى كه بريد از آن استفاده مى‌كرد، طبق شرايط و امكانات آن روز بود؛ يعنى در اوايل، مسلمانان از شتر استفاده مى‌نمودند، بعد استفاده از قاطر نيز معمول شد و آن‌گاه از اسب نيز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عصر اموى گاهى قافله بريد، مركب از چهل يا پنجاه شتر و اسب و قاطر بود و در هر منزل، مركب‌ها را عوض مى‌كردند</w:t>
      </w:r>
      <w:r>
        <w:rPr>
          <w:rFonts w:eastAsia="IRNazanin" w:cs="IRNazanin"/>
          <w:color w:val="111111"/>
          <w:sz w:val="28"/>
          <w:szCs w:val="28"/>
          <w:rtl w:val="true"/>
          <w:lang w:bidi="fa-IR"/>
        </w:rPr>
        <w:t xml:space="preserve">. </w:t>
      </w:r>
      <w:r>
        <w:rPr>
          <w:rStyle w:val="FootnoteAnchor"/>
          <w:rtl w:val="true"/>
        </w:rPr>
        <w:footnoteReference w:id="1532"/>
      </w:r>
      <w:r>
        <w:rPr>
          <w:rFonts w:ascii="IRNazanin" w:hAnsi="IRNazanin" w:eastAsia="IRNazanin"/>
          <w:color w:val="111111"/>
          <w:sz w:val="28"/>
          <w:sz w:val="28"/>
          <w:szCs w:val="28"/>
          <w:rtl w:val="true"/>
          <w:lang w:bidi="fa-IR"/>
        </w:rPr>
        <w:t xml:space="preserve">گفته شده است كه در اواخر عصر اموى هزينه بريد در سال، چهار ميليون درهم بود و در اين زمان زنگوله‌هايى به مركب‌ها مى‌بستند كه هنگام حركت صدا مى‌داد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قَعْقَعَة البريد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عنوان بريد بعدها از عنوان پستى به عنوان جاسوس تغيير كرد و بريدهاى خلفا و امرا را افراد قابل اطمينان آنها تشكيل مى‌دادند كه به نواحى مختلف فرستاده مى‌شدند تا اخبار آن مناطق را براى آنان ارسال كنند</w:t>
      </w:r>
      <w:r>
        <w:rPr>
          <w:rFonts w:eastAsia="IRNazanin" w:cs="IRNazanin"/>
          <w:color w:val="111111"/>
          <w:sz w:val="28"/>
          <w:szCs w:val="28"/>
          <w:rtl w:val="true"/>
          <w:lang w:bidi="fa-IR"/>
        </w:rPr>
        <w:t xml:space="preserve">. </w:t>
      </w:r>
      <w:r>
        <w:rPr>
          <w:rStyle w:val="FootnoteAnchor"/>
          <w:rtl w:val="true"/>
        </w:rPr>
        <w:footnoteReference w:id="1533"/>
      </w:r>
    </w:p>
    <w:p>
      <w:pPr>
        <w:pStyle w:val="Heading4"/>
        <w:numPr>
          <w:ilvl w:val="3"/>
          <w:numId w:val="1"/>
        </w:numPr>
        <w:rPr/>
      </w:pPr>
      <w:bookmarkStart w:id="1699" w:name="__RefHeading___Toc3585857_3650668749"/>
      <w:bookmarkStart w:id="1700" w:name="_Toc725"/>
      <w:bookmarkEnd w:id="1699"/>
      <w:r>
        <w:rPr>
          <w:rtl w:val="true"/>
        </w:rPr>
        <w:t>ح</w:t>
      </w:r>
      <w:r>
        <w:rPr>
          <w:rtl w:val="true"/>
        </w:rPr>
        <w:t xml:space="preserve">) </w:t>
      </w:r>
      <w:r>
        <w:rPr>
          <w:rtl w:val="true"/>
        </w:rPr>
        <w:t>صلح</w:t>
      </w:r>
      <w:bookmarkEnd w:id="170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اقامت خود در مدينه، معاهده‌نامه‌ها و صلح‌نامه‌هاى فراوانى با اهل كتاب، قبايل اطراف و مشركان مكّه منعقد كرد كه شايد مشهورترين</w:t>
      </w:r>
    </w:p>
    <w:p>
      <w:pPr>
        <w:pStyle w:val="BookText"/>
        <w:rPr/>
      </w:pPr>
      <w:r>
        <w:rPr>
          <w:rFonts w:ascii="Amiri" w:hAnsi="Amiri" w:eastAsia="Amiri" w:cs="Amiri"/>
          <w:color w:val="111111"/>
          <w:sz w:val="28"/>
          <w:sz w:val="28"/>
          <w:szCs w:val="28"/>
          <w:rtl w:val="true"/>
          <w:lang w:bidi="ar-SA"/>
        </w:rPr>
        <w:t>آنها صلح حُدَيبيه باشد</w:t>
      </w:r>
      <w:r>
        <w:rPr>
          <w:rFonts w:eastAsia="Amiri" w:cs="Amiri" w:ascii="Amiri" w:hAnsi="Amiri"/>
          <w:color w:val="111111"/>
          <w:sz w:val="28"/>
          <w:szCs w:val="28"/>
          <w:rtl w:val="true"/>
          <w:lang w:bidi="ar-SA"/>
        </w:rPr>
        <w:t xml:space="preserve">. </w:t>
      </w:r>
      <w:r>
        <w:rPr>
          <w:rStyle w:val="FootnoteAnchor"/>
          <w:rtl w:val="true"/>
        </w:rPr>
        <w:footnoteReference w:id="1534"/>
      </w:r>
      <w:r>
        <w:rPr>
          <w:rFonts w:ascii="IRNazanin" w:hAnsi="IRNazanin" w:eastAsia="IRNazanin"/>
          <w:color w:val="111111"/>
          <w:sz w:val="28"/>
          <w:sz w:val="28"/>
          <w:szCs w:val="28"/>
          <w:rtl w:val="true"/>
          <w:lang w:bidi="fa-IR"/>
        </w:rPr>
        <w:t xml:space="preserve">همچنين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اسلام به عنوان يك واقعه تاريخى سرنوشت‌ساز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بررسى اين صلح‌نامه‌ها مى‌توان كيفيت آنها را چنين ترسيم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ابتدا نام خداوند ذكر مى‌شد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اسامى سران دو طرف صلح‌نامه نوشته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صلح حديبيه، در يك طرف ابتدا نام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طرف ديگر، نام سهيل بن عمرو به عنوان نماينده مشركان ذكر شد</w:t>
      </w:r>
      <w:r>
        <w:rPr>
          <w:rFonts w:eastAsia="IRNazanin" w:cs="IRNazanin"/>
          <w:color w:val="111111"/>
          <w:sz w:val="28"/>
          <w:szCs w:val="28"/>
          <w:rtl w:val="true"/>
          <w:lang w:bidi="fa-IR"/>
        </w:rPr>
        <w:t xml:space="preserve">. </w:t>
      </w:r>
      <w:r>
        <w:rPr>
          <w:rStyle w:val="FootnoteAnchor"/>
          <w:rtl w:val="true"/>
        </w:rPr>
        <w:footnoteReference w:id="1535"/>
      </w:r>
      <w:r>
        <w:rPr>
          <w:rFonts w:ascii="IRNazanin" w:hAnsi="IRNazanin" w:eastAsia="IRNazanin"/>
          <w:color w:val="111111"/>
          <w:sz w:val="28"/>
          <w:sz w:val="28"/>
          <w:szCs w:val="28"/>
          <w:rtl w:val="true"/>
          <w:lang w:bidi="fa-IR"/>
        </w:rPr>
        <w:t xml:space="preserve">در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معاويه نيز ابتدا نام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نام معاوية بن ابى‌سفيان نوشته شد</w:t>
      </w:r>
      <w:r>
        <w:rPr>
          <w:rFonts w:eastAsia="IRNazanin" w:cs="IRNazanin"/>
          <w:color w:val="111111"/>
          <w:sz w:val="28"/>
          <w:szCs w:val="28"/>
          <w:rtl w:val="true"/>
          <w:lang w:bidi="fa-IR"/>
        </w:rPr>
        <w:t xml:space="preserve">. </w:t>
      </w:r>
      <w:r>
        <w:rPr>
          <w:rStyle w:val="FootnoteAnchor"/>
          <w:rtl w:val="true"/>
        </w:rPr>
        <w:footnoteReference w:id="15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موارد صلح‌نامه، يعنى آن‌چه طرفين بر آن توافق كرده و به عهده گرفته بودند، ذكر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در پايان صلح‌نامه، اسامى عده‌اى از شخصيت‌هاى معتبر به عنوان شهود ذكر مى‌گرديد</w:t>
      </w:r>
      <w:r>
        <w:rPr>
          <w:rFonts w:eastAsia="IRNazanin" w:cs="IRNazanin"/>
          <w:color w:val="111111"/>
          <w:sz w:val="28"/>
          <w:szCs w:val="28"/>
          <w:rtl w:val="true"/>
          <w:lang w:bidi="fa-IR"/>
        </w:rPr>
        <w:t xml:space="preserve">. </w:t>
      </w:r>
      <w:r>
        <w:rPr>
          <w:rStyle w:val="FootnoteAnchor"/>
          <w:rtl w:val="true"/>
        </w:rPr>
        <w:footnoteReference w:id="1537"/>
      </w:r>
    </w:p>
    <w:p>
      <w:pPr>
        <w:pStyle w:val="BookText"/>
        <w:rPr/>
      </w:pPr>
      <w:r>
        <w:rPr>
          <w:rFonts w:ascii="IRNazanin" w:hAnsi="IRNazanin" w:eastAsia="IRNazanin"/>
          <w:color w:val="111111"/>
          <w:sz w:val="28"/>
          <w:sz w:val="28"/>
          <w:szCs w:val="28"/>
          <w:rtl w:val="true"/>
          <w:lang w:bidi="fa-IR"/>
        </w:rPr>
        <w:t>در اينجا تذكر اين نكته لازم است كه در جنگ‌هايى كه در دوران خلفاى سه‌گانه به منظور پيشبرد اسلام صورت مى‌گرفت، هرگاه طرف جنگ، اهل كتاب، يعنى يهوديان، مسيحيان و مجوسيان بودند، مسلمانان آنان را بين سه امر مخير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يا پذيرش اسلام و يا صلح و پرداخت 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مورد سوم را انتخاب مى‌كردند، اهل ذمّه ناميده مى‌شدند و در پناه اسلام با دين خود زندگى مى‌كردند و هر سال، مبلغى به عنوان جزيه پرداخت مى‌كردند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مسائلى كه مناسب است ذيل بحث صلح مطرح شود، مسئله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بر اساس آن، فردى از مسلمانان به فردى از طرف مقابل امان مى‌داد تا مثلاً با رئيس مسلمانان صحبت كند و نظرات او را دريابد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طبق</w:t>
      </w:r>
      <w:bookmarkStart w:id="1701" w:name="pg1964_19898"/>
    </w:p>
    <w:p>
      <w:pPr>
        <w:pStyle w:val="BookText"/>
        <w:rPr/>
      </w:pPr>
      <w:bookmarkEnd w:id="1701"/>
      <w:r>
        <w:rPr>
          <w:rFonts w:ascii="IRNazanin" w:hAnsi="IRNazanin" w:eastAsia="IRNazanin"/>
          <w:color w:val="111111"/>
          <w:sz w:val="28"/>
          <w:sz w:val="28"/>
          <w:szCs w:val="28"/>
          <w:rtl w:val="true"/>
          <w:lang w:bidi="fa-IR"/>
        </w:rPr>
        <w:t>دستورات اسلامى، خون آن فرد محترم شمرده مى‌شد، حتى اگر امان‌دهنده از پست‌ترين افراد لشكريان اسلام بود</w:t>
      </w:r>
      <w:r>
        <w:rPr>
          <w:rFonts w:eastAsia="IRNazanin" w:cs="IRNazanin"/>
          <w:color w:val="111111"/>
          <w:sz w:val="28"/>
          <w:szCs w:val="28"/>
          <w:rtl w:val="true"/>
          <w:lang w:bidi="fa-IR"/>
        </w:rPr>
        <w:t xml:space="preserve">. </w:t>
      </w:r>
      <w:r>
        <w:rPr>
          <w:rStyle w:val="FootnoteAnchor"/>
          <w:rtl w:val="true"/>
        </w:rPr>
        <w:footnoteReference w:id="1538"/>
      </w:r>
    </w:p>
    <w:p>
      <w:pPr>
        <w:pStyle w:val="Heading4"/>
        <w:numPr>
          <w:ilvl w:val="3"/>
          <w:numId w:val="1"/>
        </w:numPr>
        <w:rPr/>
      </w:pPr>
      <w:bookmarkStart w:id="1702" w:name="__RefHeading___Toc3585859_3650668749"/>
      <w:bookmarkStart w:id="1703" w:name="_Toc726"/>
      <w:bookmarkEnd w:id="1702"/>
      <w:r>
        <w:rPr>
          <w:rtl w:val="true"/>
        </w:rPr>
        <w:t>ط</w:t>
      </w:r>
      <w:r>
        <w:rPr>
          <w:rtl w:val="true"/>
        </w:rPr>
        <w:t xml:space="preserve">) </w:t>
      </w:r>
      <w:r>
        <w:rPr>
          <w:rtl w:val="true"/>
        </w:rPr>
        <w:t>شعارهاى جنگى</w:t>
      </w:r>
      <w:bookmarkEnd w:id="1703"/>
    </w:p>
    <w:p>
      <w:pPr>
        <w:pStyle w:val="BookText"/>
        <w:rPr/>
      </w:pPr>
      <w:r>
        <w:rPr>
          <w:rFonts w:ascii="IRNazanin" w:hAnsi="IRNazanin" w:eastAsia="IRNazanin"/>
          <w:color w:val="111111"/>
          <w:sz w:val="28"/>
          <w:sz w:val="28"/>
          <w:szCs w:val="28"/>
          <w:rtl w:val="true"/>
          <w:lang w:bidi="fa-IR"/>
        </w:rPr>
        <w:t xml:space="preserve">از بررسى تاريخ اسلام به اين نتيجه مى‌رسيم كه مسلمانان در جنگ‌هاى مختلف، شعارهاى جنگى متفاوتى داشتند، مثلاً در جنگ بدر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نصرالله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يارى خدا نزديك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مَنصور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يارى شونده از سوى خدا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نصرالله اِقْتَرب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مهاجران شعار ديگرى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بنى‌عبدالله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بنى‌عبد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قبيله اَوْس نيز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شعار جنگى لشكريان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جنگى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539"/>
      </w:r>
      <w:r>
        <w:rPr>
          <w:rFonts w:ascii="IRNazanin" w:hAnsi="IRNazanin" w:eastAsia="IRNazanin"/>
          <w:color w:val="111111"/>
          <w:sz w:val="28"/>
          <w:sz w:val="28"/>
          <w:szCs w:val="28"/>
          <w:rtl w:val="true"/>
          <w:lang w:bidi="fa-IR"/>
        </w:rPr>
        <w:t xml:space="preserve">نيز شعار جنگى مسلم هنگام خروج بر عبيدالله همانند شعار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منصور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540"/>
      </w:r>
      <w:r>
        <w:rPr>
          <w:rFonts w:ascii="IRNazanin" w:hAnsi="IRNazanin" w:eastAsia="IRNazanin"/>
          <w:color w:val="111111"/>
          <w:sz w:val="28"/>
          <w:sz w:val="28"/>
          <w:szCs w:val="28"/>
          <w:rtl w:val="true"/>
          <w:lang w:bidi="fa-IR"/>
        </w:rPr>
        <w:t xml:space="preserve">همچنين قبايل مختلف شعارهاى مخصوص به خود داشتند، چنان‌كه گفته شده است شعار قبيله 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يامَبْرور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نيكى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541"/>
      </w:r>
    </w:p>
    <w:p>
      <w:pPr>
        <w:pStyle w:val="Heading4"/>
        <w:numPr>
          <w:ilvl w:val="3"/>
          <w:numId w:val="1"/>
        </w:numPr>
        <w:rPr/>
      </w:pPr>
      <w:bookmarkStart w:id="1704" w:name="__RefHeading___Toc3585861_3650668749"/>
      <w:bookmarkStart w:id="1705" w:name="_Toc727"/>
      <w:bookmarkEnd w:id="1704"/>
      <w:r>
        <w:rPr>
          <w:rtl w:val="true"/>
        </w:rPr>
        <w:t>ى</w:t>
      </w:r>
      <w:r>
        <w:rPr>
          <w:rtl w:val="true"/>
        </w:rPr>
        <w:t xml:space="preserve">) </w:t>
      </w:r>
      <w:r>
        <w:rPr>
          <w:rtl w:val="true"/>
        </w:rPr>
        <w:t>طريقه تقسيم غنايم جنگى</w:t>
      </w:r>
      <w:bookmarkEnd w:id="1705"/>
    </w:p>
    <w:p>
      <w:pPr>
        <w:pStyle w:val="BookText"/>
        <w:rPr/>
      </w:pPr>
      <w:r>
        <w:rPr>
          <w:rFonts w:ascii="IRNazanin" w:hAnsi="IRNazanin" w:eastAsia="IRNazanin"/>
          <w:color w:val="111111"/>
          <w:sz w:val="28"/>
          <w:sz w:val="28"/>
          <w:szCs w:val="28"/>
          <w:rtl w:val="true"/>
          <w:lang w:bidi="fa-IR"/>
        </w:rPr>
        <w:t xml:space="preserve">در جنگ‌هايى كه طرف مقابل، غير مسلمانان بودند، معمولاً غنايم براساس روش زير تقسيم مى‌شد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غنايم غير منقول، يعنى زمين‌هاى به دست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آن در فصل چهارم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نمى‌شد، بلكه آن را متعلق به تمام مسلمانان مى‌دانستند و متولى آن حكومت بود كه آن را به مردم واگذار مى‌كرد و خراج آن را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غنايم منقول كه ويژگى‌هاى خاصى داشت، مانند كنيز زيبا، مركب تندرو و لباس ويژه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و به رئيس حكومت تعلق مى‌گرفت تا جنگ‌جويان بر سر تقسيم آن با هم درگير نشوند</w:t>
      </w:r>
      <w:r>
        <w:rPr>
          <w:rFonts w:eastAsia="IRNazanin" w:cs="IRNazanin"/>
          <w:color w:val="111111"/>
          <w:sz w:val="28"/>
          <w:szCs w:val="28"/>
          <w:rtl w:val="true"/>
          <w:lang w:bidi="fa-IR"/>
        </w:rPr>
        <w:t xml:space="preserve">. </w:t>
      </w:r>
      <w:r>
        <w:rPr>
          <w:rStyle w:val="FootnoteAnchor"/>
          <w:rtl w:val="true"/>
        </w:rPr>
        <w:footnoteReference w:id="1543"/>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يك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غنايم برآورد شده، به حكومت پرداخت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بقيه اموال بين جنگ‌جويان تقسيم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ميان، اسب سواران در مقايسه با پياده‌ها سهم بيشترى داشتند؛ زيرا اسب در آن زمان به وسيله افراد و نه حكومت به جنگ آورده مى‌شد</w:t>
      </w:r>
      <w:r>
        <w:rPr>
          <w:rFonts w:eastAsia="IRNazanin" w:cs="IRNazanin"/>
          <w:color w:val="111111"/>
          <w:sz w:val="28"/>
          <w:szCs w:val="28"/>
          <w:rtl w:val="true"/>
          <w:lang w:bidi="fa-IR"/>
        </w:rPr>
        <w:t xml:space="preserve">. </w:t>
      </w:r>
      <w:r>
        <w:rPr>
          <w:rStyle w:val="FootnoteAnchor"/>
          <w:rtl w:val="true"/>
        </w:rPr>
        <w:footnoteReference w:id="1544"/>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همراه لشكر سهمى از غنايم تعلق نمى‌گرفت، اما در بعضى مواقع مقدارى از غنايم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مى‌دادند، چنان‌كه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w:t>
      </w:r>
      <w:r>
        <w:rPr>
          <w:rFonts w:eastAsia="IRNazanin" w:cs="IRNazanin"/>
          <w:color w:val="111111"/>
          <w:sz w:val="28"/>
          <w:szCs w:val="28"/>
          <w:rtl w:val="true"/>
          <w:lang w:bidi="fa-IR"/>
        </w:rPr>
        <w:t xml:space="preserve">. </w:t>
      </w:r>
      <w:r>
        <w:rPr>
          <w:rStyle w:val="FootnoteAnchor"/>
          <w:rtl w:val="true"/>
        </w:rPr>
        <w:footnoteReference w:id="1545"/>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براى فرزندانى كه در سرزمين دشمن و هنگام جنگ متولد مى‌شدند، سهمى قرار مى‌داد</w:t>
      </w:r>
      <w:r>
        <w:rPr>
          <w:rFonts w:eastAsia="IRNazanin" w:cs="IRNazanin"/>
          <w:color w:val="111111"/>
          <w:sz w:val="28"/>
          <w:szCs w:val="28"/>
          <w:rtl w:val="true"/>
          <w:lang w:bidi="fa-IR"/>
        </w:rPr>
        <w:t xml:space="preserve">. </w:t>
      </w:r>
      <w:r>
        <w:rPr>
          <w:rStyle w:val="FootnoteAnchor"/>
          <w:rtl w:val="true"/>
        </w:rPr>
        <w:footnoteReference w:id="1546"/>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اسيرانى كه در جنگ به اسارت مسلمانان در مى‌آمدند، رئيس حكومت اسلامى اختيار داشت كه با آنها يكى از سه عمل زير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 آنها منّت گذاشته و آزادشان نمايد يا در مقابل گرفتن مالى از خويشانشان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 آنان را آزاد كند و يا آنكه آنها را به عنوان برده محسوب كند كه در اين هنگام جزء غنايم جنگى شمرده شده و در تقسيم لحاظ مى‌شدند</w:t>
      </w:r>
      <w:r>
        <w:rPr>
          <w:rFonts w:eastAsia="IRNazanin" w:cs="IRNazanin"/>
          <w:color w:val="111111"/>
          <w:sz w:val="28"/>
          <w:szCs w:val="28"/>
          <w:rtl w:val="true"/>
          <w:lang w:bidi="fa-IR"/>
        </w:rPr>
        <w:t xml:space="preserve">. </w:t>
      </w:r>
      <w:r>
        <w:rPr>
          <w:rStyle w:val="FootnoteAnchor"/>
          <w:rtl w:val="true"/>
        </w:rPr>
        <w:footnoteReference w:id="1547"/>
      </w:r>
      <w:r>
        <w:rPr>
          <w:rFonts w:ascii="IRNazanin" w:hAnsi="IRNazanin" w:eastAsia="IRNazanin"/>
          <w:color w:val="111111"/>
          <w:sz w:val="28"/>
          <w:sz w:val="28"/>
          <w:szCs w:val="28"/>
          <w:rtl w:val="true"/>
          <w:lang w:bidi="fa-IR"/>
        </w:rPr>
        <w:t>اما در مواردى كه جنگ با مسلمانان بود، غير از سلاح‌هاى جنگى ميدان جنگ، بقيه اموال آنها</w:t>
      </w:r>
      <w:bookmarkStart w:id="1706" w:name="pg1964_19900"/>
    </w:p>
    <w:p>
      <w:pPr>
        <w:pStyle w:val="BookText"/>
        <w:rPr/>
      </w:pPr>
      <w:bookmarkEnd w:id="1706"/>
      <w:r>
        <w:rPr>
          <w:rFonts w:ascii="IRNazanin" w:hAnsi="IRNazanin" w:eastAsia="IRNazanin"/>
          <w:color w:val="111111"/>
          <w:sz w:val="28"/>
          <w:sz w:val="28"/>
          <w:szCs w:val="28"/>
          <w:rtl w:val="true"/>
          <w:lang w:bidi="fa-IR"/>
        </w:rPr>
        <w:t xml:space="preserve">غنايم جنگى تلقى نمى‌شد، چنان‌كه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غنايم جنگ جمل را تقسيم نكرد</w:t>
      </w:r>
      <w:r>
        <w:rPr>
          <w:rFonts w:eastAsia="IRNazanin" w:cs="IRNazanin"/>
          <w:color w:val="111111"/>
          <w:sz w:val="28"/>
          <w:szCs w:val="28"/>
          <w:rtl w:val="true"/>
          <w:lang w:bidi="fa-IR"/>
        </w:rPr>
        <w:t xml:space="preserve">. </w:t>
      </w:r>
      <w:r>
        <w:rPr>
          <w:rStyle w:val="FootnoteAnchor"/>
          <w:rtl w:val="true"/>
        </w:rPr>
        <w:footnoteReference w:id="1548"/>
      </w:r>
    </w:p>
    <w:p>
      <w:pPr>
        <w:pStyle w:val="Heading4"/>
        <w:numPr>
          <w:ilvl w:val="3"/>
          <w:numId w:val="1"/>
        </w:numPr>
        <w:rPr/>
      </w:pPr>
      <w:bookmarkStart w:id="1707" w:name="__RefHeading___Toc3585863_3650668749"/>
      <w:bookmarkStart w:id="1708" w:name="_Toc728"/>
      <w:bookmarkEnd w:id="1707"/>
      <w:r>
        <w:rPr>
          <w:rtl w:val="true"/>
        </w:rPr>
        <w:t>ك</w:t>
      </w:r>
      <w:r>
        <w:rPr>
          <w:rtl w:val="true"/>
        </w:rPr>
        <w:t xml:space="preserve">) </w:t>
      </w:r>
      <w:r>
        <w:rPr>
          <w:rtl w:val="true"/>
        </w:rPr>
        <w:t>پرچم</w:t>
      </w:r>
      <w:bookmarkEnd w:id="1708"/>
    </w:p>
    <w:p>
      <w:pPr>
        <w:pStyle w:val="BookText"/>
        <w:rPr/>
      </w:pPr>
      <w:r>
        <w:rPr>
          <w:rFonts w:ascii="IRNazanin" w:hAnsi="IRNazanin" w:eastAsia="IRNazanin"/>
          <w:color w:val="111111"/>
          <w:sz w:val="28"/>
          <w:sz w:val="28"/>
          <w:szCs w:val="28"/>
          <w:rtl w:val="true"/>
          <w:lang w:bidi="fa-IR"/>
        </w:rPr>
        <w:t>معمولاً در جنگ‌هاى زمان مورد بحث، از دو گونه پرچم اصلى و پرچم‌هاى فرعى استفاده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اصلى، پرچم بزرگى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نامگذارى آن به اين نام اين بود كه معمولاً در مواقع عادى پيچيده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اين پرچم به دست فرمانده لشكر يا كسى كه منصوب از طرف او بود، داده مى‌شد و غالباً افراد بسيار شجاع و متعهد براى گرفتن لواء، انتخاب مى‌شدند؛ زيرا برپايى لواء، نشانه صبر و استقامت لشكريان و سرنگونى آن، علامت شكست لشكر بود، ازاين‌رو هنگامى كه علمدار به شهادت مى‌رسيد، فوراً فرد ديگرى علم را بر دوش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لواء در زمان مورد بحث، همانند لواءهاى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و محل استقرار آن در قلب لشكر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مواقع، روى لواء مكتوباتى بود، چنان‌كه روى يكى از لواءهاى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پرچم‌هاى فرعى كه پرچم‌هاى كوچك‌ترى بود، براى شناسايى واحدها و قبايل مختلف در جنگ به‌كار مى‌رفت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قبيله، رايتى مخصوص به خود داشت، چنان‌كه نقل شده است كه تعداد اين‌گونه پرچم‌ها در جنگ‌هاى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هفتاد عدد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اين‌گونه پرچم‌ها متفاوت بود و انتخاب رنگ در اختيار قبايل بود كه رنگ مخصوص يا تركيبى از رنگ‌ها را انتخاب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بيشتر مواقع، رنگ سفيد را بر مى‌گزيدند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شكل اين‌گونه پرچم‌ها متفاوت بود؛ بعضى به شكل مربع و بعضى به اشكال ديگر و نيز در وسط بعضى از اين‌گونه پرچم‌ها، هلال‌هايى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پرچم‌ها زمينه</w:t>
      </w:r>
      <w:bookmarkStart w:id="1709" w:name="pg1964_19901"/>
    </w:p>
    <w:p>
      <w:pPr>
        <w:pStyle w:val="BookText"/>
        <w:rPr/>
      </w:pPr>
      <w:bookmarkEnd w:id="1709"/>
      <w:r>
        <w:rPr>
          <w:rFonts w:ascii="IRNazanin" w:hAnsi="IRNazanin" w:eastAsia="IRNazanin"/>
          <w:color w:val="111111"/>
          <w:sz w:val="28"/>
          <w:sz w:val="28"/>
          <w:szCs w:val="28"/>
          <w:rtl w:val="true"/>
          <w:lang w:bidi="fa-IR"/>
        </w:rPr>
        <w:t>شناسايى موقعيت قبايل مختلف، آگاهى از مقدار جديت قبايل مختلف در جنگ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براى فرمانده لشكر فراهم مى‌كرد</w:t>
      </w:r>
      <w:r>
        <w:rPr>
          <w:rFonts w:eastAsia="IRNazanin" w:cs="IRNazanin"/>
          <w:color w:val="111111"/>
          <w:sz w:val="28"/>
          <w:szCs w:val="28"/>
          <w:rtl w:val="true"/>
          <w:lang w:bidi="fa-IR"/>
        </w:rPr>
        <w:t xml:space="preserve">. </w:t>
      </w:r>
      <w:r>
        <w:rPr>
          <w:rStyle w:val="FootnoteAnchor"/>
          <w:rtl w:val="true"/>
        </w:rPr>
        <w:footnoteReference w:id="1549"/>
      </w:r>
    </w:p>
    <w:p>
      <w:pPr>
        <w:pStyle w:val="Heading4"/>
        <w:numPr>
          <w:ilvl w:val="3"/>
          <w:numId w:val="1"/>
        </w:numPr>
        <w:rPr/>
      </w:pPr>
      <w:bookmarkStart w:id="1710" w:name="__RefHeading___Toc3585865_3650668749"/>
      <w:bookmarkStart w:id="1711" w:name="_Toc729"/>
      <w:bookmarkEnd w:id="1710"/>
      <w:r>
        <w:rPr>
          <w:rtl w:val="true"/>
        </w:rPr>
        <w:t>ل</w:t>
      </w:r>
      <w:r>
        <w:rPr>
          <w:rtl w:val="true"/>
        </w:rPr>
        <w:t xml:space="preserve">) </w:t>
      </w:r>
      <w:r>
        <w:rPr>
          <w:rtl w:val="true"/>
        </w:rPr>
        <w:t>واحدهاى تشكيل دهنده سپاه</w:t>
      </w:r>
      <w:bookmarkEnd w:id="1711"/>
    </w:p>
    <w:p>
      <w:pPr>
        <w:pStyle w:val="Heading5"/>
        <w:numPr>
          <w:ilvl w:val="4"/>
          <w:numId w:val="1"/>
        </w:numPr>
        <w:rPr/>
      </w:pPr>
      <w:bookmarkStart w:id="1712" w:name="__RefHeading___Toc3585867_3650668749"/>
      <w:bookmarkStart w:id="1713" w:name="_Toc730"/>
      <w:bookmarkEnd w:id="1712"/>
      <w:r>
        <w:rPr>
          <w:rtl w:val="true"/>
        </w:rPr>
        <w:t>اشاره</w:t>
      </w:r>
      <w:bookmarkEnd w:id="1713"/>
    </w:p>
    <w:p>
      <w:pPr>
        <w:pStyle w:val="BookText"/>
        <w:rPr/>
      </w:pPr>
      <w:r>
        <w:rPr>
          <w:rFonts w:ascii="IRNazanin" w:hAnsi="IRNazanin" w:eastAsia="IRNazanin"/>
          <w:color w:val="111111"/>
          <w:sz w:val="28"/>
          <w:sz w:val="28"/>
          <w:szCs w:val="28"/>
          <w:rtl w:val="true"/>
          <w:lang w:bidi="fa-IR"/>
        </w:rPr>
        <w:t>سپاه اسلام، به خصوص در دوران خلفاى راشدين و معاويه و نيز بعد از آن، كه مسلمانان با سپاه‌هاى ايرانى و روم آشنا شدند، معمولاً از واحدهاى زير تشكيل مى‌شد</w:t>
      </w:r>
      <w:r>
        <w:rPr>
          <w:rFonts w:eastAsia="IRNazanin" w:cs="IRNazanin"/>
          <w:color w:val="111111"/>
          <w:sz w:val="28"/>
          <w:szCs w:val="28"/>
          <w:rtl w:val="true"/>
          <w:lang w:bidi="fa-IR"/>
        </w:rPr>
        <w:t>:</w:t>
      </w:r>
    </w:p>
    <w:p>
      <w:pPr>
        <w:pStyle w:val="Heading5"/>
        <w:numPr>
          <w:ilvl w:val="4"/>
          <w:numId w:val="1"/>
        </w:numPr>
        <w:rPr/>
      </w:pPr>
      <w:bookmarkStart w:id="1714" w:name="__RefHeading___Toc3585869_3650668749"/>
      <w:bookmarkStart w:id="1715" w:name="_Toc731"/>
      <w:bookmarkEnd w:id="1714"/>
      <w:r>
        <w:rPr>
          <w:rtl w:val="true"/>
        </w:rPr>
        <w:t xml:space="preserve">يك </w:t>
      </w:r>
      <w:r>
        <w:rPr>
          <w:rtl w:val="true"/>
        </w:rPr>
        <w:t xml:space="preserve">- </w:t>
      </w:r>
      <w:r>
        <w:rPr>
          <w:rtl w:val="true"/>
        </w:rPr>
        <w:t xml:space="preserve">پياده نظام </w:t>
      </w:r>
      <w:r>
        <w:rPr>
          <w:rtl w:val="true"/>
        </w:rPr>
        <w:t>(</w:t>
      </w:r>
      <w:r>
        <w:rPr>
          <w:rtl w:val="true"/>
        </w:rPr>
        <w:t>رجّاله</w:t>
      </w:r>
      <w:r>
        <w:rPr>
          <w:rtl w:val="true"/>
        </w:rPr>
        <w:t>)</w:t>
      </w:r>
      <w:bookmarkEnd w:id="171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واحد، قسمت اصلى سپاه را تشكيل مى‌داد و وظيفه جنگ تن به تن با دشمن و شكستن سد سپاه دشمن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كمينِ سواران دشمن نشستن و قطع كردن پاى اسب‌هايشان يا فرارى دادن اسبان دشمن از وظايف ديگر پياده نظام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نگهبانى از مواضع سپاه نيز يكى ديگر از وظايف اين واحد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فرمانده پياده نظام، سوار بر اسب بود تا بهتر بتواند بر افراد واحد خود نظارت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نظام سپاه اسلام در فتوحات جرأت و شجاعت فوق‌العاده‌اى از خود نشان مى‌دادند، در حالى‌كه در همين زمان پياده نظام سپاه‌هاى روم و ايران دچار رعب و وحشت بودند و براى آنكه از صحنه نبرد نگريزند، دسته‌دسته آنها را با زنجيرهاى آهنين، محكم به هم بسته بودند</w:t>
      </w:r>
      <w:r>
        <w:rPr>
          <w:rFonts w:eastAsia="IRNazanin" w:cs="IRNazanin"/>
          <w:color w:val="111111"/>
          <w:sz w:val="28"/>
          <w:szCs w:val="28"/>
          <w:rtl w:val="true"/>
          <w:lang w:bidi="fa-IR"/>
        </w:rPr>
        <w:t xml:space="preserve">. </w:t>
      </w:r>
      <w:r>
        <w:rPr>
          <w:rStyle w:val="FootnoteAnchor"/>
          <w:rtl w:val="true"/>
        </w:rPr>
        <w:footnoteReference w:id="1550"/>
      </w:r>
      <w:r>
        <w:rPr>
          <w:rFonts w:ascii="IRNazanin" w:hAnsi="IRNazanin" w:eastAsia="IRNazanin"/>
          <w:color w:val="111111"/>
          <w:sz w:val="28"/>
          <w:sz w:val="28"/>
          <w:szCs w:val="28"/>
          <w:rtl w:val="true"/>
          <w:lang w:bidi="fa-IR"/>
        </w:rPr>
        <w:t>شبيه اين روش در جنگ صفين هم اتفاق افتاد؛ زيرا سپاهيان شام قبل از پيش آمدن ماجراى حكميت، وقتى با شجاعت فراوان سپاه عراق روبه‌رو شدند، عده‌اى از پياده نظام سپاه شام را با عمامه‌ها به هم بسته بودند كه تعداد صف‌هاى با عمامه به هم بسته شده، پنج صف بود</w:t>
      </w:r>
      <w:r>
        <w:rPr>
          <w:rFonts w:eastAsia="IRNazanin" w:cs="IRNazanin"/>
          <w:color w:val="111111"/>
          <w:sz w:val="28"/>
          <w:szCs w:val="28"/>
          <w:rtl w:val="true"/>
          <w:lang w:bidi="fa-IR"/>
        </w:rPr>
        <w:t xml:space="preserve">. </w:t>
      </w:r>
      <w:r>
        <w:rPr>
          <w:rStyle w:val="FootnoteAnchor"/>
          <w:rtl w:val="true"/>
        </w:rPr>
        <w:footnoteReference w:id="1551"/>
      </w:r>
      <w:bookmarkStart w:id="1716" w:name="pg1964_19902"/>
    </w:p>
    <w:p>
      <w:pPr>
        <w:pStyle w:val="BookText"/>
        <w:rPr/>
      </w:pPr>
      <w:bookmarkEnd w:id="1716"/>
      <w:r>
        <w:rPr>
          <w:rFonts w:ascii="IRNazanin" w:hAnsi="IRNazanin" w:eastAsia="IRNazanin"/>
          <w:color w:val="111111"/>
          <w:sz w:val="28"/>
          <w:sz w:val="28"/>
          <w:szCs w:val="28"/>
          <w:rtl w:val="true"/>
          <w:lang w:bidi="fa-IR"/>
        </w:rPr>
        <w:t>معمولاً پياده نظام براى حفظ خود، از زره و كلاه‌خود استفاده مى‌كردند و در بعضى مواقع روى زره، قباهاى بلندى مى‌پوشيدند</w:t>
      </w:r>
      <w:r>
        <w:rPr>
          <w:rFonts w:eastAsia="IRNazanin" w:cs="IRNazanin"/>
          <w:color w:val="111111"/>
          <w:sz w:val="28"/>
          <w:szCs w:val="28"/>
          <w:rtl w:val="true"/>
          <w:lang w:bidi="fa-IR"/>
        </w:rPr>
        <w:t xml:space="preserve">. </w:t>
      </w:r>
      <w:r>
        <w:rPr>
          <w:rStyle w:val="FootnoteAnchor"/>
          <w:rtl w:val="true"/>
        </w:rPr>
        <w:footnoteReference w:id="1552"/>
      </w:r>
    </w:p>
    <w:p>
      <w:pPr>
        <w:pStyle w:val="Heading5"/>
        <w:numPr>
          <w:ilvl w:val="4"/>
          <w:numId w:val="1"/>
        </w:numPr>
        <w:rPr/>
      </w:pPr>
      <w:bookmarkStart w:id="1717" w:name="__RefHeading___Toc3585871_3650668749"/>
      <w:bookmarkStart w:id="1718" w:name="_Toc732"/>
      <w:bookmarkEnd w:id="1717"/>
      <w:r>
        <w:rPr>
          <w:rtl w:val="true"/>
        </w:rPr>
        <w:t xml:space="preserve">دو </w:t>
      </w:r>
      <w:r>
        <w:rPr>
          <w:rtl w:val="true"/>
        </w:rPr>
        <w:t xml:space="preserve">- </w:t>
      </w:r>
      <w:r>
        <w:rPr>
          <w:rtl w:val="true"/>
        </w:rPr>
        <w:t xml:space="preserve">سواره نظام </w:t>
      </w:r>
      <w:r>
        <w:rPr>
          <w:rtl w:val="true"/>
        </w:rPr>
        <w:t>(</w:t>
      </w:r>
      <w:r>
        <w:rPr>
          <w:rtl w:val="true"/>
        </w:rPr>
        <w:t>خيّاله، فُرْسان</w:t>
      </w:r>
      <w:r>
        <w:rPr>
          <w:rtl w:val="true"/>
        </w:rPr>
        <w:t>)</w:t>
      </w:r>
      <w:bookmarkEnd w:id="1718"/>
    </w:p>
    <w:p>
      <w:pPr>
        <w:pStyle w:val="Heading6"/>
        <w:numPr>
          <w:ilvl w:val="5"/>
          <w:numId w:val="1"/>
        </w:numPr>
        <w:rPr/>
      </w:pPr>
      <w:bookmarkStart w:id="1719" w:name="__RefHeading___Toc3585873_3650668749"/>
      <w:bookmarkStart w:id="1720" w:name="_Toc733"/>
      <w:bookmarkEnd w:id="1719"/>
      <w:r>
        <w:rPr>
          <w:rtl w:val="true"/>
        </w:rPr>
        <w:t>اشاره</w:t>
      </w:r>
      <w:bookmarkEnd w:id="1720"/>
    </w:p>
    <w:p>
      <w:pPr>
        <w:pStyle w:val="BookText"/>
        <w:rPr/>
      </w:pPr>
      <w:r>
        <w:rPr>
          <w:rFonts w:ascii="IRNazanin" w:hAnsi="IRNazanin" w:eastAsia="IRNazanin"/>
          <w:color w:val="111111"/>
          <w:sz w:val="28"/>
          <w:sz w:val="28"/>
          <w:szCs w:val="28"/>
          <w:rtl w:val="true"/>
          <w:lang w:bidi="fa-IR"/>
        </w:rPr>
        <w:t>در زمان مورد بحث، معمولاً سواره نظام را اسب‌سواران تشكيل مى‌دادند و از آنجا كه اسلام سهم بيشترى از غنايم براى اسب‌سوار در نظر گرفته بود، مردم تمايل زيادى به نگهدارى اسب و ورود در سواره نظام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راشدين نيز اهميت فراوانى به اسب مى‌دادند، به‌گونه‌اى كه بعضى از آنها در هر شهرى چهار هزار اسب را نگهدارى مى‌كردند كه در مواقع لزوم از آنها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سواره نظام عبارت بود از</w:t>
      </w:r>
      <w:r>
        <w:rPr>
          <w:rFonts w:eastAsia="IRNazanin" w:cs="IRNazanin"/>
          <w:color w:val="111111"/>
          <w:sz w:val="28"/>
          <w:szCs w:val="28"/>
          <w:rtl w:val="true"/>
          <w:lang w:bidi="fa-IR"/>
        </w:rPr>
        <w:t>:</w:t>
      </w:r>
    </w:p>
    <w:p>
      <w:pPr>
        <w:pStyle w:val="Heading6"/>
        <w:numPr>
          <w:ilvl w:val="5"/>
          <w:numId w:val="1"/>
        </w:numPr>
        <w:rPr/>
      </w:pPr>
      <w:bookmarkStart w:id="1721" w:name="__RefHeading___Toc3585875_3650668749"/>
      <w:bookmarkStart w:id="1722" w:name="_Toc734"/>
      <w:bookmarkEnd w:id="1721"/>
      <w:r>
        <w:rPr>
          <w:rtl w:val="true"/>
        </w:rPr>
        <w:t xml:space="preserve">اول </w:t>
      </w:r>
      <w:r>
        <w:rPr>
          <w:rtl w:val="true"/>
        </w:rPr>
        <w:t xml:space="preserve">- </w:t>
      </w:r>
      <w:r>
        <w:rPr>
          <w:rtl w:val="true"/>
        </w:rPr>
        <w:t>حمله</w:t>
      </w:r>
      <w:bookmarkEnd w:id="1722"/>
    </w:p>
    <w:p>
      <w:pPr>
        <w:pStyle w:val="BookText"/>
        <w:rPr/>
      </w:pPr>
      <w:r>
        <w:rPr>
          <w:rFonts w:ascii="IRNazanin" w:hAnsi="IRNazanin" w:eastAsia="IRNazanin"/>
          <w:color w:val="111111"/>
          <w:sz w:val="28"/>
          <w:sz w:val="28"/>
          <w:szCs w:val="28"/>
          <w:rtl w:val="true"/>
          <w:lang w:bidi="fa-IR"/>
        </w:rPr>
        <w:t>مهم‌ترين وظيفه اسب سوار، حمله به سپاه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سپاه مسلمانان، سواره‌نظام در قسمت‌هاى جناح، يعنى طرف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ميمنه و ميسره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به‌كار گرفته مى‌شد كه اين عمل به آزادى بيشتر اسب سواران و قدرت مانور فراوان‌تر آنها منجر مى‌شد، در حالى‌كه در سپاه‌هاى ايران و روم از سواره‌نظام در صفوف جلويى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سواره نظام سپاه اسلام هنگام حمله، به دو جناح سپاه دشمن حمله مى‌كرد و به پيش مى‌رفت و معطّل دفاع نمى‌شد و اين وظيفه را به پياده نظام كه در عقب او حركت مى‌كرد، مى‌سپرد</w:t>
      </w:r>
      <w:r>
        <w:rPr>
          <w:rFonts w:eastAsia="IRNazanin" w:cs="IRNazanin"/>
          <w:color w:val="111111"/>
          <w:sz w:val="28"/>
          <w:szCs w:val="28"/>
          <w:rtl w:val="true"/>
          <w:lang w:bidi="fa-IR"/>
        </w:rPr>
        <w:t>.</w:t>
      </w:r>
    </w:p>
    <w:p>
      <w:pPr>
        <w:pStyle w:val="Heading6"/>
        <w:numPr>
          <w:ilvl w:val="5"/>
          <w:numId w:val="1"/>
        </w:numPr>
        <w:rPr/>
      </w:pPr>
      <w:bookmarkStart w:id="1723" w:name="__RefHeading___Toc3585877_3650668749"/>
      <w:bookmarkStart w:id="1724" w:name="_Toc735"/>
      <w:bookmarkEnd w:id="1723"/>
      <w:r>
        <w:rPr>
          <w:rtl w:val="true"/>
        </w:rPr>
        <w:t xml:space="preserve">دوم </w:t>
      </w:r>
      <w:r>
        <w:rPr>
          <w:rtl w:val="true"/>
        </w:rPr>
        <w:t xml:space="preserve">- </w:t>
      </w:r>
      <w:r>
        <w:rPr>
          <w:rtl w:val="true"/>
        </w:rPr>
        <w:t>تعقيب و گريز</w:t>
      </w:r>
      <w:bookmarkEnd w:id="172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عده‌اى از سواره نظام را به عنوان واحد احتياط براى تعقيب و گريز دشمن نگهدارى مى‌كردند تا هنگامى كه سواره نظام حمله نمود و دشمن رو به فرار گذاشت، آن واحد به تعقيب آنها بپردازد؛ زيرا واحد قبلى معمولاً از نفس</w:t>
      </w:r>
      <w:bookmarkStart w:id="1725" w:name="pg1964_19903"/>
    </w:p>
    <w:p>
      <w:pPr>
        <w:pStyle w:val="BookText"/>
        <w:rPr/>
      </w:pPr>
      <w:bookmarkEnd w:id="1725"/>
      <w:r>
        <w:rPr>
          <w:rFonts w:ascii="Amiri" w:hAnsi="Amiri" w:eastAsia="Amiri" w:cs="Amiri"/>
          <w:color w:val="111111"/>
          <w:sz w:val="28"/>
          <w:sz w:val="28"/>
          <w:szCs w:val="28"/>
          <w:rtl w:val="true"/>
          <w:lang w:bidi="ar-SA"/>
        </w:rPr>
        <w:t>افتاده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معمولاً اين عده از سواره نظام، اسبانى عريان، يعنى بدون تِجْفاف و زره داشتند</w:t>
      </w:r>
      <w:r>
        <w:rPr>
          <w:rFonts w:eastAsia="Amiri" w:cs="Amiri" w:ascii="Amiri" w:hAnsi="Amiri"/>
          <w:color w:val="111111"/>
          <w:sz w:val="28"/>
          <w:szCs w:val="28"/>
          <w:rtl w:val="true"/>
          <w:lang w:bidi="ar-SA"/>
        </w:rPr>
        <w:t>.</w:t>
      </w:r>
    </w:p>
    <w:p>
      <w:pPr>
        <w:pStyle w:val="Heading6"/>
        <w:numPr>
          <w:ilvl w:val="5"/>
          <w:numId w:val="1"/>
        </w:numPr>
        <w:rPr/>
      </w:pPr>
      <w:bookmarkStart w:id="1726" w:name="__RefHeading___Toc3585879_3650668749"/>
      <w:bookmarkStart w:id="1727" w:name="_Toc736"/>
      <w:bookmarkEnd w:id="1726"/>
      <w:r>
        <w:rPr>
          <w:rtl w:val="true"/>
        </w:rPr>
        <w:t xml:space="preserve">سوم </w:t>
      </w:r>
      <w:r>
        <w:rPr>
          <w:rtl w:val="true"/>
        </w:rPr>
        <w:t xml:space="preserve">- </w:t>
      </w:r>
      <w:r>
        <w:rPr>
          <w:rtl w:val="true"/>
        </w:rPr>
        <w:t>جمع‌آورى اطلاعات</w:t>
      </w:r>
      <w:bookmarkEnd w:id="1727"/>
    </w:p>
    <w:p>
      <w:pPr>
        <w:pStyle w:val="BookText"/>
        <w:rPr/>
      </w:pPr>
      <w:r>
        <w:rPr>
          <w:rFonts w:ascii="IRNazanin" w:hAnsi="IRNazanin" w:eastAsia="IRNazanin"/>
          <w:color w:val="111111"/>
          <w:sz w:val="28"/>
          <w:sz w:val="28"/>
          <w:szCs w:val="28"/>
          <w:rtl w:val="true"/>
          <w:lang w:bidi="fa-IR"/>
        </w:rPr>
        <w:t>معمولاً عده‌اى از اسب سواران در جلو سپاه حركت كرده و از وضعيت سپاه دشمن اطلاع كسب مى‌نمودند</w:t>
      </w:r>
      <w:r>
        <w:rPr>
          <w:rFonts w:eastAsia="IRNazanin" w:cs="IRNazanin"/>
          <w:color w:val="111111"/>
          <w:sz w:val="28"/>
          <w:szCs w:val="28"/>
          <w:rtl w:val="true"/>
          <w:lang w:bidi="fa-IR"/>
        </w:rPr>
        <w:t>.</w:t>
      </w:r>
    </w:p>
    <w:p>
      <w:pPr>
        <w:pStyle w:val="Heading6"/>
        <w:numPr>
          <w:ilvl w:val="5"/>
          <w:numId w:val="1"/>
        </w:numPr>
        <w:rPr/>
      </w:pPr>
      <w:bookmarkStart w:id="1728" w:name="__RefHeading___Toc3585881_3650668749"/>
      <w:bookmarkStart w:id="1729" w:name="_Toc737"/>
      <w:bookmarkEnd w:id="1728"/>
      <w:r>
        <w:rPr>
          <w:rtl w:val="true"/>
        </w:rPr>
        <w:t xml:space="preserve">چهارم </w:t>
      </w:r>
      <w:r>
        <w:rPr>
          <w:rtl w:val="true"/>
        </w:rPr>
        <w:t xml:space="preserve">- </w:t>
      </w:r>
      <w:r>
        <w:rPr>
          <w:rtl w:val="true"/>
        </w:rPr>
        <w:t>پشتيبانى</w:t>
      </w:r>
      <w:bookmarkEnd w:id="1729"/>
    </w:p>
    <w:p>
      <w:pPr>
        <w:pStyle w:val="BookText"/>
        <w:rPr/>
      </w:pPr>
      <w:r>
        <w:rPr>
          <w:rFonts w:ascii="IRNazanin" w:hAnsi="IRNazanin" w:eastAsia="IRNazanin"/>
          <w:color w:val="111111"/>
          <w:sz w:val="28"/>
          <w:sz w:val="28"/>
          <w:szCs w:val="28"/>
          <w:rtl w:val="true"/>
          <w:lang w:bidi="fa-IR"/>
        </w:rPr>
        <w:t>عده‌اى از سواره نظام در نقاط استراتژيك مستقر شده و وظيفه حمايت و پشتيبانى از سپاه خودى و قطع كمك رسانى به سپاه دشمن را به عهده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سواره نظام از انواع سلاح‌هاى سبك، مانند انواع شمشير، انواع نيزه و تير و كمان استفاده مى‌كردند</w:t>
      </w:r>
      <w:r>
        <w:rPr>
          <w:rFonts w:eastAsia="Amiri" w:cs="Amiri" w:ascii="Amiri" w:hAnsi="Amiri"/>
          <w:color w:val="111111"/>
          <w:sz w:val="28"/>
          <w:szCs w:val="28"/>
          <w:rtl w:val="true"/>
          <w:lang w:bidi="ar-SA"/>
        </w:rPr>
        <w:t xml:space="preserve">. </w:t>
      </w:r>
      <w:r>
        <w:rPr>
          <w:rStyle w:val="FootnoteAnchor"/>
          <w:rtl w:val="true"/>
        </w:rPr>
        <w:footnoteReference w:id="1553"/>
      </w:r>
      <w:r>
        <w:rPr>
          <w:rFonts w:ascii="IRNazanin" w:hAnsi="IRNazanin" w:eastAsia="IRNazanin"/>
          <w:color w:val="111111"/>
          <w:sz w:val="28"/>
          <w:sz w:val="28"/>
          <w:szCs w:val="28"/>
          <w:rtl w:val="true"/>
          <w:lang w:bidi="fa-IR"/>
        </w:rPr>
        <w:t>همچنين شيوه سوار شدن آنها بر اسب بنابر عادت عرب، اين‌گونه بود كه از ركاب استفاده نمى‌نمودند؛ زيرا آن را باعث سستى سواركار مى‌دانستند، مثلاً در باره اسب‌سوارى عمر چنين نقل شده كه او با دست راستش گوش چپ اسب خود را مى‌گرفت و آن‌گاه با تمام بدن روى اسب مى‌پريد</w:t>
      </w:r>
      <w:r>
        <w:rPr>
          <w:rFonts w:eastAsia="IRNazanin" w:cs="IRNazanin"/>
          <w:color w:val="111111"/>
          <w:sz w:val="28"/>
          <w:szCs w:val="28"/>
          <w:rtl w:val="true"/>
          <w:lang w:bidi="fa-IR"/>
        </w:rPr>
        <w:t xml:space="preserve">. </w:t>
      </w:r>
      <w:r>
        <w:rPr>
          <w:rStyle w:val="FootnoteAnchor"/>
          <w:rtl w:val="true"/>
        </w:rPr>
        <w:footnoteReference w:id="1554"/>
      </w:r>
      <w:r>
        <w:rPr>
          <w:rFonts w:ascii="IRNazanin" w:hAnsi="IRNazanin" w:eastAsia="IRNazanin"/>
          <w:color w:val="111111"/>
          <w:sz w:val="28"/>
          <w:sz w:val="28"/>
          <w:szCs w:val="28"/>
          <w:rtl w:val="true"/>
          <w:lang w:bidi="fa-IR"/>
        </w:rPr>
        <w:t>اما پس از چندى به علت درگيرى‌هاى سخت سپاه اسلام با ايران و روم و عدم كارآزمودگى بسيارى از سواران، ناچار ركاب‌هاى چوبى ساختند كه پس از مدتى اين ركاب‌ها به ركاب‌هاى آهنين تبديل شد؛ زيرا ركاب‌هاى چوبى معمولاً در جنگ‌ها قطع مى‌شد و پاى سواركار بدون تكيه‌گاه مى‌ماند</w:t>
      </w:r>
      <w:r>
        <w:rPr>
          <w:rFonts w:eastAsia="IRNazanin" w:cs="IRNazanin"/>
          <w:color w:val="111111"/>
          <w:sz w:val="28"/>
          <w:szCs w:val="28"/>
          <w:rtl w:val="true"/>
          <w:lang w:bidi="fa-IR"/>
        </w:rPr>
        <w:t xml:space="preserve">. </w:t>
      </w:r>
      <w:r>
        <w:rPr>
          <w:rStyle w:val="FootnoteAnchor"/>
          <w:rtl w:val="true"/>
        </w:rPr>
        <w:footnoteReference w:id="1555"/>
      </w:r>
    </w:p>
    <w:p>
      <w:pPr>
        <w:pStyle w:val="Heading5"/>
        <w:numPr>
          <w:ilvl w:val="4"/>
          <w:numId w:val="1"/>
        </w:numPr>
        <w:rPr/>
      </w:pPr>
      <w:bookmarkStart w:id="1730" w:name="__RefHeading___Toc3585883_3650668749"/>
      <w:bookmarkStart w:id="1731" w:name="_Toc738"/>
      <w:bookmarkEnd w:id="1730"/>
      <w:r>
        <w:rPr>
          <w:rtl w:val="true"/>
        </w:rPr>
        <w:t xml:space="preserve">سه </w:t>
      </w:r>
      <w:r>
        <w:rPr>
          <w:rtl w:val="true"/>
        </w:rPr>
        <w:t xml:space="preserve">- </w:t>
      </w:r>
      <w:r>
        <w:rPr>
          <w:rtl w:val="true"/>
        </w:rPr>
        <w:t xml:space="preserve">تيراندازان </w:t>
      </w:r>
      <w:r>
        <w:rPr>
          <w:rtl w:val="true"/>
        </w:rPr>
        <w:t>(</w:t>
      </w:r>
      <w:r>
        <w:rPr>
          <w:rtl w:val="true"/>
        </w:rPr>
        <w:t>رُماة، نَشّابون</w:t>
      </w:r>
      <w:r>
        <w:rPr>
          <w:rtl w:val="true"/>
        </w:rPr>
        <w:t>)</w:t>
      </w:r>
      <w:bookmarkEnd w:id="173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عرب‌ها از قديم‌الايام به تيراندازى اهميت وافرى مى‌دادند و در فتوحات، عده‌اى از تيراندازان ماهر، واحدى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تشكيل مى‌دادند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تيراندازان در</w:t>
      </w:r>
      <w:bookmarkStart w:id="1732" w:name="pg1964_19904"/>
    </w:p>
    <w:p>
      <w:pPr>
        <w:pStyle w:val="BookText"/>
        <w:rPr/>
      </w:pPr>
      <w:bookmarkEnd w:id="1732"/>
      <w:r>
        <w:rPr>
          <w:rFonts w:ascii="IRNazanin" w:hAnsi="IRNazanin" w:eastAsia="IRNazanin"/>
          <w:color w:val="111111"/>
          <w:sz w:val="28"/>
          <w:sz w:val="28"/>
          <w:szCs w:val="28"/>
          <w:rtl w:val="true"/>
          <w:lang w:bidi="fa-IR"/>
        </w:rPr>
        <w:t>مواقع بسيارى براى هدف قرار دادن دشمن و نيز حفظ مناطق استراتژيك، از بالاى برج‌ها استفاده فراوان مى‌نمودند</w:t>
      </w:r>
      <w:r>
        <w:rPr>
          <w:rFonts w:eastAsia="IRNazanin" w:cs="IRNazanin"/>
          <w:color w:val="111111"/>
          <w:sz w:val="28"/>
          <w:szCs w:val="28"/>
          <w:rtl w:val="true"/>
          <w:lang w:bidi="fa-IR"/>
        </w:rPr>
        <w:t xml:space="preserve">. </w:t>
      </w:r>
      <w:r>
        <w:rPr>
          <w:rStyle w:val="FootnoteAnchor"/>
          <w:rtl w:val="true"/>
        </w:rPr>
        <w:footnoteReference w:id="1556"/>
      </w:r>
      <w:r>
        <w:rPr>
          <w:rFonts w:ascii="IRNazanin" w:hAnsi="IRNazanin" w:eastAsia="IRNazanin"/>
          <w:color w:val="111111"/>
          <w:sz w:val="28"/>
          <w:sz w:val="28"/>
          <w:szCs w:val="28"/>
          <w:rtl w:val="true"/>
          <w:lang w:bidi="fa-IR"/>
        </w:rPr>
        <w:t xml:space="preserve">خالد بن وليد هنگام محاصره انبار به واحد تيراندازان دستور داد كه چشمان افراد را هدف بگيرند و چنان شد كه در يك نوبت تيراندازى، هزار چشم از افراد دشمن مورد اصابت قرار گرفت و ازاين‌رو آن واقعه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العيون؛ واقعه 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جنگ‌ها با تيراندازى شروع مى‌شد و عمده خسارت‌ها از اين راه ايجاد مى‌شد، چنان‌كه در جنگ كربلا، عده زيادى از سپاه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تيراندازى سپاه كوفه به شهادت رسيدند</w:t>
      </w:r>
      <w:r>
        <w:rPr>
          <w:rFonts w:eastAsia="IRNazanin" w:cs="IRNazanin"/>
          <w:color w:val="111111"/>
          <w:sz w:val="28"/>
          <w:szCs w:val="28"/>
          <w:rtl w:val="true"/>
          <w:lang w:bidi="fa-IR"/>
        </w:rPr>
        <w:t>.</w:t>
      </w:r>
    </w:p>
    <w:p>
      <w:pPr>
        <w:pStyle w:val="Heading5"/>
        <w:numPr>
          <w:ilvl w:val="4"/>
          <w:numId w:val="1"/>
        </w:numPr>
        <w:rPr/>
      </w:pPr>
      <w:bookmarkStart w:id="1733" w:name="__RefHeading___Toc3585885_3650668749"/>
      <w:bookmarkStart w:id="1734" w:name="_Toc739"/>
      <w:bookmarkEnd w:id="1733"/>
      <w:r>
        <w:rPr>
          <w:rtl w:val="true"/>
        </w:rPr>
        <w:t xml:space="preserve">چهار </w:t>
      </w:r>
      <w:r>
        <w:rPr>
          <w:rtl w:val="true"/>
        </w:rPr>
        <w:t xml:space="preserve">- </w:t>
      </w:r>
      <w:r>
        <w:rPr>
          <w:rtl w:val="true"/>
        </w:rPr>
        <w:t xml:space="preserve">كارگران </w:t>
      </w:r>
      <w:r>
        <w:rPr>
          <w:rtl w:val="true"/>
        </w:rPr>
        <w:t>(</w:t>
      </w:r>
      <w:r>
        <w:rPr>
          <w:rtl w:val="true"/>
        </w:rPr>
        <w:t>فَعَلَه</w:t>
      </w:r>
      <w:r>
        <w:rPr>
          <w:rtl w:val="true"/>
        </w:rPr>
        <w:t>)</w:t>
      </w:r>
      <w:bookmarkEnd w:id="1734"/>
    </w:p>
    <w:p>
      <w:pPr>
        <w:pStyle w:val="BookText"/>
        <w:rPr/>
      </w:pPr>
      <w:r>
        <w:rPr>
          <w:rFonts w:ascii="IRNazanin" w:hAnsi="IRNazanin" w:eastAsia="IRNazanin"/>
          <w:color w:val="111111"/>
          <w:sz w:val="28"/>
          <w:sz w:val="28"/>
          <w:szCs w:val="28"/>
          <w:rtl w:val="true"/>
          <w:lang w:bidi="fa-IR"/>
        </w:rPr>
        <w:t>كار اين واحد، باز نمودن راه‌ها، نصب پل‌ها، كندن چاه‌ها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بود كه در مواقع لزوم به‌كار گرفته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افراد اين گروه را افراد رومى و ايرانى كه به اسارت در آمده بودند تشكيل مى‌دادند</w:t>
      </w:r>
      <w:r>
        <w:rPr>
          <w:rFonts w:eastAsia="IRNazanin" w:cs="IRNazanin"/>
          <w:color w:val="111111"/>
          <w:sz w:val="28"/>
          <w:szCs w:val="28"/>
          <w:rtl w:val="true"/>
          <w:lang w:bidi="fa-IR"/>
        </w:rPr>
        <w:t>.</w:t>
      </w:r>
    </w:p>
    <w:p>
      <w:pPr>
        <w:pStyle w:val="Heading5"/>
        <w:numPr>
          <w:ilvl w:val="4"/>
          <w:numId w:val="1"/>
        </w:numPr>
        <w:rPr/>
      </w:pPr>
      <w:bookmarkStart w:id="1735" w:name="__RefHeading___Toc3585887_3650668749"/>
      <w:bookmarkStart w:id="1736" w:name="_Toc740"/>
      <w:bookmarkEnd w:id="1735"/>
      <w:r>
        <w:rPr>
          <w:rtl w:val="true"/>
        </w:rPr>
        <w:t xml:space="preserve">پنج </w:t>
      </w:r>
      <w:r>
        <w:rPr>
          <w:rtl w:val="true"/>
        </w:rPr>
        <w:t xml:space="preserve">- </w:t>
      </w:r>
      <w:r>
        <w:rPr>
          <w:rtl w:val="true"/>
        </w:rPr>
        <w:t xml:space="preserve">واحد خدمات </w:t>
      </w:r>
      <w:r>
        <w:rPr>
          <w:rtl w:val="true"/>
        </w:rPr>
        <w:t>(</w:t>
      </w:r>
      <w:r>
        <w:rPr>
          <w:rtl w:val="true"/>
        </w:rPr>
        <w:t>تداركات</w:t>
      </w:r>
      <w:r>
        <w:rPr>
          <w:rtl w:val="true"/>
        </w:rPr>
        <w:t>)</w:t>
      </w:r>
      <w:bookmarkEnd w:id="1736"/>
    </w:p>
    <w:p>
      <w:pPr>
        <w:pStyle w:val="BookText"/>
        <w:rPr/>
      </w:pPr>
      <w:r>
        <w:rPr>
          <w:rFonts w:ascii="IRNazanin" w:hAnsi="IRNazanin" w:eastAsia="IRNazanin"/>
          <w:color w:val="111111"/>
          <w:sz w:val="28"/>
          <w:sz w:val="28"/>
          <w:szCs w:val="28"/>
          <w:rtl w:val="true"/>
          <w:lang w:bidi="fa-IR"/>
        </w:rPr>
        <w:t>كارهايى همانند آماده نمودن غذا و آب، نقل و انتقال كالاها و مهمات جنگى، نصب خيمه‌ها، برپايى اردوگاه‌ها و حفاظت از آنها، انتقال مجروحان به عقب، دفن شهيدان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عهده اين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اين واحد براى نقل و انتقال، از شتر استفاده مى‌كردند و در مناطق كوهستانى قاطر را به‌كار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 نيز كه پيش از اين از آن ياد شد، در اين واحد مشغول به‌كار بود كه در بعضى مواقع براى رساندن كمك‌هاى سريع از آن استفاده مى‌كردند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پزشكان را نيز مى‌توان در اين واحد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همراه خود وسايل پزشكى، جراحى، خيمه‌هاى مخصوص و پرستاران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برانكاردى كه در اين</w:t>
      </w:r>
      <w:bookmarkStart w:id="1737" w:name="pg1964_19905"/>
    </w:p>
    <w:p>
      <w:pPr>
        <w:pStyle w:val="BookText"/>
        <w:rPr/>
      </w:pPr>
      <w:bookmarkEnd w:id="1737"/>
      <w:r>
        <w:rPr>
          <w:rFonts w:ascii="IRNazanin" w:hAnsi="IRNazanin" w:eastAsia="IRNazanin"/>
          <w:color w:val="111111"/>
          <w:sz w:val="28"/>
          <w:sz w:val="28"/>
          <w:szCs w:val="28"/>
          <w:rtl w:val="true"/>
          <w:lang w:bidi="fa-IR"/>
        </w:rPr>
        <w:t>زمان مورد استفاده مى‌شد، معمولاً از يك قطعه پوست يا پارچه بود كه بين دو چوب بسته مى‌شد و دو مرد اطراف آن را گرفته و حمل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قاريان قرآن و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با تلاوت آيات قرآن و يادآورى داستان‌هاى حماسى عرب، لشكريان را تهييج مى‌نمودند نيز مى‌توان جزء اين واحد دانست گرچه در آن زمان هنوز اين عده واحد منظمى را تشكيل نداده بودند</w:t>
      </w:r>
      <w:r>
        <w:rPr>
          <w:rFonts w:eastAsia="IRNazanin" w:cs="IRNazanin"/>
          <w:color w:val="111111"/>
          <w:sz w:val="28"/>
          <w:szCs w:val="28"/>
          <w:rtl w:val="true"/>
          <w:lang w:bidi="fa-IR"/>
        </w:rPr>
        <w:t xml:space="preserve">. </w:t>
      </w:r>
      <w:r>
        <w:rPr>
          <w:rStyle w:val="FootnoteAnchor"/>
          <w:rtl w:val="true"/>
        </w:rPr>
        <w:footnoteReference w:id="1557"/>
      </w:r>
    </w:p>
    <w:p>
      <w:pPr>
        <w:pStyle w:val="Heading4"/>
        <w:numPr>
          <w:ilvl w:val="3"/>
          <w:numId w:val="1"/>
        </w:numPr>
        <w:rPr/>
      </w:pPr>
      <w:bookmarkStart w:id="1738" w:name="__RefHeading___Toc3585889_3650668749"/>
      <w:bookmarkStart w:id="1739" w:name="_Toc741"/>
      <w:bookmarkEnd w:id="1738"/>
      <w:r>
        <w:rPr>
          <w:rtl w:val="true"/>
        </w:rPr>
        <w:t>م</w:t>
      </w:r>
      <w:r>
        <w:rPr>
          <w:rtl w:val="true"/>
        </w:rPr>
        <w:t xml:space="preserve">) </w:t>
      </w:r>
      <w:r>
        <w:rPr>
          <w:rtl w:val="true"/>
        </w:rPr>
        <w:t>مراحل جنگ</w:t>
      </w:r>
      <w:bookmarkEnd w:id="1739"/>
    </w:p>
    <w:p>
      <w:pPr>
        <w:pStyle w:val="Heading5"/>
        <w:numPr>
          <w:ilvl w:val="4"/>
          <w:numId w:val="1"/>
        </w:numPr>
        <w:rPr/>
      </w:pPr>
      <w:bookmarkStart w:id="1740" w:name="__RefHeading___Toc3585891_3650668749"/>
      <w:bookmarkStart w:id="1741" w:name="_Toc742"/>
      <w:bookmarkEnd w:id="1740"/>
      <w:r>
        <w:rPr>
          <w:rtl w:val="true"/>
        </w:rPr>
        <w:t>اشاره</w:t>
      </w:r>
      <w:bookmarkEnd w:id="1741"/>
    </w:p>
    <w:p>
      <w:pPr>
        <w:pStyle w:val="BookText"/>
        <w:rPr/>
      </w:pPr>
      <w:r>
        <w:rPr>
          <w:rFonts w:ascii="IRNazanin" w:hAnsi="IRNazanin" w:eastAsia="IRNazanin"/>
          <w:color w:val="111111"/>
          <w:sz w:val="28"/>
          <w:sz w:val="28"/>
          <w:szCs w:val="28"/>
          <w:rtl w:val="true"/>
          <w:lang w:bidi="fa-IR"/>
        </w:rPr>
        <w:t>مراحل قبل از جنگ را مى‌توان به جمع نيرو، حركت به سوى دشمن، استقرار در لشكرگاه، آمادگى‌هاى قبل از جنگ، شروع جنگ و تدابير دفاعى تقسيم كرد</w:t>
      </w:r>
      <w:r>
        <w:rPr>
          <w:rFonts w:eastAsia="IRNazanin" w:cs="IRNazanin"/>
          <w:color w:val="111111"/>
          <w:sz w:val="28"/>
          <w:szCs w:val="28"/>
          <w:rtl w:val="true"/>
          <w:lang w:bidi="fa-IR"/>
        </w:rPr>
        <w:t>:</w:t>
      </w:r>
    </w:p>
    <w:p>
      <w:pPr>
        <w:pStyle w:val="Heading5"/>
        <w:numPr>
          <w:ilvl w:val="4"/>
          <w:numId w:val="1"/>
        </w:numPr>
        <w:rPr/>
      </w:pPr>
      <w:bookmarkStart w:id="1742" w:name="__RefHeading___Toc3585893_3650668749"/>
      <w:bookmarkStart w:id="1743" w:name="_Toc743"/>
      <w:bookmarkEnd w:id="1742"/>
      <w:r>
        <w:rPr>
          <w:rtl w:val="true"/>
        </w:rPr>
        <w:t xml:space="preserve">يك </w:t>
      </w:r>
      <w:r>
        <w:rPr>
          <w:rtl w:val="true"/>
        </w:rPr>
        <w:t xml:space="preserve">- </w:t>
      </w:r>
      <w:r>
        <w:rPr>
          <w:rtl w:val="true"/>
        </w:rPr>
        <w:t>جمع نيرو</w:t>
      </w:r>
      <w:bookmarkEnd w:id="1743"/>
    </w:p>
    <w:p>
      <w:pPr>
        <w:pStyle w:val="BookText"/>
        <w:rPr/>
      </w:pPr>
      <w:r>
        <w:rPr>
          <w:rFonts w:ascii="IRNazanin" w:hAnsi="IRNazanin" w:eastAsia="IRNazanin"/>
          <w:color w:val="111111"/>
          <w:sz w:val="28"/>
          <w:sz w:val="28"/>
          <w:szCs w:val="28"/>
          <w:rtl w:val="true"/>
          <w:lang w:bidi="fa-IR"/>
        </w:rPr>
        <w:t>جمع نيرو به وسيله اعلان جنگ در شهر و نيز ارسال نامه به شهرهاى ديگر براى امدادرسانى صورت مى‌گرفت كه بحث مفصل آن در اعلان جنگ و سربازگيرى گذشت</w:t>
      </w:r>
      <w:r>
        <w:rPr>
          <w:rFonts w:eastAsia="IRNazanin" w:cs="IRNazanin"/>
          <w:color w:val="111111"/>
          <w:sz w:val="28"/>
          <w:szCs w:val="28"/>
          <w:rtl w:val="true"/>
          <w:lang w:bidi="fa-IR"/>
        </w:rPr>
        <w:t>.</w:t>
      </w:r>
    </w:p>
    <w:p>
      <w:pPr>
        <w:pStyle w:val="Heading5"/>
        <w:numPr>
          <w:ilvl w:val="4"/>
          <w:numId w:val="1"/>
        </w:numPr>
        <w:rPr/>
      </w:pPr>
      <w:bookmarkStart w:id="1744" w:name="__RefHeading___Toc3585895_3650668749"/>
      <w:bookmarkStart w:id="1745" w:name="_Toc744"/>
      <w:bookmarkEnd w:id="1744"/>
      <w:r>
        <w:rPr>
          <w:rtl w:val="true"/>
        </w:rPr>
        <w:t xml:space="preserve">دو </w:t>
      </w:r>
      <w:r>
        <w:rPr>
          <w:rtl w:val="true"/>
        </w:rPr>
        <w:t xml:space="preserve">- </w:t>
      </w:r>
      <w:r>
        <w:rPr>
          <w:rtl w:val="true"/>
        </w:rPr>
        <w:t>حركت به سوى دشمن</w:t>
      </w:r>
      <w:bookmarkEnd w:id="1745"/>
    </w:p>
    <w:p>
      <w:pPr>
        <w:pStyle w:val="BookText"/>
        <w:rPr/>
      </w:pPr>
      <w:r>
        <w:rPr>
          <w:rFonts w:ascii="IRNazanin" w:hAnsi="IRNazanin" w:eastAsia="IRNazanin"/>
          <w:color w:val="111111"/>
          <w:sz w:val="28"/>
          <w:sz w:val="28"/>
          <w:szCs w:val="28"/>
          <w:rtl w:val="true"/>
          <w:lang w:bidi="fa-IR"/>
        </w:rPr>
        <w:t>يكى از مهم‌ترين اصولى كه هنگام حركت سپاه به سوى دشمن به آن توجه مى‌شد، فرستادن گروهى از لشكريان به عنوان طليعه سپاه براى جمع‌آورى اطلاعات و برداشتن موانع جزئى از سر راه سپاه اصلى بود كه اين واحد هميشه به وسيله پيك با عقبه، يعنى سپاه اصلى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طليعه از افراد برگزيده و سواركاران شجاع و ماهر در جنگ تشكيل مى‌شد و فرمانده اين واحد، فردى شجاع، مورد اطمينان، جسور و محتاط بود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اسبان اين واحد مى‌بايست اسب‌هايى زين كرده، سالم، با نعل‌هاى خوب و تندرو باشد؛ زيرا سرعت عمل در مورد اين واحد بسيار مهم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معمولاً در واحد</w:t>
      </w:r>
    </w:p>
    <w:p>
      <w:pPr>
        <w:pStyle w:val="BookText"/>
        <w:rPr/>
      </w:pPr>
      <w:r>
        <w:rPr>
          <w:rFonts w:ascii="IRNazanin" w:hAnsi="IRNazanin" w:eastAsia="IRNazanin"/>
          <w:color w:val="111111"/>
          <w:sz w:val="28"/>
          <w:sz w:val="28"/>
          <w:szCs w:val="28"/>
          <w:rtl w:val="true"/>
          <w:lang w:bidi="fa-IR"/>
        </w:rPr>
        <w:t>طليعه از اسب‌هاى ماده استفاده مى‌شد؛ زيرا اين‌گونه اسب‌ها، سرعت بيشتر و استقامت فراوان‌ترى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معمولاً اسلحه اين واحد، تير و كمان بود كه هر تيرانداز بين ده تا بيست تير با خود حمل مى‌كرد؛ زيرا اين واحد غالباً از نزديك با دشمن روبه‌رو نمى‌شد تا احتياج به شمشير و نيزه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مهم‌ترين وظيفه طليعه به‌دست آوردن اطلاعات از دشمن، تحركات او و مقدار توان و نيروى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كشف كمين‌هاى دشمن، اصلاح راه‌ها به وسيله بعضى از كارگران، قطع درختان، نصب پل و همواركردن راه‌ها از ديگر وظايف طليعه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اين واحد از درگيرى با طليعه دشمن اجتناب مى‌كرد، ازاين‌رو به گونه‌اى حركت مى‌كرد كه غبار ايجاد نكند تا طليعه دشمن از وجود او مطلع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صعود به ارتفاعى ضرورى بود، عده‌اى صعود كرده و عده‌اى از آنها مواظبت و حمايت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واحد بايد به مقدارى پيشروى مى‌كردند كه بيش از دو سوم راه بين عقبه و بين سپاه دشمن نباشند و نيز هنگام حركت بايد به طرف راست و چپ خود توجه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علايمى به عنوان رمز بين پيك طليعه و بين فرمانده اصلى لشكر وجود داشت كه باعث سرعت انتقال خبر به فرمانده مى‌شد، مثل اينكه پايين آمدن پيك از اسب، نشانه استقرار دشمن و حركت پيك به سمتى، نشانه حركت دشمن به آن سمت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علايم در حالات فوق‌العاده استفاده مى‌شد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افراد واحدهاى ديگر سپاه معمولاً از همراه بردن اشياى غير ضرورى كه وزن سنگين و كارآيى كمى داشت، دورى مى‌گزيدند و سعى مى‌كردند وسايلى را همراه خود ببرند كه وزن سبك وكارآيى فراوانى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همراه بردن آب در همه حال واجب بود، حتى اگر در كنار نهر آب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حركت، توان ضعيف‌ترين افراد لشكر در نظر گرفته مى‌شد و بر اساس آن برنامه‌ريزى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1746" w:name="pg1964_19907"/>
    </w:p>
    <w:p>
      <w:pPr>
        <w:pStyle w:val="BookText"/>
        <w:rPr/>
      </w:pPr>
      <w:bookmarkEnd w:id="1746"/>
      <w:r>
        <w:rPr>
          <w:rFonts w:ascii="IRNazanin" w:hAnsi="IRNazanin" w:eastAsia="IRNazanin"/>
          <w:color w:val="111111"/>
          <w:sz w:val="28"/>
          <w:sz w:val="28"/>
          <w:szCs w:val="28"/>
          <w:rtl w:val="true"/>
          <w:lang w:bidi="fa-IR"/>
        </w:rPr>
        <w:t xml:space="preserve">چگونگى حركت سپاه به اين شكل بود كه طليعه در مركز جاده و در جلو حركت مى‌كرد و در پشت آن ميمنه و ميسره در دو طرف جاده در سمت راست و چپ طليعه حركت مى‌كردند و آن‌گاه قسمت عقبى سپاه 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براى پشتيبانى سپاه در همه اطراف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منظور غافل‌گير نشدن سپاه از پشت، واحد ساقه را با افراد شجاع و سواركاران ماهر تقويت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فرماندهان سپاه و تشكيلات ادارى سپاه در وسط لشكر بودند، به‌گونه‌اى كه همه قسمت‌ها به آنها دسترسى داشتند</w:t>
      </w:r>
      <w:r>
        <w:rPr>
          <w:rFonts w:eastAsia="IRNazanin" w:cs="IRNazanin"/>
          <w:color w:val="111111"/>
          <w:sz w:val="28"/>
          <w:szCs w:val="28"/>
          <w:rtl w:val="true"/>
          <w:lang w:bidi="fa-IR"/>
        </w:rPr>
        <w:t xml:space="preserve">. </w:t>
      </w:r>
      <w:r>
        <w:rPr>
          <w:rStyle w:val="FootnoteAnchor"/>
          <w:rtl w:val="true"/>
        </w:rPr>
        <w:footnoteReference w:id="1558"/>
      </w:r>
    </w:p>
    <w:p>
      <w:pPr>
        <w:pStyle w:val="Heading5"/>
        <w:numPr>
          <w:ilvl w:val="4"/>
          <w:numId w:val="1"/>
        </w:numPr>
        <w:rPr/>
      </w:pPr>
      <w:bookmarkStart w:id="1747" w:name="__RefHeading___Toc3585897_3650668749"/>
      <w:bookmarkStart w:id="1748" w:name="_Toc745"/>
      <w:bookmarkEnd w:id="1747"/>
      <w:r>
        <w:rPr>
          <w:rtl w:val="true"/>
        </w:rPr>
        <w:t xml:space="preserve">سه </w:t>
      </w:r>
      <w:r>
        <w:rPr>
          <w:rtl w:val="true"/>
        </w:rPr>
        <w:t xml:space="preserve">- </w:t>
      </w:r>
      <w:r>
        <w:rPr>
          <w:rtl w:val="true"/>
        </w:rPr>
        <w:t>استقرار در لشكرگاه</w:t>
      </w:r>
      <w:bookmarkEnd w:id="1748"/>
    </w:p>
    <w:p>
      <w:pPr>
        <w:pStyle w:val="BookText"/>
        <w:rPr/>
      </w:pPr>
      <w:r>
        <w:rPr>
          <w:rFonts w:ascii="IRNazanin" w:hAnsi="IRNazanin" w:eastAsia="IRNazanin"/>
          <w:color w:val="111111"/>
          <w:sz w:val="28"/>
          <w:sz w:val="28"/>
          <w:szCs w:val="28"/>
          <w:rtl w:val="true"/>
          <w:lang w:bidi="fa-IR"/>
        </w:rPr>
        <w:t>در مورد زمينى كه مى‌خواستند در آن فرود آيند، به چند نكته توجه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آب و دسترسى آسان به چراگاه براى چار پايان و وفور هيزم براى پخت‌وپز؛</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عوارض طبيعى زمين، مانند تپه‌ها، كوه‌ها و رودخانه‌ها كه به عنوان موانعى در مقابل هجوم دشمن از آن استفاده مى‌شد؛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در كنار جاده به گونه‌اى كه رسيدن كمك و قواى كمكى آسان‌تر باشد؛</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محل استقرار به صورت دشت بسيار گسترده نباشد تا از يك طرف نگهبانى و حفاظت از آن مشكل نباشد و از سوى ديگر، دشمن به آسانى نتواند به آن حمله‌ور شود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استقرار، نگهبانانى براى محافظت از لشكرگاه تعيين مى‌كردند و در صورتى كه لشكر از پشت نيز امنيت نداشت، نگهبانانى براى آن قسمت نيز مشخص مى‌كردند كه اين نگهبانان همگى به نوبت نگهبانى مى‌دادند</w:t>
      </w:r>
      <w:r>
        <w:rPr>
          <w:rFonts w:eastAsia="IRNazanin" w:cs="IRNazanin"/>
          <w:color w:val="111111"/>
          <w:sz w:val="28"/>
          <w:szCs w:val="28"/>
          <w:rtl w:val="true"/>
          <w:lang w:bidi="fa-IR"/>
        </w:rPr>
        <w:t>.</w:t>
      </w:r>
      <w:bookmarkStart w:id="1749" w:name="pg1964_19908"/>
    </w:p>
    <w:p>
      <w:pPr>
        <w:pStyle w:val="BookText"/>
        <w:rPr/>
      </w:pPr>
      <w:bookmarkEnd w:id="1749"/>
      <w:r>
        <w:rPr>
          <w:rFonts w:ascii="IRNazanin" w:hAnsi="IRNazanin" w:eastAsia="IRNazanin"/>
          <w:color w:val="111111"/>
          <w:sz w:val="28"/>
          <w:sz w:val="28"/>
          <w:szCs w:val="28"/>
          <w:rtl w:val="true"/>
          <w:lang w:bidi="fa-IR"/>
        </w:rPr>
        <w:t>استقرار سپاهيان در لشكرگاه به گونه‌اى بود كه فرمانده كل و نيز فرماندهان پايين‌تر و نيز افراد سپاه به خوبى از محل استقرار گروه‌هاى مختلف آگاه بودند تا هم هماهنگى لازم از سوى فرماندهان صورت گيرد و هم نيروها به آسانى بتوانند واحد خود را پيدا نمايند و هم هنگام حمله دشمن وضعيت سپاه آشفته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اولين كارهايى كه هنگام استقرار سپاه صورت مى‌گرفت، حفاظت از لشكريان به منظور مقابله با هجوم ناگهانى دشمن بود كه بدين منظور، خندقى به دور سپاه حفر مى‌شد و در آن طرف خندق به سمت دشمن، خارهاى سه پهلو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ريخته مى‌شد تا سواران دشمن نتوانند به سپاه حمله آورند</w:t>
      </w:r>
      <w:r>
        <w:rPr>
          <w:rFonts w:eastAsia="IRNazanin" w:cs="IRNazanin"/>
          <w:color w:val="111111"/>
          <w:sz w:val="28"/>
          <w:szCs w:val="28"/>
          <w:rtl w:val="true"/>
          <w:lang w:bidi="fa-IR"/>
        </w:rPr>
        <w:t xml:space="preserve">. </w:t>
      </w:r>
      <w:r>
        <w:rPr>
          <w:rStyle w:val="FootnoteAnchor"/>
          <w:rtl w:val="true"/>
        </w:rPr>
        <w:footnoteReference w:id="1559"/>
      </w:r>
    </w:p>
    <w:p>
      <w:pPr>
        <w:pStyle w:val="Heading5"/>
        <w:numPr>
          <w:ilvl w:val="4"/>
          <w:numId w:val="1"/>
        </w:numPr>
        <w:rPr/>
      </w:pPr>
      <w:bookmarkStart w:id="1750" w:name="__RefHeading___Toc3585899_3650668749"/>
      <w:bookmarkStart w:id="1751" w:name="_Toc746"/>
      <w:bookmarkEnd w:id="1750"/>
      <w:r>
        <w:rPr>
          <w:rtl w:val="true"/>
        </w:rPr>
        <w:t xml:space="preserve">چهار </w:t>
      </w:r>
      <w:r>
        <w:rPr>
          <w:rtl w:val="true"/>
        </w:rPr>
        <w:t xml:space="preserve">- </w:t>
      </w:r>
      <w:r>
        <w:rPr>
          <w:rtl w:val="true"/>
        </w:rPr>
        <w:t>آمادگى‌هاى قبل از جنگ</w:t>
      </w:r>
      <w:bookmarkEnd w:id="1751"/>
    </w:p>
    <w:p>
      <w:pPr>
        <w:pStyle w:val="BookText"/>
        <w:rPr/>
      </w:pPr>
      <w:r>
        <w:rPr>
          <w:rFonts w:ascii="IRNazanin" w:hAnsi="IRNazanin" w:eastAsia="IRNazanin"/>
          <w:color w:val="111111"/>
          <w:sz w:val="28"/>
          <w:sz w:val="28"/>
          <w:szCs w:val="28"/>
          <w:rtl w:val="true"/>
          <w:lang w:bidi="fa-IR"/>
        </w:rPr>
        <w:t>آمادگى‌هايى كه سپاه اسلام قبل از اقدام به حمله به آن مبادرت مى‌كرد، عبارت بود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جمع‌آورى اطلاعات دقيق از مقدار نيرو و توان دشمن؛</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زمين ميدان جنگ و برگزيدن بهترين مكان براى حمله؛</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كمين‌هاى دشمن و دور راندن آنها؛</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راه‌ها براى قطع كمك رسانى به دشمن؛</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محل قلب سپاه در مكانى بلند و در زمين سخت كه خالى از غبار باشد تا فرمانده كل آسان‌تر بر صحنه مسلط باشد؛</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كردن واحدهاى مختلف در مكان‌هاى مشخص؛</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بهينه از شرايط طبيعى، مانند قرار دادن خورشيد و حركت بادها در پشت؛</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خطبا و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قاريان براى تشجيع سپاه؛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سوره انفال قبل از جنگ كه اين سنت را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بدر بنيان نهاده بود</w:t>
      </w:r>
      <w:r>
        <w:rPr>
          <w:rFonts w:eastAsia="IRNazanin" w:cs="IRNazanin"/>
          <w:color w:val="111111"/>
          <w:sz w:val="28"/>
          <w:szCs w:val="28"/>
          <w:rtl w:val="true"/>
          <w:lang w:bidi="fa-IR"/>
        </w:rPr>
        <w:t>.</w:t>
      </w:r>
      <w:bookmarkStart w:id="1752" w:name="pg1964_19909"/>
    </w:p>
    <w:p>
      <w:pPr>
        <w:pStyle w:val="Heading5"/>
        <w:numPr>
          <w:ilvl w:val="4"/>
          <w:numId w:val="1"/>
        </w:numPr>
        <w:rPr/>
      </w:pPr>
      <w:bookmarkStart w:id="1753" w:name="__RefHeading___Toc3585901_3650668749"/>
      <w:bookmarkStart w:id="1754" w:name="_Toc747"/>
      <w:bookmarkEnd w:id="1752"/>
      <w:bookmarkEnd w:id="1753"/>
      <w:r>
        <w:rPr>
          <w:rtl w:val="true"/>
        </w:rPr>
        <w:t xml:space="preserve">پنج </w:t>
      </w:r>
      <w:r>
        <w:rPr>
          <w:rtl w:val="true"/>
        </w:rPr>
        <w:t xml:space="preserve">- </w:t>
      </w:r>
      <w:r>
        <w:rPr>
          <w:rtl w:val="true"/>
        </w:rPr>
        <w:t>شروع جنگ</w:t>
      </w:r>
      <w:bookmarkEnd w:id="1754"/>
    </w:p>
    <w:p>
      <w:pPr>
        <w:pStyle w:val="BookText"/>
        <w:rPr/>
      </w:pPr>
      <w:r>
        <w:rPr>
          <w:rFonts w:ascii="IRNazanin" w:hAnsi="IRNazanin" w:eastAsia="IRNazanin"/>
          <w:color w:val="111111"/>
          <w:sz w:val="28"/>
          <w:sz w:val="28"/>
          <w:szCs w:val="28"/>
          <w:rtl w:val="true"/>
          <w:lang w:bidi="fa-IR"/>
        </w:rPr>
        <w:t xml:space="preserve">معمولاً جنگ به وسيله مبارزه‌طلبى پهلوانان دو طرف آغاز مى‌شد كه نمونه‌هايى از آن در جنگ‌هاى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تا پايان عصر اموى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عمده از اين عمل، برانگيختن غيرت سپاه و تشويق آنان به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فرمان حمله از سوى يكى از دو طرف يا هر دو طرف صادر مى‌شد كه معمولاً در جنگ‌هاى اسلامى اين فرمان به وسيله تكبير يا تكان دادن پرچم همراه با تكبير صورت مى‌گرفت</w:t>
      </w:r>
      <w:r>
        <w:rPr>
          <w:rFonts w:eastAsia="IRNazanin" w:cs="IRNazanin"/>
          <w:color w:val="111111"/>
          <w:sz w:val="28"/>
          <w:szCs w:val="28"/>
          <w:rtl w:val="true"/>
          <w:lang w:bidi="fa-IR"/>
        </w:rPr>
        <w:t xml:space="preserve">. </w:t>
      </w:r>
      <w:r>
        <w:rPr>
          <w:rStyle w:val="FootnoteAnchor"/>
          <w:rtl w:val="true"/>
        </w:rPr>
        <w:footnoteReference w:id="1560"/>
      </w:r>
      <w:r>
        <w:rPr>
          <w:rFonts w:ascii="IRNazanin" w:hAnsi="IRNazanin" w:eastAsia="IRNazanin"/>
          <w:color w:val="111111"/>
          <w:sz w:val="28"/>
          <w:sz w:val="28"/>
          <w:szCs w:val="28"/>
          <w:rtl w:val="true"/>
          <w:lang w:bidi="fa-IR"/>
        </w:rPr>
        <w:t>در جريان كربلا، فرمان حمله عمومى از سوى عمر بن سعد با گفتن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خَيْلَ الله اِرْكِبي و بِالجَنَّةِ اِبْشِري </w:t>
      </w:r>
      <w:r>
        <w:rPr>
          <w:rFonts w:eastAsia="IRNazanin" w:cs="IRNazanin"/>
          <w:color w:val="111111"/>
          <w:sz w:val="28"/>
          <w:szCs w:val="28"/>
          <w:rtl w:val="true"/>
          <w:lang w:bidi="fa-IR"/>
        </w:rPr>
        <w:t xml:space="preserve">» </w:t>
      </w:r>
      <w:r>
        <w:rPr>
          <w:rStyle w:val="FootnoteAnchor"/>
          <w:rtl w:val="true"/>
        </w:rPr>
        <w:footnoteReference w:id="1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سواران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شويد و خود را به بهشت بشارت 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حمله عمومى در بسيارى از موارد با حمله تيراندازان آغاز مى‌شد كه تعداد فراوانى از دشمن را به خاك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مرحله، سپاهيان همراه با سكوت و آرامش به دشمن حمله نموده و جنگ تن به تن را آغاز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آثار شكست و عقب‌نشينى در صفوف دشمن هويدا مى‌شد، مرحله ديگرى از حمله كه شدت بيشترى از مرحله قبل داشت و به آن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صولة و 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آغاز مى‌شد؛ بدين ترتيب كه با تكبير بلندى همه افراد سپاه به سمت دشمن حمله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مواقع، همانند جنگ قادسيه، به صف‌هاى عقبى دشمن حمله مى‌كرد كه اين عمل، ترس فراوانى در صفوف دشمن ايجاد مى‌نمود</w:t>
      </w:r>
      <w:r>
        <w:rPr>
          <w:rFonts w:eastAsia="IRNazanin" w:cs="IRNazanin"/>
          <w:color w:val="111111"/>
          <w:sz w:val="28"/>
          <w:szCs w:val="28"/>
          <w:rtl w:val="true"/>
          <w:lang w:bidi="fa-IR"/>
        </w:rPr>
        <w:t xml:space="preserve">. </w:t>
      </w:r>
      <w:r>
        <w:rPr>
          <w:rStyle w:val="FootnoteAnchor"/>
          <w:rtl w:val="true"/>
        </w:rPr>
        <w:footnoteReference w:id="1562"/>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سپاهيان اسلام علاوه بر جنگيدن با دشمن در روز، شبانه نيز به آنها شبيخون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شب‌هاى ظلمانى كه در آن بادهاى شديدى مى‌وزيد، براى اين</w:t>
      </w:r>
      <w:bookmarkStart w:id="1755" w:name="pg1964_19910"/>
    </w:p>
    <w:p>
      <w:pPr>
        <w:pStyle w:val="BookText"/>
        <w:rPr/>
      </w:pPr>
      <w:bookmarkEnd w:id="1755"/>
      <w:r>
        <w:rPr>
          <w:rFonts w:ascii="IRNazanin" w:hAnsi="IRNazanin" w:eastAsia="IRNazanin"/>
          <w:color w:val="111111"/>
          <w:sz w:val="28"/>
          <w:sz w:val="28"/>
          <w:szCs w:val="28"/>
          <w:rtl w:val="true"/>
          <w:lang w:bidi="fa-IR"/>
        </w:rPr>
        <w:t>عمل انتخاب مى‌شد تا صداها و حركات نيروها پوشيده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براى شركت در شبيخون برگزيده مى‌شدند معمولاً افرادى شجاع، ماهر و بااستقامت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دو قسمت تقسيم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افراد، داخل اردوگاه دشمن شده و با بلندكردن تكبير و ايجاد صداهاى هول‌انگيز، رعب و هراس در دل لشكريان دشمن مى‌افكندند و در همين هنگام بخش دوم كه در بيرون اردوگاه كمين كرده بودند، افراد دشمن را كه سراسيمه به هر طرف مى‌دويدند، مورد هدف تيرهاى خود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گروه اول براى اينكه شناسايى نشوند به اطراف اردوگاه پراكنده مى‌شدند و براى شناسايى همديگر رمزهايى بين خود قرار داده بودند</w:t>
      </w:r>
      <w:r>
        <w:rPr>
          <w:rFonts w:eastAsia="IRNazanin" w:cs="IRNazanin"/>
          <w:color w:val="111111"/>
          <w:sz w:val="28"/>
          <w:szCs w:val="28"/>
          <w:rtl w:val="true"/>
          <w:lang w:bidi="fa-IR"/>
        </w:rPr>
        <w:t xml:space="preserve">. </w:t>
      </w:r>
      <w:r>
        <w:rPr>
          <w:rStyle w:val="FootnoteAnchor"/>
          <w:rtl w:val="true"/>
        </w:rPr>
        <w:footnoteReference w:id="1563"/>
      </w:r>
    </w:p>
    <w:p>
      <w:pPr>
        <w:pStyle w:val="Heading5"/>
        <w:numPr>
          <w:ilvl w:val="4"/>
          <w:numId w:val="1"/>
        </w:numPr>
        <w:rPr/>
      </w:pPr>
      <w:bookmarkStart w:id="1756" w:name="__RefHeading___Toc3585903_3650668749"/>
      <w:bookmarkStart w:id="1757" w:name="_Toc748"/>
      <w:bookmarkEnd w:id="1756"/>
      <w:r>
        <w:rPr>
          <w:rtl w:val="true"/>
        </w:rPr>
        <w:t xml:space="preserve">شش </w:t>
      </w:r>
      <w:r>
        <w:rPr>
          <w:rtl w:val="true"/>
        </w:rPr>
        <w:t xml:space="preserve">- </w:t>
      </w:r>
      <w:r>
        <w:rPr>
          <w:rtl w:val="true"/>
        </w:rPr>
        <w:t>تدابير دفاعى</w:t>
      </w:r>
      <w:bookmarkEnd w:id="1757"/>
    </w:p>
    <w:p>
      <w:pPr>
        <w:pStyle w:val="BookText"/>
        <w:rPr/>
      </w:pPr>
      <w:r>
        <w:rPr>
          <w:rFonts w:ascii="IRNazanin" w:hAnsi="IRNazanin" w:eastAsia="IRNazanin"/>
          <w:color w:val="111111"/>
          <w:sz w:val="28"/>
          <w:sz w:val="28"/>
          <w:szCs w:val="28"/>
          <w:rtl w:val="true"/>
          <w:lang w:bidi="fa-IR"/>
        </w:rPr>
        <w:t>هنگامى كه دشمن به سپاه حمله مى‌كرد، سپاهيان در مكان‌هاى خود مستقر شده و صفوف خود را به هم فشرده مى‌نمودند، آن‌گاه صفوف جلويى كه معمولاً پيادگان بودند، نيزه‌هاى خود را در جلو دشمن مى‌گرفتند، در حالى‌كه به حالت هجوم به سمت دشمن در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پشت‌سر آنان، تيراندازان مستقر مى‌شدند و هرگاه نيروهاى دشمن به تيررس آنها مى‌رسيدند، شروع به تيراندازى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سپاه دشمن از تيرها جان سالم بدر برده و به صفوف سپاه نزديك مى‌شدند، نيزه‌داران با آنان به مبارزه تن به تن بر مى‌خاستند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شدت حمله دشمن كاسته مى‌شد، مرحله دوم دفاع شروع مى‌شد و آن اشاره به همه سپاهيان براى ضدحمله و وادار كردن دشمن به عقب‌نشينى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مواقع دفاع، لشكر را در تمام قسمت‌ها تقسيم مى‌كردند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واحدى از سپاه با حمله غافل‌گيرانه دشمن روبه‌رو مى‌شد، افراد آن واحد سه تكبير مى‌گفتند و در اين هنگام مواضع افراد مهاجمِ دشمن براى ديگر واحدها هويدا مى‌شد</w:t>
      </w:r>
      <w:r>
        <w:rPr>
          <w:rFonts w:eastAsia="IRNazanin" w:cs="IRNazanin"/>
          <w:color w:val="111111"/>
          <w:sz w:val="28"/>
          <w:szCs w:val="28"/>
          <w:rtl w:val="true"/>
          <w:lang w:bidi="fa-IR"/>
        </w:rPr>
        <w:t xml:space="preserve">. </w:t>
      </w:r>
      <w:r>
        <w:rPr>
          <w:rStyle w:val="FootnoteAnchor"/>
          <w:rtl w:val="true"/>
        </w:rPr>
        <w:footnoteReference w:id="1564"/>
      </w:r>
      <w:bookmarkStart w:id="1758" w:name="pg1964_19911"/>
    </w:p>
    <w:p>
      <w:pPr>
        <w:pStyle w:val="Heading4"/>
        <w:numPr>
          <w:ilvl w:val="3"/>
          <w:numId w:val="1"/>
        </w:numPr>
        <w:rPr/>
      </w:pPr>
      <w:bookmarkStart w:id="1759" w:name="__RefHeading___Toc3585905_3650668749"/>
      <w:bookmarkStart w:id="1760" w:name="_Toc749"/>
      <w:bookmarkEnd w:id="1758"/>
      <w:bookmarkEnd w:id="1759"/>
      <w:r>
        <w:rPr>
          <w:rtl w:val="true"/>
        </w:rPr>
        <w:t>ن</w:t>
      </w:r>
      <w:r>
        <w:rPr>
          <w:rtl w:val="true"/>
        </w:rPr>
        <w:t xml:space="preserve">) </w:t>
      </w:r>
      <w:r>
        <w:rPr>
          <w:rtl w:val="true"/>
        </w:rPr>
        <w:t>درجات نظامى سپاه اسلام</w:t>
      </w:r>
      <w:bookmarkEnd w:id="1760"/>
    </w:p>
    <w:p>
      <w:pPr>
        <w:pStyle w:val="Heading5"/>
        <w:numPr>
          <w:ilvl w:val="4"/>
          <w:numId w:val="1"/>
        </w:numPr>
        <w:rPr/>
      </w:pPr>
      <w:bookmarkStart w:id="1761" w:name="__RefHeading___Toc3585907_3650668749"/>
      <w:bookmarkStart w:id="1762" w:name="_Toc750"/>
      <w:bookmarkEnd w:id="1761"/>
      <w:r>
        <w:rPr>
          <w:rtl w:val="true"/>
        </w:rPr>
        <w:t>اشاره</w:t>
      </w:r>
      <w:bookmarkEnd w:id="1762"/>
    </w:p>
    <w:p>
      <w:pPr>
        <w:pStyle w:val="BookText"/>
        <w:rPr/>
      </w:pPr>
      <w:r>
        <w:rPr>
          <w:rFonts w:ascii="IRNazanin" w:hAnsi="IRNazanin" w:eastAsia="IRNazanin"/>
          <w:color w:val="111111"/>
          <w:sz w:val="28"/>
          <w:sz w:val="28"/>
          <w:szCs w:val="28"/>
          <w:rtl w:val="true"/>
          <w:lang w:bidi="fa-IR"/>
        </w:rPr>
        <w:t>در اينجا ابتدا به درجات نظامى سپاه اسلام اشاره‌اى خواهيم داشت و از آنجا كه بيشتر جنگ‌هاى زمان مورد بحث ما با ايران و روم بود، به درجات نظامى ارتش اين دو كشور نيز اشاره خواهيم كرد</w:t>
      </w:r>
      <w:r>
        <w:rPr>
          <w:rFonts w:eastAsia="IRNazanin" w:cs="IRNazanin"/>
          <w:color w:val="111111"/>
          <w:sz w:val="28"/>
          <w:szCs w:val="28"/>
          <w:rtl w:val="true"/>
          <w:lang w:bidi="fa-IR"/>
        </w:rPr>
        <w:t>.</w:t>
      </w:r>
    </w:p>
    <w:p>
      <w:pPr>
        <w:pStyle w:val="Heading5"/>
        <w:numPr>
          <w:ilvl w:val="4"/>
          <w:numId w:val="1"/>
        </w:numPr>
        <w:rPr/>
      </w:pPr>
      <w:bookmarkStart w:id="1763" w:name="__RefHeading___Toc3585909_3650668749"/>
      <w:bookmarkStart w:id="1764" w:name="_Toc751"/>
      <w:bookmarkEnd w:id="1763"/>
      <w:r>
        <w:rPr>
          <w:rtl w:val="true"/>
        </w:rPr>
        <w:t xml:space="preserve">يك </w:t>
      </w:r>
      <w:r>
        <w:rPr>
          <w:rtl w:val="true"/>
        </w:rPr>
        <w:t xml:space="preserve">- </w:t>
      </w:r>
      <w:r>
        <w:rPr>
          <w:rtl w:val="true"/>
        </w:rPr>
        <w:t>درجات نظامى سپاه اسلام</w:t>
      </w:r>
      <w:bookmarkEnd w:id="1764"/>
    </w:p>
    <w:p>
      <w:pPr>
        <w:pStyle w:val="Heading6"/>
        <w:numPr>
          <w:ilvl w:val="5"/>
          <w:numId w:val="1"/>
        </w:numPr>
        <w:rPr/>
      </w:pPr>
      <w:bookmarkStart w:id="1765" w:name="__RefHeading___Toc3585911_3650668749"/>
      <w:bookmarkStart w:id="1766" w:name="_Toc752"/>
      <w:bookmarkEnd w:id="1765"/>
      <w:r>
        <w:rPr>
          <w:rtl w:val="true"/>
        </w:rPr>
        <w:t>اشاره</w:t>
      </w:r>
      <w:bookmarkEnd w:id="1766"/>
    </w:p>
    <w:p>
      <w:pPr>
        <w:pStyle w:val="BookText"/>
        <w:rPr/>
      </w:pPr>
      <w:r>
        <w:rPr>
          <w:rFonts w:ascii="IRNazanin" w:hAnsi="IRNazanin" w:eastAsia="IRNazanin"/>
          <w:color w:val="111111"/>
          <w:sz w:val="28"/>
          <w:sz w:val="28"/>
          <w:szCs w:val="28"/>
          <w:rtl w:val="true"/>
          <w:lang w:bidi="fa-IR"/>
        </w:rPr>
        <w:t>درجات نظامى سپاه اسلام در زمان مورد بحث عبارت بود از</w:t>
      </w:r>
      <w:r>
        <w:rPr>
          <w:rFonts w:eastAsia="IRNazanin" w:cs="IRNazanin"/>
          <w:color w:val="111111"/>
          <w:sz w:val="28"/>
          <w:szCs w:val="28"/>
          <w:rtl w:val="true"/>
          <w:lang w:bidi="fa-IR"/>
        </w:rPr>
        <w:t>:</w:t>
      </w:r>
    </w:p>
    <w:p>
      <w:pPr>
        <w:pStyle w:val="Heading6"/>
        <w:numPr>
          <w:ilvl w:val="5"/>
          <w:numId w:val="1"/>
        </w:numPr>
        <w:rPr/>
      </w:pPr>
      <w:bookmarkStart w:id="1767" w:name="__RefHeading___Toc3585913_3650668749"/>
      <w:bookmarkStart w:id="1768" w:name="_Toc753"/>
      <w:bookmarkEnd w:id="1767"/>
      <w:r>
        <w:rPr>
          <w:rtl w:val="true"/>
        </w:rPr>
        <w:t xml:space="preserve">اول </w:t>
      </w:r>
      <w:r>
        <w:rPr>
          <w:rtl w:val="true"/>
        </w:rPr>
        <w:t xml:space="preserve">- </w:t>
      </w:r>
      <w:r>
        <w:rPr>
          <w:rtl w:val="true"/>
        </w:rPr>
        <w:t xml:space="preserve">فرمانده كل سپاه </w:t>
      </w:r>
      <w:r>
        <w:rPr>
          <w:rtl w:val="true"/>
        </w:rPr>
        <w:t>(</w:t>
      </w:r>
      <w:r>
        <w:rPr>
          <w:rtl w:val="true"/>
        </w:rPr>
        <w:t>امير الجيش</w:t>
      </w:r>
      <w:r>
        <w:rPr>
          <w:rtl w:val="true"/>
        </w:rPr>
        <w:t>)</w:t>
      </w:r>
      <w:bookmarkEnd w:id="1768"/>
    </w:p>
    <w:p>
      <w:pPr>
        <w:pStyle w:val="BookText"/>
        <w:rPr/>
      </w:pPr>
      <w:r>
        <w:rPr>
          <w:rFonts w:ascii="IRNazanin" w:hAnsi="IRNazanin" w:eastAsia="IRNazanin"/>
          <w:color w:val="111111"/>
          <w:sz w:val="28"/>
          <w:sz w:val="28"/>
          <w:szCs w:val="28"/>
          <w:rtl w:val="true"/>
          <w:lang w:bidi="fa-IR"/>
        </w:rPr>
        <w:t xml:space="preserve">در بعضى از جنگ‌ها، مثل برخى از جنگ‌هاى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جنگ‌هاى سه‌گانه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كل سپاه همان رئيس حكومت بود</w:t>
      </w:r>
      <w:r>
        <w:rPr>
          <w:rFonts w:eastAsia="IRNazanin" w:cs="IRNazanin"/>
          <w:color w:val="111111"/>
          <w:sz w:val="28"/>
          <w:szCs w:val="28"/>
          <w:rtl w:val="true"/>
          <w:lang w:bidi="fa-IR"/>
        </w:rPr>
        <w:t>.</w:t>
      </w:r>
    </w:p>
    <w:p>
      <w:pPr>
        <w:pStyle w:val="Heading6"/>
        <w:numPr>
          <w:ilvl w:val="5"/>
          <w:numId w:val="1"/>
        </w:numPr>
        <w:rPr/>
      </w:pPr>
      <w:bookmarkStart w:id="1769" w:name="__RefHeading___Toc3585915_3650668749"/>
      <w:bookmarkStart w:id="1770" w:name="_Toc754"/>
      <w:bookmarkEnd w:id="1769"/>
      <w:r>
        <w:rPr>
          <w:rtl w:val="true"/>
        </w:rPr>
        <w:t xml:space="preserve">دوم </w:t>
      </w:r>
      <w:r>
        <w:rPr>
          <w:rtl w:val="true"/>
        </w:rPr>
        <w:t xml:space="preserve">- </w:t>
      </w:r>
      <w:r>
        <w:rPr>
          <w:rtl w:val="true"/>
        </w:rPr>
        <w:t xml:space="preserve">فرماندهان واحدهاى اصلى </w:t>
      </w:r>
      <w:r>
        <w:rPr>
          <w:rtl w:val="true"/>
        </w:rPr>
        <w:t>(</w:t>
      </w:r>
      <w:r>
        <w:rPr>
          <w:rtl w:val="true"/>
        </w:rPr>
        <w:t>اُمَراء التعبيه</w:t>
      </w:r>
      <w:r>
        <w:rPr>
          <w:rtl w:val="true"/>
        </w:rPr>
        <w:t>)</w:t>
      </w:r>
      <w:bookmarkEnd w:id="1770"/>
    </w:p>
    <w:p>
      <w:pPr>
        <w:pStyle w:val="BookText"/>
        <w:rPr/>
      </w:pPr>
      <w:r>
        <w:rPr>
          <w:rFonts w:ascii="IRNazanin" w:hAnsi="IRNazanin" w:eastAsia="IRNazanin"/>
          <w:color w:val="111111"/>
          <w:sz w:val="28"/>
          <w:sz w:val="28"/>
          <w:szCs w:val="28"/>
          <w:rtl w:val="true"/>
          <w:lang w:bidi="fa-IR"/>
        </w:rPr>
        <w:t xml:space="preserve">منظور از اين فرماندهان، فرماندهان بخش‌هاى اصلى سپاه، يعنى طليعه، قلب، ميمنه، ميسره و ساقه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عقبى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Heading6"/>
        <w:numPr>
          <w:ilvl w:val="5"/>
          <w:numId w:val="1"/>
        </w:numPr>
        <w:rPr/>
      </w:pPr>
      <w:bookmarkStart w:id="1771" w:name="__RefHeading___Toc3585917_3650668749"/>
      <w:bookmarkStart w:id="1772" w:name="_Toc755"/>
      <w:bookmarkEnd w:id="1771"/>
      <w:r>
        <w:rPr>
          <w:rtl w:val="true"/>
        </w:rPr>
        <w:t xml:space="preserve">سوم </w:t>
      </w:r>
      <w:r>
        <w:rPr>
          <w:rtl w:val="true"/>
        </w:rPr>
        <w:t xml:space="preserve">- </w:t>
      </w:r>
      <w:r>
        <w:rPr>
          <w:rtl w:val="true"/>
        </w:rPr>
        <w:t xml:space="preserve">فرمانده گردان </w:t>
      </w:r>
      <w:r>
        <w:rPr>
          <w:rtl w:val="true"/>
        </w:rPr>
        <w:t>(</w:t>
      </w:r>
      <w:r>
        <w:rPr>
          <w:rtl w:val="true"/>
        </w:rPr>
        <w:t>امير الكُرْدُوس</w:t>
      </w:r>
      <w:r>
        <w:rPr>
          <w:rtl w:val="true"/>
        </w:rPr>
        <w:t>)</w:t>
      </w:r>
      <w:bookmarkEnd w:id="1772"/>
    </w:p>
    <w:p>
      <w:pPr>
        <w:pStyle w:val="BookText"/>
        <w:rPr/>
      </w:pPr>
      <w:r>
        <w:rPr>
          <w:rFonts w:ascii="IRNazanin" w:hAnsi="IRNazanin" w:eastAsia="IRNazanin"/>
          <w:color w:val="111111"/>
          <w:sz w:val="28"/>
          <w:sz w:val="28"/>
          <w:szCs w:val="28"/>
          <w:rtl w:val="true"/>
          <w:lang w:bidi="fa-IR"/>
        </w:rPr>
        <w:t xml:space="preserve">در بعضى از آرايش‌هاى جنگى، گردان‌هايى در بخش‌هاى اصلى تشكيل مى‌شد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تا هزار سرباز را در بر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فرماندهان اين گردان‌ها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الكردوس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Heading6"/>
        <w:numPr>
          <w:ilvl w:val="5"/>
          <w:numId w:val="1"/>
        </w:numPr>
        <w:rPr/>
      </w:pPr>
      <w:bookmarkStart w:id="1773" w:name="__RefHeading___Toc3585919_3650668749"/>
      <w:bookmarkStart w:id="1774" w:name="_Toc756"/>
      <w:bookmarkEnd w:id="1773"/>
      <w:r>
        <w:rPr>
          <w:rtl w:val="true"/>
        </w:rPr>
        <w:t xml:space="preserve">چهارم </w:t>
      </w:r>
      <w:r>
        <w:rPr>
          <w:rtl w:val="true"/>
        </w:rPr>
        <w:t xml:space="preserve">- </w:t>
      </w:r>
      <w:r>
        <w:rPr>
          <w:rtl w:val="true"/>
        </w:rPr>
        <w:t>قائد</w:t>
      </w:r>
      <w:bookmarkEnd w:id="1774"/>
    </w:p>
    <w:p>
      <w:pPr>
        <w:pStyle w:val="BookText"/>
        <w:rPr/>
      </w:pPr>
      <w:r>
        <w:rPr>
          <w:rFonts w:ascii="Amiri" w:hAnsi="Amiri" w:eastAsia="Amiri" w:cs="Amiri"/>
          <w:color w:val="111111"/>
          <w:sz w:val="28"/>
          <w:sz w:val="28"/>
          <w:szCs w:val="28"/>
          <w:rtl w:val="true"/>
          <w:lang w:bidi="ar-SA"/>
        </w:rPr>
        <w:t>معمولاً صد سرباز را در واحد خود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مى‌رسد كه واحد قائد، زيرمجموعه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Heading6"/>
        <w:numPr>
          <w:ilvl w:val="5"/>
          <w:numId w:val="1"/>
        </w:numPr>
        <w:rPr/>
      </w:pPr>
      <w:bookmarkStart w:id="1775" w:name="__RefHeading___Toc3585921_3650668749"/>
      <w:bookmarkStart w:id="1776" w:name="_Toc757"/>
      <w:bookmarkEnd w:id="1775"/>
      <w:r>
        <w:rPr>
          <w:rtl w:val="true"/>
        </w:rPr>
        <w:t xml:space="preserve">پنجم </w:t>
      </w:r>
      <w:r>
        <w:rPr>
          <w:rtl w:val="true"/>
        </w:rPr>
        <w:t>-</w:t>
      </w:r>
      <w:r>
        <w:rPr>
          <w:rtl w:val="true"/>
        </w:rPr>
        <w:t>خليفه</w:t>
      </w:r>
      <w:bookmarkEnd w:id="177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پنجاه سرباز را در واحد خود داشت</w:t>
      </w:r>
      <w:r>
        <w:rPr>
          <w:rFonts w:eastAsia="IRNazanin" w:cs="IRNazanin"/>
          <w:color w:val="111111"/>
          <w:sz w:val="28"/>
          <w:szCs w:val="28"/>
          <w:rtl w:val="true"/>
          <w:lang w:bidi="fa-IR"/>
        </w:rPr>
        <w:t>.</w:t>
      </w:r>
      <w:bookmarkStart w:id="1777" w:name="pg1964_19912"/>
    </w:p>
    <w:p>
      <w:pPr>
        <w:pStyle w:val="Heading6"/>
        <w:numPr>
          <w:ilvl w:val="5"/>
          <w:numId w:val="1"/>
        </w:numPr>
        <w:rPr/>
      </w:pPr>
      <w:bookmarkStart w:id="1778" w:name="__RefHeading___Toc3585923_3650668749"/>
      <w:bookmarkStart w:id="1779" w:name="_Toc758"/>
      <w:bookmarkEnd w:id="1777"/>
      <w:bookmarkEnd w:id="1778"/>
      <w:r>
        <w:rPr>
          <w:rtl w:val="true"/>
        </w:rPr>
        <w:t xml:space="preserve">ششم </w:t>
      </w:r>
      <w:r>
        <w:rPr>
          <w:rtl w:val="true"/>
        </w:rPr>
        <w:t xml:space="preserve">- </w:t>
      </w:r>
      <w:r>
        <w:rPr>
          <w:rtl w:val="true"/>
        </w:rPr>
        <w:t>عريف</w:t>
      </w:r>
      <w:bookmarkEnd w:id="1779"/>
    </w:p>
    <w:p>
      <w:pPr>
        <w:pStyle w:val="BookText"/>
        <w:rPr/>
      </w:pPr>
      <w:r>
        <w:rPr>
          <w:rFonts w:ascii="Amiri" w:hAnsi="Amiri" w:eastAsia="Amiri" w:cs="Amiri"/>
          <w:color w:val="111111"/>
          <w:sz w:val="28"/>
          <w:sz w:val="28"/>
          <w:szCs w:val="28"/>
          <w:rtl w:val="true"/>
          <w:lang w:bidi="ar-SA"/>
        </w:rPr>
        <w:t>معمولاً ده سرباز را زير نظر خود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بعضى مواقع وضعيت لشكر به‌گونه‌اى بود كه درجات را نيز تغيير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فتوحاتى كه به وسيله سعد بن ابى‌وقاص صورت مى‌گرفت، از آنجا كه او تمام لشكر خود را بر حسب قبايل به ده قسمت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كرده بود، رتبه‌اى به نام فرماندهان اَعشار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امراء الاعشار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لشكر او تشكيل شده بود كه هر كدام يك قسمت از ده قسمت را عهده‌دار بودند و از آنجا كه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قبايل مختلفى وجود داشت، درجه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فرماندهى قبيله‌هاى مختلف درون عُشر را بر عهده داشتند</w:t>
      </w:r>
      <w:r>
        <w:rPr>
          <w:rFonts w:eastAsia="IRNazanin" w:cs="IRNazanin"/>
          <w:color w:val="111111"/>
          <w:sz w:val="28"/>
          <w:szCs w:val="28"/>
          <w:rtl w:val="true"/>
          <w:lang w:bidi="fa-IR"/>
        </w:rPr>
        <w:t xml:space="preserve">. </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 xml:space="preserve">نظام اعشار بعدها به نظام اَسباع تبديل شد؛ يعنى همه قبايل كوفه به هفت قسمت تقسيم شدند، لذا در جنگ‌هاى بعدى و همچنين جنگ‌هاى حضرت‌على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فرماندهان اَسباع،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در زمان زياد بن ابيه به نظام اَرباع تبديل شد؛ يعنى همه شهرنشينان كوفه به چهار قسمت تقسيم شدند، ازاين‌رو در زمان زياد و همچنين در جريان كربلا از فرماندهان اَرباع سخن به ميان آمده است كه تفصيل اين نظامات در فصل هشتم خواهد آمد</w:t>
      </w:r>
      <w:r>
        <w:rPr>
          <w:rFonts w:eastAsia="IRNazanin" w:cs="IRNazanin"/>
          <w:color w:val="111111"/>
          <w:sz w:val="28"/>
          <w:szCs w:val="28"/>
          <w:rtl w:val="true"/>
          <w:lang w:bidi="fa-IR"/>
        </w:rPr>
        <w:t>.</w:t>
      </w:r>
    </w:p>
    <w:p>
      <w:pPr>
        <w:pStyle w:val="Heading5"/>
        <w:numPr>
          <w:ilvl w:val="4"/>
          <w:numId w:val="1"/>
        </w:numPr>
        <w:rPr/>
      </w:pPr>
      <w:bookmarkStart w:id="1780" w:name="__RefHeading___Toc3585925_3650668749"/>
      <w:bookmarkStart w:id="1781" w:name="_Toc759"/>
      <w:bookmarkEnd w:id="1780"/>
      <w:r>
        <w:rPr>
          <w:rtl w:val="true"/>
        </w:rPr>
        <w:t xml:space="preserve">دو </w:t>
      </w:r>
      <w:r>
        <w:rPr>
          <w:rtl w:val="true"/>
        </w:rPr>
        <w:t xml:space="preserve">- </w:t>
      </w:r>
      <w:r>
        <w:rPr>
          <w:rtl w:val="true"/>
        </w:rPr>
        <w:t>درجات نظامى ايرانيان</w:t>
      </w:r>
      <w:bookmarkEnd w:id="178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ساختار سپاه ايران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اول كه فرماندهان بزرگ سپاه آن را تشكيل مى‌دادند و به رئيس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فرمانده بزرگ تحت فرمان مير ميران انجام وظيفه مى‌كردند كه به هر 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اِصْبَهْبُذ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سپهبد، رهبرى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داشت و تحت فرمان هر مرزبان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وظيفه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سالار تعداد فراوانى از افراد سواره نظام و پياده نظام را رهبرى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5</w:t>
      </w:r>
      <w:r>
        <w:rPr>
          <w:rFonts w:eastAsia="IRNazanin" w:cs="IRNazanin"/>
          <w:color w:val="111111"/>
          <w:sz w:val="28"/>
          <w:szCs w:val="28"/>
          <w:rtl w:val="true"/>
          <w:lang w:bidi="fa-IR"/>
        </w:rPr>
        <w:t>)</w:t>
      </w:r>
      <w:bookmarkStart w:id="1782" w:name="pg1964_19913"/>
    </w:p>
    <w:p>
      <w:pPr>
        <w:pStyle w:val="Heading5"/>
        <w:numPr>
          <w:ilvl w:val="4"/>
          <w:numId w:val="1"/>
        </w:numPr>
        <w:rPr/>
      </w:pPr>
      <w:bookmarkStart w:id="1783" w:name="__RefHeading___Toc3585927_3650668749"/>
      <w:bookmarkStart w:id="1784" w:name="_Toc760"/>
      <w:bookmarkEnd w:id="1782"/>
      <w:bookmarkEnd w:id="1783"/>
      <w:r>
        <w:rPr>
          <w:rtl w:val="true"/>
        </w:rPr>
        <w:t xml:space="preserve">سه </w:t>
      </w:r>
      <w:r>
        <w:rPr>
          <w:rtl w:val="true"/>
        </w:rPr>
        <w:t xml:space="preserve">- </w:t>
      </w:r>
      <w:r>
        <w:rPr>
          <w:rtl w:val="true"/>
        </w:rPr>
        <w:t>درجات نظامى روم</w:t>
      </w:r>
      <w:bookmarkEnd w:id="1784"/>
    </w:p>
    <w:p>
      <w:pPr>
        <w:pStyle w:val="Heading6"/>
        <w:numPr>
          <w:ilvl w:val="5"/>
          <w:numId w:val="1"/>
        </w:numPr>
        <w:rPr/>
      </w:pPr>
      <w:bookmarkStart w:id="1785" w:name="__RefHeading___Toc3585929_3650668749"/>
      <w:bookmarkStart w:id="1786" w:name="_Toc761"/>
      <w:bookmarkEnd w:id="1785"/>
      <w:r>
        <w:rPr>
          <w:rtl w:val="true"/>
        </w:rPr>
        <w:t>اشاره</w:t>
      </w:r>
      <w:bookmarkEnd w:id="1786"/>
    </w:p>
    <w:p>
      <w:pPr>
        <w:pStyle w:val="BookText"/>
        <w:rPr/>
      </w:pPr>
      <w:r>
        <w:rPr>
          <w:rFonts w:ascii="Amiri" w:hAnsi="Amiri" w:eastAsia="Amiri" w:cs="Amiri"/>
          <w:color w:val="111111"/>
          <w:sz w:val="28"/>
          <w:sz w:val="28"/>
          <w:szCs w:val="28"/>
          <w:rtl w:val="true"/>
          <w:lang w:bidi="ar-SA"/>
        </w:rPr>
        <w:t>درجات نظامى روميان عبارت بود از</w:t>
      </w:r>
      <w:r>
        <w:rPr>
          <w:rFonts w:eastAsia="Amiri" w:cs="Amiri" w:ascii="Amiri" w:hAnsi="Amiri"/>
          <w:color w:val="111111"/>
          <w:sz w:val="28"/>
          <w:szCs w:val="28"/>
          <w:rtl w:val="true"/>
          <w:lang w:bidi="ar-SA"/>
        </w:rPr>
        <w:t>:</w:t>
      </w:r>
    </w:p>
    <w:p>
      <w:pPr>
        <w:pStyle w:val="Heading6"/>
        <w:numPr>
          <w:ilvl w:val="5"/>
          <w:numId w:val="1"/>
        </w:numPr>
        <w:rPr/>
      </w:pPr>
      <w:bookmarkStart w:id="1787" w:name="__RefHeading___Toc3585931_3650668749"/>
      <w:bookmarkStart w:id="1788" w:name="_Toc762"/>
      <w:bookmarkEnd w:id="1787"/>
      <w:r>
        <w:rPr>
          <w:rtl w:val="true"/>
        </w:rPr>
        <w:t xml:space="preserve">اول </w:t>
      </w:r>
      <w:r>
        <w:rPr>
          <w:rtl w:val="true"/>
        </w:rPr>
        <w:t xml:space="preserve">- </w:t>
      </w:r>
      <w:r>
        <w:rPr>
          <w:rtl w:val="true"/>
        </w:rPr>
        <w:t>بِطْريق</w:t>
      </w:r>
      <w:bookmarkEnd w:id="1788"/>
    </w:p>
    <w:p>
      <w:pPr>
        <w:pStyle w:val="BookText"/>
        <w:rPr/>
      </w:pPr>
      <w:r>
        <w:rPr>
          <w:rFonts w:ascii="Amiri" w:hAnsi="Amiri" w:eastAsia="Amiri" w:cs="Amiri"/>
          <w:color w:val="111111"/>
          <w:sz w:val="28"/>
          <w:sz w:val="28"/>
          <w:szCs w:val="28"/>
          <w:rtl w:val="true"/>
          <w:lang w:bidi="ar-SA"/>
        </w:rPr>
        <w:t>معمولاً رياست كل لشكر را بر عهده داشت</w:t>
      </w:r>
      <w:r>
        <w:rPr>
          <w:rFonts w:eastAsia="Amiri" w:cs="Amiri" w:ascii="Amiri" w:hAnsi="Amiri"/>
          <w:color w:val="111111"/>
          <w:sz w:val="28"/>
          <w:szCs w:val="28"/>
          <w:rtl w:val="true"/>
          <w:lang w:bidi="ar-SA"/>
        </w:rPr>
        <w:t>.</w:t>
      </w:r>
    </w:p>
    <w:p>
      <w:pPr>
        <w:pStyle w:val="Heading6"/>
        <w:numPr>
          <w:ilvl w:val="5"/>
          <w:numId w:val="1"/>
        </w:numPr>
        <w:rPr/>
      </w:pPr>
      <w:bookmarkStart w:id="1789" w:name="__RefHeading___Toc3585933_3650668749"/>
      <w:bookmarkStart w:id="1790" w:name="_Toc763"/>
      <w:bookmarkEnd w:id="1789"/>
      <w:r>
        <w:rPr>
          <w:rtl w:val="true"/>
        </w:rPr>
        <w:t xml:space="preserve">دوم </w:t>
      </w:r>
      <w:r>
        <w:rPr>
          <w:rtl w:val="true"/>
        </w:rPr>
        <w:t xml:space="preserve">- </w:t>
      </w:r>
      <w:r>
        <w:rPr>
          <w:rtl w:val="true"/>
        </w:rPr>
        <w:t>طُومْرُخ</w:t>
      </w:r>
      <w:bookmarkEnd w:id="1790"/>
    </w:p>
    <w:p>
      <w:pPr>
        <w:pStyle w:val="BookText"/>
        <w:rPr/>
      </w:pPr>
      <w:r>
        <w:rPr>
          <w:rFonts w:ascii="IRNazanin" w:hAnsi="IRNazanin" w:eastAsia="IRNazanin"/>
          <w:color w:val="111111"/>
          <w:sz w:val="28"/>
          <w:sz w:val="28"/>
          <w:szCs w:val="28"/>
          <w:rtl w:val="true"/>
          <w:lang w:bidi="fa-IR"/>
        </w:rPr>
        <w:t>معمولاً پنج هزار سرباز در واحد خود داشت</w:t>
      </w:r>
      <w:r>
        <w:rPr>
          <w:rFonts w:eastAsia="IRNazanin" w:cs="IRNazanin"/>
          <w:color w:val="111111"/>
          <w:sz w:val="28"/>
          <w:szCs w:val="28"/>
          <w:rtl w:val="true"/>
          <w:lang w:bidi="fa-IR"/>
        </w:rPr>
        <w:t>.</w:t>
      </w:r>
    </w:p>
    <w:p>
      <w:pPr>
        <w:pStyle w:val="Heading6"/>
        <w:numPr>
          <w:ilvl w:val="5"/>
          <w:numId w:val="1"/>
        </w:numPr>
        <w:rPr/>
      </w:pPr>
      <w:bookmarkStart w:id="1791" w:name="__RefHeading___Toc3585935_3650668749"/>
      <w:bookmarkStart w:id="1792" w:name="_Toc764"/>
      <w:bookmarkEnd w:id="1791"/>
      <w:r>
        <w:rPr>
          <w:rtl w:val="true"/>
        </w:rPr>
        <w:t xml:space="preserve">سوم </w:t>
      </w:r>
      <w:r>
        <w:rPr>
          <w:rtl w:val="true"/>
        </w:rPr>
        <w:t xml:space="preserve">- </w:t>
      </w:r>
      <w:r>
        <w:rPr>
          <w:rtl w:val="true"/>
        </w:rPr>
        <w:t>طُرَنْجار</w:t>
      </w:r>
      <w:bookmarkEnd w:id="1792"/>
    </w:p>
    <w:p>
      <w:pPr>
        <w:pStyle w:val="BookText"/>
        <w:rPr/>
      </w:pPr>
      <w:r>
        <w:rPr>
          <w:rFonts w:ascii="IRNazanin" w:hAnsi="IRNazanin" w:eastAsia="IRNazanin"/>
          <w:color w:val="111111"/>
          <w:sz w:val="28"/>
          <w:sz w:val="28"/>
          <w:szCs w:val="28"/>
          <w:rtl w:val="true"/>
          <w:lang w:bidi="fa-IR"/>
        </w:rPr>
        <w:t>هر طرنجار، هزار سرباز در اختيار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واحد خود داشت</w:t>
      </w:r>
      <w:r>
        <w:rPr>
          <w:rFonts w:eastAsia="IRNazanin" w:cs="IRNazanin"/>
          <w:color w:val="111111"/>
          <w:sz w:val="28"/>
          <w:szCs w:val="28"/>
          <w:rtl w:val="true"/>
          <w:lang w:bidi="fa-IR"/>
        </w:rPr>
        <w:t>.</w:t>
      </w:r>
    </w:p>
    <w:p>
      <w:pPr>
        <w:pStyle w:val="Heading6"/>
        <w:numPr>
          <w:ilvl w:val="5"/>
          <w:numId w:val="1"/>
        </w:numPr>
        <w:rPr/>
      </w:pPr>
      <w:bookmarkStart w:id="1793" w:name="__RefHeading___Toc3585937_3650668749"/>
      <w:bookmarkStart w:id="1794" w:name="_Toc765"/>
      <w:bookmarkEnd w:id="1793"/>
      <w:r>
        <w:rPr>
          <w:rtl w:val="true"/>
        </w:rPr>
        <w:t xml:space="preserve">چهارم </w:t>
      </w:r>
      <w:r>
        <w:rPr>
          <w:rtl w:val="true"/>
        </w:rPr>
        <w:t xml:space="preserve">- </w:t>
      </w:r>
      <w:r>
        <w:rPr>
          <w:rtl w:val="true"/>
        </w:rPr>
        <w:t>قُومِسْ</w:t>
      </w:r>
      <w:bookmarkEnd w:id="1794"/>
    </w:p>
    <w:p>
      <w:pPr>
        <w:pStyle w:val="BookText"/>
        <w:rPr/>
      </w:pPr>
      <w:r>
        <w:rPr>
          <w:rFonts w:ascii="Amiri" w:hAnsi="Amiri" w:eastAsia="Amiri" w:cs="Amiri"/>
          <w:color w:val="111111"/>
          <w:sz w:val="28"/>
          <w:sz w:val="28"/>
          <w:szCs w:val="28"/>
          <w:rtl w:val="true"/>
          <w:lang w:bidi="ar-SA"/>
        </w:rPr>
        <w:t>هر قومس دويست سرباز در اختيار خود داشت</w:t>
      </w:r>
      <w:r>
        <w:rPr>
          <w:rFonts w:eastAsia="Amiri" w:cs="Amiri" w:ascii="Amiri" w:hAnsi="Amiri"/>
          <w:color w:val="111111"/>
          <w:sz w:val="28"/>
          <w:szCs w:val="28"/>
          <w:rtl w:val="true"/>
          <w:lang w:bidi="ar-SA"/>
        </w:rPr>
        <w:t>.</w:t>
      </w:r>
    </w:p>
    <w:p>
      <w:pPr>
        <w:pStyle w:val="Heading6"/>
        <w:numPr>
          <w:ilvl w:val="5"/>
          <w:numId w:val="1"/>
        </w:numPr>
        <w:rPr/>
      </w:pPr>
      <w:bookmarkStart w:id="1795" w:name="__RefHeading___Toc3585939_3650668749"/>
      <w:bookmarkStart w:id="1796" w:name="_Toc766"/>
      <w:bookmarkEnd w:id="1795"/>
      <w:r>
        <w:rPr>
          <w:rtl w:val="true"/>
        </w:rPr>
        <w:t xml:space="preserve">پنجم </w:t>
      </w:r>
      <w:r>
        <w:rPr>
          <w:rtl w:val="true"/>
        </w:rPr>
        <w:t xml:space="preserve">- </w:t>
      </w:r>
      <w:r>
        <w:rPr>
          <w:rtl w:val="true"/>
        </w:rPr>
        <w:t>قَمْطَرُخ</w:t>
      </w:r>
      <w:bookmarkEnd w:id="1796"/>
    </w:p>
    <w:p>
      <w:pPr>
        <w:pStyle w:val="BookText"/>
        <w:rPr/>
      </w:pPr>
      <w:r>
        <w:rPr>
          <w:rFonts w:ascii="IRNazanin" w:hAnsi="IRNazanin" w:eastAsia="IRNazanin"/>
          <w:color w:val="111111"/>
          <w:sz w:val="28"/>
          <w:sz w:val="28"/>
          <w:szCs w:val="28"/>
          <w:rtl w:val="true"/>
          <w:lang w:bidi="fa-IR"/>
        </w:rPr>
        <w:t>صاحب اين درجه تنها چهل سرباز را رهبرى مى‌كرد</w:t>
      </w:r>
      <w:r>
        <w:rPr>
          <w:rFonts w:eastAsia="IRNazanin" w:cs="IRNazanin"/>
          <w:color w:val="111111"/>
          <w:sz w:val="28"/>
          <w:szCs w:val="28"/>
          <w:rtl w:val="true"/>
          <w:lang w:bidi="fa-IR"/>
        </w:rPr>
        <w:t>.</w:t>
      </w:r>
    </w:p>
    <w:p>
      <w:pPr>
        <w:pStyle w:val="Heading6"/>
        <w:numPr>
          <w:ilvl w:val="5"/>
          <w:numId w:val="1"/>
        </w:numPr>
        <w:rPr/>
      </w:pPr>
      <w:bookmarkStart w:id="1797" w:name="__RefHeading___Toc3585941_3650668749"/>
      <w:bookmarkStart w:id="1798" w:name="_Toc767"/>
      <w:bookmarkEnd w:id="1797"/>
      <w:r>
        <w:rPr>
          <w:rtl w:val="true"/>
        </w:rPr>
        <w:t xml:space="preserve">ششم </w:t>
      </w:r>
      <w:r>
        <w:rPr>
          <w:rtl w:val="true"/>
        </w:rPr>
        <w:t xml:space="preserve">- </w:t>
      </w:r>
      <w:r>
        <w:rPr>
          <w:rtl w:val="true"/>
        </w:rPr>
        <w:t>داقْرُخ</w:t>
      </w:r>
      <w:bookmarkEnd w:id="1798"/>
    </w:p>
    <w:p>
      <w:pPr>
        <w:pStyle w:val="BookText"/>
        <w:rPr/>
      </w:pPr>
      <w:r>
        <w:rPr>
          <w:rFonts w:ascii="IRNazanin" w:hAnsi="IRNazanin" w:eastAsia="IRNazanin"/>
          <w:color w:val="111111"/>
          <w:sz w:val="28"/>
          <w:sz w:val="28"/>
          <w:szCs w:val="28"/>
          <w:rtl w:val="true"/>
          <w:lang w:bidi="fa-IR"/>
        </w:rPr>
        <w:t>اين درجه كه پايين‌ترين درجه ارتش روم بود، به فرماندهى داده مى‌شد كه ده سرباز تحت فرمان داشت</w:t>
      </w:r>
      <w:r>
        <w:rPr>
          <w:rFonts w:eastAsia="IRNazanin" w:cs="IRNazanin"/>
          <w:color w:val="111111"/>
          <w:sz w:val="28"/>
          <w:szCs w:val="28"/>
          <w:rtl w:val="true"/>
          <w:lang w:bidi="fa-IR"/>
        </w:rPr>
        <w:t xml:space="preserve">. </w:t>
      </w:r>
      <w:r>
        <w:rPr>
          <w:rStyle w:val="FootnoteAnchor"/>
          <w:rtl w:val="true"/>
        </w:rPr>
        <w:footnoteReference w:id="1566"/>
      </w:r>
    </w:p>
    <w:p>
      <w:pPr>
        <w:pStyle w:val="Heading4"/>
        <w:numPr>
          <w:ilvl w:val="3"/>
          <w:numId w:val="1"/>
        </w:numPr>
        <w:rPr/>
      </w:pPr>
      <w:bookmarkStart w:id="1799" w:name="__RefHeading___Toc3585943_3650668749"/>
      <w:bookmarkStart w:id="1800" w:name="_Toc768"/>
      <w:bookmarkEnd w:id="1799"/>
      <w:r>
        <w:rPr>
          <w:rtl w:val="true"/>
        </w:rPr>
        <w:t>س</w:t>
      </w:r>
      <w:r>
        <w:rPr>
          <w:rtl w:val="true"/>
        </w:rPr>
        <w:t xml:space="preserve">) </w:t>
      </w:r>
      <w:r>
        <w:rPr>
          <w:rtl w:val="true"/>
        </w:rPr>
        <w:t>آرايش جنگى</w:t>
      </w:r>
      <w:bookmarkEnd w:id="1800"/>
    </w:p>
    <w:p>
      <w:pPr>
        <w:pStyle w:val="Heading5"/>
        <w:numPr>
          <w:ilvl w:val="4"/>
          <w:numId w:val="1"/>
        </w:numPr>
        <w:rPr/>
      </w:pPr>
      <w:bookmarkStart w:id="1801" w:name="__RefHeading___Toc3585945_3650668749"/>
      <w:bookmarkStart w:id="1802" w:name="_Toc769"/>
      <w:bookmarkEnd w:id="1801"/>
      <w:r>
        <w:rPr>
          <w:rtl w:val="true"/>
        </w:rPr>
        <w:t>اشاره</w:t>
      </w:r>
      <w:bookmarkEnd w:id="180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قسمت، آرايش‌هاى مختلف جنگى عرب را كه از آنها تعبير به نظام‌هاى جنگى مى‌شود، از جاهليت گرفته تا نظام‌هاى جنگى رايج در زمان مورد بحث، بررسى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نظام‌ها عبارت بود از</w:t>
      </w:r>
      <w:r>
        <w:rPr>
          <w:rFonts w:eastAsia="IRNazanin" w:cs="IRNazanin"/>
          <w:color w:val="111111"/>
          <w:sz w:val="28"/>
          <w:szCs w:val="28"/>
          <w:rtl w:val="true"/>
          <w:lang w:bidi="fa-IR"/>
        </w:rPr>
        <w:t>:</w:t>
      </w:r>
      <w:bookmarkStart w:id="1803" w:name="pg1964_19914"/>
    </w:p>
    <w:p>
      <w:pPr>
        <w:pStyle w:val="Heading5"/>
        <w:numPr>
          <w:ilvl w:val="4"/>
          <w:numId w:val="1"/>
        </w:numPr>
        <w:rPr/>
      </w:pPr>
      <w:bookmarkStart w:id="1804" w:name="__RefHeading___Toc3585947_3650668749"/>
      <w:bookmarkStart w:id="1805" w:name="_Toc770"/>
      <w:bookmarkEnd w:id="1803"/>
      <w:bookmarkEnd w:id="1804"/>
      <w:r>
        <w:rPr>
          <w:rtl w:val="true"/>
        </w:rPr>
        <w:t xml:space="preserve">يك </w:t>
      </w:r>
      <w:r>
        <w:rPr>
          <w:rtl w:val="true"/>
        </w:rPr>
        <w:t xml:space="preserve">- </w:t>
      </w:r>
      <w:r>
        <w:rPr>
          <w:rtl w:val="true"/>
        </w:rPr>
        <w:t xml:space="preserve">نظام كَرّ و فَرّ </w:t>
      </w:r>
      <w:r>
        <w:rPr>
          <w:rtl w:val="true"/>
        </w:rPr>
        <w:t>(</w:t>
      </w:r>
      <w:r>
        <w:rPr>
          <w:rtl w:val="true"/>
        </w:rPr>
        <w:t>هجوم و فرار</w:t>
      </w:r>
      <w:r>
        <w:rPr>
          <w:rtl w:val="true"/>
        </w:rPr>
        <w:t>)</w:t>
      </w:r>
      <w:bookmarkEnd w:id="1805"/>
    </w:p>
    <w:p>
      <w:pPr>
        <w:pStyle w:val="BookText"/>
        <w:rPr/>
      </w:pPr>
      <w:r>
        <w:rPr>
          <w:rFonts w:ascii="IRNazanin" w:hAnsi="IRNazanin" w:eastAsia="IRNazanin"/>
          <w:color w:val="111111"/>
          <w:sz w:val="28"/>
          <w:sz w:val="28"/>
          <w:szCs w:val="28"/>
          <w:rtl w:val="true"/>
          <w:lang w:bidi="fa-IR"/>
        </w:rPr>
        <w:t>از اين نظام بيشتر در جنگ‌هاى محدود قبيله‌اى عرب در زمان جاهليت 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نظام، جنگ‌جويان با تمام قوا به دشمن حمله مى‌كردند و اگر دشمن شكست مى‌خورد و پا به فرار مى‌گذاشت با تمام قوا به تعقيب او مى‌پرداختند، اما اگر در مقابل آنها ايستادگى كرده و آنها احساس ضعف مى‌نمودند، به عقب‌نشينى پرداخته و پس از تجديد قوا دوباره حمله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حملات سلسله‌وار تا پيروزى يا شكست كامل ادامه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نوع نظام به نام‌هاى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 بعد الجَوْلَه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عقب‌نشينى بعد از جولان‌دادن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الكَرّة بعد الفَرّه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بعد از 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ناميده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نوع آرايش، رئيس قبيله در مركز قرار داشت و تيره‌هاى مختلف با ترتيب معين در اطراف او مى‌جنگيدند و براى رئيس، امكان مشاهده مقدار شجاعت تيره‌هاى مختلف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مهم‌ترين سياست‌هاى اعراب براى ايجاد انگيزه قوى براى جنگ‌جويان قبيله آن بود كه فرزندان، زنان، حيوانات و اموال خود را همراه خود برده و در پشت جبهه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عمل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چيزهايى كه كشش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ياد مى‌شد، چرا كه جنگ‌جويان پس از هر حمله به عقب برگشته و با ديدن حيوانات، اموال، زن و فرزند خود، با انگيزه بيشترى به دشمن حمله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نظام نيز بعد از ظهور اسلام در موارد محدودى استفاده مى‌شد</w:t>
      </w:r>
      <w:r>
        <w:rPr>
          <w:rFonts w:eastAsia="IRNazanin" w:cs="IRNazanin"/>
          <w:color w:val="111111"/>
          <w:sz w:val="28"/>
          <w:szCs w:val="28"/>
          <w:rtl w:val="true"/>
          <w:lang w:bidi="fa-IR"/>
        </w:rPr>
        <w:t xml:space="preserve">. </w:t>
      </w:r>
      <w:r>
        <w:rPr>
          <w:rStyle w:val="FootnoteAnchor"/>
          <w:rtl w:val="true"/>
        </w:rPr>
        <w:footnoteReference w:id="1567"/>
      </w:r>
    </w:p>
    <w:p>
      <w:pPr>
        <w:pStyle w:val="Heading5"/>
        <w:numPr>
          <w:ilvl w:val="4"/>
          <w:numId w:val="1"/>
        </w:numPr>
        <w:rPr/>
      </w:pPr>
      <w:bookmarkStart w:id="1806" w:name="__RefHeading___Toc3585949_3650668749"/>
      <w:bookmarkStart w:id="1807" w:name="_Toc771"/>
      <w:bookmarkEnd w:id="1806"/>
      <w:r>
        <w:rPr>
          <w:rtl w:val="true"/>
        </w:rPr>
        <w:t xml:space="preserve">دو </w:t>
      </w:r>
      <w:r>
        <w:rPr>
          <w:rtl w:val="true"/>
        </w:rPr>
        <w:t xml:space="preserve">- </w:t>
      </w:r>
      <w:r>
        <w:rPr>
          <w:rtl w:val="true"/>
        </w:rPr>
        <w:t xml:space="preserve">نظام صَفّ </w:t>
      </w:r>
      <w:r>
        <w:rPr>
          <w:rtl w:val="true"/>
        </w:rPr>
        <w:t>(</w:t>
      </w:r>
      <w:r>
        <w:rPr>
          <w:rtl w:val="true"/>
        </w:rPr>
        <w:t>نظام زَحْف</w:t>
      </w:r>
      <w:r>
        <w:rPr>
          <w:rtl w:val="true"/>
        </w:rPr>
        <w:t>)</w:t>
      </w:r>
      <w:bookmarkEnd w:id="180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اين نظام براى اولين بار در جنگ بدر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آرايش جنگى در حقيقت به وسيله تغييرى كه در نظام كرّ و فر داده شده بود، ايجاد گشت و آن از اين قرار بود كه مهاجمان فكر فرار را</w:t>
      </w:r>
      <w:bookmarkStart w:id="1808" w:name="pg1964_19915"/>
    </w:p>
    <w:p>
      <w:pPr>
        <w:pStyle w:val="BookText"/>
        <w:rPr/>
      </w:pPr>
      <w:bookmarkEnd w:id="1808"/>
      <w:r>
        <w:rPr>
          <w:rFonts w:ascii="IRNazanin" w:hAnsi="IRNazanin" w:eastAsia="IRNazanin"/>
          <w:color w:val="111111"/>
          <w:sz w:val="28"/>
          <w:sz w:val="28"/>
          <w:szCs w:val="28"/>
          <w:rtl w:val="true"/>
          <w:lang w:bidi="fa-IR"/>
        </w:rPr>
        <w:t>از مخيله خود بيرون مى‌راندند و فقط به حمله مى‌انديشيدند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آرايش، مهاجمان، صفوفى همانند صفوف نماز تشكيل داده و به سمت دشمن حمله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نظام، جاى تك‌تك افراد مشخص مى‌شد و هيچ‌كس بدون اجازه فرمانده خود حق تغيير مكان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تاريخى چنين آمده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پس از مرتب شدن صفوف،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مى‌ديد و احياناً آنها را با عصاى خود منظم‌تر مى‌كرد، در حالى‌كه پيش از اين،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بسان درخت، در محل‌هاى خود گمارده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اين نوع نظام، نيزه‌داران در صف اول قرار مى‌گرفتند و به وسيله نيزه‌هاى خود، حمله دشمن را دفع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دوم، تيراندازان قرار داشتند كه، با تيراندازى در مواقع ضرورى، نفرات دشمن را به خاك مى‌نشاندند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شمشيرزنان هم در صف سوم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و راست صفوف نيز سواران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بود در جنگ‌هاى مختلف طبق صلاحديد فرماندهان نظامى، محل استقرار واحدها به‌گونه‌هاى ديگر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سعد بن ابى‌وقاص در جنگ قادسيه، سواران را در صف اول، نيزه‌داران و شمشيرداران پياده را در صف دوم و تيراندازان را در صف سوم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ابوعبيده در جنگ با روم، سواران را در يك صف متشكل نكرد، بلكه آنها را بين صفوف ديگر پراكنده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نظام نيز در بعضى مواقع از فرزندان و زنان و حيوانات و اموال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نظام صف تا سال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مروان بن محمد آن را الغا كرد، در بسيارى از جنگ‌ها استفاده مى‌شد</w:t>
      </w:r>
      <w:r>
        <w:rPr>
          <w:rFonts w:eastAsia="IRNazanin" w:cs="IRNazanin"/>
          <w:color w:val="111111"/>
          <w:sz w:val="28"/>
          <w:szCs w:val="28"/>
          <w:rtl w:val="true"/>
          <w:lang w:bidi="fa-IR"/>
        </w:rPr>
        <w:t xml:space="preserve">. </w:t>
      </w:r>
      <w:r>
        <w:rPr>
          <w:rStyle w:val="FootnoteAnchor"/>
          <w:rtl w:val="true"/>
        </w:rPr>
        <w:footnoteReference w:id="1568"/>
      </w:r>
      <w:r>
        <w:rPr>
          <w:rFonts w:ascii="IRNazanin" w:hAnsi="IRNazanin" w:eastAsia="IRNazanin"/>
          <w:color w:val="111111"/>
          <w:sz w:val="28"/>
          <w:sz w:val="28"/>
          <w:szCs w:val="28"/>
          <w:rtl w:val="true"/>
          <w:lang w:bidi="fa-IR"/>
        </w:rPr>
        <w:t>اين نظام، انواعى داشت كه هنگام ذكر نظام خميس به آن اشاره خواهد شد</w:t>
      </w:r>
      <w:r>
        <w:rPr>
          <w:rFonts w:eastAsia="IRNazanin" w:cs="IRNazanin"/>
          <w:color w:val="111111"/>
          <w:sz w:val="28"/>
          <w:szCs w:val="28"/>
          <w:rtl w:val="true"/>
          <w:lang w:bidi="fa-IR"/>
        </w:rPr>
        <w:t>.</w:t>
      </w:r>
    </w:p>
    <w:p>
      <w:pPr>
        <w:pStyle w:val="Heading5"/>
        <w:numPr>
          <w:ilvl w:val="4"/>
          <w:numId w:val="1"/>
        </w:numPr>
        <w:rPr/>
      </w:pPr>
      <w:bookmarkStart w:id="1809" w:name="__RefHeading___Toc3585951_3650668749"/>
      <w:bookmarkStart w:id="1810" w:name="_Toc772"/>
      <w:bookmarkEnd w:id="1809"/>
      <w:r>
        <w:rPr>
          <w:rtl w:val="true"/>
        </w:rPr>
        <w:t xml:space="preserve">سه </w:t>
      </w:r>
      <w:r>
        <w:rPr>
          <w:rtl w:val="true"/>
        </w:rPr>
        <w:t xml:space="preserve">- </w:t>
      </w:r>
      <w:r>
        <w:rPr>
          <w:rtl w:val="true"/>
        </w:rPr>
        <w:t>نظام خميس</w:t>
      </w:r>
      <w:bookmarkEnd w:id="1810"/>
    </w:p>
    <w:p>
      <w:pPr>
        <w:pStyle w:val="Heading6"/>
        <w:numPr>
          <w:ilvl w:val="5"/>
          <w:numId w:val="1"/>
        </w:numPr>
        <w:rPr/>
      </w:pPr>
      <w:bookmarkStart w:id="1811" w:name="__RefHeading___Toc3585953_3650668749"/>
      <w:bookmarkStart w:id="1812" w:name="_Toc773"/>
      <w:bookmarkEnd w:id="1811"/>
      <w:r>
        <w:rPr>
          <w:rtl w:val="true"/>
        </w:rPr>
        <w:t>اشاره</w:t>
      </w:r>
      <w:bookmarkEnd w:id="181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جنگ‌هاى فتوحات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با نظام خميس آشنا شدند و تشكيلات سپاه را براساس آن منظم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از اين نوع</w:t>
      </w:r>
      <w:bookmarkStart w:id="1813" w:name="pg1964_19916"/>
    </w:p>
    <w:p>
      <w:pPr>
        <w:pStyle w:val="BookText"/>
        <w:rPr/>
      </w:pPr>
      <w:bookmarkEnd w:id="1813"/>
      <w:r>
        <w:rPr>
          <w:rFonts w:ascii="IRNazanin" w:hAnsi="IRNazanin" w:eastAsia="IRNazanin"/>
          <w:color w:val="111111"/>
          <w:sz w:val="28"/>
          <w:sz w:val="28"/>
          <w:szCs w:val="28"/>
          <w:rtl w:val="true"/>
          <w:lang w:bidi="fa-IR"/>
        </w:rPr>
        <w:t>آرايش هنگام حركت سپاه يا مواقع دفاع و حتى گاهى هنگام هجوم استفاده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نوع آرايش، لشكر از پنج واحد از قرار زير تشكيل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14" w:name="__RefHeading___Toc3585955_3650668749"/>
      <w:bookmarkStart w:id="1815" w:name="_Toc774"/>
      <w:bookmarkEnd w:id="1814"/>
      <w:r>
        <w:rPr>
          <w:rtl w:val="true"/>
        </w:rPr>
        <w:t xml:space="preserve">اول </w:t>
      </w:r>
      <w:r>
        <w:rPr>
          <w:rtl w:val="true"/>
        </w:rPr>
        <w:t xml:space="preserve">- </w:t>
      </w:r>
      <w:r>
        <w:rPr>
          <w:rtl w:val="true"/>
        </w:rPr>
        <w:t xml:space="preserve">طليعه </w:t>
      </w:r>
      <w:r>
        <w:rPr>
          <w:rtl w:val="true"/>
        </w:rPr>
        <w:t>(</w:t>
      </w:r>
      <w:r>
        <w:rPr>
          <w:rtl w:val="true"/>
        </w:rPr>
        <w:t>مقدمه</w:t>
      </w:r>
      <w:r>
        <w:rPr>
          <w:rtl w:val="true"/>
        </w:rPr>
        <w:t>)</w:t>
      </w:r>
      <w:bookmarkEnd w:id="1815"/>
    </w:p>
    <w:p>
      <w:pPr>
        <w:pStyle w:val="BookText"/>
        <w:rPr/>
      </w:pPr>
      <w:r>
        <w:rPr>
          <w:rFonts w:ascii="IRNazanin" w:hAnsi="IRNazanin" w:eastAsia="IRNazanin"/>
          <w:color w:val="111111"/>
          <w:sz w:val="28"/>
          <w:sz w:val="28"/>
          <w:szCs w:val="28"/>
          <w:rtl w:val="true"/>
          <w:lang w:bidi="fa-IR"/>
        </w:rPr>
        <w:t>اين واحد هنگام راه‌پيمايى سپاه با كيلومترها فاصله، در پيشاپيش سپاه حركت مى‌كرد و اخبار دشمن را به سپاه اصلى مى‌رساند و همچنين در مواقع جنگ، جلوى سپاه مستقر مى‌شد</w:t>
      </w:r>
      <w:r>
        <w:rPr>
          <w:rFonts w:eastAsia="IRNazanin" w:cs="IRNazanin"/>
          <w:color w:val="111111"/>
          <w:sz w:val="28"/>
          <w:szCs w:val="28"/>
          <w:rtl w:val="true"/>
          <w:lang w:bidi="fa-IR"/>
        </w:rPr>
        <w:t xml:space="preserve">. </w:t>
      </w:r>
      <w:r>
        <w:rPr>
          <w:rStyle w:val="FootnoteAnchor"/>
          <w:rtl w:val="true"/>
        </w:rPr>
        <w:footnoteReference w:id="1569"/>
      </w:r>
      <w:r>
        <w:rPr>
          <w:rFonts w:ascii="IRNazanin" w:hAnsi="IRNazanin" w:eastAsia="IRNazanin"/>
          <w:color w:val="111111"/>
          <w:sz w:val="28"/>
          <w:sz w:val="28"/>
          <w:szCs w:val="28"/>
          <w:rtl w:val="true"/>
          <w:lang w:bidi="fa-IR"/>
        </w:rPr>
        <w:t xml:space="preserve">به اين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مى‌گفتند كه در كلمات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16" w:name="__RefHeading___Toc3585957_3650668749"/>
      <w:bookmarkStart w:id="1817" w:name="_Toc775"/>
      <w:bookmarkEnd w:id="1816"/>
      <w:r>
        <w:rPr>
          <w:rtl w:val="true"/>
        </w:rPr>
        <w:t xml:space="preserve">دوم </w:t>
      </w:r>
      <w:r>
        <w:rPr>
          <w:rtl w:val="true"/>
        </w:rPr>
        <w:t xml:space="preserve">- </w:t>
      </w:r>
      <w:r>
        <w:rPr>
          <w:rtl w:val="true"/>
        </w:rPr>
        <w:t>قلب</w:t>
      </w:r>
      <w:bookmarkEnd w:id="1817"/>
    </w:p>
    <w:p>
      <w:pPr>
        <w:pStyle w:val="BookText"/>
        <w:rPr/>
      </w:pPr>
      <w:r>
        <w:rPr>
          <w:rFonts w:ascii="IRNazanin" w:hAnsi="IRNazanin" w:eastAsia="IRNazanin"/>
          <w:color w:val="111111"/>
          <w:sz w:val="28"/>
          <w:sz w:val="28"/>
          <w:szCs w:val="28"/>
          <w:rtl w:val="true"/>
          <w:lang w:bidi="fa-IR"/>
        </w:rPr>
        <w:t>اين واحد، عمده نيروى سپاه را در خود داشت و محل استقرار آن در وسط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كل سپاه و نيز لواء در اين قسمت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قلب، كمك‌رسانى به دو طرف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ميمنه و ميسره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جز هنگام تعقيب دشمن، وقتى كه رو به فرار مى‌گذاشت، يا دفاع از خود، وقتى كه دشمن به آن حمله مى‌كرد، تحركى از خود نشان نمى‌داد</w:t>
      </w:r>
      <w:r>
        <w:rPr>
          <w:rFonts w:eastAsia="IRNazanin" w:cs="IRNazanin"/>
          <w:color w:val="111111"/>
          <w:sz w:val="28"/>
          <w:szCs w:val="28"/>
          <w:rtl w:val="true"/>
          <w:lang w:bidi="fa-IR"/>
        </w:rPr>
        <w:t xml:space="preserve">. </w:t>
      </w:r>
      <w:r>
        <w:rPr>
          <w:rStyle w:val="FootnoteAnchor"/>
          <w:rtl w:val="true"/>
        </w:rPr>
        <w:footnoteReference w:id="1570"/>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18" w:name="__RefHeading___Toc3585959_3650668749"/>
      <w:bookmarkStart w:id="1819" w:name="_Toc776"/>
      <w:bookmarkEnd w:id="1818"/>
      <w:r>
        <w:rPr>
          <w:rtl w:val="true"/>
        </w:rPr>
        <w:t xml:space="preserve">سوم </w:t>
      </w:r>
      <w:r>
        <w:rPr>
          <w:rtl w:val="true"/>
        </w:rPr>
        <w:t xml:space="preserve">- </w:t>
      </w:r>
      <w:r>
        <w:rPr>
          <w:rtl w:val="true"/>
        </w:rPr>
        <w:t>مَيْمَنه</w:t>
      </w:r>
      <w:bookmarkEnd w:id="1819"/>
    </w:p>
    <w:p>
      <w:pPr>
        <w:pStyle w:val="BookText"/>
        <w:rPr/>
      </w:pPr>
      <w:r>
        <w:rPr>
          <w:rFonts w:ascii="IRNazanin" w:hAnsi="IRNazanin" w:eastAsia="IRNazanin"/>
          <w:color w:val="111111"/>
          <w:sz w:val="28"/>
          <w:sz w:val="28"/>
          <w:szCs w:val="28"/>
          <w:rtl w:val="true"/>
          <w:lang w:bidi="fa-IR"/>
        </w:rPr>
        <w:t xml:space="preserve">اين واحد در سمت راست قلب قرار داشت و محافظت از قسمت راست سپاه را به عهده مى‌گرفت و هنگام حمله، به مَيسره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حمله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20" w:name="__RefHeading___Toc3585961_3650668749"/>
      <w:bookmarkStart w:id="1821" w:name="_Toc777"/>
      <w:bookmarkEnd w:id="1820"/>
      <w:r>
        <w:rPr>
          <w:rtl w:val="true"/>
        </w:rPr>
        <w:t xml:space="preserve">چهارم </w:t>
      </w:r>
      <w:r>
        <w:rPr>
          <w:rtl w:val="true"/>
        </w:rPr>
        <w:t xml:space="preserve">- </w:t>
      </w:r>
      <w:r>
        <w:rPr>
          <w:rtl w:val="true"/>
        </w:rPr>
        <w:t>مَيْسَره</w:t>
      </w:r>
      <w:bookmarkEnd w:id="182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جناح در سمت چپ قلب واقع شده بود و محافظت از قسمت چپ سپاه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جناح تا مجبور نمى‌شد دست به حمله نمى‌زد</w:t>
      </w:r>
      <w:r>
        <w:rPr>
          <w:rFonts w:eastAsia="IRNazanin" w:cs="IRNazanin"/>
          <w:color w:val="111111"/>
          <w:sz w:val="28"/>
          <w:szCs w:val="28"/>
          <w:rtl w:val="true"/>
          <w:lang w:bidi="fa-IR"/>
        </w:rPr>
        <w:t>.</w:t>
      </w:r>
      <w:bookmarkStart w:id="1822" w:name="pg1964_19917"/>
    </w:p>
    <w:p>
      <w:pPr>
        <w:pStyle w:val="BookText"/>
        <w:rPr/>
      </w:pPr>
      <w:bookmarkEnd w:id="1822"/>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23" w:name="__RefHeading___Toc3585963_3650668749"/>
      <w:bookmarkStart w:id="1824" w:name="_Toc778"/>
      <w:bookmarkEnd w:id="1823"/>
      <w:r>
        <w:rPr>
          <w:rtl w:val="true"/>
        </w:rPr>
        <w:t xml:space="preserve">پنجم </w:t>
      </w:r>
      <w:r>
        <w:rPr>
          <w:rtl w:val="true"/>
        </w:rPr>
        <w:t xml:space="preserve">- </w:t>
      </w:r>
      <w:r>
        <w:rPr>
          <w:rtl w:val="true"/>
        </w:rPr>
        <w:t xml:space="preserve">ساقه </w:t>
      </w:r>
      <w:r>
        <w:rPr>
          <w:rtl w:val="true"/>
        </w:rPr>
        <w:t>(</w:t>
      </w:r>
      <w:r>
        <w:rPr>
          <w:rtl w:val="true"/>
        </w:rPr>
        <w:t>موَخره</w:t>
      </w:r>
      <w:r>
        <w:rPr>
          <w:rtl w:val="true"/>
        </w:rPr>
        <w:t>)</w:t>
      </w:r>
      <w:bookmarkEnd w:id="1824"/>
    </w:p>
    <w:p>
      <w:pPr>
        <w:pStyle w:val="Heading6"/>
        <w:numPr>
          <w:ilvl w:val="5"/>
          <w:numId w:val="1"/>
        </w:numPr>
        <w:rPr/>
      </w:pPr>
      <w:bookmarkStart w:id="1825" w:name="__RefHeading___Toc3585965_3650668749"/>
      <w:bookmarkStart w:id="1826" w:name="_Toc779"/>
      <w:bookmarkEnd w:id="1825"/>
      <w:r>
        <w:rPr>
          <w:rtl w:val="true"/>
        </w:rPr>
        <w:t>اشاره</w:t>
      </w:r>
      <w:bookmarkEnd w:id="1826"/>
    </w:p>
    <w:p>
      <w:pPr>
        <w:pStyle w:val="BookText"/>
        <w:rPr/>
      </w:pPr>
      <w:r>
        <w:rPr>
          <w:rFonts w:ascii="IRNazanin" w:hAnsi="IRNazanin" w:eastAsia="IRNazanin"/>
          <w:color w:val="111111"/>
          <w:sz w:val="28"/>
          <w:sz w:val="28"/>
          <w:szCs w:val="28"/>
          <w:rtl w:val="true"/>
          <w:lang w:bidi="fa-IR"/>
        </w:rPr>
        <w:t>اين واحد كه در پشت سپاه متمركز مى‌شد، علاوه بر عده‌اى جنگ‌جو، نيروهاى ادارى سپاه را نيز در خود جاى مى‌داد</w:t>
      </w:r>
      <w:r>
        <w:rPr>
          <w:rFonts w:eastAsia="IRNazanin" w:cs="IRNazanin"/>
          <w:color w:val="111111"/>
          <w:sz w:val="28"/>
          <w:szCs w:val="28"/>
          <w:rtl w:val="true"/>
          <w:lang w:bidi="fa-IR"/>
        </w:rPr>
        <w:t xml:space="preserve">. </w:t>
      </w:r>
      <w:r>
        <w:rPr>
          <w:rStyle w:val="FootnoteAnchor"/>
          <w:rtl w:val="true"/>
        </w:rPr>
        <w:footnoteReference w:id="1571"/>
      </w:r>
    </w:p>
    <w:p>
      <w:pPr>
        <w:pStyle w:val="BookText"/>
        <w:rPr/>
      </w:pPr>
      <w:r>
        <w:rPr>
          <w:rFonts w:ascii="IRNazanin" w:hAnsi="IRNazanin" w:eastAsia="IRNazanin"/>
          <w:color w:val="111111"/>
          <w:sz w:val="28"/>
          <w:sz w:val="28"/>
          <w:szCs w:val="28"/>
          <w:rtl w:val="true"/>
          <w:lang w:bidi="fa-IR"/>
        </w:rPr>
        <w:t>با اين توضيحات مى‌توان رايج‌ترين آرايش نظام خميس را اين‌گونه تصوّر كرد</w:t>
      </w:r>
      <w:r>
        <w:rPr>
          <w:rFonts w:eastAsia="IRNazanin" w:cs="IRNazanin"/>
          <w:color w:val="111111"/>
          <w:sz w:val="28"/>
          <w:szCs w:val="28"/>
          <w:rtl w:val="true"/>
          <w:lang w:bidi="fa-IR"/>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به‌كار مى‌رفت نيز از همين نوع نظام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آن در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آنها چهل هزار نفر بودند و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مرگ بيعت نمودند</w:t>
      </w:r>
      <w:r>
        <w:rPr>
          <w:rFonts w:eastAsia="IRNazanin" w:cs="IRNazanin"/>
          <w:color w:val="111111"/>
          <w:sz w:val="28"/>
          <w:szCs w:val="28"/>
          <w:rtl w:val="true"/>
          <w:lang w:bidi="fa-IR"/>
        </w:rPr>
        <w:t xml:space="preserve">. </w:t>
      </w:r>
      <w:r>
        <w:rPr>
          <w:rStyle w:val="FootnoteAnchor"/>
          <w:rtl w:val="true"/>
        </w:rPr>
        <w:footnoteReference w:id="1572"/>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نهروان از نوعى از اين نظام بهره برد</w:t>
      </w:r>
      <w:r>
        <w:rPr>
          <w:rFonts w:eastAsia="IRNazanin" w:cs="IRNazanin"/>
          <w:color w:val="111111"/>
          <w:sz w:val="28"/>
          <w:szCs w:val="28"/>
          <w:rtl w:val="true"/>
          <w:lang w:bidi="fa-IR"/>
        </w:rPr>
        <w:t xml:space="preserve">. </w:t>
      </w:r>
      <w:r>
        <w:rPr>
          <w:rStyle w:val="FootnoteAnchor"/>
          <w:rtl w:val="true"/>
        </w:rPr>
        <w:footnoteReference w:id="1573"/>
      </w:r>
      <w:r>
        <w:rPr>
          <w:rFonts w:ascii="IRNazanin" w:hAnsi="IRNazanin" w:eastAsia="IRNazanin"/>
          <w:color w:val="111111"/>
          <w:sz w:val="28"/>
          <w:sz w:val="28"/>
          <w:szCs w:val="28"/>
          <w:rtl w:val="true"/>
          <w:lang w:bidi="fa-IR"/>
        </w:rPr>
        <w:t>ويژگى‌هاى اين نظام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تسلّط فرمانده بر نيروهاى خود را بيشتر مى‌كرد؛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هجوم به دشمن را راحت‌تر مى‌كرد؛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حمايت از نيروهاى حمله كننده در آن بيشتر بود</w:t>
      </w:r>
      <w:r>
        <w:rPr>
          <w:rFonts w:eastAsia="Amiri" w:cs="Amiri" w:ascii="Amiri" w:hAnsi="Amiri"/>
          <w:color w:val="111111"/>
          <w:sz w:val="28"/>
          <w:szCs w:val="28"/>
          <w:rtl w:val="true"/>
          <w:lang w:bidi="ar-SA"/>
        </w:rPr>
        <w:t xml:space="preserve">. </w:t>
      </w:r>
      <w:r>
        <w:rPr>
          <w:rStyle w:val="FootnoteAnchor"/>
          <w:rtl w:val="true"/>
        </w:rPr>
        <w:footnoteReference w:id="157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نوع آرايش را مى‌توان به مثابه آرايش اصلى سپاه عرب دانست كه در بعضى مواقع در آرايش‌هاى ديگر همانند نظام صَفّ و نظام كَراديس، نيروهاى سپاه با حفظ اين آرايش منظم مى‌شدند؛ بدين معنا كه معمولاً در يك زمان، هم نظام صف و هم نظام خميس در سپاه مورد استفاده قرار مى‌گرفت و نيروهاى سپاه در واحدهاى پنج‌گانه خميس، صفوف متراكمى را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انواع نظام صَفّ كه در آن نيز از نوعى آرايش خميس استفاده شده بود، عبارت است از</w:t>
      </w:r>
      <w:r>
        <w:rPr>
          <w:rFonts w:eastAsia="IRNazanin" w:cs="IRNazanin"/>
          <w:color w:val="111111"/>
          <w:sz w:val="28"/>
          <w:szCs w:val="28"/>
          <w:rtl w:val="true"/>
          <w:lang w:bidi="fa-IR"/>
        </w:rPr>
        <w:t>:</w:t>
      </w:r>
      <w:bookmarkStart w:id="1827" w:name="pg1964_19918"/>
    </w:p>
    <w:p>
      <w:pPr>
        <w:pStyle w:val="BookText"/>
        <w:rPr/>
      </w:pPr>
      <w:bookmarkEnd w:id="1827"/>
      <w:r>
        <w:rPr>
          <w:rFonts w:eastAsia="Times New Roman" w:cs="Times New Roman" w:ascii="Times New Roman" w:hAnsi="Times New Roman"/>
          <w:color w:val="111111"/>
          <w:sz w:val="28"/>
          <w:szCs w:val="28"/>
          <w:lang w:val="en-US" w:bidi="en-US"/>
        </w:rPr>
        <w:t>o</w:t>
      </w:r>
    </w:p>
    <w:p>
      <w:pPr>
        <w:pStyle w:val="Heading6"/>
        <w:numPr>
          <w:ilvl w:val="5"/>
          <w:numId w:val="1"/>
        </w:numPr>
        <w:rPr/>
      </w:pPr>
      <w:bookmarkStart w:id="1828" w:name="__RefHeading___Toc3585967_3650668749"/>
      <w:bookmarkStart w:id="1829" w:name="_Toc780"/>
      <w:bookmarkEnd w:id="1828"/>
      <w:r>
        <w:rPr>
          <w:rtl w:val="true"/>
        </w:rPr>
        <w:t>صفّ مُسْتَوي</w:t>
      </w:r>
      <w:bookmarkEnd w:id="1829"/>
    </w:p>
    <w:p>
      <w:pPr>
        <w:pStyle w:val="BookText"/>
        <w:rPr/>
      </w:pPr>
      <w:r>
        <w:rPr>
          <w:rFonts w:ascii="IRNazanin" w:hAnsi="IRNazanin" w:eastAsia="IRNazanin"/>
          <w:color w:val="111111"/>
          <w:sz w:val="28"/>
          <w:sz w:val="28"/>
          <w:szCs w:val="28"/>
          <w:rtl w:val="true"/>
          <w:lang w:bidi="fa-IR"/>
        </w:rPr>
        <w:t xml:space="preserve">در اين نوع آرايش كه رايج‌ترين نظام صف بود، قسمت مقدمه وجود نداشت و دو جناح ميمنه و ميسره و نيز قلب در يك خط افقى قرار مى‌گرفتند و واحد ساقه در قسمت عقب قرار داشت و به اصطلاح، شكل حرف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انگليسى را ايجاد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Heading6"/>
        <w:numPr>
          <w:ilvl w:val="5"/>
          <w:numId w:val="1"/>
        </w:numPr>
        <w:rPr/>
      </w:pPr>
      <w:bookmarkStart w:id="1830" w:name="__RefHeading___Toc3585969_3650668749"/>
      <w:bookmarkStart w:id="1831" w:name="_Toc781"/>
      <w:bookmarkEnd w:id="1830"/>
      <w:r>
        <w:rPr>
          <w:rtl w:val="true"/>
        </w:rPr>
        <w:t>صفّ هلالى</w:t>
      </w:r>
      <w:bookmarkEnd w:id="1831"/>
    </w:p>
    <w:p>
      <w:pPr>
        <w:pStyle w:val="BookText"/>
        <w:rPr/>
      </w:pPr>
      <w:r>
        <w:rPr>
          <w:rFonts w:ascii="IRNazanin" w:hAnsi="IRNazanin" w:eastAsia="IRNazanin"/>
          <w:color w:val="111111"/>
          <w:sz w:val="28"/>
          <w:sz w:val="28"/>
          <w:szCs w:val="28"/>
          <w:rtl w:val="true"/>
          <w:lang w:bidi="fa-IR"/>
        </w:rPr>
        <w:t>اين نوع آرايش، شكل هلال را ايجاد مى‌كرد؛ بدين ترتيب كه قلب عقب‌تر از دو جناح ميمنه و ميسره واقع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آرايش، قلب در موقعيت قوى‌ترى قرار مى‌گرفت، اما دو جناح موقعيت ضعيفى داشتند، از اين رو براى تقويت آنها واحدهايى از سواران در كنار آنها قرار مى‌گرفتند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6"/>
        <w:numPr>
          <w:ilvl w:val="5"/>
          <w:numId w:val="1"/>
        </w:numPr>
        <w:rPr/>
      </w:pPr>
      <w:bookmarkStart w:id="1832" w:name="__RefHeading___Toc3585971_3650668749"/>
      <w:bookmarkStart w:id="1833" w:name="_Toc782"/>
      <w:bookmarkEnd w:id="1832"/>
      <w:r>
        <w:rPr>
          <w:rtl w:val="true"/>
        </w:rPr>
        <w:t>صفّ مَعْطوف</w:t>
      </w:r>
      <w:bookmarkEnd w:id="1833"/>
    </w:p>
    <w:p>
      <w:pPr>
        <w:pStyle w:val="BookText"/>
        <w:rPr/>
      </w:pPr>
      <w:r>
        <w:rPr>
          <w:rFonts w:ascii="IRNazanin" w:hAnsi="IRNazanin" w:eastAsia="IRNazanin"/>
          <w:color w:val="111111"/>
          <w:sz w:val="28"/>
          <w:sz w:val="28"/>
          <w:szCs w:val="28"/>
          <w:rtl w:val="true"/>
          <w:lang w:bidi="fa-IR"/>
        </w:rPr>
        <w:t>در اين نوع آرايش بر عكس صف هلالى، قلب جلوتر از دو جناح قرار مى‌گرفت و مجموع آرايش، شكل پيكان را تداعى مى‌كرد</w:t>
      </w:r>
      <w:r>
        <w:rPr>
          <w:rFonts w:eastAsia="IRNazanin" w:cs="IRNazanin"/>
          <w:color w:val="111111"/>
          <w:sz w:val="28"/>
          <w:szCs w:val="28"/>
          <w:rtl w:val="true"/>
          <w:lang w:bidi="fa-IR"/>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در اين نوع آرايش در دو طرف قلب از دو گردان سواره‌نظام براى تقويت قلب استفاده مى‌كردند</w:t>
      </w:r>
      <w:r>
        <w:rPr>
          <w:rFonts w:eastAsia="IRNazanin" w:cs="IRNazanin"/>
          <w:color w:val="111111"/>
          <w:sz w:val="28"/>
          <w:szCs w:val="28"/>
          <w:rtl w:val="true"/>
          <w:lang w:bidi="fa-IR"/>
        </w:rPr>
        <w:t xml:space="preserve">. </w:t>
      </w:r>
      <w:r>
        <w:rPr>
          <w:rStyle w:val="FootnoteAnchor"/>
          <w:rtl w:val="true"/>
        </w:rPr>
        <w:footnoteReference w:id="1575"/>
      </w:r>
      <w:bookmarkStart w:id="1834" w:name="pg1964_19919"/>
    </w:p>
    <w:p>
      <w:pPr>
        <w:pStyle w:val="BookText"/>
        <w:rPr/>
      </w:pPr>
      <w:bookmarkEnd w:id="1834"/>
      <w:r>
        <w:rPr>
          <w:rFonts w:ascii="IRNazanin" w:hAnsi="IRNazanin" w:eastAsia="IRNazanin"/>
          <w:color w:val="111111"/>
          <w:sz w:val="28"/>
          <w:sz w:val="28"/>
          <w:szCs w:val="28"/>
          <w:rtl w:val="true"/>
          <w:lang w:bidi="fa-IR"/>
        </w:rPr>
        <w:t>گفتنى است آرايش‌هاى ديگرى نيز در تاريخ مضبوط است كه كاربرد آن در زمان مورد بحث معلوم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شكل</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5"/>
        <w:numPr>
          <w:ilvl w:val="4"/>
          <w:numId w:val="1"/>
        </w:numPr>
        <w:rPr/>
      </w:pPr>
      <w:bookmarkStart w:id="1835" w:name="__RefHeading___Toc3585973_3650668749"/>
      <w:bookmarkStart w:id="1836" w:name="_Toc783"/>
      <w:bookmarkEnd w:id="1835"/>
      <w:r>
        <w:rPr>
          <w:rtl w:val="true"/>
        </w:rPr>
        <w:t xml:space="preserve">چهار </w:t>
      </w:r>
      <w:r>
        <w:rPr>
          <w:rtl w:val="true"/>
        </w:rPr>
        <w:t xml:space="preserve">- </w:t>
      </w:r>
      <w:r>
        <w:rPr>
          <w:rtl w:val="true"/>
        </w:rPr>
        <w:t>نظام كراديس</w:t>
      </w:r>
      <w:bookmarkEnd w:id="1836"/>
    </w:p>
    <w:p>
      <w:pPr>
        <w:pStyle w:val="BookText"/>
        <w:rPr/>
      </w:pPr>
      <w:r>
        <w:rPr>
          <w:rFonts w:ascii="Amiri" w:hAnsi="Amiri" w:eastAsia="Amiri" w:cs="Amiri"/>
          <w:color w:val="111111"/>
          <w:sz w:val="28"/>
          <w:sz w:val="28"/>
          <w:szCs w:val="28"/>
          <w:rtl w:val="true"/>
          <w:lang w:bidi="ar-SA"/>
        </w:rPr>
        <w:t xml:space="preserve">كراديس جمع كُردُوس است كه از كلمه يونانى </w:t>
      </w:r>
      <w:r>
        <w:rPr>
          <w:rFonts w:eastAsia="Times New Roman" w:cs="Times New Roman" w:ascii="Times New Roman" w:hAnsi="Times New Roman"/>
          <w:color w:val="111111"/>
          <w:sz w:val="28"/>
          <w:szCs w:val="28"/>
          <w:lang w:val="en-US" w:bidi="en-US"/>
        </w:rPr>
        <w:t>koortis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اشتقاق يافته و مى‌توان آن را معادل گردان فارسى و كُتلَة عربى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آرايش كه عرب‌ها آن را از روميان فرا گرفتند، كل سپاه به گردان‌هاى متعدد تقسيم مى‌شد و هر گردان گنجايش هزار نفر را با فرمانده‌اى جداگانه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الكُردوس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بين گردان‌ها فاصله‌هاى مناسبى ايجاد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گردان خود به ده قسمت كوچك‌تر تقسيم مى‌شد كه فرماندهى هر كدام از اين ده واحد را شخصى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هر قائد، ده 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دسته‌هاى ده نفرى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رهبرى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آرايش جنگى در اسلام براى اولين بار از سوى خالد بن وليد در جنگ‌هايش با روميان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در اين جنگ‌ها سپاه چهل هزار نفرى خود را در قالب چهل كردوس نظم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جنگ‌هاى مختلف، از اين نوع آرايش نظامى استفاده شد تا آنكه در سال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رسماً نظام صف ملغى و نظام كراديس جايگزين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علل روى آوردن سپاهيان اسلام از صف به اين نوع نظام،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نظام از آنجا كه افراد در واحدهاى كوچك‌ترى قرار مى‌گرفتند، بهتر مى‌توانستند يكديگر را بشناسند؛</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دادن به سپاه و كنترل آن در اين نوع نظام بهتر انجام مى‌گرفت؛</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ميان واحدهاى مختلف با يكديگر و با فرماندهى كل آسان‌تر بود؛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به خصوص در جنگ‌هاى اسلام و روم، به سبب مشابهت با نظام دشمن كارآمدتر بود</w:t>
      </w:r>
      <w:r>
        <w:rPr>
          <w:rFonts w:eastAsia="IRNazanin" w:cs="IRNazanin"/>
          <w:color w:val="111111"/>
          <w:sz w:val="28"/>
          <w:szCs w:val="28"/>
          <w:rtl w:val="true"/>
          <w:lang w:bidi="fa-IR"/>
        </w:rPr>
        <w:t>.</w:t>
      </w:r>
      <w:bookmarkStart w:id="1837" w:name="pg1964_19920"/>
    </w:p>
    <w:p>
      <w:pPr>
        <w:pStyle w:val="BookText"/>
        <w:rPr/>
      </w:pPr>
      <w:bookmarkEnd w:id="1837"/>
      <w:r>
        <w:rPr>
          <w:rFonts w:ascii="IRNazanin" w:hAnsi="IRNazanin" w:eastAsia="IRNazanin"/>
          <w:color w:val="111111"/>
          <w:sz w:val="28"/>
          <w:sz w:val="28"/>
          <w:szCs w:val="28"/>
          <w:rtl w:val="true"/>
          <w:lang w:bidi="fa-IR"/>
        </w:rPr>
        <w:t xml:space="preserve">در بعضى از مواقع اين نظام با نظام خميس آميخته مى‌شد؛ بدين ترتيب كه پنج قسمت لشكر هر يك از چند گردان با عنوان كردوس تشكيل مى‌شد كه در اين هنگام هر جناح، خود فرماندهى جداگانه داشت كه رتبه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الكردوس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بود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التعبيه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ياد مى‌شد</w:t>
      </w:r>
      <w:r>
        <w:rPr>
          <w:rFonts w:eastAsia="IRNazanin" w:cs="IRNazanin"/>
          <w:color w:val="111111"/>
          <w:sz w:val="28"/>
          <w:szCs w:val="28"/>
          <w:rtl w:val="true"/>
          <w:lang w:bidi="fa-IR"/>
        </w:rPr>
        <w:t xml:space="preserve">. </w:t>
      </w:r>
      <w:r>
        <w:rPr>
          <w:rStyle w:val="FootnoteAnchor"/>
          <w:rtl w:val="true"/>
        </w:rPr>
        <w:footnoteReference w:id="1576"/>
      </w:r>
    </w:p>
    <w:p>
      <w:pPr>
        <w:pStyle w:val="BookText"/>
        <w:rPr/>
      </w:pPr>
      <w:r>
        <w:rPr>
          <w:rFonts w:ascii="IRNazanin" w:hAnsi="IRNazanin" w:eastAsia="IRNazanin"/>
          <w:color w:val="111111"/>
          <w:sz w:val="28"/>
          <w:sz w:val="28"/>
          <w:szCs w:val="28"/>
          <w:rtl w:val="true"/>
          <w:lang w:bidi="fa-IR"/>
        </w:rPr>
        <w:t xml:space="preserve">گفته مى‌شود عمر بن سعد در جريان جنگ كربلا از اين نوع آرايش استفاده كرد، در حالى‌كه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 جنگى خود را به علت كمى نفرات، از نوع صفّ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معمولاً اين نوع نظام در جنگ‌هاى سنگين مورد استفاده قرار مى‌گرفت، انتخاب آن را از سوى عمر بن سعد در حادثه كربلا مى‌توان نشانه رعب و هراس لشكر كوفه دانست</w:t>
      </w:r>
      <w:r>
        <w:rPr>
          <w:rFonts w:eastAsia="IRNazanin" w:cs="IRNazanin"/>
          <w:color w:val="111111"/>
          <w:sz w:val="28"/>
          <w:szCs w:val="28"/>
          <w:rtl w:val="true"/>
          <w:lang w:bidi="fa-IR"/>
        </w:rPr>
        <w:t xml:space="preserve">. </w:t>
      </w:r>
      <w:r>
        <w:rPr>
          <w:rStyle w:val="FootnoteAnchor"/>
          <w:rtl w:val="true"/>
        </w:rPr>
        <w:footnoteReference w:id="1577"/>
      </w:r>
    </w:p>
    <w:p>
      <w:pPr>
        <w:pStyle w:val="Heading4"/>
        <w:numPr>
          <w:ilvl w:val="3"/>
          <w:numId w:val="1"/>
        </w:numPr>
        <w:rPr/>
      </w:pPr>
      <w:bookmarkStart w:id="1838" w:name="__RefHeading___Toc3585975_3650668749"/>
      <w:bookmarkStart w:id="1839" w:name="_Toc784"/>
      <w:bookmarkEnd w:id="1838"/>
      <w:r>
        <w:rPr>
          <w:rtl w:val="true"/>
        </w:rPr>
        <w:t>ع</w:t>
      </w:r>
      <w:r>
        <w:rPr>
          <w:rtl w:val="true"/>
        </w:rPr>
        <w:t xml:space="preserve">) </w:t>
      </w:r>
      <w:r>
        <w:rPr>
          <w:rtl w:val="true"/>
        </w:rPr>
        <w:t>جاسوسى</w:t>
      </w:r>
      <w:bookmarkEnd w:id="1839"/>
    </w:p>
    <w:p>
      <w:pPr>
        <w:pStyle w:val="BookText"/>
        <w:rPr/>
      </w:pPr>
      <w:r>
        <w:rPr>
          <w:rFonts w:ascii="IRNazanin" w:hAnsi="IRNazanin" w:eastAsia="IRNazanin"/>
          <w:color w:val="111111"/>
          <w:sz w:val="28"/>
          <w:sz w:val="28"/>
          <w:szCs w:val="28"/>
          <w:rtl w:val="true"/>
          <w:lang w:bidi="fa-IR"/>
        </w:rPr>
        <w:t>جاسوسى يكى از امور مهم زمان مورد بحث، چه در هنگام جنگ، چه براى اداره مملكت و چه براى اطلاع از اخبار دشمن در زمان صلح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اين امر در اسلام به جنگ بدر برمى‌گشت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از وضعيت دشمن، قبل از جنگ دو جاسوس به سمت آنها فرستاد</w:t>
      </w:r>
      <w:r>
        <w:rPr>
          <w:rFonts w:eastAsia="IRNazanin" w:cs="IRNazanin"/>
          <w:color w:val="111111"/>
          <w:sz w:val="28"/>
          <w:szCs w:val="28"/>
          <w:rtl w:val="true"/>
          <w:lang w:bidi="fa-IR"/>
        </w:rPr>
        <w:t xml:space="preserve">. </w:t>
      </w:r>
      <w:r>
        <w:rPr>
          <w:rStyle w:val="FootnoteAnchor"/>
          <w:rtl w:val="true"/>
        </w:rPr>
        <w:footnoteReference w:id="1578"/>
      </w:r>
      <w:r>
        <w:rPr>
          <w:rFonts w:ascii="IRNazanin" w:hAnsi="IRNazanin" w:eastAsia="IRNazanin"/>
          <w:color w:val="111111"/>
          <w:sz w:val="28"/>
          <w:sz w:val="28"/>
          <w:szCs w:val="28"/>
          <w:rtl w:val="true"/>
          <w:lang w:bidi="fa-IR"/>
        </w:rPr>
        <w:t>در جنگ احد نيز از جاسوسان دشمن در ميان مسلمانان سخن به ميان آمده است</w:t>
      </w:r>
      <w:r>
        <w:rPr>
          <w:rFonts w:eastAsia="IRNazanin" w:cs="IRNazanin"/>
          <w:color w:val="111111"/>
          <w:sz w:val="28"/>
          <w:szCs w:val="28"/>
          <w:rtl w:val="true"/>
          <w:lang w:bidi="fa-IR"/>
        </w:rPr>
        <w:t xml:space="preserve">. </w:t>
      </w:r>
      <w:r>
        <w:rPr>
          <w:rStyle w:val="FootnoteAnchor"/>
          <w:rtl w:val="true"/>
        </w:rPr>
        <w:footnoteReference w:id="1579"/>
      </w:r>
      <w:r>
        <w:rPr>
          <w:rFonts w:ascii="IRNazanin" w:hAnsi="IRNazanin" w:eastAsia="IRNazanin"/>
          <w:color w:val="111111"/>
          <w:sz w:val="28"/>
          <w:sz w:val="28"/>
          <w:szCs w:val="28"/>
          <w:rtl w:val="true"/>
          <w:lang w:bidi="fa-IR"/>
        </w:rPr>
        <w:t>در جنگ‌هاى فتوحات، عمر به سعد بن ابى‌وقاص دستور مى‌دهد كه جاسوسانى براى خبرگيرى از دشمن به سمت آنها بفرستد</w:t>
      </w:r>
      <w:r>
        <w:rPr>
          <w:rFonts w:eastAsia="IRNazanin" w:cs="IRNazanin"/>
          <w:color w:val="111111"/>
          <w:sz w:val="28"/>
          <w:szCs w:val="28"/>
          <w:rtl w:val="true"/>
          <w:lang w:bidi="fa-IR"/>
        </w:rPr>
        <w:t xml:space="preserve">. </w:t>
      </w:r>
      <w:r>
        <w:rPr>
          <w:rStyle w:val="FootnoteAnchor"/>
          <w:rtl w:val="true"/>
        </w:rPr>
        <w:footnoteReference w:id="1580"/>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حكومت خود اهميت فراوانى به اين امر داد و جاسوسانى در سرتاسر مملكت براى خبرگيرى از اوضاع مملكت تعيين كرد،</w:t>
      </w:r>
    </w:p>
    <w:p>
      <w:pPr>
        <w:pStyle w:val="BookText"/>
        <w:rPr/>
      </w:pPr>
      <w:r>
        <w:rPr>
          <w:rFonts w:ascii="IRNazanin" w:hAnsi="IRNazanin" w:eastAsia="IRNazanin"/>
          <w:color w:val="111111"/>
          <w:sz w:val="28"/>
          <w:sz w:val="28"/>
          <w:szCs w:val="28"/>
          <w:rtl w:val="true"/>
          <w:lang w:bidi="fa-IR"/>
        </w:rPr>
        <w:t>چنان‌كه در موردى از اطلاعات رسيده از جاسوس خود در مغرب ياد مى‌كند</w:t>
      </w:r>
      <w:r>
        <w:rPr>
          <w:rFonts w:eastAsia="IRNazanin" w:cs="IRNazanin"/>
          <w:color w:val="111111"/>
          <w:sz w:val="28"/>
          <w:szCs w:val="28"/>
          <w:rtl w:val="true"/>
          <w:lang w:bidi="fa-IR"/>
        </w:rPr>
        <w:t xml:space="preserve">. </w:t>
      </w:r>
      <w:r>
        <w:rPr>
          <w:rStyle w:val="FootnoteAnchor"/>
          <w:rtl w:val="true"/>
        </w:rPr>
        <w:footnoteReference w:id="1581"/>
      </w:r>
      <w:r>
        <w:rPr>
          <w:rFonts w:ascii="IRNazanin" w:hAnsi="IRNazanin" w:eastAsia="IRNazanin"/>
          <w:color w:val="111111"/>
          <w:sz w:val="28"/>
          <w:sz w:val="28"/>
          <w:szCs w:val="28"/>
          <w:rtl w:val="true"/>
          <w:lang w:bidi="fa-IR"/>
        </w:rPr>
        <w:t>علاوه بر آن به فرماندهان خود همانند مالك اشتر دستور مى‌داد كه جاسوسانى از افراد راست‌گو و با وفا انتخاب كنند تا خبرهاى نقاط مختلف تحت حكومتش را به او برسانند و او را از خيانت زير دستانش آگاه نمايند</w:t>
      </w:r>
      <w:r>
        <w:rPr>
          <w:rFonts w:eastAsia="IRNazanin" w:cs="IRNazanin"/>
          <w:color w:val="111111"/>
          <w:sz w:val="28"/>
          <w:szCs w:val="28"/>
          <w:rtl w:val="true"/>
          <w:lang w:bidi="fa-IR"/>
        </w:rPr>
        <w:t xml:space="preserve">. </w:t>
      </w:r>
      <w:r>
        <w:rPr>
          <w:rStyle w:val="FootnoteAnchor"/>
          <w:rtl w:val="true"/>
        </w:rPr>
        <w:footnoteReference w:id="1582"/>
      </w:r>
      <w:r>
        <w:rPr>
          <w:rFonts w:ascii="IRNazanin" w:hAnsi="IRNazanin" w:eastAsia="IRNazanin"/>
          <w:color w:val="111111"/>
          <w:sz w:val="28"/>
          <w:sz w:val="28"/>
          <w:szCs w:val="28"/>
          <w:rtl w:val="true"/>
          <w:lang w:bidi="fa-IR"/>
        </w:rPr>
        <w:t>همچنين هنگامى كه عده‌اى از خوارج فرار نموده و در سرتاسر مملكت پراكنده شدند، آن حضرت طى نامه‌اى از تمام فرمانداران خود خواست تا به وسيله جاسوسان، اخبار آنها را به دست آورند</w:t>
      </w:r>
      <w:r>
        <w:rPr>
          <w:rFonts w:eastAsia="IRNazanin" w:cs="IRNazanin"/>
          <w:color w:val="111111"/>
          <w:sz w:val="28"/>
          <w:szCs w:val="28"/>
          <w:rtl w:val="true"/>
          <w:lang w:bidi="fa-IR"/>
        </w:rPr>
        <w:t xml:space="preserve">. </w:t>
      </w:r>
      <w:r>
        <w:rPr>
          <w:rStyle w:val="FootnoteAnchor"/>
          <w:rtl w:val="true"/>
        </w:rPr>
        <w:footnoteReference w:id="1583"/>
      </w:r>
      <w:r>
        <w:rPr>
          <w:rFonts w:ascii="IRNazanin" w:hAnsi="IRNazanin" w:eastAsia="IRNazanin"/>
          <w:color w:val="111111"/>
          <w:sz w:val="28"/>
          <w:sz w:val="28"/>
          <w:szCs w:val="28"/>
          <w:rtl w:val="true"/>
          <w:lang w:bidi="fa-IR"/>
        </w:rPr>
        <w:t xml:space="preserve">متقابلاً دشمنان آن حضرت مانند معاويه نيز جاسوسانى به ميان سپاه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مى‌فرستادند</w:t>
      </w:r>
      <w:r>
        <w:rPr>
          <w:rFonts w:eastAsia="IRNazanin" w:cs="IRNazanin"/>
          <w:color w:val="111111"/>
          <w:sz w:val="28"/>
          <w:szCs w:val="28"/>
          <w:rtl w:val="true"/>
          <w:lang w:bidi="fa-IR"/>
        </w:rPr>
        <w:t xml:space="preserve">. </w:t>
      </w:r>
      <w:r>
        <w:rPr>
          <w:rStyle w:val="FootnoteAnchor"/>
          <w:rtl w:val="true"/>
        </w:rPr>
        <w:footnoteReference w:id="1584"/>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نيز عبيدالله بن زياد به وسيله جاسوسان خود توانست نهضت مسلم بن عقيل را به شكست بكشاند</w:t>
      </w:r>
      <w:r>
        <w:rPr>
          <w:rFonts w:eastAsia="Amiri" w:cs="Amiri" w:ascii="Amiri" w:hAnsi="Amiri"/>
          <w:color w:val="111111"/>
          <w:sz w:val="28"/>
          <w:szCs w:val="28"/>
          <w:rtl w:val="true"/>
          <w:lang w:bidi="ar-SA"/>
        </w:rPr>
        <w:t xml:space="preserve">. </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جاسوسان مى‌بايست شرايط زير را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اطمينان و راست‌گو باشند، چنان‌كه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 اشاره فرمود؛</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باوفا و متعهد باشند تا مبادا به دشمن بپيوندند، چنان‌كه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شرايط نيز اشاره فرمود؛</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نگهدار باشند تا مبادا اسرار را براى غير اهلش بازگو كنند؛</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منطقه محل مأموريت خود شناخت كافى داشته باشند و نيز زبان آنها را به خوبى بدانند؛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شكنجه پايدار بمانند و اسرار را فاش نسازند</w:t>
      </w:r>
      <w:r>
        <w:rPr>
          <w:rFonts w:eastAsia="IRNazanin" w:cs="IRNazanin"/>
          <w:color w:val="111111"/>
          <w:sz w:val="28"/>
          <w:szCs w:val="28"/>
          <w:rtl w:val="true"/>
          <w:lang w:bidi="fa-IR"/>
        </w:rPr>
        <w:t xml:space="preserve">. </w:t>
      </w:r>
      <w:r>
        <w:rPr>
          <w:rStyle w:val="FootnoteAnchor"/>
          <w:rtl w:val="true"/>
        </w:rPr>
        <w:footnoteReference w:id="1586"/>
      </w:r>
      <w:bookmarkStart w:id="1840" w:name="pg1964_19922"/>
    </w:p>
    <w:p>
      <w:pPr>
        <w:pStyle w:val="Heading3"/>
        <w:numPr>
          <w:ilvl w:val="2"/>
          <w:numId w:val="1"/>
        </w:numPr>
        <w:rPr/>
      </w:pPr>
      <w:bookmarkStart w:id="1841" w:name="__RefHeading___Toc3585977_3650668749"/>
      <w:bookmarkStart w:id="1842" w:name="_Toc785"/>
      <w:bookmarkEnd w:id="1840"/>
      <w:bookmarkEnd w:id="1841"/>
      <w:r>
        <w:rPr/>
        <w:t>۵</w:t>
      </w:r>
      <w:r>
        <w:rPr>
          <w:rtl w:val="true"/>
        </w:rPr>
        <w:t xml:space="preserve">. </w:t>
      </w:r>
      <w:r>
        <w:rPr>
          <w:rtl w:val="true"/>
        </w:rPr>
        <w:t>پخت وپز</w:t>
      </w:r>
      <w:bookmarkEnd w:id="1842"/>
    </w:p>
    <w:p>
      <w:pPr>
        <w:pStyle w:val="Heading4"/>
        <w:numPr>
          <w:ilvl w:val="3"/>
          <w:numId w:val="1"/>
        </w:numPr>
        <w:rPr/>
      </w:pPr>
      <w:bookmarkStart w:id="1843" w:name="__RefHeading___Toc3585979_3650668749"/>
      <w:bookmarkStart w:id="1844" w:name="_Toc786"/>
      <w:bookmarkEnd w:id="1843"/>
      <w:r>
        <w:rPr>
          <w:rtl w:val="true"/>
        </w:rPr>
        <w:t>الف</w:t>
      </w:r>
      <w:r>
        <w:rPr>
          <w:rtl w:val="true"/>
        </w:rPr>
        <w:t xml:space="preserve">) </w:t>
      </w:r>
      <w:r>
        <w:rPr>
          <w:rtl w:val="true"/>
        </w:rPr>
        <w:t>طريقه آتش روشن كردن</w:t>
      </w:r>
      <w:bookmarkEnd w:id="1844"/>
    </w:p>
    <w:p>
      <w:pPr>
        <w:pStyle w:val="BookText"/>
        <w:rPr/>
      </w:pPr>
      <w:r>
        <w:rPr>
          <w:rFonts w:ascii="IRNazanin" w:hAnsi="IRNazanin" w:eastAsia="IRNazanin"/>
          <w:color w:val="111111"/>
          <w:sz w:val="28"/>
          <w:sz w:val="28"/>
          <w:szCs w:val="28"/>
          <w:rtl w:val="true"/>
          <w:lang w:bidi="fa-IR"/>
        </w:rPr>
        <w:t>معمولاً براى روشن كردن آتش از سنگ چخماق كه با به هم زدن آن، جرقه از آن توليد مى‌شود،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آتش زنه‌ها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خطبه‌هاى خود به اين موارد اشاره مى‌كند</w:t>
      </w:r>
      <w:r>
        <w:rPr>
          <w:rFonts w:eastAsia="IRNazanin" w:cs="IRNazanin"/>
          <w:color w:val="111111"/>
          <w:sz w:val="28"/>
          <w:szCs w:val="28"/>
          <w:rtl w:val="true"/>
          <w:lang w:bidi="fa-IR"/>
        </w:rPr>
        <w:t xml:space="preserve">. </w:t>
      </w:r>
      <w:r>
        <w:rPr>
          <w:rStyle w:val="FootnoteAnchor"/>
          <w:rtl w:val="true"/>
        </w:rPr>
        <w:footnoteReference w:id="1587"/>
      </w:r>
      <w:r>
        <w:rPr>
          <w:rFonts w:ascii="IRNazanin" w:hAnsi="IRNazanin" w:eastAsia="IRNazanin"/>
          <w:color w:val="111111"/>
          <w:sz w:val="28"/>
          <w:sz w:val="28"/>
          <w:szCs w:val="28"/>
          <w:rtl w:val="true"/>
          <w:lang w:bidi="fa-IR"/>
        </w:rPr>
        <w:t xml:space="preserve">نيز در روايات تاريخى چنين آمده است كه زبير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آتش روشن كردن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نزديك سينه‌اش پنهان مى‌كرد، استفاده مى‌نمود</w:t>
      </w:r>
      <w:r>
        <w:rPr>
          <w:rFonts w:eastAsia="IRNazanin" w:cs="IRNazanin"/>
          <w:color w:val="111111"/>
          <w:sz w:val="28"/>
          <w:szCs w:val="28"/>
          <w:rtl w:val="true"/>
          <w:lang w:bidi="fa-IR"/>
        </w:rPr>
        <w:t xml:space="preserve">. </w:t>
      </w:r>
      <w:r>
        <w:rPr>
          <w:rStyle w:val="FootnoteAnchor"/>
          <w:rtl w:val="true"/>
        </w:rPr>
        <w:footnoteReference w:id="1588"/>
      </w:r>
      <w:r>
        <w:rPr>
          <w:rFonts w:ascii="IRNazanin" w:hAnsi="IRNazanin" w:eastAsia="IRNazanin"/>
          <w:color w:val="111111"/>
          <w:sz w:val="28"/>
          <w:sz w:val="28"/>
          <w:szCs w:val="28"/>
          <w:rtl w:val="true"/>
          <w:lang w:bidi="fa-IR"/>
        </w:rPr>
        <w:t>همچنين در بعضى از عبارات، كلمه سنگ كبريت به عنوان سنگى كه خيلى زود مشتعل مى‌شود، آمده است</w:t>
      </w:r>
      <w:r>
        <w:rPr>
          <w:rFonts w:eastAsia="IRNazanin" w:cs="IRNazanin"/>
          <w:color w:val="111111"/>
          <w:sz w:val="28"/>
          <w:szCs w:val="28"/>
          <w:rtl w:val="true"/>
          <w:lang w:bidi="fa-IR"/>
        </w:rPr>
        <w:t xml:space="preserve">. </w:t>
      </w:r>
      <w:r>
        <w:rPr>
          <w:rStyle w:val="FootnoteAnchor"/>
          <w:rtl w:val="true"/>
        </w:rPr>
        <w:footnoteReference w:id="1589"/>
      </w:r>
      <w:r>
        <w:rPr>
          <w:rFonts w:ascii="IRNazanin" w:hAnsi="IRNazanin" w:eastAsia="IRNazanin"/>
          <w:color w:val="111111"/>
          <w:sz w:val="28"/>
          <w:sz w:val="28"/>
          <w:szCs w:val="28"/>
          <w:rtl w:val="true"/>
          <w:lang w:bidi="fa-IR"/>
        </w:rPr>
        <w:t>نيز در عبارتى طريقه آتش روشن كردن به وسيله مالش چوبى با سر عصا بيان شده است</w:t>
      </w:r>
      <w:r>
        <w:rPr>
          <w:rFonts w:eastAsia="IRNazanin" w:cs="IRNazanin"/>
          <w:color w:val="111111"/>
          <w:sz w:val="28"/>
          <w:szCs w:val="28"/>
          <w:rtl w:val="true"/>
          <w:lang w:bidi="fa-IR"/>
        </w:rPr>
        <w:t xml:space="preserve">. </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اما مواردى كه در زمان مورد بحث به عنوان مواد قابل اشتعال كاربر داشته، عبارت است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آن حَطَب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نصوص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حَطّابون؛ هيزم كش‌ها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 كه بر وجود شغلى با اين عنوان دلالت مى‌كند</w:t>
      </w:r>
      <w:r>
        <w:rPr>
          <w:rFonts w:eastAsia="IRNazanin" w:cs="IRNazanin"/>
          <w:color w:val="111111"/>
          <w:sz w:val="28"/>
          <w:szCs w:val="28"/>
          <w:rtl w:val="true"/>
          <w:lang w:bidi="fa-IR"/>
        </w:rPr>
        <w:t xml:space="preserve">. </w:t>
      </w:r>
      <w:r>
        <w:rPr>
          <w:rStyle w:val="FootnoteAnchor"/>
          <w:rtl w:val="true"/>
        </w:rPr>
        <w:footnoteReference w:id="1591"/>
      </w:r>
      <w:r>
        <w:rPr>
          <w:rFonts w:ascii="IRNazanin" w:hAnsi="IRNazanin" w:eastAsia="IRNazanin"/>
          <w:color w:val="111111"/>
          <w:sz w:val="28"/>
          <w:sz w:val="28"/>
          <w:szCs w:val="28"/>
          <w:rtl w:val="true"/>
          <w:lang w:bidi="fa-IR"/>
        </w:rPr>
        <w:t xml:space="preserve">در روايات درباره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وارد شده است كه خود به حمل هيزم مى‌پرداخت</w:t>
      </w:r>
      <w:r>
        <w:rPr>
          <w:rFonts w:eastAsia="IRNazanin" w:cs="IRNazanin"/>
          <w:color w:val="111111"/>
          <w:sz w:val="28"/>
          <w:szCs w:val="28"/>
          <w:rtl w:val="true"/>
          <w:lang w:bidi="fa-IR"/>
        </w:rPr>
        <w:t xml:space="preserve">. </w:t>
      </w:r>
      <w:r>
        <w:rPr>
          <w:rStyle w:val="FootnoteAnchor"/>
          <w:rtl w:val="true"/>
        </w:rPr>
        <w:footnoteReference w:id="1592"/>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شاخه‌هاى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1593"/>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 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قَصَب مى‌گفتند</w:t>
      </w:r>
      <w:r>
        <w:rPr>
          <w:rFonts w:eastAsia="IRNazanin" w:cs="IRNazanin"/>
          <w:color w:val="111111"/>
          <w:sz w:val="28"/>
          <w:szCs w:val="28"/>
          <w:rtl w:val="true"/>
          <w:lang w:bidi="fa-IR"/>
        </w:rPr>
        <w:t xml:space="preserve">. </w:t>
      </w:r>
      <w:r>
        <w:rPr>
          <w:rStyle w:val="FootnoteAnchor"/>
          <w:rtl w:val="true"/>
        </w:rPr>
        <w:footnoteReference w:id="1594"/>
      </w:r>
      <w:bookmarkStart w:id="1845" w:name="pg1964_19923"/>
    </w:p>
    <w:p>
      <w:pPr>
        <w:pStyle w:val="BookText"/>
        <w:rPr/>
      </w:pPr>
      <w:bookmarkEnd w:id="1845"/>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حيوانات حلال 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كبريت</w:t>
      </w:r>
      <w:r>
        <w:rPr>
          <w:rFonts w:eastAsia="IRNazanin" w:cs="IRNazanin"/>
          <w:color w:val="111111"/>
          <w:sz w:val="28"/>
          <w:szCs w:val="28"/>
          <w:rtl w:val="true"/>
          <w:lang w:bidi="fa-IR"/>
        </w:rPr>
        <w:t xml:space="preserve">. </w:t>
      </w:r>
      <w:r>
        <w:rPr>
          <w:rStyle w:val="FootnoteAnchor"/>
          <w:rtl w:val="true"/>
        </w:rPr>
        <w:footnoteReference w:id="1595"/>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برخى از گزارش‌ها چنين آمده است كه براى سوزاندن عبدالرحمان بن ملجم، قاتل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نفت استفاده شد</w:t>
      </w:r>
      <w:r>
        <w:rPr>
          <w:rFonts w:eastAsia="IRNazanin" w:cs="IRNazanin"/>
          <w:color w:val="111111"/>
          <w:sz w:val="28"/>
          <w:szCs w:val="28"/>
          <w:rtl w:val="true"/>
          <w:lang w:bidi="fa-IR"/>
        </w:rPr>
        <w:t xml:space="preserve">. </w:t>
      </w:r>
      <w:r>
        <w:rPr>
          <w:rStyle w:val="FootnoteAnchor"/>
          <w:rtl w:val="true"/>
        </w:rPr>
        <w:footnoteReference w:id="1596"/>
      </w:r>
    </w:p>
    <w:p>
      <w:pPr>
        <w:pStyle w:val="Heading4"/>
        <w:numPr>
          <w:ilvl w:val="3"/>
          <w:numId w:val="1"/>
        </w:numPr>
        <w:rPr/>
      </w:pPr>
      <w:bookmarkStart w:id="1846" w:name="__RefHeading___Toc3585981_3650668749"/>
      <w:bookmarkStart w:id="1847" w:name="_Toc787"/>
      <w:bookmarkEnd w:id="1846"/>
      <w:r>
        <w:rPr>
          <w:rtl w:val="true"/>
        </w:rPr>
        <w:t>ب</w:t>
      </w:r>
      <w:r>
        <w:rPr>
          <w:rtl w:val="true"/>
        </w:rPr>
        <w:t xml:space="preserve">) </w:t>
      </w:r>
      <w:r>
        <w:rPr>
          <w:rtl w:val="true"/>
        </w:rPr>
        <w:t>پختن غذا</w:t>
      </w:r>
      <w:bookmarkEnd w:id="1847"/>
    </w:p>
    <w:p>
      <w:pPr>
        <w:pStyle w:val="BookText"/>
        <w:rPr/>
      </w:pPr>
      <w:r>
        <w:rPr>
          <w:rFonts w:ascii="IRNazanin" w:hAnsi="IRNazanin" w:eastAsia="IRNazanin"/>
          <w:color w:val="111111"/>
          <w:sz w:val="28"/>
          <w:sz w:val="28"/>
          <w:szCs w:val="28"/>
          <w:rtl w:val="true"/>
          <w:lang w:bidi="fa-IR"/>
        </w:rPr>
        <w:t>در بخش معمارى هنگام تشريح وضعيت دارالاماره از وجود مطبخ در آن ياد شد كه بر اختصاص محلى به آشپزخانه در ساختمان قصر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وجود مطبخ در خانه‌هاى مردم نشانى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روايات تاريخى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كمى پس از زمان مورد بحث اشاره شده است </w:t>
      </w:r>
      <w:r>
        <w:rPr>
          <w:rStyle w:val="FootnoteAnchor"/>
          <w:rtl w:val="true"/>
        </w:rPr>
        <w:footnoteReference w:id="1597"/>
      </w:r>
      <w:r>
        <w:rPr>
          <w:rFonts w:ascii="IRNazanin" w:hAnsi="IRNazanin" w:eastAsia="IRNazanin"/>
          <w:color w:val="111111"/>
          <w:sz w:val="28"/>
          <w:sz w:val="28"/>
          <w:szCs w:val="28"/>
          <w:rtl w:val="true"/>
          <w:lang w:bidi="fa-IR"/>
        </w:rPr>
        <w:t xml:space="preserve">، اما عبارتى كه بر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اجاق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سه پايه‌اى كه ديگ غذا را روى آن مى‌گذارند، دلالت كند،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چگونگى غذا پختن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چنين آمده است كه آن قدر آتش زير ديگ روشن نمود كه لباس‌هايش سياه شد</w:t>
      </w:r>
      <w:r>
        <w:rPr>
          <w:rFonts w:eastAsia="IRNazanin" w:cs="IRNazanin"/>
          <w:color w:val="111111"/>
          <w:sz w:val="28"/>
          <w:szCs w:val="28"/>
          <w:rtl w:val="true"/>
          <w:lang w:bidi="fa-IR"/>
        </w:rPr>
        <w:t xml:space="preserve">. </w:t>
      </w:r>
      <w:r>
        <w:rPr>
          <w:rStyle w:val="FootnoteAnchor"/>
          <w:rtl w:val="true"/>
        </w:rPr>
        <w:footnoteReference w:id="1598"/>
      </w:r>
      <w:r>
        <w:rPr>
          <w:rFonts w:ascii="IRNazanin" w:hAnsi="IRNazanin" w:eastAsia="IRNazanin"/>
          <w:color w:val="111111"/>
          <w:sz w:val="28"/>
          <w:sz w:val="28"/>
          <w:szCs w:val="28"/>
          <w:rtl w:val="true"/>
          <w:lang w:bidi="fa-IR"/>
        </w:rPr>
        <w:t>شايد از اينجا و از موارد ديگر بتوان استفاده كرد كه معمولاً پايه‌هايى از سنگ يا فلزات براى گذاشتن ديگ روى آن استفاده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ظروفى كه در آن غذا مى‌پختند در بخش ظروف به آنها اشاره خواهد شد</w:t>
      </w:r>
      <w:r>
        <w:rPr>
          <w:rFonts w:eastAsia="IRNazanin" w:cs="IRNazanin"/>
          <w:color w:val="111111"/>
          <w:sz w:val="28"/>
          <w:szCs w:val="28"/>
          <w:rtl w:val="true"/>
          <w:lang w:bidi="fa-IR"/>
        </w:rPr>
        <w:t>.</w:t>
      </w:r>
    </w:p>
    <w:p>
      <w:pPr>
        <w:pStyle w:val="Heading4"/>
        <w:numPr>
          <w:ilvl w:val="3"/>
          <w:numId w:val="1"/>
        </w:numPr>
        <w:rPr/>
      </w:pPr>
      <w:bookmarkStart w:id="1848" w:name="__RefHeading___Toc3585983_3650668749"/>
      <w:bookmarkStart w:id="1849" w:name="_Toc788"/>
      <w:bookmarkEnd w:id="1848"/>
      <w:r>
        <w:rPr>
          <w:rtl w:val="true"/>
        </w:rPr>
        <w:t>ج</w:t>
      </w:r>
      <w:r>
        <w:rPr>
          <w:rtl w:val="true"/>
        </w:rPr>
        <w:t xml:space="preserve">) </w:t>
      </w:r>
      <w:r>
        <w:rPr>
          <w:rtl w:val="true"/>
        </w:rPr>
        <w:t>پختن نان</w:t>
      </w:r>
      <w:bookmarkEnd w:id="184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به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پخت آن، همچون امروز عبارت از آسياب كردن گندم يا جو، خمير نمودن آن و سپس پختن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داستان‌هاى مربوط به زندگى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 مى‌آيد كه در آن زمان، آسياب‌هاى دستى كوچك در خانه‌ها براى آرد نمودن گندم وجود داشته است</w:t>
      </w:r>
      <w:r>
        <w:rPr>
          <w:rFonts w:eastAsia="IRNazanin" w:cs="IRNazanin"/>
          <w:color w:val="111111"/>
          <w:sz w:val="28"/>
          <w:szCs w:val="28"/>
          <w:rtl w:val="true"/>
          <w:lang w:bidi="fa-IR"/>
        </w:rPr>
        <w:t xml:space="preserve">. </w:t>
      </w:r>
      <w:r>
        <w:rPr>
          <w:rStyle w:val="FootnoteAnchor"/>
          <w:rtl w:val="true"/>
        </w:rPr>
        <w:footnoteReference w:id="1599"/>
      </w:r>
      <w:r>
        <w:rPr>
          <w:rFonts w:ascii="IRNazanin" w:hAnsi="IRNazanin" w:eastAsia="IRNazanin"/>
          <w:color w:val="111111"/>
          <w:sz w:val="28"/>
          <w:sz w:val="28"/>
          <w:szCs w:val="28"/>
          <w:rtl w:val="true"/>
          <w:lang w:bidi="fa-IR"/>
        </w:rPr>
        <w:t xml:space="preserve">در بعضى از موارد، نخاله‌هاى گندم غربال نمى‌شد و بر نانى كه از اين آرد به عمل مى‌آمد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اَلخُبْزُ السَّمراء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1600"/>
      </w:r>
      <w:r>
        <w:rPr>
          <w:rFonts w:ascii="IRNazanin" w:hAnsi="IRNazanin" w:eastAsia="IRNazanin"/>
          <w:color w:val="111111"/>
          <w:sz w:val="28"/>
          <w:sz w:val="28"/>
          <w:szCs w:val="28"/>
          <w:rtl w:val="true"/>
          <w:lang w:bidi="fa-IR"/>
        </w:rPr>
        <w:t>چنان‌كه اشاره شد، معمولاً نان از دو غله گندم و جو به عمل مى‌آمد</w:t>
      </w:r>
      <w:r>
        <w:rPr>
          <w:rFonts w:eastAsia="IRNazanin" w:cs="IRNazanin"/>
          <w:color w:val="111111"/>
          <w:sz w:val="28"/>
          <w:szCs w:val="28"/>
          <w:rtl w:val="true"/>
          <w:lang w:bidi="fa-IR"/>
        </w:rPr>
        <w:t xml:space="preserve">. </w:t>
      </w:r>
      <w:r>
        <w:rPr>
          <w:rStyle w:val="FootnoteAnchor"/>
          <w:rtl w:val="true"/>
        </w:rPr>
        <w:footnoteReference w:id="1601"/>
      </w:r>
      <w:r>
        <w:rPr>
          <w:rFonts w:ascii="IRNazanin" w:hAnsi="IRNazanin" w:eastAsia="IRNazanin"/>
          <w:color w:val="111111"/>
          <w:sz w:val="28"/>
          <w:sz w:val="28"/>
          <w:szCs w:val="28"/>
          <w:rtl w:val="true"/>
          <w:lang w:bidi="fa-IR"/>
        </w:rPr>
        <w:t xml:space="preserve">غالباً نان به شكل دايره‌اى و گرد تهيه مى‌شد و به نان دايره‌اى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1602"/>
      </w:r>
      <w:r>
        <w:rPr>
          <w:rFonts w:ascii="IRNazanin" w:hAnsi="IRNazanin" w:eastAsia="IRNazanin"/>
          <w:color w:val="111111"/>
          <w:sz w:val="28"/>
          <w:sz w:val="28"/>
          <w:szCs w:val="28"/>
          <w:rtl w:val="true"/>
          <w:lang w:bidi="fa-IR"/>
        </w:rPr>
        <w:t xml:space="preserve">در حديثى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وارد شده است كه گرده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رغيف‌ها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كوچك بگيريد تا بركت آن زيادتر شود</w:t>
      </w:r>
      <w:r>
        <w:rPr>
          <w:rFonts w:eastAsia="IRNazanin" w:cs="IRNazanin"/>
          <w:color w:val="111111"/>
          <w:sz w:val="28"/>
          <w:szCs w:val="28"/>
          <w:rtl w:val="true"/>
          <w:lang w:bidi="fa-IR"/>
        </w:rPr>
        <w:t xml:space="preserve">. </w:t>
      </w:r>
      <w:r>
        <w:rPr>
          <w:rStyle w:val="FootnoteAnchor"/>
          <w:rtl w:val="true"/>
        </w:rPr>
        <w:footnoteReference w:id="1603"/>
      </w:r>
    </w:p>
    <w:p>
      <w:pPr>
        <w:pStyle w:val="BookText"/>
        <w:rPr/>
      </w:pPr>
      <w:r>
        <w:rPr>
          <w:rFonts w:ascii="IRNazanin" w:hAnsi="IRNazanin" w:eastAsia="IRNazanin"/>
          <w:color w:val="111111"/>
          <w:sz w:val="28"/>
          <w:sz w:val="28"/>
          <w:szCs w:val="28"/>
          <w:rtl w:val="true"/>
          <w:lang w:bidi="fa-IR"/>
        </w:rPr>
        <w:t xml:space="preserve">محل پختن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روايات تاريخى فراوانى وجود آن در زمان مورد بحث و حتى قبل از آن اثبات شده است</w:t>
      </w:r>
      <w:r>
        <w:rPr>
          <w:rFonts w:eastAsia="IRNazanin" w:cs="IRNazanin"/>
          <w:color w:val="111111"/>
          <w:sz w:val="28"/>
          <w:szCs w:val="28"/>
          <w:rtl w:val="true"/>
          <w:lang w:bidi="fa-IR"/>
        </w:rPr>
        <w:t xml:space="preserve">. </w:t>
      </w:r>
      <w:r>
        <w:rPr>
          <w:rStyle w:val="FootnoteAnchor"/>
          <w:rtl w:val="true"/>
        </w:rPr>
        <w:footnoteReference w:id="1604"/>
      </w:r>
      <w:r>
        <w:rPr>
          <w:rFonts w:ascii="IRNazanin" w:hAnsi="IRNazanin" w:eastAsia="IRNazanin"/>
          <w:color w:val="111111"/>
          <w:sz w:val="28"/>
          <w:sz w:val="28"/>
          <w:szCs w:val="28"/>
          <w:rtl w:val="true"/>
          <w:lang w:bidi="fa-IR"/>
        </w:rPr>
        <w:t xml:space="preserve">به عصا يا تكه چوبى كه به وسيله آن آتش تنور را به هم مى‌زدند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1605"/>
      </w:r>
    </w:p>
    <w:p>
      <w:pPr>
        <w:pStyle w:val="BookText"/>
        <w:rPr/>
      </w:pPr>
      <w:r>
        <w:rPr>
          <w:rFonts w:ascii="IRNazanin" w:hAnsi="IRNazanin" w:eastAsia="IRNazanin"/>
          <w:color w:val="111111"/>
          <w:sz w:val="28"/>
          <w:sz w:val="28"/>
          <w:szCs w:val="28"/>
          <w:rtl w:val="true"/>
          <w:lang w:bidi="fa-IR"/>
        </w:rPr>
        <w:t>در بعضى از روايات از حكم پاره كردن نان به وسيله چاقو سخن به ميان آمده است كه بر ماندن نان و سفت شدن آن دلالت مى‌نمايد</w:t>
      </w:r>
      <w:r>
        <w:rPr>
          <w:rFonts w:eastAsia="IRNazanin" w:cs="IRNazanin"/>
          <w:color w:val="111111"/>
          <w:sz w:val="28"/>
          <w:szCs w:val="28"/>
          <w:rtl w:val="true"/>
          <w:lang w:bidi="fa-IR"/>
        </w:rPr>
        <w:t xml:space="preserve">. </w:t>
      </w:r>
      <w:r>
        <w:rPr>
          <w:rStyle w:val="FootnoteAnchor"/>
          <w:rtl w:val="true"/>
        </w:rPr>
        <w:footnoteReference w:id="1606"/>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عبارت‌هاى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نان پختن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مى‌گويد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كه بر وجود شغلى در آن زمان با اين عنوان دلالت مى‌نمايد؛ يعنى مى‌توان استفاده كرد كه همه مردم نان خود را در خانه نمى‌پختند يا دست كم بعضى از مواقع براى خريدن نان تازه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مى‌كردند</w:t>
      </w:r>
      <w:r>
        <w:rPr>
          <w:rFonts w:eastAsia="IRNazanin" w:cs="IRNazanin"/>
          <w:color w:val="111111"/>
          <w:sz w:val="28"/>
          <w:szCs w:val="28"/>
          <w:rtl w:val="true"/>
          <w:lang w:bidi="fa-IR"/>
        </w:rPr>
        <w:t>.</w:t>
      </w:r>
      <w:bookmarkStart w:id="1850" w:name="pg1964_19925"/>
    </w:p>
    <w:p>
      <w:pPr>
        <w:pStyle w:val="Heading3"/>
        <w:numPr>
          <w:ilvl w:val="2"/>
          <w:numId w:val="1"/>
        </w:numPr>
        <w:rPr/>
      </w:pPr>
      <w:bookmarkStart w:id="1851" w:name="__RefHeading___Toc3585985_3650668749"/>
      <w:bookmarkStart w:id="1852" w:name="_Toc789"/>
      <w:bookmarkEnd w:id="1850"/>
      <w:bookmarkEnd w:id="1851"/>
      <w:r>
        <w:rPr/>
        <w:t>۶</w:t>
      </w:r>
      <w:r>
        <w:rPr>
          <w:rtl w:val="true"/>
        </w:rPr>
        <w:t xml:space="preserve">. </w:t>
      </w:r>
      <w:r>
        <w:rPr>
          <w:rtl w:val="true"/>
        </w:rPr>
        <w:t>سير و سفر و تفرّج</w:t>
      </w:r>
      <w:bookmarkEnd w:id="1852"/>
    </w:p>
    <w:p>
      <w:pPr>
        <w:pStyle w:val="Heading4"/>
        <w:numPr>
          <w:ilvl w:val="3"/>
          <w:numId w:val="1"/>
        </w:numPr>
        <w:rPr/>
      </w:pPr>
      <w:bookmarkStart w:id="1853" w:name="__RefHeading___Toc3585987_3650668749"/>
      <w:bookmarkStart w:id="1854" w:name="_Toc790"/>
      <w:bookmarkEnd w:id="1853"/>
      <w:r>
        <w:rPr>
          <w:rtl w:val="true"/>
        </w:rPr>
        <w:t>الف</w:t>
      </w:r>
      <w:r>
        <w:rPr>
          <w:rtl w:val="true"/>
        </w:rPr>
        <w:t xml:space="preserve">) </w:t>
      </w:r>
      <w:r>
        <w:rPr>
          <w:rtl w:val="true"/>
        </w:rPr>
        <w:t>آداب سفر</w:t>
      </w:r>
      <w:bookmarkEnd w:id="1854"/>
    </w:p>
    <w:p>
      <w:pPr>
        <w:pStyle w:val="Heading5"/>
        <w:numPr>
          <w:ilvl w:val="4"/>
          <w:numId w:val="1"/>
        </w:numPr>
        <w:rPr/>
      </w:pPr>
      <w:bookmarkStart w:id="1855" w:name="__RefHeading___Toc3585989_3650668749"/>
      <w:bookmarkStart w:id="1856" w:name="_Toc791"/>
      <w:bookmarkEnd w:id="1855"/>
      <w:r>
        <w:rPr>
          <w:rtl w:val="true"/>
        </w:rPr>
        <w:t>اشاره</w:t>
      </w:r>
      <w:bookmarkEnd w:id="1856"/>
    </w:p>
    <w:p>
      <w:pPr>
        <w:pStyle w:val="BookText"/>
        <w:rPr/>
      </w:pPr>
      <w:r>
        <w:rPr>
          <w:rFonts w:ascii="IRNazanin" w:hAnsi="IRNazanin" w:eastAsia="IRNazanin"/>
          <w:color w:val="111111"/>
          <w:sz w:val="28"/>
          <w:sz w:val="28"/>
          <w:szCs w:val="28"/>
          <w:rtl w:val="true"/>
          <w:lang w:bidi="fa-IR"/>
        </w:rPr>
        <w:t xml:space="preserve">بعضى از آداب سفر كه از زبان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يا در روايات تاريخى آمده، عبارت است از</w:t>
      </w:r>
      <w:r>
        <w:rPr>
          <w:rFonts w:eastAsia="IRNazanin" w:cs="IRNazanin"/>
          <w:color w:val="111111"/>
          <w:sz w:val="28"/>
          <w:szCs w:val="28"/>
          <w:rtl w:val="true"/>
          <w:lang w:bidi="fa-IR"/>
        </w:rPr>
        <w:t>:</w:t>
      </w:r>
    </w:p>
    <w:p>
      <w:pPr>
        <w:pStyle w:val="Heading5"/>
        <w:numPr>
          <w:ilvl w:val="4"/>
          <w:numId w:val="1"/>
        </w:numPr>
        <w:rPr/>
      </w:pPr>
      <w:bookmarkStart w:id="1857" w:name="__RefHeading___Toc3585991_3650668749"/>
      <w:bookmarkStart w:id="1858" w:name="_Toc792"/>
      <w:bookmarkEnd w:id="1857"/>
      <w:r>
        <w:rPr>
          <w:rtl w:val="true"/>
        </w:rPr>
        <w:t xml:space="preserve">يك </w:t>
      </w:r>
      <w:r>
        <w:rPr>
          <w:rtl w:val="true"/>
        </w:rPr>
        <w:t xml:space="preserve">- </w:t>
      </w:r>
      <w:r>
        <w:rPr>
          <w:rtl w:val="true"/>
        </w:rPr>
        <w:t>انتخاب همراه مناسب</w:t>
      </w:r>
      <w:bookmarkEnd w:id="1858"/>
    </w:p>
    <w:p>
      <w:pPr>
        <w:pStyle w:val="BookText"/>
        <w:rPr/>
      </w:pPr>
      <w:r>
        <w:rPr>
          <w:rFonts w:ascii="Amiri" w:hAnsi="Amiri" w:eastAsia="Amiri" w:cs="Amiri"/>
          <w:color w:val="111111"/>
          <w:sz w:val="28"/>
          <w:sz w:val="28"/>
          <w:szCs w:val="28"/>
          <w:rtl w:val="true"/>
          <w:lang w:bidi="ar-SA"/>
        </w:rPr>
        <w:t xml:space="preserve">در روايات، تنها سفر كردن مذموم شمرده شده است </w:t>
      </w:r>
      <w:r>
        <w:rPr>
          <w:rStyle w:val="FootnoteAnchor"/>
          <w:rtl w:val="true"/>
        </w:rPr>
        <w:footnoteReference w:id="1607"/>
      </w:r>
      <w:r>
        <w:rPr>
          <w:rFonts w:ascii="IRNazanin" w:hAnsi="IRNazanin" w:eastAsia="IRNazanin"/>
          <w:color w:val="111111"/>
          <w:sz w:val="28"/>
          <w:sz w:val="28"/>
          <w:szCs w:val="28"/>
          <w:rtl w:val="true"/>
          <w:lang w:bidi="fa-IR"/>
        </w:rPr>
        <w:t>و انتخاب رفيق مناسب يكى از مهم‌ترين كارهاى سفر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سراغ رفيق را زودتر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بگيريد</w:t>
      </w:r>
      <w:r>
        <w:rPr>
          <w:rFonts w:eastAsia="IRNazanin" w:cs="IRNazanin"/>
          <w:color w:val="111111"/>
          <w:sz w:val="28"/>
          <w:szCs w:val="28"/>
          <w:rtl w:val="true"/>
          <w:lang w:bidi="fa-IR"/>
        </w:rPr>
        <w:t xml:space="preserve">» . </w:t>
      </w:r>
      <w:r>
        <w:rPr>
          <w:rStyle w:val="FootnoteAnchor"/>
          <w:rtl w:val="true"/>
        </w:rPr>
        <w:footnoteReference w:id="1608"/>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اصحابش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بدخلق است ما را در سفرمان همراهى نكند</w:t>
      </w:r>
      <w:r>
        <w:rPr>
          <w:rFonts w:eastAsia="IRNazanin" w:cs="IRNazanin"/>
          <w:color w:val="111111"/>
          <w:sz w:val="28"/>
          <w:szCs w:val="28"/>
          <w:rtl w:val="true"/>
          <w:lang w:bidi="fa-IR"/>
        </w:rPr>
        <w:t xml:space="preserve">» . </w:t>
      </w:r>
      <w:r>
        <w:rPr>
          <w:rStyle w:val="FootnoteAnchor"/>
          <w:rtl w:val="true"/>
        </w:rPr>
        <w:footnoteReference w:id="1609"/>
      </w:r>
      <w:r>
        <w:rPr>
          <w:rFonts w:ascii="IRNazanin" w:hAnsi="IRNazanin" w:eastAsia="IRNazanin"/>
          <w:color w:val="111111"/>
          <w:sz w:val="28"/>
          <w:sz w:val="28"/>
          <w:szCs w:val="28"/>
          <w:rtl w:val="true"/>
          <w:lang w:bidi="fa-IR"/>
        </w:rPr>
        <w:t>در بعضى روايات، تعداد مناسب افراد براى سفر كردن چهار نفر ذكر شده است</w:t>
      </w:r>
      <w:r>
        <w:rPr>
          <w:rFonts w:eastAsia="IRNazanin" w:cs="IRNazanin"/>
          <w:color w:val="111111"/>
          <w:sz w:val="28"/>
          <w:szCs w:val="28"/>
          <w:rtl w:val="true"/>
          <w:lang w:bidi="fa-IR"/>
        </w:rPr>
        <w:t xml:space="preserve">. </w:t>
      </w:r>
      <w:r>
        <w:rPr>
          <w:rStyle w:val="FootnoteAnchor"/>
          <w:rtl w:val="true"/>
        </w:rPr>
        <w:footnoteReference w:id="1610"/>
      </w:r>
    </w:p>
    <w:p>
      <w:pPr>
        <w:pStyle w:val="Heading5"/>
        <w:numPr>
          <w:ilvl w:val="4"/>
          <w:numId w:val="1"/>
        </w:numPr>
        <w:rPr/>
      </w:pPr>
      <w:bookmarkStart w:id="1859" w:name="__RefHeading___Toc3585993_3650668749"/>
      <w:bookmarkStart w:id="1860" w:name="_Toc793"/>
      <w:bookmarkEnd w:id="1859"/>
      <w:r>
        <w:rPr>
          <w:rtl w:val="true"/>
        </w:rPr>
        <w:t xml:space="preserve">دو </w:t>
      </w:r>
      <w:r>
        <w:rPr>
          <w:rtl w:val="true"/>
        </w:rPr>
        <w:t xml:space="preserve">- </w:t>
      </w:r>
      <w:r>
        <w:rPr>
          <w:rtl w:val="true"/>
        </w:rPr>
        <w:t>برداشتن وسايل شخصى ضرورى</w:t>
      </w:r>
      <w:bookmarkEnd w:id="1860"/>
    </w:p>
    <w:p>
      <w:pPr>
        <w:pStyle w:val="BookText"/>
        <w:rPr/>
      </w:pPr>
      <w:r>
        <w:rPr>
          <w:rFonts w:ascii="IRNazanin" w:hAnsi="IRNazanin" w:eastAsia="IRNazanin"/>
          <w:color w:val="111111"/>
          <w:sz w:val="28"/>
          <w:sz w:val="28"/>
          <w:szCs w:val="28"/>
          <w:rtl w:val="true"/>
          <w:lang w:bidi="fa-IR"/>
        </w:rPr>
        <w:t>علاوه بر تهيه زاد و توشه سفر، همراه بردن وسايل شخصى ضرورى نيز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بعضى روايات، وسايلى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سفرهاى خود، همراه مى‌برد،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شيشه روغن كه براى ماليدن موهايش استفاده مى‌كرد و احياناً عطر نيز در آن ريخته مى‌شد، سرمه‌دان، قيچى، آينه، مسواك، شانه، نخ و سوزن، درفش كفش‌دوزى و تسمه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تازيانه</w:t>
      </w:r>
      <w:r>
        <w:rPr>
          <w:rFonts w:eastAsia="IRNazanin" w:cs="IRNazanin"/>
          <w:color w:val="111111"/>
          <w:sz w:val="28"/>
          <w:szCs w:val="28"/>
          <w:rtl w:val="true"/>
          <w:lang w:bidi="fa-IR"/>
        </w:rPr>
        <w:t xml:space="preserve">) . </w:t>
      </w:r>
      <w:r>
        <w:rPr>
          <w:rStyle w:val="FootnoteAnchor"/>
          <w:rtl w:val="true"/>
        </w:rPr>
        <w:footnoteReference w:id="1611"/>
      </w:r>
    </w:p>
    <w:p>
      <w:pPr>
        <w:pStyle w:val="Heading5"/>
        <w:numPr>
          <w:ilvl w:val="4"/>
          <w:numId w:val="1"/>
        </w:numPr>
        <w:rPr/>
      </w:pPr>
      <w:bookmarkStart w:id="1861" w:name="__RefHeading___Toc3585995_3650668749"/>
      <w:bookmarkStart w:id="1862" w:name="_Toc794"/>
      <w:bookmarkEnd w:id="1861"/>
      <w:r>
        <w:rPr>
          <w:rtl w:val="true"/>
        </w:rPr>
        <w:t xml:space="preserve">سه </w:t>
      </w:r>
      <w:r>
        <w:rPr>
          <w:rtl w:val="true"/>
        </w:rPr>
        <w:t xml:space="preserve">- </w:t>
      </w:r>
      <w:r>
        <w:rPr>
          <w:rtl w:val="true"/>
        </w:rPr>
        <w:t>برداشتن عصا</w:t>
      </w:r>
      <w:bookmarkEnd w:id="1862"/>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داشتن عصا در سفر، يكى ديگر از آداب سفر بود كه عرب‌ها به آن تقيد داشتند و در كارهاى فراوانى، همانند آويزان كردن زاد و توشه مختصر بر آن، استفاده به جاى تازيانه</w:t>
      </w:r>
      <w:bookmarkStart w:id="1863" w:name="pg1964_19926"/>
    </w:p>
    <w:p>
      <w:pPr>
        <w:pStyle w:val="BookText"/>
        <w:rPr/>
      </w:pPr>
      <w:bookmarkEnd w:id="1863"/>
      <w:r>
        <w:rPr>
          <w:rFonts w:ascii="IRNazanin" w:hAnsi="IRNazanin" w:eastAsia="IRNazanin"/>
          <w:color w:val="111111"/>
          <w:sz w:val="28"/>
          <w:sz w:val="28"/>
          <w:szCs w:val="28"/>
          <w:rtl w:val="true"/>
          <w:lang w:bidi="fa-IR"/>
        </w:rPr>
        <w:t>براى چارپايان، تكيه دادن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آن بهره مى‌بردند</w:t>
      </w:r>
      <w:r>
        <w:rPr>
          <w:rFonts w:eastAsia="IRNazanin" w:cs="IRNazanin"/>
          <w:color w:val="111111"/>
          <w:sz w:val="28"/>
          <w:szCs w:val="28"/>
          <w:rtl w:val="true"/>
          <w:lang w:bidi="fa-IR"/>
        </w:rPr>
        <w:t xml:space="preserve">. </w:t>
      </w:r>
      <w:r>
        <w:rPr>
          <w:rStyle w:val="FootnoteAnchor"/>
          <w:rtl w:val="true"/>
        </w:rPr>
        <w:footnoteReference w:id="1612"/>
      </w:r>
      <w:r>
        <w:rPr>
          <w:rFonts w:ascii="IRNazanin" w:hAnsi="IRNazanin" w:eastAsia="IRNazanin"/>
          <w:color w:val="111111"/>
          <w:sz w:val="28"/>
          <w:sz w:val="28"/>
          <w:szCs w:val="28"/>
          <w:rtl w:val="true"/>
          <w:lang w:bidi="fa-IR"/>
        </w:rPr>
        <w:t>در روايات نيز به برداشتن عصا، به خصوص عصايى كه از چوب درخت بادام تهيه شده باشد، سفارش شده است</w:t>
      </w:r>
      <w:r>
        <w:rPr>
          <w:rFonts w:eastAsia="IRNazanin" w:cs="IRNazanin"/>
          <w:color w:val="111111"/>
          <w:sz w:val="28"/>
          <w:szCs w:val="28"/>
          <w:rtl w:val="true"/>
          <w:lang w:bidi="fa-IR"/>
        </w:rPr>
        <w:t xml:space="preserve">. </w:t>
      </w:r>
      <w:r>
        <w:rPr>
          <w:rStyle w:val="FootnoteAnchor"/>
          <w:rtl w:val="true"/>
        </w:rPr>
        <w:footnoteReference w:id="1613"/>
      </w:r>
    </w:p>
    <w:p>
      <w:pPr>
        <w:pStyle w:val="Heading5"/>
        <w:numPr>
          <w:ilvl w:val="4"/>
          <w:numId w:val="1"/>
        </w:numPr>
        <w:rPr/>
      </w:pPr>
      <w:bookmarkStart w:id="1864" w:name="__RefHeading___Toc3585997_3650668749"/>
      <w:bookmarkStart w:id="1865" w:name="_Toc795"/>
      <w:bookmarkEnd w:id="1864"/>
      <w:r>
        <w:rPr>
          <w:rtl w:val="true"/>
        </w:rPr>
        <w:t xml:space="preserve">چهار </w:t>
      </w:r>
      <w:r>
        <w:rPr>
          <w:rtl w:val="true"/>
        </w:rPr>
        <w:t xml:space="preserve">- </w:t>
      </w:r>
      <w:r>
        <w:rPr>
          <w:rtl w:val="true"/>
        </w:rPr>
        <w:t>ياد خدا نمودن</w:t>
      </w:r>
      <w:bookmarkEnd w:id="1865"/>
    </w:p>
    <w:p>
      <w:pPr>
        <w:pStyle w:val="BookText"/>
        <w:rPr/>
      </w:pPr>
      <w:r>
        <w:rPr>
          <w:rFonts w:ascii="Amiri" w:hAnsi="Amiri" w:eastAsia="Amiri" w:cs="Amiri"/>
          <w:color w:val="111111"/>
          <w:sz w:val="28"/>
          <w:sz w:val="28"/>
          <w:szCs w:val="28"/>
          <w:rtl w:val="true"/>
          <w:lang w:bidi="ar-SA"/>
        </w:rPr>
        <w:t xml:space="preserve">خواندن دو ركعت نماز قبل از مسافرت </w:t>
      </w:r>
      <w:r>
        <w:rPr>
          <w:rStyle w:val="FootnoteAnchor"/>
          <w:rtl w:val="true"/>
        </w:rPr>
        <w:footnoteReference w:id="1614"/>
      </w:r>
      <w:r>
        <w:rPr>
          <w:rFonts w:ascii="IRNazanin" w:hAnsi="IRNazanin" w:eastAsia="IRNazanin"/>
          <w:color w:val="111111"/>
          <w:sz w:val="28"/>
          <w:sz w:val="28"/>
          <w:szCs w:val="28"/>
          <w:rtl w:val="true"/>
          <w:lang w:bidi="fa-IR"/>
        </w:rPr>
        <w:t xml:space="preserve">و خواندن يازده مرتبه سوره توحيد، از زبان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w:t>
      </w:r>
      <w:r>
        <w:rPr>
          <w:rFonts w:eastAsia="IRNazanin" w:cs="IRNazanin"/>
          <w:color w:val="111111"/>
          <w:sz w:val="28"/>
          <w:szCs w:val="28"/>
          <w:rtl w:val="true"/>
          <w:lang w:bidi="fa-IR"/>
        </w:rPr>
        <w:t xml:space="preserve">. </w:t>
      </w:r>
      <w:r>
        <w:rPr>
          <w:rStyle w:val="FootnoteAnchor"/>
          <w:rtl w:val="true"/>
        </w:rPr>
        <w:footnoteReference w:id="1615"/>
      </w:r>
    </w:p>
    <w:p>
      <w:pPr>
        <w:pStyle w:val="Heading5"/>
        <w:numPr>
          <w:ilvl w:val="4"/>
          <w:numId w:val="1"/>
        </w:numPr>
        <w:rPr/>
      </w:pPr>
      <w:bookmarkStart w:id="1866" w:name="__RefHeading___Toc3585999_3650668749"/>
      <w:bookmarkStart w:id="1867" w:name="_Toc796"/>
      <w:bookmarkEnd w:id="1866"/>
      <w:r>
        <w:rPr>
          <w:rtl w:val="true"/>
        </w:rPr>
        <w:t xml:space="preserve">پنج </w:t>
      </w:r>
      <w:r>
        <w:rPr>
          <w:rtl w:val="true"/>
        </w:rPr>
        <w:t xml:space="preserve">- </w:t>
      </w:r>
      <w:r>
        <w:rPr>
          <w:rtl w:val="true"/>
        </w:rPr>
        <w:t>صدقه دادن</w:t>
      </w:r>
      <w:bookmarkEnd w:id="1867"/>
    </w:p>
    <w:p>
      <w:pPr>
        <w:pStyle w:val="BookText"/>
        <w:rPr/>
      </w:pPr>
      <w:r>
        <w:rPr>
          <w:rFonts w:ascii="Amiri" w:hAnsi="Amiri" w:eastAsia="Amiri" w:cs="Amiri"/>
          <w:color w:val="111111"/>
          <w:sz w:val="28"/>
          <w:sz w:val="28"/>
          <w:szCs w:val="28"/>
          <w:rtl w:val="true"/>
          <w:lang w:bidi="ar-SA"/>
        </w:rPr>
        <w:t xml:space="preserve">معصومان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دادن قبل از سفر را براى رفع بلا توصيه فرموده‌اند</w:t>
      </w:r>
      <w:r>
        <w:rPr>
          <w:rFonts w:eastAsia="Amiri" w:cs="Amiri" w:ascii="Amiri" w:hAnsi="Amiri"/>
          <w:color w:val="111111"/>
          <w:sz w:val="28"/>
          <w:szCs w:val="28"/>
          <w:rtl w:val="true"/>
          <w:lang w:bidi="ar-SA"/>
        </w:rPr>
        <w:t xml:space="preserve">. </w:t>
      </w:r>
      <w:r>
        <w:rPr>
          <w:rStyle w:val="FootnoteAnchor"/>
          <w:rtl w:val="true"/>
        </w:rPr>
        <w:footnoteReference w:id="1616"/>
      </w:r>
    </w:p>
    <w:p>
      <w:pPr>
        <w:pStyle w:val="Heading5"/>
        <w:numPr>
          <w:ilvl w:val="4"/>
          <w:numId w:val="1"/>
        </w:numPr>
        <w:rPr/>
      </w:pPr>
      <w:bookmarkStart w:id="1868" w:name="__RefHeading___Toc3586001_3650668749"/>
      <w:bookmarkStart w:id="1869" w:name="_Toc797"/>
      <w:bookmarkEnd w:id="1868"/>
      <w:r>
        <w:rPr>
          <w:rtl w:val="true"/>
        </w:rPr>
        <w:t xml:space="preserve">شش </w:t>
      </w:r>
      <w:r>
        <w:rPr>
          <w:rtl w:val="true"/>
        </w:rPr>
        <w:t xml:space="preserve">- </w:t>
      </w:r>
      <w:r>
        <w:rPr>
          <w:rtl w:val="true"/>
        </w:rPr>
        <w:t>بدرقه مسافر</w:t>
      </w:r>
      <w:bookmarkEnd w:id="1869"/>
    </w:p>
    <w:p>
      <w:pPr>
        <w:pStyle w:val="BookText"/>
        <w:rPr/>
      </w:pPr>
      <w:r>
        <w:rPr>
          <w:rFonts w:ascii="Amiri" w:hAnsi="Amiri" w:eastAsia="Amiri" w:cs="Amiri"/>
          <w:color w:val="111111"/>
          <w:sz w:val="28"/>
          <w:sz w:val="28"/>
          <w:szCs w:val="28"/>
          <w:rtl w:val="true"/>
          <w:lang w:bidi="ar-SA"/>
        </w:rPr>
        <w:t>روايات فراوانى در مورد بدرقه مسافر و كيفيت آن وارد شده است</w:t>
      </w:r>
      <w:r>
        <w:rPr>
          <w:rFonts w:eastAsia="Amiri" w:cs="Amiri" w:ascii="Amiri" w:hAnsi="Amiri"/>
          <w:color w:val="111111"/>
          <w:sz w:val="28"/>
          <w:szCs w:val="28"/>
          <w:rtl w:val="true"/>
          <w:lang w:bidi="ar-SA"/>
        </w:rPr>
        <w:t xml:space="preserve">. </w:t>
      </w:r>
      <w:r>
        <w:rPr>
          <w:rStyle w:val="FootnoteAnchor"/>
          <w:rtl w:val="true"/>
        </w:rPr>
        <w:footnoteReference w:id="1617"/>
      </w:r>
    </w:p>
    <w:p>
      <w:pPr>
        <w:pStyle w:val="Heading5"/>
        <w:numPr>
          <w:ilvl w:val="4"/>
          <w:numId w:val="1"/>
        </w:numPr>
        <w:rPr/>
      </w:pPr>
      <w:bookmarkStart w:id="1870" w:name="__RefHeading___Toc3586003_3650668749"/>
      <w:bookmarkStart w:id="1871" w:name="_Toc798"/>
      <w:bookmarkEnd w:id="1870"/>
      <w:r>
        <w:rPr>
          <w:rtl w:val="true"/>
        </w:rPr>
        <w:t xml:space="preserve">هفت </w:t>
      </w:r>
      <w:r>
        <w:rPr>
          <w:rtl w:val="true"/>
        </w:rPr>
        <w:t xml:space="preserve">- </w:t>
      </w:r>
      <w:r>
        <w:rPr>
          <w:rtl w:val="true"/>
        </w:rPr>
        <w:t>مروّت و جوانمردى در سفر</w:t>
      </w:r>
      <w:bookmarkEnd w:id="1871"/>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چيز با عنوان مروت در سفر ياد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بذل زاد و توشه به همسفران،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اخلاقى در سفر،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نمودن در سفر در صورتى كه به گناه كشانده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872" w:name="__RefHeading___Toc3586005_3650668749"/>
      <w:bookmarkStart w:id="1873" w:name="_Toc799"/>
      <w:bookmarkEnd w:id="1872"/>
      <w:r>
        <w:rPr>
          <w:rtl w:val="true"/>
        </w:rPr>
        <w:t xml:space="preserve">هشت </w:t>
      </w:r>
      <w:r>
        <w:rPr>
          <w:rtl w:val="true"/>
        </w:rPr>
        <w:t xml:space="preserve">- </w:t>
      </w:r>
      <w:r>
        <w:rPr>
          <w:rtl w:val="true"/>
        </w:rPr>
        <w:t>شعر و آواز خواندن در سفر</w:t>
      </w:r>
      <w:bookmarkEnd w:id="187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 و آواز خواندن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در آن مسائل خلاف شرع نباشد، زاد و توشه مسافر است</w:t>
      </w:r>
      <w:r>
        <w:rPr>
          <w:rFonts w:eastAsia="IRNazanin" w:cs="IRNazanin"/>
          <w:color w:val="111111"/>
          <w:sz w:val="28"/>
          <w:szCs w:val="28"/>
          <w:rtl w:val="true"/>
          <w:lang w:bidi="fa-IR"/>
        </w:rPr>
        <w:t xml:space="preserve">» . </w:t>
      </w:r>
      <w:r>
        <w:rPr>
          <w:rStyle w:val="FootnoteAnchor"/>
          <w:rtl w:val="true"/>
        </w:rPr>
        <w:footnoteReference w:id="1618"/>
      </w:r>
      <w:r>
        <w:rPr>
          <w:rFonts w:ascii="Amiri" w:hAnsi="Amiri" w:eastAsia="Amiri" w:cs="Amiri"/>
          <w:color w:val="111111"/>
          <w:sz w:val="28"/>
          <w:sz w:val="28"/>
          <w:szCs w:val="28"/>
          <w:rtl w:val="true"/>
          <w:lang w:bidi="ar-SA"/>
        </w:rPr>
        <w:t>بديهى است اين مسئله، طول سفر را بر او هموار كند</w:t>
      </w:r>
      <w:r>
        <w:rPr>
          <w:rFonts w:eastAsia="Amiri" w:cs="Amiri" w:ascii="Amiri" w:hAnsi="Amiri"/>
          <w:color w:val="111111"/>
          <w:sz w:val="28"/>
          <w:szCs w:val="28"/>
          <w:rtl w:val="true"/>
          <w:lang w:bidi="ar-SA"/>
        </w:rPr>
        <w:t>.</w:t>
      </w:r>
      <w:bookmarkStart w:id="1874" w:name="pg1964_19927"/>
    </w:p>
    <w:p>
      <w:pPr>
        <w:pStyle w:val="Heading5"/>
        <w:numPr>
          <w:ilvl w:val="4"/>
          <w:numId w:val="1"/>
        </w:numPr>
        <w:rPr/>
      </w:pPr>
      <w:bookmarkStart w:id="1875" w:name="__RefHeading___Toc3586007_3650668749"/>
      <w:bookmarkStart w:id="1876" w:name="_Toc800"/>
      <w:bookmarkEnd w:id="1874"/>
      <w:bookmarkEnd w:id="1875"/>
      <w:r>
        <w:rPr>
          <w:rtl w:val="true"/>
        </w:rPr>
        <w:t xml:space="preserve">نُه </w:t>
      </w:r>
      <w:r>
        <w:rPr>
          <w:rtl w:val="true"/>
        </w:rPr>
        <w:t xml:space="preserve">- </w:t>
      </w:r>
      <w:r>
        <w:rPr>
          <w:rtl w:val="true"/>
        </w:rPr>
        <w:t>مسئوليت به عهده گرفتن در سفر</w:t>
      </w:r>
      <w:bookmarkEnd w:id="1876"/>
    </w:p>
    <w:p>
      <w:pPr>
        <w:pStyle w:val="BookText"/>
        <w:rPr/>
      </w:pPr>
      <w:r>
        <w:rPr>
          <w:rFonts w:ascii="IRNazanin" w:hAnsi="IRNazanin" w:eastAsia="IRNazanin"/>
          <w:color w:val="111111"/>
          <w:sz w:val="28"/>
          <w:sz w:val="28"/>
          <w:szCs w:val="28"/>
          <w:rtl w:val="true"/>
          <w:lang w:bidi="fa-IR"/>
        </w:rPr>
        <w:t xml:space="preserve">در يكى از سفرها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كشتن گوسفندى را براى پختن غذا صادر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هر كدام به‌كارى مشغول شدند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هيزم جمع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اصحاب اصرار كردند كه خود اين كار را انجام دهند،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ناخوش مى‌دارد بنده‌اش را وقتى با همراهانش باشد و تنهايى 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كارى انجام ندهد</w:t>
      </w:r>
      <w:r>
        <w:rPr>
          <w:rFonts w:eastAsia="IRNazanin" w:cs="IRNazanin"/>
          <w:color w:val="111111"/>
          <w:sz w:val="28"/>
          <w:szCs w:val="28"/>
          <w:rtl w:val="true"/>
          <w:lang w:bidi="fa-IR"/>
        </w:rPr>
        <w:t xml:space="preserve">) » . </w:t>
      </w:r>
      <w:r>
        <w:rPr>
          <w:rStyle w:val="FootnoteAnchor"/>
          <w:rtl w:val="true"/>
        </w:rPr>
        <w:footnoteReference w:id="1619"/>
      </w:r>
    </w:p>
    <w:p>
      <w:pPr>
        <w:pStyle w:val="Heading5"/>
        <w:numPr>
          <w:ilvl w:val="4"/>
          <w:numId w:val="1"/>
        </w:numPr>
        <w:rPr/>
      </w:pPr>
      <w:bookmarkStart w:id="1877" w:name="__RefHeading___Toc3586009_3650668749"/>
      <w:bookmarkStart w:id="1878" w:name="_Toc801"/>
      <w:bookmarkEnd w:id="1877"/>
      <w:r>
        <w:rPr>
          <w:rtl w:val="true"/>
        </w:rPr>
        <w:t xml:space="preserve">ده </w:t>
      </w:r>
      <w:r>
        <w:rPr>
          <w:rtl w:val="true"/>
        </w:rPr>
        <w:t xml:space="preserve">- </w:t>
      </w:r>
      <w:r>
        <w:rPr>
          <w:rtl w:val="true"/>
        </w:rPr>
        <w:t>سوغات آوردن از سفر</w:t>
      </w:r>
      <w:bookmarkEnd w:id="1878"/>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از سفر برگشتيد، براى خانواده خود سوغات بياوريد، اگر چه يك سنگ باشد</w:t>
      </w:r>
      <w:r>
        <w:rPr>
          <w:rFonts w:eastAsia="IRNazanin" w:cs="IRNazanin"/>
          <w:color w:val="111111"/>
          <w:sz w:val="28"/>
          <w:szCs w:val="28"/>
          <w:rtl w:val="true"/>
          <w:lang w:bidi="fa-IR"/>
        </w:rPr>
        <w:t xml:space="preserve">» . </w:t>
      </w:r>
      <w:r>
        <w:rPr>
          <w:rStyle w:val="FootnoteAnchor"/>
          <w:rtl w:val="true"/>
        </w:rPr>
        <w:footnoteReference w:id="1620"/>
      </w:r>
    </w:p>
    <w:p>
      <w:pPr>
        <w:pStyle w:val="Heading5"/>
        <w:numPr>
          <w:ilvl w:val="4"/>
          <w:numId w:val="1"/>
        </w:numPr>
        <w:rPr/>
      </w:pPr>
      <w:bookmarkStart w:id="1879" w:name="__RefHeading___Toc3586011_3650668749"/>
      <w:bookmarkStart w:id="1880" w:name="_Toc802"/>
      <w:bookmarkEnd w:id="1879"/>
      <w:r>
        <w:rPr>
          <w:rtl w:val="true"/>
        </w:rPr>
        <w:t xml:space="preserve">يازده </w:t>
      </w:r>
      <w:r>
        <w:rPr>
          <w:rtl w:val="true"/>
        </w:rPr>
        <w:t xml:space="preserve">- </w:t>
      </w:r>
      <w:r>
        <w:rPr>
          <w:rtl w:val="true"/>
        </w:rPr>
        <w:t>مصافحه و معانقه با مسافر</w:t>
      </w:r>
      <w:bookmarkEnd w:id="1880"/>
    </w:p>
    <w:p>
      <w:pPr>
        <w:pStyle w:val="BookText"/>
        <w:rPr/>
      </w:pPr>
      <w:r>
        <w:rPr>
          <w:rFonts w:ascii="IRNazanin" w:hAnsi="IRNazanin" w:eastAsia="IRNazanin"/>
          <w:color w:val="111111"/>
          <w:sz w:val="28"/>
          <w:sz w:val="28"/>
          <w:szCs w:val="28"/>
          <w:rtl w:val="true"/>
          <w:lang w:bidi="fa-IR"/>
        </w:rPr>
        <w:t xml:space="preserve">اين دو عمل در زمان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اصحاب شايع بود و خود آن حضرت با جعفر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حبشه برگشته بود، معانقه نمود و او را به سينه‌اش چسبانيد و بين دو چشمش را بوسه زد</w:t>
      </w:r>
      <w:r>
        <w:rPr>
          <w:rFonts w:eastAsia="IRNazanin" w:cs="IRNazanin"/>
          <w:color w:val="111111"/>
          <w:sz w:val="28"/>
          <w:szCs w:val="28"/>
          <w:rtl w:val="true"/>
          <w:lang w:bidi="fa-IR"/>
        </w:rPr>
        <w:t xml:space="preserve">. </w:t>
      </w:r>
      <w:r>
        <w:rPr>
          <w:rStyle w:val="FootnoteAnchor"/>
          <w:rtl w:val="true"/>
        </w:rPr>
        <w:footnoteReference w:id="1621"/>
      </w:r>
    </w:p>
    <w:p>
      <w:pPr>
        <w:pStyle w:val="Heading4"/>
        <w:numPr>
          <w:ilvl w:val="3"/>
          <w:numId w:val="1"/>
        </w:numPr>
        <w:rPr/>
      </w:pPr>
      <w:bookmarkStart w:id="1881" w:name="__RefHeading___Toc3586013_3650668749"/>
      <w:bookmarkStart w:id="1882" w:name="_Toc803"/>
      <w:bookmarkEnd w:id="1881"/>
      <w:r>
        <w:rPr>
          <w:rtl w:val="true"/>
        </w:rPr>
        <w:t>ب</w:t>
      </w:r>
      <w:r>
        <w:rPr>
          <w:rtl w:val="true"/>
        </w:rPr>
        <w:t xml:space="preserve">) </w:t>
      </w:r>
      <w:r>
        <w:rPr>
          <w:rtl w:val="true"/>
        </w:rPr>
        <w:t>وسايل حمل و نقل</w:t>
      </w:r>
      <w:bookmarkEnd w:id="1882"/>
    </w:p>
    <w:p>
      <w:pPr>
        <w:pStyle w:val="BookText"/>
        <w:rPr/>
      </w:pPr>
      <w:r>
        <w:rPr>
          <w:rFonts w:ascii="Amiri" w:hAnsi="Amiri" w:eastAsia="Amiri" w:cs="Amiri"/>
          <w:color w:val="111111"/>
          <w:sz w:val="28"/>
          <w:sz w:val="28"/>
          <w:szCs w:val="28"/>
          <w:rtl w:val="true"/>
          <w:lang w:bidi="ar-SA"/>
        </w:rPr>
        <w:t>حيواناتى كه در حمل و نقل از آنها استفاده مى‌شد، عبارت بود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 قاطر، اسب و 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معمولاً از الاغ در مسافت‌هاى كوتاه و درون شهرى استفاده مى‌شد و در بعضى از كاروان‌هاى بين شهرى نيز افراد كم‌بضاعت از آن استفاده مى‌كردند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قاطر براى حمل بارهاى سنگين و نيز مسافرت‌هاى بين شهرى مورد استفاده فراوان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جنگ‌ها نيز از قاطر سفيد خود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داشت، استفاده مى‌كرد و وقتى از او مى‌خواستند كه از اسب استفاده كند،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اسب براى تعقيب دشمن و فرار مناسب است و من هيچ‌گاه دشمنى را كه پشت به جنگ كرده تعقيب نمى‌نمايم و هيچ‌گاه در جنگ از روبه‌روى دشمن فرار نمى‌كنم</w:t>
      </w:r>
      <w:r>
        <w:rPr>
          <w:rFonts w:eastAsia="IRNazanin" w:cs="IRNazanin"/>
          <w:color w:val="111111"/>
          <w:sz w:val="28"/>
          <w:szCs w:val="28"/>
          <w:rtl w:val="true"/>
          <w:lang w:bidi="fa-IR"/>
        </w:rPr>
        <w:t xml:space="preserve">. </w:t>
      </w:r>
      <w:r>
        <w:rPr>
          <w:rStyle w:val="FootnoteAnchor"/>
          <w:rtl w:val="true"/>
        </w:rPr>
        <w:footnoteReference w:id="1622"/>
      </w:r>
    </w:p>
    <w:p>
      <w:pPr>
        <w:pStyle w:val="BookText"/>
        <w:rPr/>
      </w:pPr>
      <w:r>
        <w:rPr>
          <w:rFonts w:ascii="IRNazanin" w:hAnsi="IRNazanin" w:eastAsia="IRNazanin"/>
          <w:color w:val="111111"/>
          <w:sz w:val="28"/>
          <w:sz w:val="28"/>
          <w:szCs w:val="28"/>
          <w:rtl w:val="true"/>
          <w:lang w:bidi="fa-IR"/>
        </w:rPr>
        <w:t xml:space="preserve">و اما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مباحث گذشته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جبهه و نيز در سفرهاى جنگى و جنگ كاربرد فراوان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وسيله اصلى حمل و نقل و مسافرت‌هاى بين شهرى به حساب مى‌آمد و معمولاً قافله‌ها و نيز مسافران تك‌رو از اين حيوان بردبار و پر تحمل در مسافرت‌هاى خود استفاده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صفوان در عبارتى به‌طور كلى چگونگى استفاده از اين چهار نوع حيوان را اين چنين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شتر براى پيمودن مسافت‌هاى دور، قاطر براى بردن بارهاى سنگين، اسب برذَوْن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تاتارى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تجمل و تن‌آسايى، الاغ براى كارهاى روزمره و اسب معمولى براى حمله و فرار در جنگ مورد استفاده قرار مى‌گيرد</w:t>
      </w:r>
      <w:r>
        <w:rPr>
          <w:rFonts w:eastAsia="IRNazanin" w:cs="IRNazanin"/>
          <w:color w:val="111111"/>
          <w:sz w:val="28"/>
          <w:szCs w:val="28"/>
          <w:rtl w:val="true"/>
          <w:lang w:bidi="fa-IR"/>
        </w:rPr>
        <w:t xml:space="preserve">. </w:t>
      </w:r>
      <w:r>
        <w:rPr>
          <w:rStyle w:val="FootnoteAnchor"/>
          <w:rtl w:val="true"/>
        </w:rPr>
        <w:footnoteReference w:id="1623"/>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در مسافرت‌هاى راه دور، بر پشت شتر يا قاطر، كجاوه مى‌بستند كه عرب به آن مَحْمِل يا هودَج مى‌گفتند و آن عبارت بود از دو اطاقك چوبين روباز با سايبان كه آنها را در طرفين شتر يا استر مى‌بستند و در هر اطاقك، مسافرى مى‌نشست</w:t>
      </w:r>
      <w:r>
        <w:rPr>
          <w:rFonts w:eastAsia="IRNazanin" w:cs="IRNazanin"/>
          <w:color w:val="111111"/>
          <w:sz w:val="28"/>
          <w:szCs w:val="28"/>
          <w:rtl w:val="true"/>
          <w:lang w:bidi="fa-IR"/>
        </w:rPr>
        <w:t xml:space="preserve">. </w:t>
      </w:r>
      <w:r>
        <w:rPr>
          <w:rStyle w:val="FootnoteAnchor"/>
          <w:rtl w:val="true"/>
        </w:rPr>
        <w:footnoteReference w:id="1624"/>
      </w:r>
      <w:r>
        <w:rPr>
          <w:rFonts w:ascii="IRNazanin" w:hAnsi="IRNazanin" w:eastAsia="IRNazanin"/>
          <w:color w:val="111111"/>
          <w:sz w:val="28"/>
          <w:sz w:val="28"/>
          <w:szCs w:val="28"/>
          <w:rtl w:val="true"/>
          <w:lang w:bidi="fa-IR"/>
        </w:rPr>
        <w:t>معمولاً شخصيت‌ها، ثروتمندان و زنان از كجاوه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كجاوه شتر عايشه در روز جنگ جمل چنين آمده است كه اطاقك آن از صفحه‌هاى آهنين تهيه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نوع طرز ساخت، مخصوص جنگ بوده است</w:t>
      </w:r>
      <w:r>
        <w:rPr>
          <w:rFonts w:eastAsia="IRNazanin" w:cs="IRNazanin"/>
          <w:color w:val="111111"/>
          <w:sz w:val="28"/>
          <w:szCs w:val="28"/>
          <w:rtl w:val="true"/>
          <w:lang w:bidi="fa-IR"/>
        </w:rPr>
        <w:t xml:space="preserve">. </w:t>
      </w:r>
      <w:r>
        <w:rPr>
          <w:rStyle w:val="FootnoteAnchor"/>
          <w:rtl w:val="true"/>
        </w:rPr>
        <w:footnoteReference w:id="1625"/>
      </w:r>
      <w:bookmarkStart w:id="1883" w:name="pg1964_19929"/>
    </w:p>
    <w:p>
      <w:pPr>
        <w:pStyle w:val="BookText"/>
        <w:rPr/>
      </w:pPr>
      <w:bookmarkEnd w:id="1883"/>
      <w:r>
        <w:rPr>
          <w:rFonts w:ascii="IRNazanin" w:hAnsi="IRNazanin" w:eastAsia="IRNazanin"/>
          <w:color w:val="111111"/>
          <w:sz w:val="28"/>
          <w:sz w:val="28"/>
          <w:szCs w:val="28"/>
          <w:rtl w:val="true"/>
          <w:lang w:bidi="fa-IR"/>
        </w:rPr>
        <w:t xml:space="preserve">معمولاً روى شتر، الاغ و قاطرى كه براى محل مسافر از آن استفاده مى‌شد، پالان مى‌انداختند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اما روى اسب، زين مى‌نهادند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1626"/>
      </w:r>
    </w:p>
    <w:p>
      <w:pPr>
        <w:pStyle w:val="BookText"/>
        <w:rPr/>
      </w:pPr>
      <w:r>
        <w:rPr>
          <w:rFonts w:ascii="IRNazanin" w:hAnsi="IRNazanin" w:eastAsia="IRNazanin"/>
          <w:color w:val="111111"/>
          <w:sz w:val="28"/>
          <w:sz w:val="28"/>
          <w:szCs w:val="28"/>
          <w:rtl w:val="true"/>
          <w:lang w:bidi="fa-IR"/>
        </w:rPr>
        <w:t>در بعضى مواقع براى اذيت كردن مسافر، مانند مسافران تبعيدى و اسيران، از شتر بدون پالان استفاده مى‌كردند، چنان‌كه عثمان به منظور اذيت كردن ابوذر به معاويه چنين نگاشت كه او را با شتر بدون پالان روانه مدينه سازد</w:t>
      </w:r>
      <w:r>
        <w:rPr>
          <w:rFonts w:eastAsia="IRNazanin" w:cs="IRNazanin"/>
          <w:color w:val="111111"/>
          <w:sz w:val="28"/>
          <w:szCs w:val="28"/>
          <w:rtl w:val="true"/>
          <w:lang w:bidi="fa-IR"/>
        </w:rPr>
        <w:t xml:space="preserve">. </w:t>
      </w:r>
      <w:r>
        <w:rPr>
          <w:rStyle w:val="FootnoteAnchor"/>
          <w:rtl w:val="true"/>
        </w:rPr>
        <w:footnoteReference w:id="1627"/>
      </w:r>
      <w:r>
        <w:rPr>
          <w:rFonts w:ascii="IRNazanin" w:hAnsi="IRNazanin" w:eastAsia="IRNazanin"/>
          <w:color w:val="111111"/>
          <w:sz w:val="28"/>
          <w:sz w:val="28"/>
          <w:szCs w:val="28"/>
          <w:rtl w:val="true"/>
          <w:lang w:bidi="fa-IR"/>
        </w:rPr>
        <w:t>همچنين اسيران كربلا را با چنين شترانى به شام منتقل كردند</w:t>
      </w:r>
      <w:r>
        <w:rPr>
          <w:rFonts w:eastAsia="IRNazanin" w:cs="IRNazanin"/>
          <w:color w:val="111111"/>
          <w:sz w:val="28"/>
          <w:szCs w:val="28"/>
          <w:rtl w:val="true"/>
          <w:lang w:bidi="fa-IR"/>
        </w:rPr>
        <w:t xml:space="preserve">. </w:t>
      </w:r>
      <w:r>
        <w:rPr>
          <w:rStyle w:val="FootnoteAnchor"/>
          <w:rtl w:val="true"/>
        </w:rPr>
        <w:footnoteReference w:id="1628"/>
      </w:r>
    </w:p>
    <w:p>
      <w:pPr>
        <w:pStyle w:val="BookText"/>
        <w:rPr/>
      </w:pPr>
      <w:r>
        <w:rPr>
          <w:rFonts w:ascii="IRNazanin" w:hAnsi="IRNazanin" w:eastAsia="IRNazanin"/>
          <w:color w:val="111111"/>
          <w:sz w:val="28"/>
          <w:sz w:val="28"/>
          <w:szCs w:val="28"/>
          <w:rtl w:val="true"/>
          <w:lang w:bidi="fa-IR"/>
        </w:rPr>
        <w:t>گفتنى است كه از وسايل چرخ‌دار، مانند گارى و كالسكه در زمان مورد بحث، ياد نشده است</w:t>
      </w:r>
      <w:r>
        <w:rPr>
          <w:rFonts w:eastAsia="IRNazanin" w:cs="IRNazanin"/>
          <w:color w:val="111111"/>
          <w:sz w:val="28"/>
          <w:szCs w:val="28"/>
          <w:rtl w:val="true"/>
          <w:lang w:bidi="fa-IR"/>
        </w:rPr>
        <w:t>.</w:t>
      </w:r>
    </w:p>
    <w:p>
      <w:pPr>
        <w:pStyle w:val="Heading3"/>
        <w:numPr>
          <w:ilvl w:val="2"/>
          <w:numId w:val="1"/>
        </w:numPr>
        <w:rPr/>
      </w:pPr>
      <w:bookmarkStart w:id="1884" w:name="__RefHeading___Toc3586015_3650668749"/>
      <w:bookmarkStart w:id="1885" w:name="_Toc804"/>
      <w:bookmarkEnd w:id="1884"/>
      <w:r>
        <w:rPr/>
        <w:t>٧</w:t>
      </w:r>
      <w:r>
        <w:rPr>
          <w:rtl w:val="true"/>
        </w:rPr>
        <w:t xml:space="preserve">. </w:t>
      </w:r>
      <w:r>
        <w:rPr>
          <w:rtl w:val="true"/>
        </w:rPr>
        <w:t>وسايل روشنايى</w:t>
      </w:r>
      <w:bookmarkEnd w:id="1885"/>
    </w:p>
    <w:p>
      <w:pPr>
        <w:pStyle w:val="Heading4"/>
        <w:numPr>
          <w:ilvl w:val="3"/>
          <w:numId w:val="1"/>
        </w:numPr>
        <w:rPr/>
      </w:pPr>
      <w:bookmarkStart w:id="1886" w:name="__RefHeading___Toc3586017_3650668749"/>
      <w:bookmarkStart w:id="1887" w:name="_Toc805"/>
      <w:bookmarkEnd w:id="1886"/>
      <w:r>
        <w:rPr>
          <w:rtl w:val="true"/>
        </w:rPr>
        <w:t>اشاره</w:t>
      </w:r>
      <w:bookmarkEnd w:id="1887"/>
    </w:p>
    <w:p>
      <w:pPr>
        <w:pStyle w:val="BookText"/>
        <w:rPr/>
      </w:pPr>
      <w:r>
        <w:rPr>
          <w:rFonts w:ascii="Amiri" w:hAnsi="Amiri" w:eastAsia="Amiri" w:cs="Amiri"/>
          <w:color w:val="111111"/>
          <w:sz w:val="28"/>
          <w:sz w:val="28"/>
          <w:szCs w:val="28"/>
          <w:rtl w:val="true"/>
          <w:lang w:bidi="ar-SA"/>
        </w:rPr>
        <w:t>بعضى از وسايل روشنايى كه مى‌توان وجود آنها را در زمان مورد بحث به‌وسيله روايات مختلف اثبات كرد، عبارت است از</w:t>
      </w:r>
      <w:r>
        <w:rPr>
          <w:rFonts w:eastAsia="Amiri" w:cs="Amiri" w:ascii="Amiri" w:hAnsi="Amiri"/>
          <w:color w:val="111111"/>
          <w:sz w:val="28"/>
          <w:szCs w:val="28"/>
          <w:rtl w:val="true"/>
          <w:lang w:bidi="ar-SA"/>
        </w:rPr>
        <w:t>:</w:t>
      </w:r>
    </w:p>
    <w:p>
      <w:pPr>
        <w:pStyle w:val="Heading4"/>
        <w:numPr>
          <w:ilvl w:val="3"/>
          <w:numId w:val="1"/>
        </w:numPr>
        <w:rPr/>
      </w:pPr>
      <w:bookmarkStart w:id="1888" w:name="__RefHeading___Toc3586019_3650668749"/>
      <w:bookmarkStart w:id="1889" w:name="_Toc806"/>
      <w:bookmarkEnd w:id="1888"/>
      <w:r>
        <w:rPr>
          <w:rtl w:val="true"/>
        </w:rPr>
        <w:t>الف</w:t>
      </w:r>
      <w:r>
        <w:rPr>
          <w:rtl w:val="true"/>
        </w:rPr>
        <w:t xml:space="preserve">) </w:t>
      </w:r>
      <w:r>
        <w:rPr>
          <w:rtl w:val="true"/>
        </w:rPr>
        <w:t xml:space="preserve">سِراج </w:t>
      </w:r>
      <w:r>
        <w:rPr>
          <w:rtl w:val="true"/>
        </w:rPr>
        <w:t>(</w:t>
      </w:r>
      <w:r>
        <w:rPr>
          <w:rtl w:val="true"/>
        </w:rPr>
        <w:t>مصباح</w:t>
      </w:r>
      <w:r>
        <w:rPr>
          <w:rtl w:val="true"/>
        </w:rPr>
        <w:t>)</w:t>
      </w:r>
      <w:bookmarkEnd w:id="1889"/>
    </w:p>
    <w:p>
      <w:pPr>
        <w:pStyle w:val="BookText"/>
        <w:rPr/>
      </w:pPr>
      <w:r>
        <w:rPr>
          <w:rFonts w:ascii="IRNazanin" w:hAnsi="IRNazanin" w:eastAsia="IRNazanin"/>
          <w:color w:val="111111"/>
          <w:sz w:val="28"/>
          <w:sz w:val="28"/>
          <w:szCs w:val="28"/>
          <w:rtl w:val="true"/>
          <w:lang w:bidi="fa-IR"/>
        </w:rPr>
        <w:t>به نظر مى‌رسد اين دو لغت يك مصداق داشته‌اند كه به معناى چراغ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سفارش به مردم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هنگام خواب چراغ‌هاى خود را خاموش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موش خانه را بر اهلش آتش زند</w:t>
      </w:r>
      <w:r>
        <w:rPr>
          <w:rFonts w:eastAsia="IRNazanin" w:cs="IRNazanin"/>
          <w:color w:val="111111"/>
          <w:sz w:val="28"/>
          <w:szCs w:val="28"/>
          <w:rtl w:val="true"/>
          <w:lang w:bidi="fa-IR"/>
        </w:rPr>
        <w:t xml:space="preserve">» . </w:t>
      </w:r>
      <w:r>
        <w:rPr>
          <w:rStyle w:val="FootnoteAnchor"/>
          <w:rtl w:val="true"/>
        </w:rPr>
        <w:footnoteReference w:id="1629"/>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چگونگى آتش زدن موش از اين قرار بوده است كه فتيله چراغ را مى‌كشيده و با خود مى‌برده و بدين ترتيب، آتش به همه جا سرايت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 روايتى ديگر مربوط به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Style w:val="FootnoteAnchor"/>
          <w:rtl w:val="true"/>
        </w:rPr>
        <w:footnoteReference w:id="1630"/>
      </w:r>
      <w:bookmarkStart w:id="1890" w:name="pg1964_19930"/>
    </w:p>
    <w:p>
      <w:pPr>
        <w:pStyle w:val="BookText"/>
        <w:rPr/>
      </w:pPr>
      <w:bookmarkEnd w:id="1890"/>
      <w:r>
        <w:rPr>
          <w:rFonts w:ascii="IRNazanin" w:hAnsi="IRNazanin" w:eastAsia="IRNazanin"/>
          <w:color w:val="111111"/>
          <w:sz w:val="28"/>
          <w:sz w:val="28"/>
          <w:szCs w:val="28"/>
          <w:rtl w:val="true"/>
          <w:lang w:bidi="fa-IR"/>
        </w:rPr>
        <w:t>همچنين عمر نيز در دوران خلافت خود چنين سفارشى به مردم مى‌كند و دليل آن را برده شدن فتيله چراغ روى سقف‌خانه و آتش‌سوزى سقف ساخته شده از چوب و شاخه‌هاى خرما ذكر مى‌كند</w:t>
      </w:r>
      <w:r>
        <w:rPr>
          <w:rFonts w:eastAsia="IRNazanin" w:cs="IRNazanin"/>
          <w:color w:val="111111"/>
          <w:sz w:val="28"/>
          <w:szCs w:val="28"/>
          <w:rtl w:val="true"/>
          <w:lang w:bidi="fa-IR"/>
        </w:rPr>
        <w:t xml:space="preserve">. </w:t>
      </w:r>
      <w:r>
        <w:rPr>
          <w:rStyle w:val="FootnoteAnchor"/>
          <w:rtl w:val="true"/>
        </w:rPr>
        <w:footnoteReference w:id="1631"/>
      </w:r>
    </w:p>
    <w:p>
      <w:pPr>
        <w:pStyle w:val="BookText"/>
        <w:rPr/>
      </w:pPr>
      <w:r>
        <w:rPr>
          <w:rFonts w:ascii="IRNazanin" w:hAnsi="IRNazanin" w:eastAsia="IRNazanin"/>
          <w:color w:val="111111"/>
          <w:sz w:val="28"/>
          <w:sz w:val="28"/>
          <w:szCs w:val="28"/>
          <w:rtl w:val="true"/>
          <w:lang w:bidi="fa-IR"/>
        </w:rPr>
        <w:t>از اين روايات به دست مى‌آيد كه معمولاً در چراغ‌ها فتيله‌اى بلند به‌كار مى‌رفت كه احتمالاً حفاظ مناسب نداشت، ازاين‌رو امكان دسترسى موش به آن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معمولاً ماده مشتعل در اين‌گونه چراغ‌ها روغن زيتون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مى‌توان از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نيز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اين آيه مى‌توان به شناخته شده بودن نوع پيشرفته‌اى از چراغ نزد اعراب پى برد كه براى روشن شدن مطلب، ترجمه آيه آورده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نور آسمان‌ها و زمين است، مَثَل نور خداوند همانند چراغ‌دانى است كه در آن چراغى پرفروغ باشد و آن چراغ در حبابى قرار گيرد؛ حبابى شفاف و درخشنده همچون ستاره‌اى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چراغ با روغنى افروخته مى‌شود كه از درخت پربركت زيتون گرفته شده كه نه شرقى است و نه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روغنش آنچنان صاف و خالص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بدون تماس با شعله آتش، شعله‌ور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مى‌توان شناخته شده بودن چراغ‌دان و شيشه چراغ را براى اعراب آن زمان استفاده نمود</w:t>
      </w:r>
      <w:r>
        <w:rPr>
          <w:rFonts w:eastAsia="IRNazanin" w:cs="IRNazanin"/>
          <w:color w:val="111111"/>
          <w:sz w:val="28"/>
          <w:szCs w:val="28"/>
          <w:rtl w:val="true"/>
          <w:lang w:bidi="fa-IR"/>
        </w:rPr>
        <w:t>.</w:t>
      </w:r>
    </w:p>
    <w:p>
      <w:pPr>
        <w:pStyle w:val="Heading4"/>
        <w:numPr>
          <w:ilvl w:val="3"/>
          <w:numId w:val="1"/>
        </w:numPr>
        <w:rPr/>
      </w:pPr>
      <w:bookmarkStart w:id="1891" w:name="__RefHeading___Toc3586021_3650668749"/>
      <w:bookmarkStart w:id="1892" w:name="_Toc807"/>
      <w:bookmarkEnd w:id="1891"/>
      <w:r>
        <w:rPr>
          <w:rtl w:val="true"/>
        </w:rPr>
        <w:t>ب</w:t>
      </w:r>
      <w:r>
        <w:rPr>
          <w:rtl w:val="true"/>
        </w:rPr>
        <w:t xml:space="preserve">) </w:t>
      </w:r>
      <w:r>
        <w:rPr>
          <w:rtl w:val="true"/>
        </w:rPr>
        <w:t>قنديل</w:t>
      </w:r>
      <w:bookmarkEnd w:id="189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قنديل نيز نوعى چراغ بود و احتمالاً لغتى لاتينى است و به نوع خاصى از چراغ كه معمولاً به سقف مى‌آويختند، گفته مى‌شد</w:t>
      </w:r>
      <w:r>
        <w:rPr>
          <w:rFonts w:eastAsia="IRNazanin" w:cs="IRNazanin"/>
          <w:color w:val="111111"/>
          <w:sz w:val="28"/>
          <w:szCs w:val="28"/>
          <w:rtl w:val="true"/>
          <w:lang w:bidi="fa-IR"/>
        </w:rPr>
        <w:t xml:space="preserve">. </w:t>
      </w:r>
      <w:r>
        <w:rPr>
          <w:rStyle w:val="FootnoteAnchor"/>
          <w:rtl w:val="true"/>
        </w:rPr>
        <w:footnoteReference w:id="1632"/>
      </w:r>
      <w:r>
        <w:rPr>
          <w:rFonts w:ascii="IRNazanin" w:hAnsi="IRNazanin" w:eastAsia="IRNazanin"/>
          <w:color w:val="111111"/>
          <w:sz w:val="28"/>
          <w:sz w:val="28"/>
          <w:szCs w:val="28"/>
          <w:rtl w:val="true"/>
          <w:lang w:bidi="fa-IR"/>
        </w:rPr>
        <w:t xml:space="preserve">اين لغت در زمان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به‌كار رفته است </w:t>
      </w:r>
      <w:r>
        <w:rPr>
          <w:rStyle w:val="FootnoteAnchor"/>
          <w:rtl w:val="true"/>
        </w:rPr>
        <w:footnoteReference w:id="1633"/>
      </w:r>
      <w:r>
        <w:rPr>
          <w:rFonts w:ascii="Amiri" w:hAnsi="Amiri" w:eastAsia="Amiri" w:cs="Amiri"/>
          <w:color w:val="111111"/>
          <w:sz w:val="28"/>
          <w:sz w:val="28"/>
          <w:szCs w:val="28"/>
          <w:rtl w:val="true"/>
          <w:lang w:bidi="ar-SA"/>
        </w:rPr>
        <w:t>و اين شناخته شده بودن آن</w:t>
      </w:r>
      <w:bookmarkStart w:id="1893" w:name="pg1964_19931"/>
    </w:p>
    <w:p>
      <w:pPr>
        <w:pStyle w:val="BookText"/>
        <w:rPr/>
      </w:pPr>
      <w:bookmarkEnd w:id="1893"/>
      <w:r>
        <w:rPr>
          <w:rFonts w:ascii="IRNazanin" w:hAnsi="IRNazanin" w:eastAsia="IRNazanin"/>
          <w:color w:val="111111"/>
          <w:sz w:val="28"/>
          <w:sz w:val="28"/>
          <w:szCs w:val="28"/>
          <w:rtl w:val="true"/>
          <w:lang w:bidi="fa-IR"/>
        </w:rPr>
        <w:t>را نزد عرب‌ها روشن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عبيدالله بن زياد پس از پايان خيزش نهضت مسلم بن‌عقيل، به وسيله قنديل‌ها به جست‌وجوى زواياى مسجد پرداختند</w:t>
      </w:r>
      <w:r>
        <w:rPr>
          <w:rFonts w:eastAsia="IRNazanin" w:cs="IRNazanin"/>
          <w:color w:val="111111"/>
          <w:sz w:val="28"/>
          <w:szCs w:val="28"/>
          <w:rtl w:val="true"/>
          <w:lang w:bidi="fa-IR"/>
        </w:rPr>
        <w:t xml:space="preserve">. </w:t>
      </w:r>
      <w:r>
        <w:rPr>
          <w:rStyle w:val="FootnoteAnchor"/>
          <w:rtl w:val="true"/>
        </w:rPr>
        <w:footnoteReference w:id="1634"/>
      </w:r>
    </w:p>
    <w:p>
      <w:pPr>
        <w:pStyle w:val="Heading4"/>
        <w:numPr>
          <w:ilvl w:val="3"/>
          <w:numId w:val="1"/>
        </w:numPr>
        <w:rPr/>
      </w:pPr>
      <w:bookmarkStart w:id="1894" w:name="__RefHeading___Toc3586023_3650668749"/>
      <w:bookmarkStart w:id="1895" w:name="_Toc808"/>
      <w:bookmarkEnd w:id="1894"/>
      <w:r>
        <w:rPr>
          <w:rtl w:val="true"/>
        </w:rPr>
        <w:t>ج</w:t>
      </w:r>
      <w:r>
        <w:rPr>
          <w:rtl w:val="true"/>
        </w:rPr>
        <w:t xml:space="preserve">) </w:t>
      </w:r>
      <w:r>
        <w:rPr>
          <w:rtl w:val="true"/>
        </w:rPr>
        <w:t>شمع</w:t>
      </w:r>
      <w:bookmarkEnd w:id="1895"/>
    </w:p>
    <w:p>
      <w:pPr>
        <w:pStyle w:val="BookText"/>
        <w:rPr/>
      </w:pPr>
      <w:r>
        <w:rPr>
          <w:rFonts w:ascii="IRNazanin" w:hAnsi="IRNazanin" w:eastAsia="IRNazanin"/>
          <w:color w:val="111111"/>
          <w:sz w:val="28"/>
          <w:sz w:val="28"/>
          <w:szCs w:val="28"/>
          <w:rtl w:val="true"/>
          <w:lang w:bidi="fa-IR"/>
        </w:rPr>
        <w:t>از اين وسيله روشنايى در جنگ صفين، آن هم در سپاه شام ياد شده است</w:t>
      </w:r>
      <w:r>
        <w:rPr>
          <w:rFonts w:eastAsia="IRNazanin" w:cs="IRNazanin"/>
          <w:color w:val="111111"/>
          <w:sz w:val="28"/>
          <w:szCs w:val="28"/>
          <w:rtl w:val="true"/>
          <w:lang w:bidi="fa-IR"/>
        </w:rPr>
        <w:t xml:space="preserve">. </w:t>
      </w:r>
      <w:r>
        <w:rPr>
          <w:rStyle w:val="FootnoteAnchor"/>
          <w:rtl w:val="true"/>
        </w:rPr>
        <w:footnoteReference w:id="1635"/>
      </w:r>
      <w:r>
        <w:rPr>
          <w:rFonts w:ascii="IRNazanin" w:hAnsi="IRNazanin" w:eastAsia="IRNazanin"/>
          <w:color w:val="111111"/>
          <w:sz w:val="28"/>
          <w:sz w:val="28"/>
          <w:szCs w:val="28"/>
          <w:rtl w:val="true"/>
          <w:lang w:bidi="fa-IR"/>
        </w:rPr>
        <w:t>همچنين از استفاده ابن‌زياد از اين وسيله روشنايى، همراه قناديل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برخى عبارت‌ها چنين برمى‌آيد كه شمع‌ها شمعدان نيز داشته‌اند</w:t>
      </w:r>
      <w:r>
        <w:rPr>
          <w:rFonts w:eastAsia="IRNazanin" w:cs="IRNazanin"/>
          <w:color w:val="111111"/>
          <w:sz w:val="28"/>
          <w:szCs w:val="28"/>
          <w:rtl w:val="true"/>
          <w:lang w:bidi="fa-IR"/>
        </w:rPr>
        <w:t xml:space="preserve">. </w:t>
      </w:r>
      <w:r>
        <w:rPr>
          <w:rStyle w:val="FootnoteAnchor"/>
          <w:rtl w:val="true"/>
        </w:rPr>
        <w:footnoteReference w:id="1636"/>
      </w:r>
    </w:p>
    <w:p>
      <w:pPr>
        <w:pStyle w:val="Heading4"/>
        <w:numPr>
          <w:ilvl w:val="3"/>
          <w:numId w:val="1"/>
        </w:numPr>
        <w:rPr/>
      </w:pPr>
      <w:bookmarkStart w:id="1896" w:name="__RefHeading___Toc3586025_3650668749"/>
      <w:bookmarkStart w:id="1897" w:name="_Toc809"/>
      <w:bookmarkEnd w:id="1896"/>
      <w:r>
        <w:rPr>
          <w:rtl w:val="true"/>
        </w:rPr>
        <w:t>د</w:t>
      </w:r>
      <w:r>
        <w:rPr>
          <w:rtl w:val="true"/>
        </w:rPr>
        <w:t xml:space="preserve">) </w:t>
      </w:r>
      <w:r>
        <w:rPr>
          <w:rtl w:val="true"/>
        </w:rPr>
        <w:t>حراديّ</w:t>
      </w:r>
      <w:bookmarkEnd w:id="1897"/>
    </w:p>
    <w:p>
      <w:pPr>
        <w:pStyle w:val="BookText"/>
        <w:rPr/>
      </w:pPr>
      <w:r>
        <w:rPr>
          <w:rFonts w:ascii="IRNazanin" w:hAnsi="IRNazanin" w:eastAsia="IRNazanin"/>
          <w:color w:val="111111"/>
          <w:sz w:val="28"/>
          <w:sz w:val="28"/>
          <w:szCs w:val="28"/>
          <w:rtl w:val="true"/>
          <w:lang w:bidi="fa-IR"/>
        </w:rPr>
        <w:t>حرادى جمع حُردى لغتى نبتى است و به پشته‌هاى نى گفته مى‌شود</w:t>
      </w:r>
      <w:r>
        <w:rPr>
          <w:rFonts w:eastAsia="IRNazanin" w:cs="IRNazanin"/>
          <w:color w:val="111111"/>
          <w:sz w:val="28"/>
          <w:szCs w:val="28"/>
          <w:rtl w:val="true"/>
          <w:lang w:bidi="fa-IR"/>
        </w:rPr>
        <w:t xml:space="preserve">. </w:t>
      </w:r>
      <w:r>
        <w:rPr>
          <w:rStyle w:val="FootnoteAnchor"/>
          <w:rtl w:val="true"/>
        </w:rPr>
        <w:footnoteReference w:id="1637"/>
      </w:r>
      <w:r>
        <w:rPr>
          <w:rFonts w:ascii="IRNazanin" w:hAnsi="IRNazanin" w:eastAsia="IRNazanin"/>
          <w:color w:val="111111"/>
          <w:sz w:val="28"/>
          <w:sz w:val="28"/>
          <w:szCs w:val="28"/>
          <w:rtl w:val="true"/>
          <w:lang w:bidi="fa-IR"/>
        </w:rPr>
        <w:t xml:space="preserve">در بعضى عبارت‌ها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اما غلط است</w:t>
      </w:r>
      <w:r>
        <w:rPr>
          <w:rFonts w:eastAsia="IRNazanin" w:cs="IRNazanin"/>
          <w:color w:val="111111"/>
          <w:sz w:val="28"/>
          <w:szCs w:val="28"/>
          <w:rtl w:val="true"/>
          <w:lang w:bidi="fa-IR"/>
        </w:rPr>
        <w:t xml:space="preserve">. </w:t>
      </w:r>
      <w:r>
        <w:rPr>
          <w:rStyle w:val="FootnoteAnchor"/>
          <w:rtl w:val="true"/>
        </w:rPr>
        <w:footnoteReference w:id="1638"/>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اين وسيله چنان بود كه دسته‌هاى نى را به هم مى‌پيچدند و آن را به‌وسيله چوب حمل مى‌كردند كه حالتى شبيه مشعل داشت يا در بعضى موارد آنها را در ظرفى قرار داده و به وسيله طناب آويزان مى‌كردند، چنان‌كه سربازان عبيدالله بن زياد پس از خاموش شدن نهضت مسلم بن عقيل اين چنين از اين وسيله استفاده كردند</w:t>
      </w:r>
      <w:r>
        <w:rPr>
          <w:rFonts w:eastAsia="IRNazanin" w:cs="IRNazanin"/>
          <w:color w:val="111111"/>
          <w:sz w:val="28"/>
          <w:szCs w:val="28"/>
          <w:rtl w:val="true"/>
          <w:lang w:bidi="fa-IR"/>
        </w:rPr>
        <w:t xml:space="preserve">. </w:t>
      </w:r>
      <w:r>
        <w:rPr>
          <w:rStyle w:val="FootnoteAnchor"/>
          <w:rtl w:val="true"/>
        </w:rPr>
        <w:footnoteReference w:id="1639"/>
      </w:r>
      <w:r>
        <w:rPr>
          <w:rFonts w:ascii="IRNazanin" w:hAnsi="IRNazanin" w:eastAsia="IRNazanin"/>
          <w:color w:val="111111"/>
          <w:sz w:val="28"/>
          <w:sz w:val="28"/>
          <w:szCs w:val="28"/>
          <w:rtl w:val="true"/>
          <w:lang w:bidi="fa-IR"/>
        </w:rPr>
        <w:t xml:space="preserve">به نظر مى‌رسد اين لغت با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اَطْنانُ 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پشته‌هاى نى مى‌باشد </w:t>
      </w:r>
      <w:r>
        <w:rPr>
          <w:rStyle w:val="FootnoteAnchor"/>
          <w:rtl w:val="true"/>
        </w:rPr>
        <w:footnoteReference w:id="1640"/>
      </w:r>
      <w:r>
        <w:rPr>
          <w:rFonts w:ascii="Amiri" w:hAnsi="Amiri" w:eastAsia="Amiri" w:cs="Amiri"/>
          <w:color w:val="111111"/>
          <w:sz w:val="28"/>
          <w:sz w:val="28"/>
          <w:szCs w:val="28"/>
          <w:rtl w:val="true"/>
          <w:lang w:bidi="ar-SA"/>
        </w:rPr>
        <w:t>، در مصداق يكى بوده‌اند</w:t>
      </w:r>
      <w:r>
        <w:rPr>
          <w:rFonts w:eastAsia="Amiri" w:cs="Amiri" w:ascii="Amiri" w:hAnsi="Amiri"/>
          <w:color w:val="111111"/>
          <w:sz w:val="28"/>
          <w:szCs w:val="28"/>
          <w:rtl w:val="true"/>
          <w:lang w:bidi="ar-SA"/>
        </w:rPr>
        <w:t>.</w:t>
      </w:r>
      <w:bookmarkStart w:id="1898" w:name="pg1964_19932"/>
    </w:p>
    <w:p>
      <w:pPr>
        <w:pStyle w:val="Heading3"/>
        <w:numPr>
          <w:ilvl w:val="2"/>
          <w:numId w:val="1"/>
        </w:numPr>
        <w:rPr/>
      </w:pPr>
      <w:bookmarkStart w:id="1899" w:name="__RefHeading___Toc3586027_3650668749"/>
      <w:bookmarkStart w:id="1900" w:name="_Toc810"/>
      <w:bookmarkEnd w:id="1898"/>
      <w:bookmarkEnd w:id="1899"/>
      <w:r>
        <w:rPr/>
        <w:t>٨</w:t>
      </w:r>
      <w:r>
        <w:rPr>
          <w:rtl w:val="true"/>
        </w:rPr>
        <w:t xml:space="preserve">. </w:t>
      </w:r>
      <w:r>
        <w:rPr>
          <w:rtl w:val="true"/>
        </w:rPr>
        <w:t>ظروف</w:t>
      </w:r>
      <w:bookmarkEnd w:id="1900"/>
    </w:p>
    <w:p>
      <w:pPr>
        <w:pStyle w:val="Heading4"/>
        <w:numPr>
          <w:ilvl w:val="3"/>
          <w:numId w:val="1"/>
        </w:numPr>
        <w:rPr/>
      </w:pPr>
      <w:bookmarkStart w:id="1901" w:name="__RefHeading___Toc3586029_3650668749"/>
      <w:bookmarkStart w:id="1902" w:name="_Toc811"/>
      <w:bookmarkEnd w:id="1901"/>
      <w:r>
        <w:rPr>
          <w:rtl w:val="true"/>
        </w:rPr>
        <w:t>اشاره</w:t>
      </w:r>
      <w:bookmarkEnd w:id="1902"/>
    </w:p>
    <w:p>
      <w:pPr>
        <w:pStyle w:val="BookText"/>
        <w:rPr/>
      </w:pPr>
      <w:r>
        <w:rPr>
          <w:rFonts w:ascii="IRNazanin" w:hAnsi="IRNazanin" w:eastAsia="IRNazanin"/>
          <w:color w:val="111111"/>
          <w:sz w:val="28"/>
          <w:sz w:val="28"/>
          <w:szCs w:val="28"/>
          <w:rtl w:val="true"/>
          <w:lang w:bidi="fa-IR"/>
        </w:rPr>
        <w:t>از بعضى ظروف، به خصوص ظروف سفالين، هنگام بررسى نتايج به دست آمده از باستان‌شناسى‌هاى قصر دارالاماره سخن رانديم، در اينجا ظروفى را كه در زمان تاريخى مورد بحث از آنها ياد شده، طبق حروف الفبا توضيح مى‌دهيم</w:t>
      </w:r>
      <w:r>
        <w:rPr>
          <w:rFonts w:eastAsia="IRNazanin" w:cs="IRNazanin"/>
          <w:color w:val="111111"/>
          <w:sz w:val="28"/>
          <w:szCs w:val="28"/>
          <w:rtl w:val="true"/>
          <w:lang w:bidi="fa-IR"/>
        </w:rPr>
        <w:t>:</w:t>
      </w:r>
    </w:p>
    <w:p>
      <w:pPr>
        <w:pStyle w:val="Heading4"/>
        <w:numPr>
          <w:ilvl w:val="3"/>
          <w:numId w:val="1"/>
        </w:numPr>
        <w:rPr/>
      </w:pPr>
      <w:bookmarkStart w:id="1903" w:name="__RefHeading___Toc3586031_3650668749"/>
      <w:bookmarkStart w:id="1904" w:name="_Toc812"/>
      <w:bookmarkEnd w:id="1903"/>
      <w:r>
        <w:rPr>
          <w:rtl w:val="true"/>
        </w:rPr>
        <w:t>الف</w:t>
      </w:r>
      <w:r>
        <w:rPr>
          <w:rtl w:val="true"/>
        </w:rPr>
        <w:t xml:space="preserve">) </w:t>
      </w:r>
      <w:r>
        <w:rPr>
          <w:rtl w:val="true"/>
        </w:rPr>
        <w:t>ابريق</w:t>
      </w:r>
      <w:bookmarkEnd w:id="1904"/>
    </w:p>
    <w:p>
      <w:pPr>
        <w:pStyle w:val="BookText"/>
        <w:rPr/>
      </w:pPr>
      <w:r>
        <w:rPr>
          <w:rFonts w:ascii="Amiri" w:hAnsi="Amiri" w:eastAsia="Amiri" w:cs="Amiri"/>
          <w:color w:val="111111"/>
          <w:sz w:val="28"/>
          <w:sz w:val="28"/>
          <w:szCs w:val="28"/>
          <w:rtl w:val="true"/>
          <w:lang w:bidi="ar-SA"/>
        </w:rPr>
        <w:t xml:space="preserve">از اين لفظ در قرآن ياد شده </w:t>
      </w:r>
      <w:r>
        <w:rPr>
          <w:rStyle w:val="FootnoteAnchor"/>
          <w:rtl w:val="true"/>
        </w:rPr>
        <w:footnoteReference w:id="1641"/>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ابريق، ظرفى بود كه دسته و لوله و گوشه داشت و براى شستن دست و صورت مورد استفاده قرار مى‌گرفت</w:t>
      </w:r>
      <w:r>
        <w:rPr>
          <w:rFonts w:eastAsia="IRNazanin" w:cs="IRNazanin"/>
          <w:color w:val="111111"/>
          <w:sz w:val="28"/>
          <w:szCs w:val="28"/>
          <w:rtl w:val="true"/>
          <w:lang w:bidi="fa-IR"/>
        </w:rPr>
        <w:t xml:space="preserve">. </w:t>
      </w:r>
      <w:r>
        <w:rPr>
          <w:rStyle w:val="FootnoteAnchor"/>
          <w:rtl w:val="true"/>
        </w:rPr>
        <w:footnoteReference w:id="1642"/>
      </w:r>
    </w:p>
    <w:p>
      <w:pPr>
        <w:pStyle w:val="Heading4"/>
        <w:numPr>
          <w:ilvl w:val="3"/>
          <w:numId w:val="1"/>
        </w:numPr>
        <w:rPr/>
      </w:pPr>
      <w:bookmarkStart w:id="1905" w:name="__RefHeading___Toc3586033_3650668749"/>
      <w:bookmarkStart w:id="1906" w:name="_Toc813"/>
      <w:bookmarkEnd w:id="1905"/>
      <w:r>
        <w:rPr>
          <w:rtl w:val="true"/>
        </w:rPr>
        <w:t>ب</w:t>
      </w:r>
      <w:r>
        <w:rPr>
          <w:rtl w:val="true"/>
        </w:rPr>
        <w:t xml:space="preserve">) </w:t>
      </w:r>
      <w:r>
        <w:rPr>
          <w:rtl w:val="true"/>
        </w:rPr>
        <w:t>اِداوَه</w:t>
      </w:r>
      <w:bookmarkEnd w:id="1906"/>
    </w:p>
    <w:p>
      <w:pPr>
        <w:pStyle w:val="BookText"/>
        <w:rPr/>
      </w:pPr>
      <w:r>
        <w:rPr>
          <w:rFonts w:ascii="Amiri" w:hAnsi="Amiri" w:eastAsia="Amiri" w:cs="Amiri"/>
          <w:color w:val="111111"/>
          <w:sz w:val="28"/>
          <w:sz w:val="28"/>
          <w:szCs w:val="28"/>
          <w:rtl w:val="true"/>
          <w:lang w:bidi="ar-SA"/>
        </w:rPr>
        <w:t>ظرفى بود كه به عنوان آفتابه از آن استفاده مى‌شد</w:t>
      </w:r>
      <w:r>
        <w:rPr>
          <w:rFonts w:eastAsia="Amiri" w:cs="Amiri" w:ascii="Amiri" w:hAnsi="Amiri"/>
          <w:color w:val="111111"/>
          <w:sz w:val="28"/>
          <w:szCs w:val="28"/>
          <w:rtl w:val="true"/>
          <w:lang w:bidi="ar-SA"/>
        </w:rPr>
        <w:t xml:space="preserve">. </w:t>
      </w:r>
      <w:r>
        <w:rPr>
          <w:rStyle w:val="FootnoteAnchor"/>
          <w:rtl w:val="true"/>
        </w:rPr>
        <w:footnoteReference w:id="1643"/>
      </w:r>
      <w:r>
        <w:rPr>
          <w:rFonts w:ascii="IRNazanin" w:hAnsi="IRNazanin" w:eastAsia="IRNazanin"/>
          <w:color w:val="111111"/>
          <w:sz w:val="28"/>
          <w:sz w:val="28"/>
          <w:szCs w:val="28"/>
          <w:rtl w:val="true"/>
          <w:lang w:bidi="fa-IR"/>
        </w:rPr>
        <w:t>گفتنى است ضمن وسايل ساده زندگى جناب سلمان فارسى از آن ياد شده است</w:t>
      </w:r>
      <w:r>
        <w:rPr>
          <w:rFonts w:eastAsia="IRNazanin" w:cs="IRNazanin"/>
          <w:color w:val="111111"/>
          <w:sz w:val="28"/>
          <w:szCs w:val="28"/>
          <w:rtl w:val="true"/>
          <w:lang w:bidi="fa-IR"/>
        </w:rPr>
        <w:t xml:space="preserve">. </w:t>
      </w:r>
      <w:r>
        <w:rPr>
          <w:rStyle w:val="FootnoteAnchor"/>
          <w:rtl w:val="true"/>
        </w:rPr>
        <w:footnoteReference w:id="1644"/>
      </w:r>
    </w:p>
    <w:p>
      <w:pPr>
        <w:pStyle w:val="Heading4"/>
        <w:numPr>
          <w:ilvl w:val="3"/>
          <w:numId w:val="1"/>
        </w:numPr>
        <w:rPr/>
      </w:pPr>
      <w:bookmarkStart w:id="1907" w:name="__RefHeading___Toc3586035_3650668749"/>
      <w:bookmarkStart w:id="1908" w:name="_Toc814"/>
      <w:bookmarkEnd w:id="1907"/>
      <w:r>
        <w:rPr>
          <w:rtl w:val="true"/>
        </w:rPr>
        <w:t>ج</w:t>
      </w:r>
      <w:r>
        <w:rPr>
          <w:rtl w:val="true"/>
        </w:rPr>
        <w:t xml:space="preserve">) </w:t>
      </w:r>
      <w:r>
        <w:rPr>
          <w:rtl w:val="true"/>
        </w:rPr>
        <w:t>بُرْمَه</w:t>
      </w:r>
      <w:bookmarkEnd w:id="1908"/>
    </w:p>
    <w:p>
      <w:pPr>
        <w:pStyle w:val="BookText"/>
        <w:rPr/>
      </w:pPr>
      <w:r>
        <w:rPr>
          <w:rFonts w:ascii="IRNazanin" w:hAnsi="IRNazanin" w:eastAsia="IRNazanin"/>
          <w:color w:val="111111"/>
          <w:sz w:val="28"/>
          <w:sz w:val="28"/>
          <w:szCs w:val="28"/>
          <w:rtl w:val="true"/>
          <w:lang w:bidi="fa-IR"/>
        </w:rPr>
        <w:t>برمه به معناى ديگ سنگى مى‌باشد</w:t>
      </w:r>
      <w:r>
        <w:rPr>
          <w:rFonts w:eastAsia="IRNazanin" w:cs="IRNazanin"/>
          <w:color w:val="111111"/>
          <w:sz w:val="28"/>
          <w:szCs w:val="28"/>
          <w:rtl w:val="true"/>
          <w:lang w:bidi="fa-IR"/>
        </w:rPr>
        <w:t xml:space="preserve">. </w:t>
      </w:r>
      <w:r>
        <w:rPr>
          <w:rStyle w:val="FootnoteAnchor"/>
          <w:rtl w:val="true"/>
        </w:rPr>
        <w:footnoteReference w:id="1645"/>
      </w:r>
      <w:r>
        <w:rPr>
          <w:rFonts w:ascii="IRNazanin" w:hAnsi="IRNazanin" w:eastAsia="IRNazanin"/>
          <w:color w:val="111111"/>
          <w:sz w:val="28"/>
          <w:sz w:val="28"/>
          <w:szCs w:val="28"/>
          <w:rtl w:val="true"/>
          <w:lang w:bidi="fa-IR"/>
        </w:rPr>
        <w:t xml:space="preserve">از اين ظرف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Style w:val="FootnoteAnchor"/>
          <w:rtl w:val="true"/>
        </w:rPr>
        <w:footnoteReference w:id="1646"/>
      </w:r>
    </w:p>
    <w:p>
      <w:pPr>
        <w:pStyle w:val="Heading4"/>
        <w:numPr>
          <w:ilvl w:val="3"/>
          <w:numId w:val="1"/>
        </w:numPr>
        <w:rPr/>
      </w:pPr>
      <w:bookmarkStart w:id="1909" w:name="__RefHeading___Toc3586037_3650668749"/>
      <w:bookmarkStart w:id="1910" w:name="_Toc815"/>
      <w:bookmarkEnd w:id="1909"/>
      <w:r>
        <w:rPr>
          <w:rtl w:val="true"/>
        </w:rPr>
        <w:t>د</w:t>
      </w:r>
      <w:r>
        <w:rPr>
          <w:rtl w:val="true"/>
        </w:rPr>
        <w:t xml:space="preserve">) </w:t>
      </w:r>
      <w:r>
        <w:rPr>
          <w:rtl w:val="true"/>
        </w:rPr>
        <w:t>تَوْر</w:t>
      </w:r>
      <w:bookmarkEnd w:id="191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آن اترار است</w:t>
      </w:r>
      <w:r>
        <w:rPr>
          <w:rFonts w:eastAsia="IRNazanin" w:cs="IRNazanin"/>
          <w:color w:val="111111"/>
          <w:sz w:val="28"/>
          <w:szCs w:val="28"/>
          <w:rtl w:val="true"/>
          <w:lang w:bidi="fa-IR"/>
        </w:rPr>
        <w:t xml:space="preserve">. </w:t>
      </w:r>
      <w:r>
        <w:rPr>
          <w:rStyle w:val="FootnoteAnchor"/>
          <w:rtl w:val="true"/>
        </w:rPr>
        <w:footnoteReference w:id="1647"/>
      </w:r>
      <w:r>
        <w:rPr>
          <w:rFonts w:ascii="IRNazanin" w:hAnsi="IRNazanin" w:eastAsia="IRNazanin"/>
          <w:color w:val="111111"/>
          <w:sz w:val="28"/>
          <w:sz w:val="28"/>
          <w:szCs w:val="28"/>
          <w:rtl w:val="true"/>
          <w:lang w:bidi="fa-IR"/>
        </w:rPr>
        <w:t>تور، ظرف بزرگ روبازى بود كه از روى يا سنگ ساخته مى‌شد و براى وضو گرفتن يا آب دادن حيوانات مورد استفاده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911" w:name="pg1964_19933"/>
    </w:p>
    <w:p>
      <w:pPr>
        <w:pStyle w:val="BookText"/>
        <w:rPr/>
      </w:pPr>
      <w:bookmarkEnd w:id="1911"/>
      <w:r>
        <w:rPr>
          <w:rFonts w:ascii="IRNazanin" w:hAnsi="IRNazanin" w:eastAsia="IRNazanin"/>
          <w:color w:val="111111"/>
          <w:sz w:val="28"/>
          <w:sz w:val="28"/>
          <w:szCs w:val="28"/>
          <w:rtl w:val="true"/>
          <w:lang w:bidi="fa-IR"/>
        </w:rPr>
        <w:t xml:space="preserve">اين ظرف هنگام ملاقات لشكر حرّ 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ياد شده و گفته شده است كه اسب‌هاى لشكر حرّ از اين نوع ظرف آب مى‌نوشيدند</w:t>
      </w:r>
      <w:r>
        <w:rPr>
          <w:rFonts w:eastAsia="IRNazanin" w:cs="IRNazanin"/>
          <w:color w:val="111111"/>
          <w:sz w:val="28"/>
          <w:szCs w:val="28"/>
          <w:rtl w:val="true"/>
          <w:lang w:bidi="fa-IR"/>
        </w:rPr>
        <w:t xml:space="preserve">. </w:t>
      </w:r>
      <w:r>
        <w:rPr>
          <w:rStyle w:val="FootnoteAnchor"/>
          <w:rtl w:val="true"/>
        </w:rPr>
        <w:footnoteReference w:id="1648"/>
      </w:r>
    </w:p>
    <w:p>
      <w:pPr>
        <w:pStyle w:val="Heading4"/>
        <w:numPr>
          <w:ilvl w:val="3"/>
          <w:numId w:val="1"/>
        </w:numPr>
        <w:rPr/>
      </w:pPr>
      <w:bookmarkStart w:id="1912" w:name="__RefHeading___Toc3586039_3650668749"/>
      <w:bookmarkStart w:id="1913" w:name="_Toc816"/>
      <w:bookmarkEnd w:id="1912"/>
      <w:r>
        <w:rPr>
          <w:rtl w:val="true"/>
        </w:rPr>
        <w:t>ه</w:t>
      </w:r>
      <w:r>
        <w:rPr>
          <w:rtl w:val="true"/>
        </w:rPr>
        <w:t xml:space="preserve">) </w:t>
      </w:r>
      <w:r>
        <w:rPr>
          <w:rtl w:val="true"/>
        </w:rPr>
        <w:t>جِراب</w:t>
      </w:r>
      <w:bookmarkEnd w:id="1913"/>
    </w:p>
    <w:p>
      <w:pPr>
        <w:pStyle w:val="BookText"/>
        <w:rPr/>
      </w:pPr>
      <w:r>
        <w:rPr>
          <w:rFonts w:ascii="IRNazanin" w:hAnsi="IRNazanin" w:eastAsia="IRNazanin"/>
          <w:color w:val="111111"/>
          <w:sz w:val="28"/>
          <w:sz w:val="28"/>
          <w:szCs w:val="28"/>
          <w:rtl w:val="true"/>
          <w:lang w:bidi="fa-IR"/>
        </w:rPr>
        <w:t>ظرفى بود كه از پوست گوسفند تهيه مى‌شد و در آن از چيزهاى خشك نگهدارى مى‌كردند</w:t>
      </w:r>
      <w:r>
        <w:rPr>
          <w:rFonts w:eastAsia="IRNazanin" w:cs="IRNazanin"/>
          <w:color w:val="111111"/>
          <w:sz w:val="28"/>
          <w:szCs w:val="28"/>
          <w:rtl w:val="true"/>
          <w:lang w:bidi="fa-IR"/>
        </w:rPr>
        <w:t xml:space="preserve">. </w:t>
      </w:r>
      <w:r>
        <w:rPr>
          <w:rStyle w:val="FootnoteAnchor"/>
          <w:rtl w:val="true"/>
        </w:rPr>
        <w:footnoteReference w:id="1649"/>
      </w:r>
      <w:r>
        <w:rPr>
          <w:rFonts w:ascii="IRNazanin" w:hAnsi="IRNazanin" w:eastAsia="IRNazanin"/>
          <w:color w:val="111111"/>
          <w:sz w:val="28"/>
          <w:sz w:val="28"/>
          <w:szCs w:val="28"/>
          <w:rtl w:val="true"/>
          <w:lang w:bidi="fa-IR"/>
        </w:rPr>
        <w:t xml:space="preserve">درباره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 كه غلاّت او را در جراب از مدينه به كوفه حمل مى‌كردند</w:t>
      </w:r>
      <w:r>
        <w:rPr>
          <w:rFonts w:eastAsia="IRNazanin" w:cs="IRNazanin"/>
          <w:color w:val="111111"/>
          <w:sz w:val="28"/>
          <w:szCs w:val="28"/>
          <w:rtl w:val="true"/>
          <w:lang w:bidi="fa-IR"/>
        </w:rPr>
        <w:t xml:space="preserve">. </w:t>
      </w:r>
      <w:r>
        <w:rPr>
          <w:rStyle w:val="FootnoteAnchor"/>
          <w:rtl w:val="true"/>
        </w:rPr>
        <w:footnoteReference w:id="1650"/>
      </w:r>
      <w:r>
        <w:rPr>
          <w:rFonts w:ascii="IRNazanin" w:hAnsi="IRNazanin" w:eastAsia="IRNazanin"/>
          <w:color w:val="111111"/>
          <w:sz w:val="28"/>
          <w:sz w:val="28"/>
          <w:szCs w:val="28"/>
          <w:rtl w:val="true"/>
          <w:lang w:bidi="fa-IR"/>
        </w:rPr>
        <w:t xml:space="preserve">ترجمه فارسى جراب،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914" w:name="__RefHeading___Toc3586041_3650668749"/>
      <w:bookmarkStart w:id="1915" w:name="_Toc817"/>
      <w:bookmarkEnd w:id="1914"/>
      <w:r>
        <w:rPr>
          <w:rtl w:val="true"/>
        </w:rPr>
        <w:t>و</w:t>
      </w:r>
      <w:r>
        <w:rPr>
          <w:rtl w:val="true"/>
        </w:rPr>
        <w:t xml:space="preserve">) </w:t>
      </w:r>
      <w:r>
        <w:rPr>
          <w:rtl w:val="true"/>
        </w:rPr>
        <w:t>جَرَّه</w:t>
      </w:r>
      <w:bookmarkEnd w:id="1915"/>
    </w:p>
    <w:p>
      <w:pPr>
        <w:pStyle w:val="BookText"/>
        <w:rPr/>
      </w:pPr>
      <w:r>
        <w:rPr>
          <w:rFonts w:ascii="IRNazanin" w:hAnsi="IRNazanin" w:eastAsia="IRNazanin"/>
          <w:color w:val="111111"/>
          <w:sz w:val="28"/>
          <w:sz w:val="28"/>
          <w:szCs w:val="28"/>
          <w:rtl w:val="true"/>
          <w:lang w:bidi="fa-IR"/>
        </w:rPr>
        <w:t xml:space="preserve">كوزه‌اى سفالين بود كه در فارسى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ليست جهيزيه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سبوى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Style w:val="FootnoteAnchor"/>
          <w:rtl w:val="true"/>
        </w:rPr>
        <w:footnoteReference w:id="1651"/>
      </w:r>
    </w:p>
    <w:p>
      <w:pPr>
        <w:pStyle w:val="Heading4"/>
        <w:numPr>
          <w:ilvl w:val="3"/>
          <w:numId w:val="1"/>
        </w:numPr>
        <w:rPr/>
      </w:pPr>
      <w:bookmarkStart w:id="1916" w:name="__RefHeading___Toc3586043_3650668749"/>
      <w:bookmarkStart w:id="1917" w:name="_Toc818"/>
      <w:bookmarkEnd w:id="1916"/>
      <w:r>
        <w:rPr>
          <w:rtl w:val="true"/>
        </w:rPr>
        <w:t>ز</w:t>
      </w:r>
      <w:r>
        <w:rPr>
          <w:rtl w:val="true"/>
        </w:rPr>
        <w:t xml:space="preserve">) </w:t>
      </w:r>
      <w:r>
        <w:rPr>
          <w:rtl w:val="true"/>
        </w:rPr>
        <w:t>جَفْنَه</w:t>
      </w:r>
      <w:bookmarkEnd w:id="1917"/>
    </w:p>
    <w:p>
      <w:pPr>
        <w:pStyle w:val="BookText"/>
        <w:rPr/>
      </w:pPr>
      <w:r>
        <w:rPr>
          <w:rFonts w:ascii="IRNazanin" w:hAnsi="IRNazanin" w:eastAsia="IRNazanin"/>
          <w:color w:val="111111"/>
          <w:sz w:val="28"/>
          <w:sz w:val="28"/>
          <w:szCs w:val="28"/>
          <w:rtl w:val="true"/>
          <w:lang w:bidi="fa-IR"/>
        </w:rPr>
        <w:t>جفنه، كاسه بزرگى بود كه در آن غذا مى‌خوردند</w:t>
      </w:r>
      <w:r>
        <w:rPr>
          <w:rFonts w:eastAsia="IRNazanin" w:cs="IRNazanin"/>
          <w:color w:val="111111"/>
          <w:sz w:val="28"/>
          <w:szCs w:val="28"/>
          <w:rtl w:val="true"/>
          <w:lang w:bidi="fa-IR"/>
        </w:rPr>
        <w:t xml:space="preserve">. </w:t>
      </w:r>
      <w:r>
        <w:rPr>
          <w:rStyle w:val="FootnoteAnchor"/>
          <w:rtl w:val="true"/>
        </w:rPr>
        <w:footnoteReference w:id="1652"/>
      </w:r>
      <w:r>
        <w:rPr>
          <w:rFonts w:ascii="IRNazanin" w:hAnsi="IRNazanin" w:eastAsia="IRNazanin"/>
          <w:color w:val="111111"/>
          <w:sz w:val="28"/>
          <w:sz w:val="28"/>
          <w:szCs w:val="28"/>
          <w:rtl w:val="true"/>
          <w:lang w:bidi="fa-IR"/>
        </w:rPr>
        <w:t>در برخى نوشته‌ها بزرگ‌ترين كاسه دانسته شده است</w:t>
      </w:r>
      <w:r>
        <w:rPr>
          <w:rFonts w:eastAsia="IRNazanin" w:cs="IRNazanin"/>
          <w:color w:val="111111"/>
          <w:sz w:val="28"/>
          <w:szCs w:val="28"/>
          <w:rtl w:val="true"/>
          <w:lang w:bidi="fa-IR"/>
        </w:rPr>
        <w:t xml:space="preserve">. </w:t>
      </w:r>
      <w:r>
        <w:rPr>
          <w:rStyle w:val="FootnoteAnchor"/>
          <w:rtl w:val="true"/>
        </w:rPr>
        <w:footnoteReference w:id="1653"/>
      </w: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عاشورا از اين نوع كاسه به عنوان ظرف مشك استفاده كرد</w:t>
      </w:r>
      <w:r>
        <w:rPr>
          <w:rFonts w:eastAsia="Amiri" w:cs="Amiri" w:ascii="Amiri" w:hAnsi="Amiri"/>
          <w:color w:val="111111"/>
          <w:sz w:val="28"/>
          <w:szCs w:val="28"/>
          <w:rtl w:val="true"/>
          <w:lang w:bidi="ar-SA"/>
        </w:rPr>
        <w:t xml:space="preserve">. </w:t>
      </w:r>
      <w:r>
        <w:rPr>
          <w:rStyle w:val="FootnoteAnchor"/>
          <w:rtl w:val="true"/>
        </w:rPr>
        <w:footnoteReference w:id="1654"/>
      </w:r>
    </w:p>
    <w:p>
      <w:pPr>
        <w:pStyle w:val="Heading4"/>
        <w:numPr>
          <w:ilvl w:val="3"/>
          <w:numId w:val="1"/>
        </w:numPr>
        <w:rPr/>
      </w:pPr>
      <w:bookmarkStart w:id="1918" w:name="__RefHeading___Toc3586045_3650668749"/>
      <w:bookmarkStart w:id="1919" w:name="_Toc819"/>
      <w:bookmarkEnd w:id="1918"/>
      <w:r>
        <w:rPr>
          <w:rtl w:val="true"/>
        </w:rPr>
        <w:t>ح</w:t>
      </w:r>
      <w:r>
        <w:rPr>
          <w:rtl w:val="true"/>
        </w:rPr>
        <w:t xml:space="preserve">) </w:t>
      </w:r>
      <w:r>
        <w:rPr>
          <w:rtl w:val="true"/>
        </w:rPr>
        <w:t>دَلْو</w:t>
      </w:r>
      <w:bookmarkEnd w:id="191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ظرفى بود كه معمولاً براى كشيدن آب چاه از آن استفاده مى‌شد</w:t>
      </w:r>
      <w:r>
        <w:rPr>
          <w:rFonts w:eastAsia="IRNazanin" w:cs="IRNazanin"/>
          <w:color w:val="111111"/>
          <w:sz w:val="28"/>
          <w:szCs w:val="28"/>
          <w:rtl w:val="true"/>
          <w:lang w:bidi="fa-IR"/>
        </w:rPr>
        <w:t xml:space="preserve">. </w:t>
      </w:r>
      <w:r>
        <w:rPr>
          <w:rStyle w:val="FootnoteAnchor"/>
          <w:rtl w:val="true"/>
        </w:rPr>
        <w:footnoteReference w:id="1655"/>
      </w:r>
      <w:bookmarkStart w:id="1920" w:name="pg1964_19934"/>
    </w:p>
    <w:p>
      <w:pPr>
        <w:pStyle w:val="Heading4"/>
        <w:numPr>
          <w:ilvl w:val="3"/>
          <w:numId w:val="1"/>
        </w:numPr>
        <w:rPr/>
      </w:pPr>
      <w:bookmarkStart w:id="1921" w:name="__RefHeading___Toc3586047_3650668749"/>
      <w:bookmarkStart w:id="1922" w:name="_Toc820"/>
      <w:bookmarkEnd w:id="1920"/>
      <w:bookmarkEnd w:id="1921"/>
      <w:r>
        <w:rPr>
          <w:rtl w:val="true"/>
        </w:rPr>
        <w:t>ط</w:t>
      </w:r>
      <w:r>
        <w:rPr>
          <w:rtl w:val="true"/>
        </w:rPr>
        <w:t xml:space="preserve">) </w:t>
      </w:r>
      <w:r>
        <w:rPr>
          <w:rtl w:val="true"/>
        </w:rPr>
        <w:t>زِكْوَه</w:t>
      </w:r>
      <w:bookmarkEnd w:id="1922"/>
    </w:p>
    <w:p>
      <w:pPr>
        <w:pStyle w:val="BookText"/>
        <w:rPr/>
      </w:pPr>
      <w:r>
        <w:rPr>
          <w:rFonts w:ascii="IRNazanin" w:hAnsi="IRNazanin" w:eastAsia="IRNazanin"/>
          <w:color w:val="111111"/>
          <w:sz w:val="28"/>
          <w:sz w:val="28"/>
          <w:szCs w:val="28"/>
          <w:rtl w:val="true"/>
          <w:lang w:bidi="fa-IR"/>
        </w:rPr>
        <w:t>ظرفى كوچك بود كه از پوست حيوانات ساخته مى‌شد و براى نوشيدن آب مورد استفاده قرار مى‌گرفت</w:t>
      </w:r>
      <w:r>
        <w:rPr>
          <w:rFonts w:eastAsia="IRNazanin" w:cs="IRNazanin"/>
          <w:color w:val="111111"/>
          <w:sz w:val="28"/>
          <w:szCs w:val="28"/>
          <w:rtl w:val="true"/>
          <w:lang w:bidi="fa-IR"/>
        </w:rPr>
        <w:t xml:space="preserve">. </w:t>
      </w:r>
      <w:r>
        <w:rPr>
          <w:rStyle w:val="FootnoteAnchor"/>
          <w:rtl w:val="true"/>
        </w:rPr>
        <w:footnoteReference w:id="1656"/>
      </w:r>
      <w:r>
        <w:rPr>
          <w:rFonts w:ascii="IRNazanin" w:hAnsi="IRNazanin" w:eastAsia="IRNazanin"/>
          <w:color w:val="111111"/>
          <w:sz w:val="28"/>
          <w:sz w:val="28"/>
          <w:szCs w:val="28"/>
          <w:rtl w:val="true"/>
          <w:lang w:bidi="fa-IR"/>
        </w:rPr>
        <w:t xml:space="preserve">در فارسى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آبخورى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ظرف نيز در وسايل مختصر سلمان فارسى ياد شده است</w:t>
      </w:r>
      <w:r>
        <w:rPr>
          <w:rFonts w:eastAsia="IRNazanin" w:cs="IRNazanin"/>
          <w:color w:val="111111"/>
          <w:sz w:val="28"/>
          <w:szCs w:val="28"/>
          <w:rtl w:val="true"/>
          <w:lang w:bidi="fa-IR"/>
        </w:rPr>
        <w:t xml:space="preserve">. </w:t>
      </w:r>
      <w:r>
        <w:rPr>
          <w:rStyle w:val="FootnoteAnchor"/>
          <w:rtl w:val="true"/>
        </w:rPr>
        <w:footnoteReference w:id="1657"/>
      </w:r>
    </w:p>
    <w:p>
      <w:pPr>
        <w:pStyle w:val="Heading4"/>
        <w:numPr>
          <w:ilvl w:val="3"/>
          <w:numId w:val="1"/>
        </w:numPr>
        <w:rPr/>
      </w:pPr>
      <w:bookmarkStart w:id="1923" w:name="__RefHeading___Toc3586049_3650668749"/>
      <w:bookmarkStart w:id="1924" w:name="_Toc821"/>
      <w:bookmarkEnd w:id="1923"/>
      <w:r>
        <w:rPr>
          <w:rtl w:val="true"/>
        </w:rPr>
        <w:t>ي</w:t>
      </w:r>
      <w:r>
        <w:rPr>
          <w:rtl w:val="true"/>
        </w:rPr>
        <w:t xml:space="preserve">) </w:t>
      </w:r>
      <w:r>
        <w:rPr>
          <w:rtl w:val="true"/>
        </w:rPr>
        <w:t>زِقّ</w:t>
      </w:r>
      <w:bookmarkEnd w:id="1924"/>
    </w:p>
    <w:p>
      <w:pPr>
        <w:pStyle w:val="BookText"/>
        <w:rPr/>
      </w:pPr>
      <w:r>
        <w:rPr>
          <w:rFonts w:ascii="IRNazanin" w:hAnsi="IRNazanin" w:eastAsia="IRNazanin"/>
          <w:color w:val="111111"/>
          <w:sz w:val="28"/>
          <w:sz w:val="28"/>
          <w:szCs w:val="28"/>
          <w:rtl w:val="true"/>
          <w:lang w:bidi="fa-IR"/>
        </w:rPr>
        <w:t>ظرفى بود از پوست حيوانات كه پس از زدودن مو و پشم آن تهيه مى‌شد و براى حمل و نقل مايعات، همانند شراب و عسل مورد استفاده قرار مى‌گرفت</w:t>
      </w:r>
      <w:r>
        <w:rPr>
          <w:rFonts w:eastAsia="IRNazanin" w:cs="IRNazanin"/>
          <w:color w:val="111111"/>
          <w:sz w:val="28"/>
          <w:szCs w:val="28"/>
          <w:rtl w:val="true"/>
          <w:lang w:bidi="fa-IR"/>
        </w:rPr>
        <w:t xml:space="preserve">. </w:t>
      </w:r>
      <w:r>
        <w:rPr>
          <w:rStyle w:val="FootnoteAnchor"/>
          <w:rtl w:val="true"/>
        </w:rPr>
        <w:footnoteReference w:id="1658"/>
      </w:r>
      <w:r>
        <w:rPr>
          <w:rFonts w:ascii="IRNazanin" w:hAnsi="IRNazanin" w:eastAsia="IRNazanin"/>
          <w:color w:val="111111"/>
          <w:sz w:val="28"/>
          <w:sz w:val="28"/>
          <w:szCs w:val="28"/>
          <w:rtl w:val="true"/>
          <w:lang w:bidi="fa-IR"/>
        </w:rPr>
        <w:t xml:space="preserve">از اين ظرف در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پر از عسل بوده، ياد شده است</w:t>
      </w:r>
      <w:r>
        <w:rPr>
          <w:rFonts w:eastAsia="IRNazanin" w:cs="IRNazanin"/>
          <w:color w:val="111111"/>
          <w:sz w:val="28"/>
          <w:szCs w:val="28"/>
          <w:rtl w:val="true"/>
          <w:lang w:bidi="fa-IR"/>
        </w:rPr>
        <w:t xml:space="preserve">. </w:t>
      </w:r>
      <w:r>
        <w:rPr>
          <w:rStyle w:val="FootnoteAnchor"/>
          <w:rtl w:val="true"/>
        </w:rPr>
        <w:footnoteReference w:id="1659"/>
      </w:r>
    </w:p>
    <w:p>
      <w:pPr>
        <w:pStyle w:val="Heading4"/>
        <w:numPr>
          <w:ilvl w:val="3"/>
          <w:numId w:val="1"/>
        </w:numPr>
        <w:rPr/>
      </w:pPr>
      <w:bookmarkStart w:id="1925" w:name="__RefHeading___Toc3586051_3650668749"/>
      <w:bookmarkStart w:id="1926" w:name="_Toc822"/>
      <w:bookmarkEnd w:id="1925"/>
      <w:r>
        <w:rPr>
          <w:rtl w:val="true"/>
        </w:rPr>
        <w:t>ك</w:t>
      </w:r>
      <w:r>
        <w:rPr>
          <w:rtl w:val="true"/>
        </w:rPr>
        <w:t xml:space="preserve">) </w:t>
      </w:r>
      <w:r>
        <w:rPr>
          <w:rtl w:val="true"/>
        </w:rPr>
        <w:t>سطيحه</w:t>
      </w:r>
      <w:bookmarkEnd w:id="1926"/>
    </w:p>
    <w:p>
      <w:pPr>
        <w:pStyle w:val="BookText"/>
        <w:rPr/>
      </w:pPr>
      <w:r>
        <w:rPr>
          <w:rFonts w:ascii="IRNazanin" w:hAnsi="IRNazanin" w:eastAsia="IRNazanin"/>
          <w:color w:val="111111"/>
          <w:sz w:val="28"/>
          <w:sz w:val="28"/>
          <w:szCs w:val="28"/>
          <w:rtl w:val="true"/>
          <w:lang w:bidi="fa-IR"/>
        </w:rPr>
        <w:t>اين لفظ در مورد مشكى به‌كار مى‌رفت كه از دو قطعه پوست كه در مقابل هم قرار مى‌گرفتند، تهيه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ظرف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Style w:val="FootnoteAnchor"/>
          <w:rtl w:val="true"/>
        </w:rPr>
        <w:footnoteReference w:id="1660"/>
      </w:r>
    </w:p>
    <w:p>
      <w:pPr>
        <w:pStyle w:val="Heading4"/>
        <w:numPr>
          <w:ilvl w:val="3"/>
          <w:numId w:val="1"/>
        </w:numPr>
        <w:rPr/>
      </w:pPr>
      <w:bookmarkStart w:id="1927" w:name="__RefHeading___Toc3586053_3650668749"/>
      <w:bookmarkStart w:id="1928" w:name="_Toc823"/>
      <w:bookmarkEnd w:id="1927"/>
      <w:r>
        <w:rPr>
          <w:rtl w:val="true"/>
        </w:rPr>
        <w:t>ل</w:t>
      </w:r>
      <w:r>
        <w:rPr>
          <w:rtl w:val="true"/>
        </w:rPr>
        <w:t xml:space="preserve">) </w:t>
      </w:r>
      <w:r>
        <w:rPr>
          <w:rtl w:val="true"/>
        </w:rPr>
        <w:t>شَنّ</w:t>
      </w:r>
      <w:bookmarkEnd w:id="192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 كه همان مشك فارسى است، از پوست گوسفند تهيه و براى نگهدارى آب يا موادى، همچون ماست و دوغ از آن استفاده مى‌شد</w:t>
      </w:r>
      <w:r>
        <w:rPr>
          <w:rFonts w:eastAsia="IRNazanin" w:cs="IRNazanin"/>
          <w:color w:val="111111"/>
          <w:sz w:val="28"/>
          <w:szCs w:val="28"/>
          <w:rtl w:val="true"/>
          <w:lang w:bidi="fa-IR"/>
        </w:rPr>
        <w:t xml:space="preserve">. </w:t>
      </w:r>
      <w:r>
        <w:rPr>
          <w:rStyle w:val="FootnoteAnchor"/>
          <w:rtl w:val="true"/>
        </w:rPr>
        <w:footnoteReference w:id="1661"/>
      </w:r>
      <w:r>
        <w:rPr>
          <w:rFonts w:ascii="Amiri" w:hAnsi="Amiri" w:eastAsia="Amiri" w:cs="Amiri"/>
          <w:color w:val="111111"/>
          <w:sz w:val="28"/>
          <w:sz w:val="28"/>
          <w:szCs w:val="28"/>
          <w:rtl w:val="true"/>
          <w:lang w:bidi="ar-SA"/>
        </w:rPr>
        <w:t xml:space="preserve">از اين ظرف نيز در جهيزيه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و مصرف آن را براى آب معين كرده‌اند</w:t>
      </w:r>
      <w:r>
        <w:rPr>
          <w:rFonts w:eastAsia="Amiri" w:cs="Amiri" w:ascii="Amiri" w:hAnsi="Amiri"/>
          <w:color w:val="111111"/>
          <w:sz w:val="28"/>
          <w:szCs w:val="28"/>
          <w:rtl w:val="true"/>
          <w:lang w:bidi="ar-SA"/>
        </w:rPr>
        <w:t xml:space="preserve">. </w:t>
      </w:r>
      <w:r>
        <w:rPr>
          <w:rStyle w:val="FootnoteAnchor"/>
          <w:rtl w:val="true"/>
        </w:rPr>
        <w:footnoteReference w:id="1662"/>
      </w:r>
      <w:bookmarkStart w:id="1929" w:name="pg1964_19935"/>
    </w:p>
    <w:p>
      <w:pPr>
        <w:pStyle w:val="Heading4"/>
        <w:numPr>
          <w:ilvl w:val="3"/>
          <w:numId w:val="1"/>
        </w:numPr>
        <w:rPr/>
      </w:pPr>
      <w:bookmarkStart w:id="1930" w:name="__RefHeading___Toc3586055_3650668749"/>
      <w:bookmarkStart w:id="1931" w:name="_Toc824"/>
      <w:bookmarkEnd w:id="1929"/>
      <w:bookmarkEnd w:id="1930"/>
      <w:r>
        <w:rPr>
          <w:rtl w:val="true"/>
        </w:rPr>
        <w:t>م</w:t>
      </w:r>
      <w:r>
        <w:rPr>
          <w:rtl w:val="true"/>
        </w:rPr>
        <w:t xml:space="preserve">) </w:t>
      </w:r>
      <w:r>
        <w:rPr>
          <w:rtl w:val="true"/>
        </w:rPr>
        <w:t>صَحْفَه</w:t>
      </w:r>
      <w:bookmarkEnd w:id="1931"/>
    </w:p>
    <w:p>
      <w:pPr>
        <w:pStyle w:val="BookText"/>
        <w:rPr/>
      </w:pPr>
      <w:r>
        <w:rPr>
          <w:rFonts w:ascii="IRNazanin" w:hAnsi="IRNazanin" w:eastAsia="IRNazanin"/>
          <w:color w:val="111111"/>
          <w:sz w:val="28"/>
          <w:sz w:val="28"/>
          <w:szCs w:val="28"/>
          <w:rtl w:val="true"/>
          <w:lang w:bidi="fa-IR"/>
        </w:rPr>
        <w:t>كاسه‌اى بزرگ بود كه غذاى داخل آن دست‌كم پنج نفر را سير مى‌كرد</w:t>
      </w:r>
      <w:r>
        <w:rPr>
          <w:rFonts w:eastAsia="IRNazanin" w:cs="IRNazanin"/>
          <w:color w:val="111111"/>
          <w:sz w:val="28"/>
          <w:szCs w:val="28"/>
          <w:rtl w:val="true"/>
          <w:lang w:bidi="fa-IR"/>
        </w:rPr>
        <w:t xml:space="preserve">. </w:t>
      </w:r>
      <w:r>
        <w:rPr>
          <w:rStyle w:val="FootnoteAnchor"/>
          <w:rtl w:val="true"/>
        </w:rPr>
        <w:footnoteReference w:id="1663"/>
      </w:r>
      <w:r>
        <w:rPr>
          <w:rFonts w:ascii="Amiri" w:hAnsi="Amiri" w:eastAsia="Amiri" w:cs="Amiri"/>
          <w:color w:val="111111"/>
          <w:sz w:val="28"/>
          <w:sz w:val="28"/>
          <w:szCs w:val="28"/>
          <w:rtl w:val="true"/>
          <w:lang w:bidi="ar-SA"/>
        </w:rPr>
        <w:t xml:space="preserve">امام‌حسين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عاشورا از اين ظرف به عنوان ظرف محتوى مُشك و نوره، استفاده كرد</w:t>
      </w:r>
      <w:r>
        <w:rPr>
          <w:rFonts w:eastAsia="Amiri" w:cs="Amiri" w:ascii="Amiri" w:hAnsi="Amiri"/>
          <w:color w:val="111111"/>
          <w:sz w:val="28"/>
          <w:szCs w:val="28"/>
          <w:rtl w:val="true"/>
          <w:lang w:bidi="ar-SA"/>
        </w:rPr>
        <w:t xml:space="preserve">. </w:t>
      </w:r>
      <w:r>
        <w:rPr>
          <w:rStyle w:val="FootnoteAnchor"/>
          <w:rtl w:val="true"/>
        </w:rPr>
        <w:footnoteReference w:id="1664"/>
      </w:r>
      <w:r>
        <w:rPr>
          <w:rFonts w:ascii="IRNazanin" w:hAnsi="IRNazanin" w:eastAsia="IRNazanin"/>
          <w:color w:val="111111"/>
          <w:sz w:val="28"/>
          <w:sz w:val="28"/>
          <w:szCs w:val="28"/>
          <w:rtl w:val="true"/>
          <w:lang w:bidi="fa-IR"/>
        </w:rPr>
        <w:t xml:space="preserve">همچنين اين ظرف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فراوان داشت</w:t>
      </w:r>
      <w:r>
        <w:rPr>
          <w:rFonts w:eastAsia="IRNazanin" w:cs="IRNazanin"/>
          <w:color w:val="111111"/>
          <w:sz w:val="28"/>
          <w:szCs w:val="28"/>
          <w:rtl w:val="true"/>
          <w:lang w:bidi="fa-IR"/>
        </w:rPr>
        <w:t xml:space="preserve">. </w:t>
      </w:r>
      <w:r>
        <w:rPr>
          <w:rStyle w:val="FootnoteAnchor"/>
          <w:rtl w:val="true"/>
        </w:rPr>
        <w:footnoteReference w:id="1665"/>
      </w:r>
    </w:p>
    <w:p>
      <w:pPr>
        <w:pStyle w:val="Heading4"/>
        <w:numPr>
          <w:ilvl w:val="3"/>
          <w:numId w:val="1"/>
        </w:numPr>
        <w:rPr/>
      </w:pPr>
      <w:bookmarkStart w:id="1932" w:name="__RefHeading___Toc3586057_3650668749"/>
      <w:bookmarkStart w:id="1933" w:name="_Toc825"/>
      <w:bookmarkEnd w:id="1932"/>
      <w:r>
        <w:rPr>
          <w:rtl w:val="true"/>
        </w:rPr>
        <w:t>ن</w:t>
      </w:r>
      <w:r>
        <w:rPr>
          <w:rtl w:val="true"/>
        </w:rPr>
        <w:t xml:space="preserve">) </w:t>
      </w:r>
      <w:r>
        <w:rPr>
          <w:rtl w:val="true"/>
        </w:rPr>
        <w:t xml:space="preserve">طَست </w:t>
      </w:r>
      <w:r>
        <w:rPr>
          <w:rtl w:val="true"/>
        </w:rPr>
        <w:t>(</w:t>
      </w:r>
      <w:r>
        <w:rPr>
          <w:rtl w:val="true"/>
        </w:rPr>
        <w:t>طشت</w:t>
      </w:r>
      <w:r>
        <w:rPr>
          <w:rtl w:val="true"/>
        </w:rPr>
        <w:t>)</w:t>
      </w:r>
      <w:bookmarkEnd w:id="1933"/>
    </w:p>
    <w:p>
      <w:pPr>
        <w:pStyle w:val="BookText"/>
        <w:rPr/>
      </w:pPr>
      <w:r>
        <w:rPr>
          <w:rFonts w:ascii="IRNazanin" w:hAnsi="IRNazanin" w:eastAsia="IRNazanin"/>
          <w:color w:val="111111"/>
          <w:sz w:val="28"/>
          <w:sz w:val="28"/>
          <w:szCs w:val="28"/>
          <w:rtl w:val="true"/>
          <w:lang w:bidi="fa-IR"/>
        </w:rPr>
        <w:t>جمع آن طساس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لغت كه معادل تشت و لگن فارسى است، معمولاً از روى ساخته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ظرف در جريان آب دادن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 و همراهان و اسبانشان ياد شده است</w:t>
      </w:r>
      <w:r>
        <w:rPr>
          <w:rFonts w:eastAsia="IRNazanin" w:cs="IRNazanin"/>
          <w:color w:val="111111"/>
          <w:sz w:val="28"/>
          <w:szCs w:val="28"/>
          <w:rtl w:val="true"/>
          <w:lang w:bidi="fa-IR"/>
        </w:rPr>
        <w:t xml:space="preserve">. </w:t>
      </w:r>
      <w:r>
        <w:rPr>
          <w:rStyle w:val="FootnoteAnchor"/>
          <w:rtl w:val="true"/>
        </w:rPr>
        <w:footnoteReference w:id="1666"/>
      </w:r>
    </w:p>
    <w:p>
      <w:pPr>
        <w:pStyle w:val="Heading4"/>
        <w:numPr>
          <w:ilvl w:val="3"/>
          <w:numId w:val="1"/>
        </w:numPr>
        <w:rPr/>
      </w:pPr>
      <w:bookmarkStart w:id="1934" w:name="__RefHeading___Toc3586059_3650668749"/>
      <w:bookmarkStart w:id="1935" w:name="_Toc826"/>
      <w:bookmarkEnd w:id="1934"/>
      <w:r>
        <w:rPr>
          <w:rtl w:val="true"/>
        </w:rPr>
        <w:t>س</w:t>
      </w:r>
      <w:r>
        <w:rPr>
          <w:rtl w:val="true"/>
        </w:rPr>
        <w:t xml:space="preserve">) </w:t>
      </w:r>
      <w:r>
        <w:rPr>
          <w:rtl w:val="true"/>
        </w:rPr>
        <w:t>ظَبْيَه</w:t>
      </w:r>
      <w:bookmarkEnd w:id="1935"/>
    </w:p>
    <w:p>
      <w:pPr>
        <w:pStyle w:val="BookText"/>
        <w:rPr/>
      </w:pPr>
      <w:r>
        <w:rPr>
          <w:rFonts w:ascii="IRNazanin" w:hAnsi="IRNazanin" w:eastAsia="IRNazanin"/>
          <w:color w:val="111111"/>
          <w:sz w:val="28"/>
          <w:sz w:val="28"/>
          <w:szCs w:val="28"/>
          <w:rtl w:val="true"/>
          <w:lang w:bidi="fa-IR"/>
        </w:rPr>
        <w:t>نوعى انبان كوچك بوده كه معمولاً از پوست آهو كه در عربى به آن ظَبْى مى‌گويند، تهيه مى‌شد</w:t>
      </w:r>
      <w:r>
        <w:rPr>
          <w:rFonts w:eastAsia="IRNazanin" w:cs="IRNazanin"/>
          <w:color w:val="111111"/>
          <w:sz w:val="28"/>
          <w:szCs w:val="28"/>
          <w:rtl w:val="true"/>
          <w:lang w:bidi="fa-IR"/>
        </w:rPr>
        <w:t xml:space="preserve">. </w:t>
      </w:r>
      <w:r>
        <w:rPr>
          <w:rStyle w:val="FootnoteAnchor"/>
          <w:rtl w:val="true"/>
        </w:rPr>
        <w:footnoteReference w:id="1667"/>
      </w:r>
      <w:r>
        <w:rPr>
          <w:rFonts w:ascii="Amiri" w:hAnsi="Amiri" w:eastAsia="Amiri" w:cs="Amiri"/>
          <w:color w:val="111111"/>
          <w:sz w:val="28"/>
          <w:sz w:val="28"/>
          <w:szCs w:val="28"/>
          <w:rtl w:val="true"/>
          <w:lang w:bidi="ar-SA"/>
        </w:rPr>
        <w:t xml:space="preserve">از اين ظرف در زمان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 xml:space="preserve">. </w:t>
      </w:r>
      <w:r>
        <w:rPr>
          <w:rStyle w:val="FootnoteAnchor"/>
          <w:rtl w:val="true"/>
        </w:rPr>
        <w:footnoteReference w:id="1668"/>
      </w:r>
    </w:p>
    <w:p>
      <w:pPr>
        <w:pStyle w:val="Heading4"/>
        <w:numPr>
          <w:ilvl w:val="3"/>
          <w:numId w:val="1"/>
        </w:numPr>
        <w:rPr/>
      </w:pPr>
      <w:bookmarkStart w:id="1936" w:name="__RefHeading___Toc3586061_3650668749"/>
      <w:bookmarkStart w:id="1937" w:name="_Toc827"/>
      <w:bookmarkEnd w:id="1936"/>
      <w:r>
        <w:rPr>
          <w:rtl w:val="true"/>
        </w:rPr>
        <w:t>ع</w:t>
      </w:r>
      <w:r>
        <w:rPr>
          <w:rtl w:val="true"/>
        </w:rPr>
        <w:t xml:space="preserve">) </w:t>
      </w:r>
      <w:r>
        <w:rPr>
          <w:rtl w:val="true"/>
        </w:rPr>
        <w:t>عُكَّه</w:t>
      </w:r>
      <w:bookmarkEnd w:id="1937"/>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به مشكى كه از آن براى نگهدارى روغن استفاده مى‌كردند، عكّه گفته مى‌شد</w:t>
      </w:r>
      <w:r>
        <w:rPr>
          <w:rFonts w:eastAsia="IRNazanin" w:cs="IRNazanin"/>
          <w:color w:val="111111"/>
          <w:sz w:val="28"/>
          <w:szCs w:val="28"/>
          <w:rtl w:val="true"/>
          <w:lang w:bidi="fa-IR"/>
        </w:rPr>
        <w:t xml:space="preserve">. </w:t>
      </w:r>
      <w:r>
        <w:rPr>
          <w:rStyle w:val="FootnoteAnchor"/>
          <w:rtl w:val="true"/>
        </w:rPr>
        <w:footnoteReference w:id="1669"/>
      </w:r>
      <w:r>
        <w:rPr>
          <w:rFonts w:ascii="Amiri" w:hAnsi="Amiri" w:eastAsia="Amiri" w:cs="Amiri"/>
          <w:color w:val="111111"/>
          <w:sz w:val="28"/>
          <w:sz w:val="28"/>
          <w:szCs w:val="28"/>
          <w:rtl w:val="true"/>
          <w:lang w:bidi="ar-SA"/>
        </w:rPr>
        <w:t>از اين ظرف در زمان عمر ياد شده است</w:t>
      </w:r>
      <w:r>
        <w:rPr>
          <w:rFonts w:eastAsia="Amiri" w:cs="Amiri" w:ascii="Amiri" w:hAnsi="Amiri"/>
          <w:color w:val="111111"/>
          <w:sz w:val="28"/>
          <w:szCs w:val="28"/>
          <w:rtl w:val="true"/>
          <w:lang w:bidi="ar-SA"/>
        </w:rPr>
        <w:t xml:space="preserve">. </w:t>
      </w:r>
      <w:r>
        <w:rPr>
          <w:rStyle w:val="FootnoteAnchor"/>
          <w:rtl w:val="true"/>
        </w:rPr>
        <w:footnoteReference w:id="1670"/>
      </w:r>
      <w:bookmarkStart w:id="1938" w:name="pg1964_19936"/>
    </w:p>
    <w:p>
      <w:pPr>
        <w:pStyle w:val="Heading4"/>
        <w:numPr>
          <w:ilvl w:val="3"/>
          <w:numId w:val="1"/>
        </w:numPr>
        <w:rPr/>
      </w:pPr>
      <w:bookmarkStart w:id="1939" w:name="__RefHeading___Toc3586063_3650668749"/>
      <w:bookmarkStart w:id="1940" w:name="_Toc828"/>
      <w:bookmarkEnd w:id="1938"/>
      <w:bookmarkEnd w:id="1939"/>
      <w:r>
        <w:rPr>
          <w:rtl w:val="true"/>
        </w:rPr>
        <w:t>ف</w:t>
      </w:r>
      <w:r>
        <w:rPr>
          <w:rtl w:val="true"/>
        </w:rPr>
        <w:t xml:space="preserve">) </w:t>
      </w:r>
      <w:r>
        <w:rPr>
          <w:rtl w:val="true"/>
        </w:rPr>
        <w:t>قارُورَه</w:t>
      </w:r>
      <w:bookmarkEnd w:id="1940"/>
    </w:p>
    <w:p>
      <w:pPr>
        <w:pStyle w:val="BookText"/>
        <w:rPr/>
      </w:pPr>
      <w:r>
        <w:rPr>
          <w:rFonts w:ascii="Amiri" w:hAnsi="Amiri" w:eastAsia="Amiri" w:cs="Amiri"/>
          <w:color w:val="111111"/>
          <w:sz w:val="28"/>
          <w:sz w:val="28"/>
          <w:szCs w:val="28"/>
          <w:rtl w:val="true"/>
          <w:lang w:bidi="ar-SA"/>
        </w:rPr>
        <w:t>جمع اين كلمه قوارير مى‌باشد كه در قرآن استعمال شده است</w:t>
      </w:r>
      <w:r>
        <w:rPr>
          <w:rFonts w:eastAsia="Amiri" w:cs="Amiri" w:ascii="Amiri" w:hAnsi="Amiri"/>
          <w:color w:val="111111"/>
          <w:sz w:val="28"/>
          <w:szCs w:val="28"/>
          <w:rtl w:val="true"/>
          <w:lang w:bidi="ar-SA"/>
        </w:rPr>
        <w:t xml:space="preserve">. </w:t>
      </w:r>
      <w:r>
        <w:rPr>
          <w:rStyle w:val="FootnoteAnchor"/>
          <w:rtl w:val="true"/>
        </w:rPr>
        <w:footnoteReference w:id="1671"/>
      </w:r>
      <w:r>
        <w:rPr>
          <w:rFonts w:ascii="IRNazanin" w:hAnsi="IRNazanin" w:eastAsia="IRNazanin"/>
          <w:color w:val="111111"/>
          <w:sz w:val="28"/>
          <w:sz w:val="28"/>
          <w:szCs w:val="28"/>
          <w:rtl w:val="true"/>
          <w:lang w:bidi="fa-IR"/>
        </w:rPr>
        <w:t>قاروره به معناى ظرف شيشه‌اى كوچك مدوّر مى‌باشد</w:t>
      </w:r>
      <w:r>
        <w:rPr>
          <w:rFonts w:eastAsia="IRNazanin" w:cs="IRNazanin"/>
          <w:color w:val="111111"/>
          <w:sz w:val="28"/>
          <w:szCs w:val="28"/>
          <w:rtl w:val="true"/>
          <w:lang w:bidi="fa-IR"/>
        </w:rPr>
        <w:t xml:space="preserve">. </w:t>
      </w:r>
      <w:r>
        <w:rPr>
          <w:rStyle w:val="FootnoteAnchor"/>
          <w:rtl w:val="true"/>
        </w:rPr>
        <w:footnoteReference w:id="1672"/>
      </w:r>
      <w:r>
        <w:rPr>
          <w:rFonts w:ascii="IRNazanin" w:hAnsi="IRNazanin" w:eastAsia="IRNazanin"/>
          <w:color w:val="111111"/>
          <w:sz w:val="28"/>
          <w:sz w:val="28"/>
          <w:szCs w:val="28"/>
          <w:rtl w:val="true"/>
          <w:lang w:bidi="fa-IR"/>
        </w:rPr>
        <w:t>معمولاً از اين نوع ظرف براى نگهدارى عطر در زمان مورد بحث استفاده مى‌شد</w:t>
      </w:r>
      <w:r>
        <w:rPr>
          <w:rFonts w:eastAsia="IRNazanin" w:cs="IRNazanin"/>
          <w:color w:val="111111"/>
          <w:sz w:val="28"/>
          <w:szCs w:val="28"/>
          <w:rtl w:val="true"/>
          <w:lang w:bidi="fa-IR"/>
        </w:rPr>
        <w:t xml:space="preserve">. </w:t>
      </w:r>
      <w:r>
        <w:rPr>
          <w:rStyle w:val="FootnoteAnchor"/>
          <w:rtl w:val="true"/>
        </w:rPr>
        <w:footnoteReference w:id="1673"/>
      </w:r>
    </w:p>
    <w:p>
      <w:pPr>
        <w:pStyle w:val="Heading4"/>
        <w:numPr>
          <w:ilvl w:val="3"/>
          <w:numId w:val="1"/>
        </w:numPr>
        <w:rPr/>
      </w:pPr>
      <w:bookmarkStart w:id="1941" w:name="__RefHeading___Toc3586065_3650668749"/>
      <w:bookmarkStart w:id="1942" w:name="_Toc829"/>
      <w:bookmarkEnd w:id="1941"/>
      <w:r>
        <w:rPr>
          <w:rtl w:val="true"/>
        </w:rPr>
        <w:t>ص</w:t>
      </w:r>
      <w:r>
        <w:rPr>
          <w:rtl w:val="true"/>
        </w:rPr>
        <w:t xml:space="preserve">) </w:t>
      </w:r>
      <w:r>
        <w:rPr>
          <w:rtl w:val="true"/>
        </w:rPr>
        <w:t>قَدَح</w:t>
      </w:r>
      <w:bookmarkEnd w:id="1942"/>
    </w:p>
    <w:p>
      <w:pPr>
        <w:pStyle w:val="BookText"/>
        <w:rPr/>
      </w:pPr>
      <w:r>
        <w:rPr>
          <w:rFonts w:ascii="IRNazanin" w:hAnsi="IRNazanin" w:eastAsia="IRNazanin"/>
          <w:color w:val="111111"/>
          <w:sz w:val="28"/>
          <w:sz w:val="28"/>
          <w:szCs w:val="28"/>
          <w:rtl w:val="true"/>
          <w:lang w:bidi="fa-IR"/>
        </w:rPr>
        <w:t>كاسه‌اى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ظرف در جريان شهادت عمار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با اين توصيف كه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داشته، ياد شده است</w:t>
      </w:r>
      <w:r>
        <w:rPr>
          <w:rFonts w:eastAsia="IRNazanin" w:cs="IRNazanin"/>
          <w:color w:val="111111"/>
          <w:sz w:val="28"/>
          <w:szCs w:val="28"/>
          <w:rtl w:val="true"/>
          <w:lang w:bidi="fa-IR"/>
        </w:rPr>
        <w:t xml:space="preserve">. </w:t>
      </w:r>
      <w:r>
        <w:rPr>
          <w:rStyle w:val="FootnoteAnchor"/>
          <w:rtl w:val="true"/>
        </w:rPr>
        <w:footnoteReference w:id="1674"/>
      </w:r>
    </w:p>
    <w:p>
      <w:pPr>
        <w:pStyle w:val="Heading4"/>
        <w:numPr>
          <w:ilvl w:val="3"/>
          <w:numId w:val="1"/>
        </w:numPr>
        <w:rPr/>
      </w:pPr>
      <w:bookmarkStart w:id="1943" w:name="__RefHeading___Toc3586067_3650668749"/>
      <w:bookmarkStart w:id="1944" w:name="_Toc830"/>
      <w:bookmarkEnd w:id="1943"/>
      <w:r>
        <w:rPr>
          <w:rtl w:val="true"/>
        </w:rPr>
        <w:t>ق</w:t>
      </w:r>
      <w:r>
        <w:rPr>
          <w:rtl w:val="true"/>
        </w:rPr>
        <w:t xml:space="preserve">) </w:t>
      </w:r>
      <w:r>
        <w:rPr>
          <w:rtl w:val="true"/>
        </w:rPr>
        <w:t>قِدْر</w:t>
      </w:r>
      <w:bookmarkEnd w:id="1944"/>
    </w:p>
    <w:p>
      <w:pPr>
        <w:pStyle w:val="BookText"/>
        <w:rPr/>
      </w:pPr>
      <w:r>
        <w:rPr>
          <w:rFonts w:ascii="IRNazanin" w:hAnsi="IRNazanin" w:eastAsia="IRNazanin"/>
          <w:color w:val="111111"/>
          <w:sz w:val="28"/>
          <w:sz w:val="28"/>
          <w:szCs w:val="28"/>
          <w:rtl w:val="true"/>
          <w:lang w:bidi="fa-IR"/>
        </w:rPr>
        <w:t>به معناى ديگ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از سنگ يا فلز مس و روى ساخته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ظرف در روايات تاريخى بسيار ياد شده است، از جمله در جريان خانه‌دارى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غذاپختن ايشان از آن ياد شده است</w:t>
      </w:r>
      <w:r>
        <w:rPr>
          <w:rFonts w:eastAsia="IRNazanin" w:cs="IRNazanin"/>
          <w:color w:val="111111"/>
          <w:sz w:val="28"/>
          <w:szCs w:val="28"/>
          <w:rtl w:val="true"/>
          <w:lang w:bidi="fa-IR"/>
        </w:rPr>
        <w:t xml:space="preserve">. </w:t>
      </w:r>
      <w:r>
        <w:rPr>
          <w:rStyle w:val="FootnoteAnchor"/>
          <w:rtl w:val="true"/>
        </w:rPr>
        <w:footnoteReference w:id="1675"/>
      </w:r>
    </w:p>
    <w:p>
      <w:pPr>
        <w:pStyle w:val="Heading4"/>
        <w:numPr>
          <w:ilvl w:val="3"/>
          <w:numId w:val="1"/>
        </w:numPr>
        <w:rPr/>
      </w:pPr>
      <w:bookmarkStart w:id="1945" w:name="__RefHeading___Toc3586069_3650668749"/>
      <w:bookmarkStart w:id="1946" w:name="_Toc831"/>
      <w:bookmarkEnd w:id="1945"/>
      <w:r>
        <w:rPr>
          <w:rtl w:val="true"/>
        </w:rPr>
        <w:t>ر</w:t>
      </w:r>
      <w:r>
        <w:rPr>
          <w:rtl w:val="true"/>
        </w:rPr>
        <w:t xml:space="preserve">) </w:t>
      </w:r>
      <w:r>
        <w:rPr>
          <w:rtl w:val="true"/>
        </w:rPr>
        <w:t>قِرْبَه</w:t>
      </w:r>
      <w:bookmarkEnd w:id="1946"/>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مشكى بود كه معمولاً براى نگهدارى شير از آن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عمر چنين آمده است كه در دوران خلافتش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مى‌كشيد</w:t>
      </w:r>
      <w:r>
        <w:rPr>
          <w:rFonts w:eastAsia="IRNazanin" w:cs="IRNazanin"/>
          <w:color w:val="111111"/>
          <w:sz w:val="28"/>
          <w:szCs w:val="28"/>
          <w:rtl w:val="true"/>
          <w:lang w:bidi="fa-IR"/>
        </w:rPr>
        <w:t xml:space="preserve">. </w:t>
      </w:r>
      <w:r>
        <w:rPr>
          <w:rStyle w:val="FootnoteAnchor"/>
          <w:rtl w:val="true"/>
        </w:rPr>
        <w:footnoteReference w:id="1676"/>
      </w:r>
      <w:r>
        <w:rPr>
          <w:rFonts w:ascii="IRNazanin" w:hAnsi="IRNazanin" w:eastAsia="IRNazanin"/>
          <w:color w:val="111111"/>
          <w:sz w:val="28"/>
          <w:sz w:val="28"/>
          <w:szCs w:val="28"/>
          <w:rtl w:val="true"/>
          <w:lang w:bidi="fa-IR"/>
        </w:rPr>
        <w:t xml:space="preserve">همچنين از اين ظرف در سپاه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Style w:val="FootnoteAnchor"/>
          <w:rtl w:val="true"/>
        </w:rPr>
        <w:footnoteReference w:id="1677"/>
      </w:r>
      <w:bookmarkStart w:id="1947" w:name="pg1964_19937"/>
    </w:p>
    <w:p>
      <w:pPr>
        <w:pStyle w:val="Heading4"/>
        <w:numPr>
          <w:ilvl w:val="3"/>
          <w:numId w:val="1"/>
        </w:numPr>
        <w:rPr/>
      </w:pPr>
      <w:bookmarkStart w:id="1948" w:name="__RefHeading___Toc3586071_3650668749"/>
      <w:bookmarkStart w:id="1949" w:name="_Toc832"/>
      <w:bookmarkEnd w:id="1947"/>
      <w:bookmarkEnd w:id="1948"/>
      <w:r>
        <w:rPr>
          <w:rtl w:val="true"/>
        </w:rPr>
        <w:t>ش</w:t>
      </w:r>
      <w:r>
        <w:rPr>
          <w:rtl w:val="true"/>
        </w:rPr>
        <w:t xml:space="preserve">) </w:t>
      </w:r>
      <w:r>
        <w:rPr>
          <w:rtl w:val="true"/>
        </w:rPr>
        <w:t xml:space="preserve">قَسْ </w:t>
      </w:r>
      <w:r>
        <w:rPr>
          <w:rtl w:val="true"/>
        </w:rPr>
        <w:t>(</w:t>
      </w:r>
      <w:r>
        <w:rPr>
          <w:rtl w:val="true"/>
        </w:rPr>
        <w:t>قَسّه</w:t>
      </w:r>
      <w:r>
        <w:rPr>
          <w:rtl w:val="true"/>
        </w:rPr>
        <w:t>)</w:t>
      </w:r>
      <w:bookmarkEnd w:id="1949"/>
    </w:p>
    <w:p>
      <w:pPr>
        <w:pStyle w:val="BookText"/>
        <w:rPr/>
      </w:pPr>
      <w:r>
        <w:rPr>
          <w:rFonts w:ascii="IRNazanin" w:hAnsi="IRNazanin" w:eastAsia="IRNazanin"/>
          <w:color w:val="111111"/>
          <w:sz w:val="28"/>
          <w:sz w:val="28"/>
          <w:szCs w:val="28"/>
          <w:rtl w:val="true"/>
          <w:lang w:bidi="fa-IR"/>
        </w:rPr>
        <w:t>قسه در لغت به معناى مشك كوچك آمده است</w:t>
      </w:r>
      <w:r>
        <w:rPr>
          <w:rFonts w:eastAsia="IRNazanin" w:cs="IRNazanin"/>
          <w:color w:val="111111"/>
          <w:sz w:val="28"/>
          <w:szCs w:val="28"/>
          <w:rtl w:val="true"/>
          <w:lang w:bidi="fa-IR"/>
        </w:rPr>
        <w:t xml:space="preserve">. </w:t>
      </w:r>
      <w:r>
        <w:rPr>
          <w:rStyle w:val="FootnoteAnchor"/>
          <w:rtl w:val="true"/>
        </w:rPr>
        <w:footnoteReference w:id="1678"/>
      </w:r>
      <w:r>
        <w:rPr>
          <w:rFonts w:ascii="IRNazanin" w:hAnsi="IRNazanin" w:eastAsia="IRNazanin"/>
          <w:color w:val="111111"/>
          <w:sz w:val="28"/>
          <w:sz w:val="28"/>
          <w:szCs w:val="28"/>
          <w:rtl w:val="true"/>
          <w:lang w:bidi="fa-IR"/>
        </w:rPr>
        <w:t>از اين لغت در جريان شهادت عمار در جنگ صفين ياد شده است</w:t>
      </w:r>
      <w:r>
        <w:rPr>
          <w:rFonts w:eastAsia="IRNazanin" w:cs="IRNazanin"/>
          <w:color w:val="111111"/>
          <w:sz w:val="28"/>
          <w:szCs w:val="28"/>
          <w:rtl w:val="true"/>
          <w:lang w:bidi="fa-IR"/>
        </w:rPr>
        <w:t xml:space="preserve">. </w:t>
      </w:r>
      <w:r>
        <w:rPr>
          <w:rStyle w:val="FootnoteAnchor"/>
          <w:rtl w:val="true"/>
        </w:rPr>
        <w:footnoteReference w:id="1679"/>
      </w:r>
    </w:p>
    <w:p>
      <w:pPr>
        <w:pStyle w:val="Heading4"/>
        <w:numPr>
          <w:ilvl w:val="3"/>
          <w:numId w:val="1"/>
        </w:numPr>
        <w:rPr/>
      </w:pPr>
      <w:bookmarkStart w:id="1950" w:name="__RefHeading___Toc3586073_3650668749"/>
      <w:bookmarkStart w:id="1951" w:name="_Toc833"/>
      <w:bookmarkEnd w:id="1950"/>
      <w:r>
        <w:rPr>
          <w:rtl w:val="true"/>
        </w:rPr>
        <w:t>ت</w:t>
      </w:r>
      <w:r>
        <w:rPr>
          <w:rtl w:val="true"/>
        </w:rPr>
        <w:t xml:space="preserve">) </w:t>
      </w:r>
      <w:r>
        <w:rPr>
          <w:rtl w:val="true"/>
        </w:rPr>
        <w:t>قَصْعَه</w:t>
      </w:r>
      <w:bookmarkEnd w:id="1951"/>
    </w:p>
    <w:p>
      <w:pPr>
        <w:pStyle w:val="BookText"/>
        <w:rPr/>
      </w:pPr>
      <w:r>
        <w:rPr>
          <w:rFonts w:ascii="IRNazanin" w:hAnsi="IRNazanin" w:eastAsia="IRNazanin"/>
          <w:color w:val="111111"/>
          <w:sz w:val="28"/>
          <w:sz w:val="28"/>
          <w:szCs w:val="28"/>
          <w:rtl w:val="true"/>
          <w:lang w:bidi="fa-IR"/>
        </w:rPr>
        <w:t>قصعه كه جمع آن قِصاع مى‌باشد، كاسه‌اى بزرگ بود كه غذاى آن دست كم ده نفر را سير مى‌كرد</w:t>
      </w:r>
      <w:r>
        <w:rPr>
          <w:rFonts w:eastAsia="IRNazanin" w:cs="IRNazanin"/>
          <w:color w:val="111111"/>
          <w:sz w:val="28"/>
          <w:szCs w:val="28"/>
          <w:rtl w:val="true"/>
          <w:lang w:bidi="fa-IR"/>
        </w:rPr>
        <w:t xml:space="preserve">. </w:t>
      </w:r>
      <w:r>
        <w:rPr>
          <w:rStyle w:val="FootnoteAnchor"/>
          <w:rtl w:val="true"/>
        </w:rPr>
        <w:footnoteReference w:id="1680"/>
      </w:r>
      <w:r>
        <w:rPr>
          <w:rFonts w:ascii="Amiri" w:hAnsi="Amiri" w:eastAsia="Amiri" w:cs="Amiri"/>
          <w:color w:val="111111"/>
          <w:sz w:val="28"/>
          <w:sz w:val="28"/>
          <w:szCs w:val="28"/>
          <w:rtl w:val="true"/>
          <w:lang w:bidi="ar-SA"/>
        </w:rPr>
        <w:t xml:space="preserve">از اين ظرف در زمان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81"/>
      </w:r>
      <w:r>
        <w:rPr>
          <w:rFonts w:ascii="Amiri" w:hAnsi="Amiri" w:eastAsia="Amiri" w:cs="Amiri"/>
          <w:color w:val="111111"/>
          <w:sz w:val="28"/>
          <w:sz w:val="28"/>
          <w:szCs w:val="28"/>
          <w:rtl w:val="true"/>
          <w:lang w:bidi="ar-SA"/>
        </w:rPr>
        <w:t xml:space="preserve">و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 xml:space="preserve">. </w:t>
      </w:r>
      <w:r>
        <w:rPr>
          <w:rStyle w:val="FootnoteAnchor"/>
          <w:rtl w:val="true"/>
        </w:rPr>
        <w:footnoteReference w:id="1682"/>
      </w:r>
    </w:p>
    <w:p>
      <w:pPr>
        <w:pStyle w:val="Heading4"/>
        <w:numPr>
          <w:ilvl w:val="3"/>
          <w:numId w:val="1"/>
        </w:numPr>
        <w:rPr/>
      </w:pPr>
      <w:bookmarkStart w:id="1952" w:name="__RefHeading___Toc3586075_3650668749"/>
      <w:bookmarkStart w:id="1953" w:name="_Toc834"/>
      <w:bookmarkEnd w:id="1952"/>
      <w:r>
        <w:rPr>
          <w:rtl w:val="true"/>
        </w:rPr>
        <w:t>ث</w:t>
      </w:r>
      <w:r>
        <w:rPr>
          <w:rtl w:val="true"/>
        </w:rPr>
        <w:t xml:space="preserve">) </w:t>
      </w:r>
      <w:r>
        <w:rPr>
          <w:rtl w:val="true"/>
        </w:rPr>
        <w:t>قَعْب</w:t>
      </w:r>
      <w:bookmarkEnd w:id="1953"/>
    </w:p>
    <w:p>
      <w:pPr>
        <w:pStyle w:val="BookText"/>
        <w:rPr/>
      </w:pPr>
      <w:r>
        <w:rPr>
          <w:rFonts w:ascii="IRNazanin" w:hAnsi="IRNazanin" w:eastAsia="IRNazanin"/>
          <w:color w:val="111111"/>
          <w:sz w:val="28"/>
          <w:sz w:val="28"/>
          <w:szCs w:val="28"/>
          <w:rtl w:val="true"/>
          <w:lang w:bidi="fa-IR"/>
        </w:rPr>
        <w:t>كاسه‌اى كوچك و ساخته شده از چوب يا سفال بود كه براى سيراب كردن يك تا سه نفر كافى بود</w:t>
      </w:r>
      <w:r>
        <w:rPr>
          <w:rFonts w:eastAsia="IRNazanin" w:cs="IRNazanin"/>
          <w:color w:val="111111"/>
          <w:sz w:val="28"/>
          <w:szCs w:val="28"/>
          <w:rtl w:val="true"/>
          <w:lang w:bidi="fa-IR"/>
        </w:rPr>
        <w:t xml:space="preserve">. </w:t>
      </w:r>
      <w:r>
        <w:rPr>
          <w:rStyle w:val="FootnoteAnchor"/>
          <w:rtl w:val="true"/>
        </w:rPr>
        <w:footnoteReference w:id="1683"/>
      </w:r>
      <w:r>
        <w:rPr>
          <w:rFonts w:ascii="IRNazanin" w:hAnsi="IRNazanin" w:eastAsia="IRNazanin"/>
          <w:color w:val="111111"/>
          <w:sz w:val="28"/>
          <w:sz w:val="28"/>
          <w:szCs w:val="28"/>
          <w:rtl w:val="true"/>
          <w:lang w:bidi="fa-IR"/>
        </w:rPr>
        <w:t xml:space="preserve">از اين كاسه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Style w:val="FootnoteAnchor"/>
          <w:rtl w:val="true"/>
        </w:rPr>
        <w:footnoteReference w:id="1684"/>
      </w:r>
      <w:r>
        <w:rPr>
          <w:rFonts w:ascii="Amiri" w:hAnsi="Amiri" w:eastAsia="Amiri" w:cs="Amiri"/>
          <w:color w:val="111111"/>
          <w:sz w:val="28"/>
          <w:sz w:val="28"/>
          <w:szCs w:val="28"/>
          <w:rtl w:val="true"/>
          <w:lang w:bidi="ar-SA"/>
        </w:rPr>
        <w:t xml:space="preserve">و نيز در جهيزيه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1685"/>
      </w:r>
      <w:r>
        <w:rPr>
          <w:rFonts w:ascii="Amiri" w:hAnsi="Amiri" w:eastAsia="Amiri" w:cs="Amiri"/>
          <w:color w:val="111111"/>
          <w:sz w:val="28"/>
          <w:sz w:val="28"/>
          <w:szCs w:val="28"/>
          <w:rtl w:val="true"/>
          <w:lang w:bidi="ar-SA"/>
        </w:rPr>
        <w:t>ياد شده و در هر دو مورد، ظرف شير معرفى شده است</w:t>
      </w:r>
      <w:r>
        <w:rPr>
          <w:rFonts w:eastAsia="Amiri" w:cs="Amiri" w:ascii="Amiri" w:hAnsi="Amiri"/>
          <w:color w:val="111111"/>
          <w:sz w:val="28"/>
          <w:szCs w:val="28"/>
          <w:rtl w:val="true"/>
          <w:lang w:bidi="ar-SA"/>
        </w:rPr>
        <w:t>.</w:t>
      </w:r>
    </w:p>
    <w:p>
      <w:pPr>
        <w:pStyle w:val="Heading4"/>
        <w:numPr>
          <w:ilvl w:val="3"/>
          <w:numId w:val="1"/>
        </w:numPr>
        <w:rPr/>
      </w:pPr>
      <w:bookmarkStart w:id="1954" w:name="__RefHeading___Toc3586077_3650668749"/>
      <w:bookmarkStart w:id="1955" w:name="_Toc835"/>
      <w:bookmarkEnd w:id="1954"/>
      <w:r>
        <w:rPr>
          <w:rtl w:val="true"/>
        </w:rPr>
        <w:t>خ</w:t>
      </w:r>
      <w:r>
        <w:rPr>
          <w:rtl w:val="true"/>
        </w:rPr>
        <w:t xml:space="preserve">) </w:t>
      </w:r>
      <w:r>
        <w:rPr>
          <w:rtl w:val="true"/>
        </w:rPr>
        <w:t>قُلَّه</w:t>
      </w:r>
      <w:bookmarkEnd w:id="1955"/>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كوزه كوچك و بزرگ مى‌گفتند</w:t>
      </w:r>
      <w:r>
        <w:rPr>
          <w:rFonts w:eastAsia="IRNazanin" w:cs="IRNazanin"/>
          <w:color w:val="111111"/>
          <w:sz w:val="28"/>
          <w:szCs w:val="28"/>
          <w:rtl w:val="true"/>
          <w:lang w:bidi="fa-IR"/>
        </w:rPr>
        <w:t xml:space="preserve">. </w:t>
      </w:r>
      <w:r>
        <w:rPr>
          <w:rStyle w:val="FootnoteAnchor"/>
          <w:rtl w:val="true"/>
        </w:rPr>
        <w:footnoteReference w:id="1686"/>
      </w:r>
      <w:r>
        <w:rPr>
          <w:rFonts w:ascii="IRNazanin" w:hAnsi="IRNazanin" w:eastAsia="IRNazanin"/>
          <w:color w:val="111111"/>
          <w:sz w:val="28"/>
          <w:sz w:val="28"/>
          <w:szCs w:val="28"/>
          <w:rtl w:val="true"/>
          <w:lang w:bidi="fa-IR"/>
        </w:rPr>
        <w:t xml:space="preserve">از اين واژه هنگام آب دادن مسلم در قصر عبيدالله استفاده شده </w:t>
      </w:r>
      <w:r>
        <w:rPr>
          <w:rStyle w:val="FootnoteAnchor"/>
          <w:rtl w:val="true"/>
        </w:rPr>
        <w:footnoteReference w:id="1687"/>
      </w:r>
      <w:r>
        <w:rPr>
          <w:rFonts w:ascii="IRNazanin" w:hAnsi="IRNazanin" w:eastAsia="IRNazanin"/>
          <w:color w:val="111111"/>
          <w:sz w:val="28"/>
          <w:sz w:val="28"/>
          <w:szCs w:val="28"/>
          <w:rtl w:val="true"/>
          <w:lang w:bidi="fa-IR"/>
        </w:rPr>
        <w:t xml:space="preserve">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بارِدَه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كوزه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شده است كه احتمالاً آب را سرد نگه مى‌داشت</w:t>
      </w:r>
      <w:r>
        <w:rPr>
          <w:rFonts w:eastAsia="IRNazanin" w:cs="IRNazanin"/>
          <w:color w:val="111111"/>
          <w:sz w:val="28"/>
          <w:szCs w:val="28"/>
          <w:rtl w:val="true"/>
          <w:lang w:bidi="fa-IR"/>
        </w:rPr>
        <w:t>.</w:t>
      </w:r>
      <w:bookmarkStart w:id="1956" w:name="pg1964_19938"/>
    </w:p>
    <w:p>
      <w:pPr>
        <w:pStyle w:val="Heading4"/>
        <w:numPr>
          <w:ilvl w:val="3"/>
          <w:numId w:val="1"/>
        </w:numPr>
        <w:rPr/>
      </w:pPr>
      <w:bookmarkStart w:id="1957" w:name="__RefHeading___Toc3586079_3650668749"/>
      <w:bookmarkStart w:id="1958" w:name="_Toc836"/>
      <w:bookmarkEnd w:id="1956"/>
      <w:bookmarkEnd w:id="1957"/>
      <w:r>
        <w:rPr>
          <w:rtl w:val="true"/>
        </w:rPr>
        <w:t>ذ</w:t>
      </w:r>
      <w:r>
        <w:rPr>
          <w:rtl w:val="true"/>
        </w:rPr>
        <w:t xml:space="preserve">) </w:t>
      </w:r>
      <w:r>
        <w:rPr>
          <w:rtl w:val="true"/>
        </w:rPr>
        <w:t>قَوْصَرَه</w:t>
      </w:r>
      <w:bookmarkEnd w:id="1958"/>
    </w:p>
    <w:p>
      <w:pPr>
        <w:pStyle w:val="BookText"/>
        <w:rPr/>
      </w:pPr>
      <w:r>
        <w:rPr>
          <w:rFonts w:ascii="IRNazanin" w:hAnsi="IRNazanin" w:eastAsia="IRNazanin"/>
          <w:color w:val="111111"/>
          <w:sz w:val="28"/>
          <w:sz w:val="28"/>
          <w:szCs w:val="28"/>
          <w:rtl w:val="true"/>
          <w:lang w:bidi="fa-IR"/>
        </w:rPr>
        <w:t>به معناى جوال خرما و به ظرفى گفته مى‌شد كه از برگ خرما مى‌ساختند</w:t>
      </w:r>
      <w:r>
        <w:rPr>
          <w:rFonts w:eastAsia="IRNazanin" w:cs="IRNazanin"/>
          <w:color w:val="111111"/>
          <w:sz w:val="28"/>
          <w:szCs w:val="28"/>
          <w:rtl w:val="true"/>
          <w:lang w:bidi="fa-IR"/>
        </w:rPr>
        <w:t xml:space="preserve">. </w:t>
      </w:r>
      <w:r>
        <w:rPr>
          <w:rStyle w:val="FootnoteAnchor"/>
          <w:rtl w:val="true"/>
        </w:rPr>
        <w:footnoteReference w:id="1688"/>
      </w:r>
      <w:r>
        <w:rPr>
          <w:rFonts w:ascii="Amiri" w:hAnsi="Amiri" w:eastAsia="Amiri" w:cs="Amiri"/>
          <w:color w:val="111111"/>
          <w:sz w:val="28"/>
          <w:sz w:val="28"/>
          <w:szCs w:val="28"/>
          <w:rtl w:val="true"/>
          <w:lang w:bidi="ar-SA"/>
        </w:rPr>
        <w:t xml:space="preserve">در فارسى معادل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زنبيل خرما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Style w:val="FootnoteAnchor"/>
          <w:rtl w:val="true"/>
        </w:rPr>
        <w:footnoteReference w:id="1689"/>
      </w:r>
      <w:r>
        <w:rPr>
          <w:rFonts w:ascii="Amiri" w:hAnsi="Amiri" w:eastAsia="Amiri" w:cs="Amiri"/>
          <w:color w:val="111111"/>
          <w:sz w:val="28"/>
          <w:sz w:val="28"/>
          <w:szCs w:val="28"/>
          <w:rtl w:val="true"/>
          <w:lang w:bidi="ar-SA"/>
        </w:rPr>
        <w:t xml:space="preserve">از اين لفظ در زمان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 xml:space="preserve">. </w:t>
      </w:r>
      <w:r>
        <w:rPr>
          <w:rStyle w:val="FootnoteAnchor"/>
          <w:rtl w:val="true"/>
        </w:rPr>
        <w:footnoteReference w:id="1690"/>
      </w:r>
    </w:p>
    <w:p>
      <w:pPr>
        <w:pStyle w:val="Heading4"/>
        <w:numPr>
          <w:ilvl w:val="3"/>
          <w:numId w:val="1"/>
        </w:numPr>
        <w:rPr/>
      </w:pPr>
      <w:bookmarkStart w:id="1959" w:name="__RefHeading___Toc3586081_3650668749"/>
      <w:bookmarkStart w:id="1960" w:name="_Toc837"/>
      <w:bookmarkEnd w:id="1959"/>
      <w:r>
        <w:rPr>
          <w:rtl w:val="true"/>
        </w:rPr>
        <w:t>ض</w:t>
      </w:r>
      <w:r>
        <w:rPr>
          <w:rtl w:val="true"/>
        </w:rPr>
        <w:t xml:space="preserve">) </w:t>
      </w:r>
      <w:r>
        <w:rPr>
          <w:rtl w:val="true"/>
        </w:rPr>
        <w:t>كَأْس</w:t>
      </w:r>
      <w:bookmarkEnd w:id="1960"/>
    </w:p>
    <w:p>
      <w:pPr>
        <w:pStyle w:val="BookText"/>
        <w:rPr/>
      </w:pPr>
      <w:r>
        <w:rPr>
          <w:rFonts w:ascii="IRNazanin" w:hAnsi="IRNazanin" w:eastAsia="IRNazanin"/>
          <w:color w:val="111111"/>
          <w:sz w:val="28"/>
          <w:sz w:val="28"/>
          <w:szCs w:val="28"/>
          <w:rtl w:val="true"/>
          <w:lang w:bidi="fa-IR"/>
        </w:rPr>
        <w:t>اين لفظ به معناى كاسه، جام و پياله مى‌باشد و در قرآن نيز استعمال شده است</w:t>
      </w:r>
      <w:r>
        <w:rPr>
          <w:rFonts w:eastAsia="IRNazanin" w:cs="IRNazanin"/>
          <w:color w:val="111111"/>
          <w:sz w:val="28"/>
          <w:szCs w:val="28"/>
          <w:rtl w:val="true"/>
          <w:lang w:bidi="fa-IR"/>
        </w:rPr>
        <w:t xml:space="preserve">. </w:t>
      </w:r>
      <w:r>
        <w:rPr>
          <w:rStyle w:val="FootnoteAnchor"/>
          <w:rtl w:val="true"/>
        </w:rPr>
        <w:footnoteReference w:id="1691"/>
      </w:r>
    </w:p>
    <w:p>
      <w:pPr>
        <w:pStyle w:val="Heading4"/>
        <w:numPr>
          <w:ilvl w:val="3"/>
          <w:numId w:val="1"/>
        </w:numPr>
        <w:rPr/>
      </w:pPr>
      <w:bookmarkStart w:id="1961" w:name="__RefHeading___Toc3586083_3650668749"/>
      <w:bookmarkStart w:id="1962" w:name="_Toc838"/>
      <w:bookmarkEnd w:id="1961"/>
      <w:r>
        <w:rPr>
          <w:rtl w:val="true"/>
        </w:rPr>
        <w:t>ظ</w:t>
      </w:r>
      <w:r>
        <w:rPr>
          <w:rtl w:val="true"/>
        </w:rPr>
        <w:t xml:space="preserve">) </w:t>
      </w:r>
      <w:r>
        <w:rPr>
          <w:rtl w:val="true"/>
        </w:rPr>
        <w:t>كُوب</w:t>
      </w:r>
      <w:bookmarkEnd w:id="1962"/>
    </w:p>
    <w:p>
      <w:pPr>
        <w:pStyle w:val="BookText"/>
        <w:rPr/>
      </w:pPr>
      <w:r>
        <w:rPr>
          <w:rFonts w:ascii="Amiri" w:hAnsi="Amiri" w:eastAsia="Amiri" w:cs="Amiri"/>
          <w:color w:val="111111"/>
          <w:sz w:val="28"/>
          <w:sz w:val="28"/>
          <w:szCs w:val="28"/>
          <w:rtl w:val="true"/>
          <w:lang w:bidi="ar-SA"/>
        </w:rPr>
        <w:t>به معناى كوزه بدون دسته است و در شرح حال جاهليت از آن ياد شده است</w:t>
      </w:r>
      <w:r>
        <w:rPr>
          <w:rFonts w:eastAsia="Amiri" w:cs="Amiri" w:ascii="Amiri" w:hAnsi="Amiri"/>
          <w:color w:val="111111"/>
          <w:sz w:val="28"/>
          <w:szCs w:val="28"/>
          <w:rtl w:val="true"/>
          <w:lang w:bidi="ar-SA"/>
        </w:rPr>
        <w:t xml:space="preserve">. </w:t>
      </w:r>
      <w:r>
        <w:rPr>
          <w:rStyle w:val="FootnoteAnchor"/>
          <w:rtl w:val="true"/>
        </w:rPr>
        <w:footnoteReference w:id="1692"/>
      </w:r>
      <w:r>
        <w:rPr>
          <w:rFonts w:ascii="Amiri" w:hAnsi="Amiri" w:eastAsia="Amiri" w:cs="Amiri"/>
          <w:color w:val="111111"/>
          <w:sz w:val="28"/>
          <w:sz w:val="28"/>
          <w:szCs w:val="28"/>
          <w:rtl w:val="true"/>
          <w:lang w:bidi="ar-SA"/>
        </w:rPr>
        <w:t xml:space="preserve">در قرآن نيز اين لفظ به صورت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به‌كار رفته است</w:t>
      </w:r>
      <w:r>
        <w:rPr>
          <w:rFonts w:eastAsia="Amiri" w:cs="Amiri" w:ascii="Amiri" w:hAnsi="Amiri"/>
          <w:color w:val="111111"/>
          <w:sz w:val="28"/>
          <w:szCs w:val="28"/>
          <w:rtl w:val="true"/>
          <w:lang w:bidi="ar-SA"/>
        </w:rPr>
        <w:t xml:space="preserve">. </w:t>
      </w:r>
      <w:r>
        <w:rPr>
          <w:rStyle w:val="FootnoteAnchor"/>
          <w:rtl w:val="true"/>
        </w:rPr>
        <w:footnoteReference w:id="1693"/>
      </w:r>
    </w:p>
    <w:p>
      <w:pPr>
        <w:pStyle w:val="Heading4"/>
        <w:numPr>
          <w:ilvl w:val="3"/>
          <w:numId w:val="1"/>
        </w:numPr>
        <w:rPr/>
      </w:pPr>
      <w:bookmarkStart w:id="1963" w:name="__RefHeading___Toc3586085_3650668749"/>
      <w:bookmarkStart w:id="1964" w:name="_Toc839"/>
      <w:bookmarkEnd w:id="1963"/>
      <w:r>
        <w:rPr>
          <w:rtl w:val="true"/>
        </w:rPr>
        <w:t>غ</w:t>
      </w:r>
      <w:r>
        <w:rPr>
          <w:rtl w:val="true"/>
        </w:rPr>
        <w:t xml:space="preserve">) </w:t>
      </w:r>
      <w:r>
        <w:rPr>
          <w:rtl w:val="true"/>
        </w:rPr>
        <w:t>كَوْز</w:t>
      </w:r>
      <w:bookmarkEnd w:id="196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معناى مطلق كوزه است كه معمولاً از سفال ساخته مى‌شد و براى خنك نگهداشتن آب مورد استفاده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در مورد جهيزيه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كيزان خَزَف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كوزه‌هاى سفالين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به‌كار رفته است</w:t>
      </w:r>
      <w:r>
        <w:rPr>
          <w:rFonts w:eastAsia="IRNazanin" w:cs="IRNazanin"/>
          <w:color w:val="111111"/>
          <w:sz w:val="28"/>
          <w:szCs w:val="28"/>
          <w:rtl w:val="true"/>
          <w:lang w:bidi="fa-IR"/>
        </w:rPr>
        <w:t xml:space="preserve">. </w:t>
      </w:r>
      <w:r>
        <w:rPr>
          <w:rStyle w:val="FootnoteAnchor"/>
          <w:rtl w:val="true"/>
        </w:rPr>
        <w:footnoteReference w:id="1694"/>
      </w:r>
      <w:r>
        <w:rPr>
          <w:rFonts w:ascii="Amiri" w:hAnsi="Amiri" w:eastAsia="Amiri" w:cs="Amiri"/>
          <w:color w:val="111111"/>
          <w:sz w:val="28"/>
          <w:sz w:val="28"/>
          <w:szCs w:val="28"/>
          <w:rtl w:val="true"/>
          <w:lang w:bidi="ar-SA"/>
        </w:rPr>
        <w:t>در بخش معمارى تصوير بعضى از كوزه‌هاى به دست آمده از حفارى‌هاى دارالاماره آمده است</w:t>
      </w:r>
      <w:r>
        <w:rPr>
          <w:rFonts w:eastAsia="Amiri" w:cs="Amiri" w:ascii="Amiri" w:hAnsi="Amiri"/>
          <w:color w:val="111111"/>
          <w:sz w:val="28"/>
          <w:szCs w:val="28"/>
          <w:rtl w:val="true"/>
          <w:lang w:bidi="ar-SA"/>
        </w:rPr>
        <w:t>.</w:t>
      </w:r>
      <w:bookmarkStart w:id="1965" w:name="pg1964_19939"/>
    </w:p>
    <w:p>
      <w:pPr>
        <w:pStyle w:val="Heading4"/>
        <w:numPr>
          <w:ilvl w:val="3"/>
          <w:numId w:val="1"/>
        </w:numPr>
        <w:rPr/>
      </w:pPr>
      <w:bookmarkStart w:id="1966" w:name="__RefHeading___Toc3586087_3650668749"/>
      <w:bookmarkStart w:id="1967" w:name="_Toc840"/>
      <w:bookmarkEnd w:id="1965"/>
      <w:bookmarkEnd w:id="1966"/>
      <w:r>
        <w:rPr>
          <w:rtl w:val="true"/>
        </w:rPr>
        <w:t>اب</w:t>
      </w:r>
      <w:r>
        <w:rPr>
          <w:rtl w:val="true"/>
        </w:rPr>
        <w:t xml:space="preserve">) </w:t>
      </w:r>
      <w:r>
        <w:rPr>
          <w:rtl w:val="true"/>
        </w:rPr>
        <w:t>مِخْضَب</w:t>
      </w:r>
      <w:bookmarkEnd w:id="1967"/>
    </w:p>
    <w:p>
      <w:pPr>
        <w:pStyle w:val="BookText"/>
        <w:rPr/>
      </w:pPr>
      <w:r>
        <w:rPr>
          <w:rFonts w:ascii="IRNazanin" w:hAnsi="IRNazanin" w:eastAsia="IRNazanin"/>
          <w:color w:val="111111"/>
          <w:sz w:val="28"/>
          <w:sz w:val="28"/>
          <w:szCs w:val="28"/>
          <w:rtl w:val="true"/>
          <w:lang w:bidi="fa-IR"/>
        </w:rPr>
        <w:t>ظرف بزرگى همانند طشت و لگن بود كه زنان در رختشويى از آن استفاده مى‌كردند</w:t>
      </w:r>
      <w:r>
        <w:rPr>
          <w:rFonts w:eastAsia="IRNazanin" w:cs="IRNazanin"/>
          <w:color w:val="111111"/>
          <w:sz w:val="28"/>
          <w:szCs w:val="28"/>
          <w:rtl w:val="true"/>
          <w:lang w:bidi="fa-IR"/>
        </w:rPr>
        <w:t xml:space="preserve">. </w:t>
      </w:r>
      <w:r>
        <w:rPr>
          <w:rStyle w:val="FootnoteAnchor"/>
          <w:rtl w:val="true"/>
        </w:rPr>
        <w:footnoteReference w:id="1695"/>
      </w:r>
      <w:r>
        <w:rPr>
          <w:rFonts w:ascii="Amiri" w:hAnsi="Amiri" w:eastAsia="Amiri" w:cs="Amiri"/>
          <w:color w:val="111111"/>
          <w:sz w:val="28"/>
          <w:sz w:val="28"/>
          <w:szCs w:val="28"/>
          <w:rtl w:val="true"/>
          <w:lang w:bidi="ar-SA"/>
        </w:rPr>
        <w:t xml:space="preserve">اين ظرف نيز در جهيزيه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داشت</w:t>
      </w:r>
      <w:r>
        <w:rPr>
          <w:rFonts w:eastAsia="Amiri" w:cs="Amiri" w:ascii="Amiri" w:hAnsi="Amiri"/>
          <w:color w:val="111111"/>
          <w:sz w:val="28"/>
          <w:szCs w:val="28"/>
          <w:rtl w:val="true"/>
          <w:lang w:bidi="ar-SA"/>
        </w:rPr>
        <w:t xml:space="preserve">. </w:t>
      </w:r>
      <w:r>
        <w:rPr>
          <w:rStyle w:val="FootnoteAnchor"/>
          <w:rtl w:val="true"/>
        </w:rPr>
        <w:footnoteReference w:id="1696"/>
      </w:r>
    </w:p>
    <w:p>
      <w:pPr>
        <w:pStyle w:val="Heading4"/>
        <w:numPr>
          <w:ilvl w:val="3"/>
          <w:numId w:val="1"/>
        </w:numPr>
        <w:rPr/>
      </w:pPr>
      <w:bookmarkStart w:id="1968" w:name="__RefHeading___Toc3586089_3650668749"/>
      <w:bookmarkStart w:id="1969" w:name="_Toc841"/>
      <w:bookmarkEnd w:id="1968"/>
      <w:r>
        <w:rPr>
          <w:rtl w:val="true"/>
        </w:rPr>
        <w:t>اج</w:t>
      </w:r>
      <w:r>
        <w:rPr>
          <w:rtl w:val="true"/>
        </w:rPr>
        <w:t xml:space="preserve">) </w:t>
      </w:r>
      <w:r>
        <w:rPr>
          <w:rtl w:val="true"/>
        </w:rPr>
        <w:t xml:space="preserve">مِزْوَد </w:t>
      </w:r>
      <w:r>
        <w:rPr>
          <w:rtl w:val="true"/>
        </w:rPr>
        <w:t>(</w:t>
      </w:r>
      <w:r>
        <w:rPr>
          <w:rtl w:val="true"/>
        </w:rPr>
        <w:t>مِزْوَدَه</w:t>
      </w:r>
      <w:r>
        <w:rPr>
          <w:rtl w:val="true"/>
        </w:rPr>
        <w:t>)</w:t>
      </w:r>
      <w:bookmarkEnd w:id="1969"/>
    </w:p>
    <w:p>
      <w:pPr>
        <w:pStyle w:val="BookText"/>
        <w:rPr/>
      </w:pPr>
      <w:r>
        <w:rPr>
          <w:rFonts w:ascii="Amiri" w:hAnsi="Amiri" w:eastAsia="Amiri" w:cs="Amiri"/>
          <w:color w:val="111111"/>
          <w:sz w:val="28"/>
          <w:sz w:val="28"/>
          <w:szCs w:val="28"/>
          <w:rtl w:val="true"/>
          <w:lang w:bidi="ar-SA"/>
        </w:rPr>
        <w:t>ظرفى بود كه مسافر، توشه و زاد خود را در آن مى‌نهاد</w:t>
      </w:r>
      <w:r>
        <w:rPr>
          <w:rFonts w:eastAsia="Amiri" w:cs="Amiri" w:ascii="Amiri" w:hAnsi="Amiri"/>
          <w:color w:val="111111"/>
          <w:sz w:val="28"/>
          <w:szCs w:val="28"/>
          <w:rtl w:val="true"/>
          <w:lang w:bidi="ar-SA"/>
        </w:rPr>
        <w:t xml:space="preserve">. </w:t>
      </w:r>
      <w:r>
        <w:rPr>
          <w:rStyle w:val="FootnoteAnchor"/>
          <w:rtl w:val="true"/>
        </w:rPr>
        <w:footnoteReference w:id="1697"/>
      </w:r>
      <w:r>
        <w:rPr>
          <w:rFonts w:ascii="Amiri" w:hAnsi="Amiri" w:eastAsia="Amiri" w:cs="Amiri"/>
          <w:color w:val="111111"/>
          <w:sz w:val="28"/>
          <w:sz w:val="28"/>
          <w:szCs w:val="28"/>
          <w:rtl w:val="true"/>
          <w:lang w:bidi="ar-SA"/>
        </w:rPr>
        <w:t>از اين ظرف در زمان عمر ياد شده است</w:t>
      </w:r>
      <w:r>
        <w:rPr>
          <w:rFonts w:eastAsia="Amiri" w:cs="Amiri" w:ascii="Amiri" w:hAnsi="Amiri"/>
          <w:color w:val="111111"/>
          <w:sz w:val="28"/>
          <w:szCs w:val="28"/>
          <w:rtl w:val="true"/>
          <w:lang w:bidi="ar-SA"/>
        </w:rPr>
        <w:t xml:space="preserve">. </w:t>
      </w:r>
      <w:r>
        <w:rPr>
          <w:rStyle w:val="FootnoteAnchor"/>
          <w:rtl w:val="true"/>
        </w:rPr>
        <w:footnoteReference w:id="1698"/>
      </w:r>
    </w:p>
    <w:p>
      <w:pPr>
        <w:pStyle w:val="Heading4"/>
        <w:numPr>
          <w:ilvl w:val="3"/>
          <w:numId w:val="1"/>
        </w:numPr>
        <w:rPr/>
      </w:pPr>
      <w:bookmarkStart w:id="1970" w:name="__RefHeading___Toc3586091_3650668749"/>
      <w:bookmarkStart w:id="1971" w:name="_Toc842"/>
      <w:bookmarkEnd w:id="1970"/>
      <w:r>
        <w:rPr>
          <w:rtl w:val="true"/>
        </w:rPr>
        <w:t>اد</w:t>
      </w:r>
      <w:r>
        <w:rPr>
          <w:rtl w:val="true"/>
        </w:rPr>
        <w:t xml:space="preserve">) </w:t>
      </w:r>
      <w:r>
        <w:rPr>
          <w:rtl w:val="true"/>
        </w:rPr>
        <w:t>مزاده</w:t>
      </w:r>
      <w:bookmarkEnd w:id="1971"/>
    </w:p>
    <w:p>
      <w:pPr>
        <w:pStyle w:val="BookText"/>
        <w:rPr/>
      </w:pPr>
      <w:r>
        <w:rPr>
          <w:rFonts w:ascii="IRNazanin" w:hAnsi="IRNazanin" w:eastAsia="IRNazanin"/>
          <w:color w:val="111111"/>
          <w:sz w:val="28"/>
          <w:sz w:val="28"/>
          <w:szCs w:val="28"/>
          <w:rtl w:val="true"/>
          <w:lang w:bidi="fa-IR"/>
        </w:rPr>
        <w:t>به معناى مشك آب كه معمولاً از دو و نيم يا سه قطعه پوست ساخته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 استفاده مى‌شد</w:t>
      </w:r>
      <w:r>
        <w:rPr>
          <w:rFonts w:eastAsia="IRNazanin" w:cs="IRNazanin"/>
          <w:color w:val="111111"/>
          <w:sz w:val="28"/>
          <w:szCs w:val="28"/>
          <w:rtl w:val="true"/>
          <w:lang w:bidi="fa-IR"/>
        </w:rPr>
        <w:t xml:space="preserve">. </w:t>
      </w:r>
      <w:r>
        <w:rPr>
          <w:rStyle w:val="FootnoteAnchor"/>
          <w:rtl w:val="true"/>
        </w:rPr>
        <w:footnoteReference w:id="1699"/>
      </w:r>
    </w:p>
    <w:p>
      <w:pPr>
        <w:pStyle w:val="Heading4"/>
        <w:numPr>
          <w:ilvl w:val="3"/>
          <w:numId w:val="1"/>
        </w:numPr>
        <w:rPr/>
      </w:pPr>
      <w:bookmarkStart w:id="1972" w:name="__RefHeading___Toc3586093_3650668749"/>
      <w:bookmarkStart w:id="1973" w:name="_Toc843"/>
      <w:bookmarkEnd w:id="1972"/>
      <w:r>
        <w:rPr>
          <w:rtl w:val="true"/>
        </w:rPr>
        <w:t>اه</w:t>
      </w:r>
      <w:r>
        <w:rPr>
          <w:rtl w:val="true"/>
        </w:rPr>
        <w:t xml:space="preserve">) </w:t>
      </w:r>
      <w:r>
        <w:rPr>
          <w:rtl w:val="true"/>
        </w:rPr>
        <w:t>مَسْك</w:t>
      </w:r>
      <w:bookmarkEnd w:id="1973"/>
    </w:p>
    <w:p>
      <w:pPr>
        <w:pStyle w:val="BookText"/>
        <w:rPr/>
      </w:pPr>
      <w:r>
        <w:rPr>
          <w:rFonts w:ascii="IRNazanin" w:hAnsi="IRNazanin" w:eastAsia="IRNazanin"/>
          <w:color w:val="111111"/>
          <w:sz w:val="28"/>
          <w:sz w:val="28"/>
          <w:szCs w:val="28"/>
          <w:rtl w:val="true"/>
          <w:lang w:bidi="fa-IR"/>
        </w:rPr>
        <w:t>اين لغت همان مشك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مسك ابتدا به معناى هر نوع پوست حيوانى بود، اما بعدها به ظرف‌هايى كه از پوست حيوانات مى‌ساختند گفته شد</w:t>
      </w:r>
      <w:r>
        <w:rPr>
          <w:rFonts w:eastAsia="IRNazanin" w:cs="IRNazanin"/>
          <w:color w:val="111111"/>
          <w:sz w:val="28"/>
          <w:szCs w:val="28"/>
          <w:rtl w:val="true"/>
          <w:lang w:bidi="fa-IR"/>
        </w:rPr>
        <w:t xml:space="preserve">. </w:t>
      </w:r>
      <w:r>
        <w:rPr>
          <w:rStyle w:val="FootnoteAnchor"/>
          <w:rtl w:val="true"/>
        </w:rPr>
        <w:footnoteReference w:id="1700"/>
      </w:r>
      <w:r>
        <w:rPr>
          <w:rFonts w:ascii="Amiri" w:hAnsi="Amiri" w:eastAsia="Amiri" w:cs="Amiri"/>
          <w:color w:val="111111"/>
          <w:sz w:val="28"/>
          <w:sz w:val="28"/>
          <w:szCs w:val="28"/>
          <w:rtl w:val="true"/>
          <w:lang w:bidi="ar-SA"/>
        </w:rPr>
        <w:t>اين لغت در زمان مورد بحث بسيار به‌كار مى‌رفت</w:t>
      </w:r>
      <w:r>
        <w:rPr>
          <w:rFonts w:eastAsia="Amiri" w:cs="Amiri" w:ascii="Amiri" w:hAnsi="Amiri"/>
          <w:color w:val="111111"/>
          <w:sz w:val="28"/>
          <w:szCs w:val="28"/>
          <w:rtl w:val="true"/>
          <w:lang w:bidi="ar-SA"/>
        </w:rPr>
        <w:t>.</w:t>
      </w:r>
    </w:p>
    <w:p>
      <w:pPr>
        <w:pStyle w:val="Heading4"/>
        <w:numPr>
          <w:ilvl w:val="3"/>
          <w:numId w:val="1"/>
        </w:numPr>
        <w:rPr/>
      </w:pPr>
      <w:bookmarkStart w:id="1974" w:name="__RefHeading___Toc3586095_3650668749"/>
      <w:bookmarkStart w:id="1975" w:name="_Toc844"/>
      <w:bookmarkEnd w:id="1974"/>
      <w:r>
        <w:rPr>
          <w:rtl w:val="true"/>
        </w:rPr>
        <w:t>او</w:t>
      </w:r>
      <w:r>
        <w:rPr>
          <w:rtl w:val="true"/>
        </w:rPr>
        <w:t xml:space="preserve">) </w:t>
      </w:r>
      <w:r>
        <w:rPr>
          <w:rtl w:val="true"/>
        </w:rPr>
        <w:t>مِطْهَرَه</w:t>
      </w:r>
      <w:bookmarkEnd w:id="197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مطهره در لغت به معناى ظرفى كه با آن وضو و طهارت مى‌گيرند، استعمال شده است كه همان معناى آفتابه فارسى را تداعى مى‌كند</w:t>
      </w:r>
      <w:r>
        <w:rPr>
          <w:rFonts w:eastAsia="IRNazanin" w:cs="IRNazanin"/>
          <w:color w:val="111111"/>
          <w:sz w:val="28"/>
          <w:szCs w:val="28"/>
          <w:rtl w:val="true"/>
          <w:lang w:bidi="fa-IR"/>
        </w:rPr>
        <w:t xml:space="preserve">. </w:t>
      </w:r>
      <w:r>
        <w:rPr>
          <w:rStyle w:val="FootnoteAnchor"/>
          <w:rtl w:val="true"/>
        </w:rPr>
        <w:footnoteReference w:id="1701"/>
      </w:r>
      <w:r>
        <w:rPr>
          <w:rFonts w:ascii="Amiri" w:hAnsi="Amiri" w:eastAsia="Amiri" w:cs="Amiri"/>
          <w:color w:val="111111"/>
          <w:sz w:val="28"/>
          <w:sz w:val="28"/>
          <w:szCs w:val="28"/>
          <w:rtl w:val="true"/>
          <w:lang w:bidi="ar-SA"/>
        </w:rPr>
        <w:t>از اين لفظ در بيان اثاثيه</w:t>
      </w:r>
      <w:bookmarkStart w:id="1976" w:name="pg1964_19940"/>
    </w:p>
    <w:p>
      <w:pPr>
        <w:pStyle w:val="BookText"/>
        <w:rPr/>
      </w:pPr>
      <w:bookmarkEnd w:id="1976"/>
      <w:r>
        <w:rPr>
          <w:rFonts w:ascii="Amiri" w:hAnsi="Amiri" w:eastAsia="Amiri" w:cs="Amiri"/>
          <w:color w:val="111111"/>
          <w:sz w:val="28"/>
          <w:sz w:val="28"/>
          <w:szCs w:val="28"/>
          <w:rtl w:val="true"/>
          <w:lang w:bidi="ar-SA"/>
        </w:rPr>
        <w:t>مختصر سلمان فارسى ياد شده است</w:t>
      </w:r>
      <w:r>
        <w:rPr>
          <w:rFonts w:eastAsia="Amiri" w:cs="Amiri" w:ascii="Amiri" w:hAnsi="Amiri"/>
          <w:color w:val="111111"/>
          <w:sz w:val="28"/>
          <w:szCs w:val="28"/>
          <w:rtl w:val="true"/>
          <w:lang w:bidi="ar-SA"/>
        </w:rPr>
        <w:t xml:space="preserve">. </w:t>
      </w:r>
      <w:r>
        <w:rPr>
          <w:rStyle w:val="FootnoteAnchor"/>
          <w:rtl w:val="true"/>
        </w:rPr>
        <w:footnoteReference w:id="1702"/>
      </w:r>
      <w:r>
        <w:rPr>
          <w:rFonts w:ascii="IRNazanin" w:hAnsi="IRNazanin" w:eastAsia="IRNazanin"/>
          <w:color w:val="111111"/>
          <w:sz w:val="28"/>
          <w:sz w:val="28"/>
          <w:szCs w:val="28"/>
          <w:rtl w:val="true"/>
          <w:lang w:bidi="fa-IR"/>
        </w:rPr>
        <w:t xml:space="preserve">همچنين هنگام ياد كرد از جهيزيه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 مُزَفَّتَه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آفتابه قيراندود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به‌كار رفته است</w:t>
      </w:r>
      <w:r>
        <w:rPr>
          <w:rFonts w:eastAsia="IRNazanin" w:cs="IRNazanin"/>
          <w:color w:val="111111"/>
          <w:sz w:val="28"/>
          <w:szCs w:val="28"/>
          <w:rtl w:val="true"/>
          <w:lang w:bidi="fa-IR"/>
        </w:rPr>
        <w:t xml:space="preserve">. </w:t>
      </w:r>
      <w:r>
        <w:rPr>
          <w:rStyle w:val="FootnoteAnchor"/>
          <w:rtl w:val="true"/>
        </w:rPr>
        <w:footnoteReference w:id="1703"/>
      </w:r>
    </w:p>
    <w:p>
      <w:pPr>
        <w:pStyle w:val="Heading4"/>
        <w:numPr>
          <w:ilvl w:val="3"/>
          <w:numId w:val="1"/>
        </w:numPr>
        <w:rPr/>
      </w:pPr>
      <w:bookmarkStart w:id="1977" w:name="__RefHeading___Toc3586097_3650668749"/>
      <w:bookmarkStart w:id="1978" w:name="_Toc845"/>
      <w:bookmarkEnd w:id="1977"/>
      <w:r>
        <w:rPr>
          <w:rtl w:val="true"/>
        </w:rPr>
        <w:t>از</w:t>
      </w:r>
      <w:r>
        <w:rPr>
          <w:rtl w:val="true"/>
        </w:rPr>
        <w:t xml:space="preserve">) </w:t>
      </w:r>
      <w:r>
        <w:rPr>
          <w:rtl w:val="true"/>
        </w:rPr>
        <w:t>مِكْتَلْ</w:t>
      </w:r>
      <w:bookmarkEnd w:id="1978"/>
    </w:p>
    <w:p>
      <w:pPr>
        <w:pStyle w:val="BookText"/>
        <w:rPr/>
      </w:pPr>
      <w:r>
        <w:rPr>
          <w:rFonts w:ascii="IRNazanin" w:hAnsi="IRNazanin" w:eastAsia="IRNazanin"/>
          <w:color w:val="111111"/>
          <w:sz w:val="28"/>
          <w:sz w:val="28"/>
          <w:szCs w:val="28"/>
          <w:rtl w:val="true"/>
          <w:lang w:bidi="fa-IR"/>
        </w:rPr>
        <w:t>زنبيل بزرگى بود كه در آن خرما و انگور حمل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ظرف در زمان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كاربرد داشت</w:t>
      </w:r>
      <w:r>
        <w:rPr>
          <w:rFonts w:eastAsia="IRNazanin" w:cs="IRNazanin"/>
          <w:color w:val="111111"/>
          <w:sz w:val="28"/>
          <w:szCs w:val="28"/>
          <w:rtl w:val="true"/>
          <w:lang w:bidi="fa-IR"/>
        </w:rPr>
        <w:t xml:space="preserve">. </w:t>
      </w:r>
      <w:r>
        <w:rPr>
          <w:rStyle w:val="FootnoteAnchor"/>
          <w:rtl w:val="true"/>
        </w:rPr>
        <w:footnoteReference w:id="1704"/>
      </w:r>
    </w:p>
    <w:p>
      <w:pPr>
        <w:pStyle w:val="Heading4"/>
        <w:numPr>
          <w:ilvl w:val="3"/>
          <w:numId w:val="1"/>
        </w:numPr>
        <w:rPr/>
      </w:pPr>
      <w:bookmarkStart w:id="1979" w:name="__RefHeading___Toc3586099_3650668749"/>
      <w:bookmarkStart w:id="1980" w:name="_Toc846"/>
      <w:bookmarkEnd w:id="1979"/>
      <w:r>
        <w:rPr>
          <w:rtl w:val="true"/>
        </w:rPr>
        <w:t>اح</w:t>
      </w:r>
      <w:r>
        <w:rPr>
          <w:rtl w:val="true"/>
        </w:rPr>
        <w:t xml:space="preserve">) </w:t>
      </w:r>
      <w:r>
        <w:rPr>
          <w:rtl w:val="true"/>
        </w:rPr>
        <w:t>مِهْراس</w:t>
      </w:r>
      <w:bookmarkEnd w:id="1980"/>
    </w:p>
    <w:p>
      <w:pPr>
        <w:pStyle w:val="BookText"/>
        <w:rPr/>
      </w:pPr>
      <w:r>
        <w:rPr>
          <w:rFonts w:ascii="IRNazanin" w:hAnsi="IRNazanin" w:eastAsia="IRNazanin"/>
          <w:color w:val="111111"/>
          <w:sz w:val="28"/>
          <w:sz w:val="28"/>
          <w:szCs w:val="28"/>
          <w:rtl w:val="true"/>
          <w:lang w:bidi="fa-IR"/>
        </w:rPr>
        <w:t>هَرْس به معناى كوبيدن مى‌باشد و مهراس ظرفى سنگى بود كه در آن گندم، جو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مى‌كوبيدند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اوقات به عنوان ظرف آب وضو از آن استفاده مى‌كردند</w:t>
      </w:r>
      <w:r>
        <w:rPr>
          <w:rFonts w:eastAsia="IRNazanin" w:cs="IRNazanin"/>
          <w:color w:val="111111"/>
          <w:sz w:val="28"/>
          <w:szCs w:val="28"/>
          <w:rtl w:val="true"/>
          <w:lang w:bidi="fa-IR"/>
        </w:rPr>
        <w:t xml:space="preserve">. </w:t>
      </w:r>
      <w:r>
        <w:rPr>
          <w:rStyle w:val="FootnoteAnchor"/>
          <w:rtl w:val="true"/>
        </w:rPr>
        <w:footnoteReference w:id="1705"/>
      </w:r>
    </w:p>
    <w:p>
      <w:pPr>
        <w:pStyle w:val="Heading3"/>
        <w:numPr>
          <w:ilvl w:val="2"/>
          <w:numId w:val="1"/>
        </w:numPr>
        <w:rPr/>
      </w:pPr>
      <w:bookmarkStart w:id="1981" w:name="__RefHeading___Toc3586101_3650668749"/>
      <w:bookmarkStart w:id="1982" w:name="_Toc847"/>
      <w:bookmarkEnd w:id="1981"/>
      <w:r>
        <w:rPr/>
        <w:t>٩</w:t>
      </w:r>
      <w:r>
        <w:rPr>
          <w:rtl w:val="true"/>
        </w:rPr>
        <w:t xml:space="preserve">. </w:t>
      </w:r>
      <w:r>
        <w:rPr>
          <w:rtl w:val="true"/>
        </w:rPr>
        <w:t>دوستي</w:t>
      </w:r>
      <w:bookmarkEnd w:id="1982"/>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ظهور اسلام مبناى اصلى دوستى بين عرب‌ها، از چارچوب دوستى‌هاى درون قبيله‌اى كمتر فراتر مى‌رفت و تعصب قبيله‌اى يگانه‌محورى بود كه افراد را به هم پيوند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تعصب به‌گونه‌اى قوى بود كه افراد يك قبيله تا پاى جان براى حفظ آن تلاش مى‌كردند و حتى اگر فردى از قبيله‌اى نسبت به فردى از قبيله ديگر جنايتى مى‌كرد، از او در مقابل قبيله ديگر حمايت مى‌كردند؛ بدين ترتيب كه ابتدا حاضر به پرداخت خون‌بهاى مقتول مى‌شدند و در صورت عدم رضايت قبيله ديگر، كار به جنگ و خون‌ريزى مى‌كشيد، چنان‌كه بسيارى از جنگ‌هاى جاهليت به همين سبب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تعصبات قبيله‌اى براى فرد خارجى كه به قبيله ملحق مى‌شد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ياد مى‌شد نيز اجرا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با ظهور خود چارچوب قبيله‌اى را در نورديد و با شعار إِنَّمَا الْمُؤْمِنُونَ إِخْوَةٌ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برادر يك‌ديگرند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محورى عميق‌تر و بالاتر براى دوستى انتخاب كرد كه آن همانا ايمان به خدا و دين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بارزترين مصداق اين نوع دوستى را مى‌توان در عقد پيمان اخوّت بين مؤمنان در سال‌هاى اوليه استقرار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مشاهده كرد كه آن حضرت افراد مسلمان را از قبايل مختلف با يكديگر برادر نمود و بدين‌ترتيب، دوستى‌هاى والايى، همچون دوستى بين ابوذر و سلمان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وفات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دوستى‌ها و تعصبات قبيله‌اى مبناى روابط افراد شد و اين امر به خصوص با روى كار آمدن امويان در زمان عثمان و نيز در زمان معاويه شدت بيشترى به خود گرفت، گرچه دوستى‌ها بر مبناى محور اسلام و ايمان كاملاً از بين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زمان مورد بحث مى‌توان هر دو نوع دوستى را تصور كرد كه در زمان‌هاى مختلف شدت و ضعف در آنها پديد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مثال، اگر به تركيب سپاه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بنگريم، مشاهده خواهيم كرد كه رابطه افراد با يكديگر بر حول محور اسلام و دفاع از آن به رهبرى اهل‌بيت مى‌باشد و تنها چيزى كه به چشم نمى‌خورد، تعصبات قبيله‌اى است، اما در سپاه عمر بن سعد تشكّل افراد بر مبناى قبيله‌اى و دوستى آنها نيز بر همين مبناست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 حال اسلام براى اصل مسئله دوستى و نيز مبناى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خدا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فراوانى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مى‌توان از فراوانى الفاظ به‌كار رفته در روايات براى انواع دوستى و آشنايى دريافت؛ الفاظى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مراتب مختلف دوستى و رفاقت به‌كار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روايات فراوانى در مورد لزوم دوستى و اهميت آن، حقوق دوستان، كيفيت رفتار با دوستان، انواع دوست، كسانى كه نبايد با آنها دوست شد، دوستى در راه خدا و</w:t>
      </w:r>
      <w:r>
        <w:rPr>
          <w:rFonts w:eastAsia="IRNazanin" w:cs="IRNazanin"/>
          <w:color w:val="111111"/>
          <w:sz w:val="28"/>
          <w:szCs w:val="28"/>
          <w:rtl w:val="true"/>
          <w:lang w:bidi="fa-IR"/>
        </w:rPr>
        <w:t>. . .</w:t>
      </w:r>
      <w:bookmarkStart w:id="1983" w:name="pg1964_19942"/>
    </w:p>
    <w:p>
      <w:pPr>
        <w:pStyle w:val="BookText"/>
        <w:rPr/>
      </w:pPr>
      <w:bookmarkEnd w:id="1983"/>
      <w:r>
        <w:rPr>
          <w:rFonts w:ascii="IRNazanin" w:hAnsi="IRNazanin" w:eastAsia="IRNazanin"/>
          <w:color w:val="111111"/>
          <w:sz w:val="28"/>
          <w:sz w:val="28"/>
          <w:szCs w:val="28"/>
          <w:rtl w:val="true"/>
          <w:lang w:bidi="fa-IR"/>
        </w:rPr>
        <w:t xml:space="preserve">از زبان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w:t>
      </w:r>
      <w:r>
        <w:rPr>
          <w:rStyle w:val="FootnoteAnchor"/>
          <w:rtl w:val="true"/>
        </w:rPr>
        <w:footnoteReference w:id="1706"/>
      </w:r>
      <w:r>
        <w:rPr>
          <w:rFonts w:ascii="IRNazanin" w:hAnsi="IRNazanin" w:eastAsia="IRNazanin"/>
          <w:color w:val="111111"/>
          <w:sz w:val="28"/>
          <w:sz w:val="28"/>
          <w:szCs w:val="28"/>
          <w:rtl w:val="true"/>
          <w:lang w:bidi="fa-IR"/>
        </w:rPr>
        <w:t>كه به‌طور مسلم بسيارى از اين روايات به گوش مردم زمان مورد بحث در كوفه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از ميان آن همه روايات، تنها برخى از سفارش‌هاى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دلبندش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دوستى كه بعد از بازگشت از جنگ صفين آنها را بيان فرمود، يادآور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آن وادار كه هرگاه برادرت با تو قطع رابطه نمود تو به او بپيوندى و هنگام دورى نمودن او با او مهربانى و دوستى نمايى و هنگام بخل او بخشش نمايى و هنگام دورى نمودن او، خود را به او نزديك كنى و هنگام درشتى نمودنش با او نرمى كنى و هنگام بدكارى او، او را معذور 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طورى رفتار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انگار تو او را بنده و او بر تو صاحب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بپرهيز از اينكه اين‌گونه رفتارها را در غير مكان خود و يا در مورد كسانى‌كه لياقت ندارند، به جا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دشمنِ دوستت دوستى مكن كه در اين هنگام با دوست خود دشمنى كرده‌اى، و خيرخواهى خالص در باره برادرت داشته باش، خواه خيرخواهى و نصيحت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باشد يابد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اگر خواستى با دوست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 نمايى، پس جاى مقدارى از دوستيت را باقى بگذار كه آن دوست بتواند به آن بازگردد</w:t>
      </w:r>
      <w:r>
        <w:rPr>
          <w:rFonts w:eastAsia="IRNazanin" w:cs="IRNazanin"/>
          <w:color w:val="111111"/>
          <w:sz w:val="28"/>
          <w:szCs w:val="28"/>
          <w:rtl w:val="true"/>
          <w:lang w:bidi="fa-IR"/>
        </w:rPr>
        <w:t xml:space="preserve">. . . </w:t>
      </w:r>
      <w:r>
        <w:rPr>
          <w:rStyle w:val="FootnoteAnchor"/>
          <w:rtl w:val="true"/>
        </w:rPr>
        <w:footnoteReference w:id="1707"/>
      </w:r>
    </w:p>
    <w:p>
      <w:pPr>
        <w:pStyle w:val="Heading3"/>
        <w:numPr>
          <w:ilvl w:val="2"/>
          <w:numId w:val="1"/>
        </w:numPr>
        <w:rPr/>
      </w:pPr>
      <w:bookmarkStart w:id="1984" w:name="__RefHeading___Toc3586103_3650668749"/>
      <w:bookmarkStart w:id="1985" w:name="_Toc848"/>
      <w:bookmarkEnd w:id="1984"/>
      <w:r>
        <w:rPr/>
        <w:t>١٠</w:t>
      </w:r>
      <w:r>
        <w:rPr>
          <w:rtl w:val="true"/>
        </w:rPr>
        <w:t xml:space="preserve">. </w:t>
      </w:r>
      <w:r>
        <w:rPr>
          <w:rtl w:val="true"/>
        </w:rPr>
        <w:t>آرايش ظاهري زنان و مردان</w:t>
      </w:r>
      <w:bookmarkEnd w:id="1985"/>
    </w:p>
    <w:p>
      <w:pPr>
        <w:pStyle w:val="Heading4"/>
        <w:numPr>
          <w:ilvl w:val="3"/>
          <w:numId w:val="1"/>
        </w:numPr>
        <w:rPr/>
      </w:pPr>
      <w:bookmarkStart w:id="1986" w:name="__RefHeading___Toc3586105_3650668749"/>
      <w:bookmarkStart w:id="1987" w:name="_Toc849"/>
      <w:bookmarkEnd w:id="1986"/>
      <w:r>
        <w:rPr>
          <w:rtl w:val="true"/>
        </w:rPr>
        <w:t>اشاره</w:t>
      </w:r>
      <w:bookmarkEnd w:id="198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اسلام اهميت فراوانى به آرايش‌هاى مشروع زنان و مردان داده است و در احاديث فراوانى كه در آنها عنوان‌هاى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به‌كار رفته، انواع زينت‌ها و موارد مشروع آن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استفاده مسلمانان عموماً و</w:t>
      </w:r>
      <w:bookmarkStart w:id="1988" w:name="pg1964_19943"/>
    </w:p>
    <w:p>
      <w:pPr>
        <w:pStyle w:val="BookText"/>
        <w:rPr/>
      </w:pPr>
      <w:bookmarkEnd w:id="1988"/>
      <w:r>
        <w:rPr>
          <w:rFonts w:ascii="IRNazanin" w:hAnsi="IRNazanin" w:eastAsia="IRNazanin"/>
          <w:color w:val="111111"/>
          <w:sz w:val="28"/>
          <w:sz w:val="28"/>
          <w:szCs w:val="28"/>
          <w:rtl w:val="true"/>
          <w:lang w:bidi="fa-IR"/>
        </w:rPr>
        <w:t>مسلمانان كوفه در زمان مورد بحث از انواع آرايش‌ها امرى طبيعى مى‌نمايد، گرچه در بعضى موارد از مقدار مشروع آن تجاوز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ابتدا به ذكر آرايش‌هاى مشترك زنان و مردان پرداخته و آن‌گاه موارد اختصاصى هر يك ذكر خواهد شد</w:t>
      </w:r>
      <w:r>
        <w:rPr>
          <w:rFonts w:eastAsia="IRNazanin" w:cs="IRNazanin"/>
          <w:color w:val="111111"/>
          <w:sz w:val="28"/>
          <w:szCs w:val="28"/>
          <w:rtl w:val="true"/>
          <w:lang w:bidi="fa-IR"/>
        </w:rPr>
        <w:t>:</w:t>
      </w:r>
    </w:p>
    <w:p>
      <w:pPr>
        <w:pStyle w:val="Heading4"/>
        <w:numPr>
          <w:ilvl w:val="3"/>
          <w:numId w:val="1"/>
        </w:numPr>
        <w:rPr/>
      </w:pPr>
      <w:bookmarkStart w:id="1989" w:name="__RefHeading___Toc3586107_3650668749"/>
      <w:bookmarkStart w:id="1990" w:name="_Toc850"/>
      <w:bookmarkEnd w:id="1989"/>
      <w:r>
        <w:rPr>
          <w:rtl w:val="true"/>
        </w:rPr>
        <w:t>الف</w:t>
      </w:r>
      <w:r>
        <w:rPr>
          <w:rtl w:val="true"/>
        </w:rPr>
        <w:t xml:space="preserve">) </w:t>
      </w:r>
      <w:r>
        <w:rPr>
          <w:rtl w:val="true"/>
        </w:rPr>
        <w:t>آرايش‌ها و زينت‌هاي مشترك زنان و مردان</w:t>
      </w:r>
      <w:bookmarkEnd w:id="1990"/>
    </w:p>
    <w:p>
      <w:pPr>
        <w:pStyle w:val="Heading5"/>
        <w:numPr>
          <w:ilvl w:val="4"/>
          <w:numId w:val="1"/>
        </w:numPr>
        <w:rPr/>
      </w:pPr>
      <w:bookmarkStart w:id="1991" w:name="__RefHeading___Toc3586109_3650668749"/>
      <w:bookmarkStart w:id="1992" w:name="_Toc851"/>
      <w:bookmarkEnd w:id="1991"/>
      <w:r>
        <w:rPr>
          <w:rtl w:val="true"/>
        </w:rPr>
        <w:t>اشاره</w:t>
      </w:r>
      <w:bookmarkEnd w:id="1992"/>
    </w:p>
    <w:p>
      <w:pPr>
        <w:pStyle w:val="BookText"/>
        <w:rPr/>
      </w:pPr>
      <w:r>
        <w:rPr>
          <w:rFonts w:ascii="Amiri" w:hAnsi="Amiri" w:eastAsia="Amiri" w:cs="Amiri"/>
          <w:color w:val="111111"/>
          <w:sz w:val="28"/>
          <w:sz w:val="28"/>
          <w:szCs w:val="28"/>
          <w:rtl w:val="true"/>
          <w:lang w:bidi="ar-SA"/>
        </w:rPr>
        <w:t>زينت‌هايى كه در زمان مورد بحث به عنوان مواد زينتى مشترك از آن استفاده مى‌شد، عبارت بود از</w:t>
      </w:r>
      <w:r>
        <w:rPr>
          <w:rFonts w:eastAsia="Amiri" w:cs="Amiri" w:ascii="Amiri" w:hAnsi="Amiri"/>
          <w:color w:val="111111"/>
          <w:sz w:val="28"/>
          <w:szCs w:val="28"/>
          <w:rtl w:val="true"/>
          <w:lang w:bidi="ar-SA"/>
        </w:rPr>
        <w:t>:</w:t>
      </w:r>
    </w:p>
    <w:p>
      <w:pPr>
        <w:pStyle w:val="Heading5"/>
        <w:numPr>
          <w:ilvl w:val="4"/>
          <w:numId w:val="1"/>
        </w:numPr>
        <w:rPr/>
      </w:pPr>
      <w:bookmarkStart w:id="1993" w:name="__RefHeading___Toc3586111_3650668749"/>
      <w:bookmarkStart w:id="1994" w:name="_Toc852"/>
      <w:bookmarkEnd w:id="1993"/>
      <w:r>
        <w:rPr>
          <w:rtl w:val="true"/>
        </w:rPr>
        <w:t xml:space="preserve">يك </w:t>
      </w:r>
      <w:r>
        <w:rPr>
          <w:rtl w:val="true"/>
        </w:rPr>
        <w:t xml:space="preserve">- </w:t>
      </w:r>
      <w:r>
        <w:rPr>
          <w:rtl w:val="true"/>
        </w:rPr>
        <w:t>استعمال بوهاى خوش</w:t>
      </w:r>
      <w:bookmarkEnd w:id="1994"/>
    </w:p>
    <w:p>
      <w:pPr>
        <w:pStyle w:val="Heading6"/>
        <w:numPr>
          <w:ilvl w:val="5"/>
          <w:numId w:val="1"/>
        </w:numPr>
        <w:rPr/>
      </w:pPr>
      <w:bookmarkStart w:id="1995" w:name="__RefHeading___Toc3586113_3650668749"/>
      <w:bookmarkStart w:id="1996" w:name="_Toc853"/>
      <w:bookmarkEnd w:id="1995"/>
      <w:r>
        <w:rPr>
          <w:rtl w:val="true"/>
        </w:rPr>
        <w:t>اشاره</w:t>
      </w:r>
      <w:bookmarkEnd w:id="1996"/>
    </w:p>
    <w:p>
      <w:pPr>
        <w:pStyle w:val="BookText"/>
        <w:rPr/>
      </w:pPr>
      <w:r>
        <w:rPr>
          <w:rFonts w:ascii="Amiri" w:hAnsi="Amiri" w:eastAsia="Amiri" w:cs="Amiri"/>
          <w:color w:val="111111"/>
          <w:sz w:val="28"/>
          <w:sz w:val="28"/>
          <w:szCs w:val="28"/>
          <w:rtl w:val="true"/>
          <w:lang w:bidi="ar-SA"/>
        </w:rPr>
        <w:t>در زمان مورد بحث زنان و مردان براى خوشبو نمودن خود از موارد مختلفى استفاده مى‌كردند كه عبارت بود از</w:t>
      </w:r>
      <w:r>
        <w:rPr>
          <w:rFonts w:eastAsia="Amiri" w:cs="Amiri" w:ascii="Amiri" w:hAnsi="Amiri"/>
          <w:color w:val="111111"/>
          <w:sz w:val="28"/>
          <w:szCs w:val="28"/>
          <w:rtl w:val="true"/>
          <w:lang w:bidi="ar-SA"/>
        </w:rPr>
        <w:t>:</w:t>
      </w:r>
    </w:p>
    <w:p>
      <w:pPr>
        <w:pStyle w:val="Heading6"/>
        <w:numPr>
          <w:ilvl w:val="5"/>
          <w:numId w:val="1"/>
        </w:numPr>
        <w:rPr/>
      </w:pPr>
      <w:bookmarkStart w:id="1997" w:name="__RefHeading___Toc3586115_3650668749"/>
      <w:bookmarkStart w:id="1998" w:name="_Toc854"/>
      <w:bookmarkEnd w:id="1997"/>
      <w:r>
        <w:rPr>
          <w:rtl w:val="true"/>
        </w:rPr>
        <w:t xml:space="preserve">اول </w:t>
      </w:r>
      <w:r>
        <w:rPr>
          <w:rtl w:val="true"/>
        </w:rPr>
        <w:t xml:space="preserve">- </w:t>
      </w:r>
      <w:r>
        <w:rPr>
          <w:rtl w:val="true"/>
        </w:rPr>
        <w:t>عطر</w:t>
      </w:r>
      <w:bookmarkEnd w:id="1998"/>
    </w:p>
    <w:p>
      <w:pPr>
        <w:pStyle w:val="BookText"/>
        <w:rPr/>
      </w:pPr>
      <w:r>
        <w:rPr>
          <w:rFonts w:ascii="IRNazanin" w:hAnsi="IRNazanin" w:eastAsia="IRNazanin"/>
          <w:color w:val="111111"/>
          <w:sz w:val="28"/>
          <w:sz w:val="28"/>
          <w:szCs w:val="28"/>
          <w:rtl w:val="true"/>
          <w:lang w:bidi="fa-IR"/>
        </w:rPr>
        <w:t>در فصل‌هاى گذشته، مانند فصل اول و فصل چهارم به اين ماده خوشبو كننده و نيز انواع گل‌هايى كه از آن عطر مى‌گرفتند،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فقط از نوعى عطر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 كه در زمان مورد بحث به آن اشاره شده است</w:t>
      </w:r>
      <w:r>
        <w:rPr>
          <w:rFonts w:eastAsia="IRNazanin" w:cs="IRNazanin"/>
          <w:color w:val="111111"/>
          <w:sz w:val="28"/>
          <w:szCs w:val="28"/>
          <w:rtl w:val="true"/>
          <w:lang w:bidi="fa-IR"/>
        </w:rPr>
        <w:t xml:space="preserve">. </w:t>
      </w:r>
      <w:r>
        <w:rPr>
          <w:rStyle w:val="FootnoteAnchor"/>
          <w:rtl w:val="true"/>
        </w:rPr>
        <w:footnoteReference w:id="1708"/>
      </w:r>
      <w:r>
        <w:rPr>
          <w:rFonts w:ascii="IRNazanin" w:hAnsi="IRNazanin" w:eastAsia="IRNazanin"/>
          <w:color w:val="111111"/>
          <w:sz w:val="28"/>
          <w:sz w:val="28"/>
          <w:szCs w:val="28"/>
          <w:rtl w:val="true"/>
          <w:lang w:bidi="fa-IR"/>
        </w:rPr>
        <w:t xml:space="preserve">اين عطر از گياهى به نام گياه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گياه برگ‌هايى مركب، همانند برگ افاقى و گل‌هايى سفيد و قرمز دارد و گل‌هاى آن به شكل خوشه در انتهاى ساقه قرار دارند</w:t>
      </w:r>
      <w:r>
        <w:rPr>
          <w:rFonts w:eastAsia="IRNazanin" w:cs="IRNazanin"/>
          <w:color w:val="111111"/>
          <w:sz w:val="28"/>
          <w:szCs w:val="28"/>
          <w:rtl w:val="true"/>
          <w:lang w:bidi="fa-IR"/>
        </w:rPr>
        <w:t xml:space="preserve">. </w:t>
      </w:r>
      <w:r>
        <w:rPr>
          <w:rStyle w:val="FootnoteAnchor"/>
          <w:rtl w:val="true"/>
        </w:rPr>
        <w:footnoteReference w:id="1709"/>
      </w:r>
    </w:p>
    <w:p>
      <w:pPr>
        <w:pStyle w:val="Heading6"/>
        <w:numPr>
          <w:ilvl w:val="5"/>
          <w:numId w:val="1"/>
        </w:numPr>
        <w:rPr/>
      </w:pPr>
      <w:bookmarkStart w:id="1999" w:name="__RefHeading___Toc3586117_3650668749"/>
      <w:bookmarkStart w:id="2000" w:name="_Toc855"/>
      <w:bookmarkEnd w:id="1999"/>
      <w:r>
        <w:rPr>
          <w:rtl w:val="true"/>
        </w:rPr>
        <w:t xml:space="preserve">دوم </w:t>
      </w:r>
      <w:r>
        <w:rPr>
          <w:rtl w:val="true"/>
        </w:rPr>
        <w:t xml:space="preserve">- </w:t>
      </w:r>
      <w:r>
        <w:rPr>
          <w:rtl w:val="true"/>
        </w:rPr>
        <w:t>گياهان خوشبو</w:t>
      </w:r>
      <w:bookmarkEnd w:id="2000"/>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اين گياهان خوشبو عبارت بودند از</w:t>
      </w:r>
      <w:r>
        <w:rPr>
          <w:rFonts w:eastAsia="IRNazanin" w:cs="IRNazanin"/>
          <w:color w:val="111111"/>
          <w:sz w:val="28"/>
          <w:szCs w:val="28"/>
          <w:rtl w:val="true"/>
          <w:lang w:bidi="fa-IR"/>
        </w:rPr>
        <w:t>:</w:t>
      </w:r>
      <w:bookmarkStart w:id="2001" w:name="pg1964_19944"/>
    </w:p>
    <w:p>
      <w:pPr>
        <w:pStyle w:val="BookText"/>
        <w:rPr/>
      </w:pPr>
      <w:bookmarkEnd w:id="200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سُنْبُل </w:t>
      </w:r>
      <w:r>
        <w:rPr>
          <w:rStyle w:val="FootnoteAnchor"/>
          <w:rtl w:val="true"/>
        </w:rPr>
        <w:footnoteReference w:id="1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گياهى است با جام و كاسه رنگين و گل‌هاى بنفش خوشه‌اى دارد و چون زود گل مى‌دهد وگلش زيبا و خوش‌رنگ و خوش بوست، مورد توجه بوده و جزء گياهان مرغوب زينتى است</w:t>
      </w:r>
      <w:r>
        <w:rPr>
          <w:rFonts w:eastAsia="IRNazanin" w:cs="IRNazanin"/>
          <w:color w:val="111111"/>
          <w:sz w:val="28"/>
          <w:szCs w:val="28"/>
          <w:rtl w:val="true"/>
          <w:lang w:bidi="fa-IR"/>
        </w:rPr>
        <w:t xml:space="preserve">. </w:t>
      </w:r>
      <w:r>
        <w:rPr>
          <w:rStyle w:val="FootnoteAnchor"/>
          <w:rtl w:val="true"/>
        </w:rPr>
        <w:footnoteReference w:id="17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قُرُتْفُل </w:t>
      </w:r>
      <w:r>
        <w:rPr>
          <w:rStyle w:val="FootnoteAnchor"/>
          <w:rtl w:val="true"/>
        </w:rPr>
        <w:footnoteReference w:id="1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گياهى است يك‌ساله با برگ‌هاى كشيده و گل‌هاى قرمز يا صورتى و گل‌هاى آن به صورت دسته‌اى در انتهاى ساقه قرار دارد</w:t>
      </w:r>
      <w:r>
        <w:rPr>
          <w:rFonts w:eastAsia="IRNazanin" w:cs="IRNazanin"/>
          <w:color w:val="111111"/>
          <w:sz w:val="28"/>
          <w:szCs w:val="28"/>
          <w:rtl w:val="true"/>
          <w:lang w:bidi="fa-IR"/>
        </w:rPr>
        <w:t xml:space="preserve">. </w:t>
      </w:r>
      <w:r>
        <w:rPr>
          <w:rStyle w:val="FootnoteAnchor"/>
          <w:rtl w:val="true"/>
        </w:rPr>
        <w:footnoteReference w:id="17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زعفران</w:t>
      </w:r>
      <w:r>
        <w:rPr>
          <w:rFonts w:eastAsia="IRNazanin" w:cs="IRNazanin"/>
          <w:color w:val="111111"/>
          <w:sz w:val="28"/>
          <w:szCs w:val="28"/>
          <w:rtl w:val="true"/>
          <w:lang w:bidi="fa-IR"/>
        </w:rPr>
        <w:t xml:space="preserve">. </w:t>
      </w:r>
      <w:r>
        <w:rPr>
          <w:rStyle w:val="FootnoteAnchor"/>
          <w:rtl w:val="true"/>
        </w:rPr>
        <w:footnoteReference w:id="17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 </w:t>
      </w:r>
      <w:r>
        <w:rPr>
          <w:rStyle w:val="FootnoteAnchor"/>
          <w:rtl w:val="true"/>
        </w:rPr>
        <w:footnoteReference w:id="1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وارد شده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مشك استفاده فراوان مى‌كرد</w:t>
      </w:r>
      <w:r>
        <w:rPr>
          <w:rFonts w:eastAsia="IRNazanin" w:cs="IRNazanin"/>
          <w:color w:val="111111"/>
          <w:sz w:val="28"/>
          <w:szCs w:val="28"/>
          <w:rtl w:val="true"/>
          <w:lang w:bidi="fa-IR"/>
        </w:rPr>
        <w:t xml:space="preserve">. </w:t>
      </w:r>
      <w:r>
        <w:rPr>
          <w:rStyle w:val="FootnoteAnchor"/>
          <w:rtl w:val="true"/>
        </w:rPr>
        <w:footnoteReference w:id="17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عَنْبَر</w:t>
      </w:r>
      <w:r>
        <w:rPr>
          <w:rFonts w:eastAsia="Amiri" w:cs="Amiri" w:ascii="Amiri" w:hAnsi="Amiri"/>
          <w:color w:val="111111"/>
          <w:sz w:val="28"/>
          <w:szCs w:val="28"/>
          <w:rtl w:val="true"/>
          <w:lang w:bidi="ar-SA"/>
        </w:rPr>
        <w:t xml:space="preserve">. </w:t>
      </w:r>
      <w:r>
        <w:rPr>
          <w:rStyle w:val="FootnoteAnchor"/>
          <w:rtl w:val="true"/>
        </w:rPr>
        <w:footnoteReference w:id="1717"/>
      </w:r>
    </w:p>
    <w:p>
      <w:pPr>
        <w:pStyle w:val="Heading5"/>
        <w:numPr>
          <w:ilvl w:val="4"/>
          <w:numId w:val="1"/>
        </w:numPr>
        <w:rPr/>
      </w:pPr>
      <w:bookmarkStart w:id="2002" w:name="__RefHeading___Toc3586119_3650668749"/>
      <w:bookmarkStart w:id="2003" w:name="_Toc856"/>
      <w:bookmarkEnd w:id="2002"/>
      <w:r>
        <w:rPr>
          <w:rtl w:val="true"/>
        </w:rPr>
        <w:t xml:space="preserve">دو </w:t>
      </w:r>
      <w:r>
        <w:rPr>
          <w:rtl w:val="true"/>
        </w:rPr>
        <w:t xml:space="preserve">- </w:t>
      </w:r>
      <w:r>
        <w:rPr>
          <w:rtl w:val="true"/>
        </w:rPr>
        <w:t>استعمال روغن‌هاى مختلف</w:t>
      </w:r>
      <w:bookmarkEnd w:id="2003"/>
    </w:p>
    <w:p>
      <w:pPr>
        <w:pStyle w:val="Heading6"/>
        <w:numPr>
          <w:ilvl w:val="5"/>
          <w:numId w:val="1"/>
        </w:numPr>
        <w:rPr/>
      </w:pPr>
      <w:bookmarkStart w:id="2004" w:name="__RefHeading___Toc3586121_3650668749"/>
      <w:bookmarkStart w:id="2005" w:name="_Toc857"/>
      <w:bookmarkEnd w:id="2004"/>
      <w:r>
        <w:rPr>
          <w:rtl w:val="true"/>
        </w:rPr>
        <w:t>اشاره</w:t>
      </w:r>
      <w:bookmarkEnd w:id="2005"/>
    </w:p>
    <w:p>
      <w:pPr>
        <w:pStyle w:val="BookText"/>
        <w:rPr/>
      </w:pPr>
      <w:r>
        <w:rPr>
          <w:rFonts w:ascii="IRNazanin" w:hAnsi="IRNazanin" w:eastAsia="IRNazanin"/>
          <w:color w:val="111111"/>
          <w:sz w:val="28"/>
          <w:sz w:val="28"/>
          <w:szCs w:val="28"/>
          <w:rtl w:val="true"/>
          <w:lang w:bidi="fa-IR"/>
        </w:rPr>
        <w:t>ظاهراً استعمال روغن به منظور نرم نگهداشتن مو و پوست بوده است، گرچه در بعضى موارد به منظور استفاده از بوى خوش آن نيز استعمال مى‌شده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اين روغن‌ها عبارت بودند از</w:t>
      </w:r>
      <w:r>
        <w:rPr>
          <w:rFonts w:eastAsia="Amiri" w:cs="Amiri" w:ascii="Amiri" w:hAnsi="Amiri"/>
          <w:color w:val="111111"/>
          <w:sz w:val="28"/>
          <w:szCs w:val="28"/>
          <w:rtl w:val="true"/>
          <w:lang w:bidi="ar-SA"/>
        </w:rPr>
        <w:t>:</w:t>
      </w:r>
    </w:p>
    <w:p>
      <w:pPr>
        <w:pStyle w:val="Heading6"/>
        <w:numPr>
          <w:ilvl w:val="5"/>
          <w:numId w:val="1"/>
        </w:numPr>
        <w:rPr/>
      </w:pPr>
      <w:bookmarkStart w:id="2006" w:name="__RefHeading___Toc3586123_3650668749"/>
      <w:bookmarkStart w:id="2007" w:name="_Toc858"/>
      <w:bookmarkEnd w:id="2006"/>
      <w:r>
        <w:rPr>
          <w:rtl w:val="true"/>
        </w:rPr>
        <w:t xml:space="preserve">اول </w:t>
      </w:r>
      <w:r>
        <w:rPr>
          <w:rtl w:val="true"/>
        </w:rPr>
        <w:t xml:space="preserve">- </w:t>
      </w:r>
      <w:r>
        <w:rPr>
          <w:rtl w:val="true"/>
        </w:rPr>
        <w:t>روغن بنفشه</w:t>
      </w:r>
      <w:bookmarkEnd w:id="200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روايت آمده است كه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روغن استفاده مى‌كرد </w:t>
      </w:r>
      <w:r>
        <w:rPr>
          <w:rStyle w:val="FootnoteAnchor"/>
          <w:rtl w:val="true"/>
        </w:rPr>
        <w:footnoteReference w:id="1718"/>
      </w:r>
      <w:r>
        <w:rPr>
          <w:rFonts w:ascii="IRNazanin" w:hAnsi="IRNazanin" w:eastAsia="IRNazanin"/>
          <w:color w:val="111111"/>
          <w:sz w:val="28"/>
          <w:sz w:val="28"/>
          <w:szCs w:val="28"/>
          <w:rtl w:val="true"/>
          <w:lang w:bidi="fa-IR"/>
        </w:rPr>
        <w:t xml:space="preserve">و نيز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استعمال آن سفارش مى‌نمود</w:t>
      </w:r>
      <w:r>
        <w:rPr>
          <w:rFonts w:eastAsia="IRNazanin" w:cs="IRNazanin"/>
          <w:color w:val="111111"/>
          <w:sz w:val="28"/>
          <w:szCs w:val="28"/>
          <w:rtl w:val="true"/>
          <w:lang w:bidi="fa-IR"/>
        </w:rPr>
        <w:t xml:space="preserve">. </w:t>
      </w:r>
      <w:r>
        <w:rPr>
          <w:rStyle w:val="FootnoteAnchor"/>
          <w:rtl w:val="true"/>
        </w:rPr>
        <w:footnoteReference w:id="1719"/>
      </w:r>
      <w:bookmarkStart w:id="2008" w:name="pg1964_19945"/>
    </w:p>
    <w:p>
      <w:pPr>
        <w:pStyle w:val="Heading6"/>
        <w:numPr>
          <w:ilvl w:val="5"/>
          <w:numId w:val="1"/>
        </w:numPr>
        <w:rPr/>
      </w:pPr>
      <w:bookmarkStart w:id="2009" w:name="__RefHeading___Toc3586125_3650668749"/>
      <w:bookmarkStart w:id="2010" w:name="_Toc859"/>
      <w:bookmarkEnd w:id="2008"/>
      <w:bookmarkEnd w:id="2009"/>
      <w:r>
        <w:rPr>
          <w:rtl w:val="true"/>
        </w:rPr>
        <w:t xml:space="preserve">دوم </w:t>
      </w:r>
      <w:r>
        <w:rPr>
          <w:rtl w:val="true"/>
        </w:rPr>
        <w:t xml:space="preserve">- </w:t>
      </w:r>
      <w:r>
        <w:rPr>
          <w:rtl w:val="true"/>
        </w:rPr>
        <w:t>روغن بان</w:t>
      </w:r>
      <w:bookmarkEnd w:id="2010"/>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 به استعمال اين روغن توصيه مى‌فرمود</w:t>
      </w:r>
      <w:r>
        <w:rPr>
          <w:rFonts w:eastAsia="Amiri" w:cs="Amiri" w:ascii="Amiri" w:hAnsi="Amiri"/>
          <w:color w:val="111111"/>
          <w:sz w:val="28"/>
          <w:szCs w:val="28"/>
          <w:rtl w:val="true"/>
          <w:lang w:bidi="ar-SA"/>
        </w:rPr>
        <w:t xml:space="preserve">. </w:t>
      </w:r>
      <w:r>
        <w:rPr>
          <w:rStyle w:val="FootnoteAnchor"/>
          <w:rtl w:val="true"/>
        </w:rPr>
        <w:footnoteReference w:id="1720"/>
      </w:r>
    </w:p>
    <w:p>
      <w:pPr>
        <w:pStyle w:val="Heading6"/>
        <w:numPr>
          <w:ilvl w:val="5"/>
          <w:numId w:val="1"/>
        </w:numPr>
        <w:rPr/>
      </w:pPr>
      <w:bookmarkStart w:id="2011" w:name="__RefHeading___Toc3586127_3650668749"/>
      <w:bookmarkStart w:id="2012" w:name="_Toc860"/>
      <w:bookmarkEnd w:id="2011"/>
      <w:r>
        <w:rPr>
          <w:rtl w:val="true"/>
        </w:rPr>
        <w:t xml:space="preserve">سوم </w:t>
      </w:r>
      <w:r>
        <w:rPr>
          <w:rtl w:val="true"/>
        </w:rPr>
        <w:t xml:space="preserve">- </w:t>
      </w:r>
      <w:r>
        <w:rPr>
          <w:rtl w:val="true"/>
        </w:rPr>
        <w:t xml:space="preserve">روغن زَنْبَق </w:t>
      </w:r>
      <w:r>
        <w:rPr>
          <w:rtl w:val="true"/>
        </w:rPr>
        <w:t>(</w:t>
      </w:r>
      <w:r>
        <w:rPr>
          <w:rtl w:val="true"/>
        </w:rPr>
        <w:t>زنبه</w:t>
      </w:r>
      <w:r>
        <w:rPr>
          <w:rtl w:val="true"/>
        </w:rPr>
        <w:t>)</w:t>
      </w:r>
      <w:bookmarkEnd w:id="2012"/>
    </w:p>
    <w:p>
      <w:pPr>
        <w:pStyle w:val="BookText"/>
        <w:rPr/>
      </w:pPr>
      <w:r>
        <w:rPr>
          <w:rFonts w:ascii="IRNazanin" w:hAnsi="IRNazanin" w:eastAsia="IRNazanin"/>
          <w:color w:val="111111"/>
          <w:sz w:val="28"/>
          <w:sz w:val="28"/>
          <w:szCs w:val="28"/>
          <w:rtl w:val="true"/>
          <w:lang w:bidi="fa-IR"/>
        </w:rPr>
        <w:t>اين روغن از گياهى كه گل‌هاى رنگين معطر و به رنگ آبى و بنفش و زرد و ساقه‌اى ساده داشت، گرفته مى‌شد</w:t>
      </w:r>
      <w:r>
        <w:rPr>
          <w:rFonts w:eastAsia="IRNazanin" w:cs="IRNazanin"/>
          <w:color w:val="111111"/>
          <w:sz w:val="28"/>
          <w:szCs w:val="28"/>
          <w:rtl w:val="true"/>
          <w:lang w:bidi="fa-IR"/>
        </w:rPr>
        <w:t xml:space="preserve">. </w:t>
      </w:r>
      <w:r>
        <w:rPr>
          <w:rStyle w:val="FootnoteAnchor"/>
          <w:rtl w:val="true"/>
        </w:rPr>
        <w:footnoteReference w:id="1721"/>
      </w:r>
      <w:r>
        <w:rPr>
          <w:rFonts w:ascii="IRNazanin" w:hAnsi="IRNazanin" w:eastAsia="IRNazanin"/>
          <w:color w:val="111111"/>
          <w:sz w:val="28"/>
          <w:sz w:val="28"/>
          <w:szCs w:val="28"/>
          <w:rtl w:val="true"/>
          <w:lang w:bidi="fa-IR"/>
        </w:rPr>
        <w:t xml:space="preserve">استعمال اين روغن از سوى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w:t>
      </w:r>
      <w:r>
        <w:rPr>
          <w:rFonts w:eastAsia="IRNazanin" w:cs="IRNazanin"/>
          <w:color w:val="111111"/>
          <w:sz w:val="28"/>
          <w:szCs w:val="28"/>
          <w:rtl w:val="true"/>
          <w:lang w:bidi="fa-IR"/>
        </w:rPr>
        <w:t xml:space="preserve">. </w:t>
      </w:r>
      <w:r>
        <w:rPr>
          <w:rStyle w:val="FootnoteAnchor"/>
          <w:rtl w:val="true"/>
        </w:rPr>
        <w:footnoteReference w:id="1722"/>
      </w:r>
    </w:p>
    <w:p>
      <w:pPr>
        <w:pStyle w:val="Heading6"/>
        <w:numPr>
          <w:ilvl w:val="5"/>
          <w:numId w:val="1"/>
        </w:numPr>
        <w:rPr/>
      </w:pPr>
      <w:bookmarkStart w:id="2013" w:name="__RefHeading___Toc3586129_3650668749"/>
      <w:bookmarkStart w:id="2014" w:name="_Toc861"/>
      <w:bookmarkEnd w:id="2013"/>
      <w:r>
        <w:rPr>
          <w:rtl w:val="true"/>
        </w:rPr>
        <w:t xml:space="preserve">چهارم </w:t>
      </w:r>
      <w:r>
        <w:rPr>
          <w:rtl w:val="true"/>
        </w:rPr>
        <w:t xml:space="preserve">- </w:t>
      </w:r>
      <w:r>
        <w:rPr>
          <w:rtl w:val="true"/>
        </w:rPr>
        <w:t>روغن كُنجد</w:t>
      </w:r>
      <w:bookmarkEnd w:id="2014"/>
    </w:p>
    <w:p>
      <w:pPr>
        <w:pStyle w:val="BookText"/>
        <w:rPr/>
      </w:pPr>
      <w:r>
        <w:rPr>
          <w:rFonts w:ascii="IRNazanin" w:hAnsi="IRNazanin" w:eastAsia="IRNazanin"/>
          <w:color w:val="111111"/>
          <w:sz w:val="28"/>
          <w:sz w:val="28"/>
          <w:szCs w:val="28"/>
          <w:rtl w:val="true"/>
          <w:lang w:bidi="fa-IR"/>
        </w:rPr>
        <w:t xml:space="preserve">در روايت چنين آمده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دچار سر درد مى‌شد از اين روغن استفاده مى‌كرد</w:t>
      </w:r>
      <w:r>
        <w:rPr>
          <w:rFonts w:eastAsia="IRNazanin" w:cs="IRNazanin"/>
          <w:color w:val="111111"/>
          <w:sz w:val="28"/>
          <w:szCs w:val="28"/>
          <w:rtl w:val="true"/>
          <w:lang w:bidi="fa-IR"/>
        </w:rPr>
        <w:t xml:space="preserve">. </w:t>
      </w:r>
      <w:r>
        <w:rPr>
          <w:rStyle w:val="FootnoteAnchor"/>
          <w:rtl w:val="true"/>
        </w:rPr>
        <w:footnoteReference w:id="1723"/>
      </w:r>
      <w:r>
        <w:rPr>
          <w:rFonts w:ascii="Amiri" w:hAnsi="Amiri" w:eastAsia="Amiri" w:cs="Amiri"/>
          <w:color w:val="111111"/>
          <w:sz w:val="28"/>
          <w:sz w:val="28"/>
          <w:szCs w:val="28"/>
          <w:rtl w:val="true"/>
          <w:lang w:bidi="ar-SA"/>
        </w:rPr>
        <w:t>البته اين روايت، استعمال دارويى آن را مشخص مى‌كند</w:t>
      </w:r>
      <w:r>
        <w:rPr>
          <w:rFonts w:eastAsia="Amiri" w:cs="Amiri" w:ascii="Amiri" w:hAnsi="Amiri"/>
          <w:color w:val="111111"/>
          <w:sz w:val="28"/>
          <w:szCs w:val="28"/>
          <w:rtl w:val="true"/>
          <w:lang w:bidi="ar-SA"/>
        </w:rPr>
        <w:t>.</w:t>
      </w:r>
    </w:p>
    <w:p>
      <w:pPr>
        <w:pStyle w:val="Heading5"/>
        <w:numPr>
          <w:ilvl w:val="4"/>
          <w:numId w:val="1"/>
        </w:numPr>
        <w:rPr/>
      </w:pPr>
      <w:bookmarkStart w:id="2015" w:name="__RefHeading___Toc3586131_3650668749"/>
      <w:bookmarkStart w:id="2016" w:name="_Toc862"/>
      <w:bookmarkEnd w:id="2015"/>
      <w:r>
        <w:rPr>
          <w:rtl w:val="true"/>
        </w:rPr>
        <w:t xml:space="preserve">سه </w:t>
      </w:r>
      <w:r>
        <w:rPr>
          <w:rtl w:val="true"/>
        </w:rPr>
        <w:t xml:space="preserve">- </w:t>
      </w:r>
      <w:r>
        <w:rPr>
          <w:rtl w:val="true"/>
        </w:rPr>
        <w:t>استعمال رنگ‌ها</w:t>
      </w:r>
      <w:bookmarkEnd w:id="2016"/>
    </w:p>
    <w:p>
      <w:pPr>
        <w:pStyle w:val="Heading6"/>
        <w:numPr>
          <w:ilvl w:val="5"/>
          <w:numId w:val="1"/>
        </w:numPr>
        <w:rPr/>
      </w:pPr>
      <w:bookmarkStart w:id="2017" w:name="__RefHeading___Toc3586133_3650668749"/>
      <w:bookmarkStart w:id="2018" w:name="_Toc863"/>
      <w:bookmarkEnd w:id="2017"/>
      <w:r>
        <w:rPr>
          <w:rtl w:val="true"/>
        </w:rPr>
        <w:t>اشاره</w:t>
      </w:r>
      <w:bookmarkEnd w:id="2018"/>
    </w:p>
    <w:p>
      <w:pPr>
        <w:pStyle w:val="BookText"/>
        <w:rPr/>
      </w:pPr>
      <w:r>
        <w:rPr>
          <w:rFonts w:ascii="IRNazanin" w:hAnsi="IRNazanin" w:eastAsia="IRNazanin"/>
          <w:color w:val="111111"/>
          <w:sz w:val="28"/>
          <w:sz w:val="28"/>
          <w:szCs w:val="28"/>
          <w:rtl w:val="true"/>
          <w:lang w:bidi="fa-IR"/>
        </w:rPr>
        <w:t>بعضى از موادى كه براى رنگ كردن مو و پوست مورد استفاده قرار مى‌گرفت عبارت بود از</w:t>
      </w:r>
      <w:r>
        <w:rPr>
          <w:rFonts w:eastAsia="IRNazanin" w:cs="IRNazanin"/>
          <w:color w:val="111111"/>
          <w:sz w:val="28"/>
          <w:szCs w:val="28"/>
          <w:rtl w:val="true"/>
          <w:lang w:bidi="fa-IR"/>
        </w:rPr>
        <w:t>:</w:t>
      </w:r>
    </w:p>
    <w:p>
      <w:pPr>
        <w:pStyle w:val="Heading6"/>
        <w:numPr>
          <w:ilvl w:val="5"/>
          <w:numId w:val="1"/>
        </w:numPr>
        <w:rPr/>
      </w:pPr>
      <w:bookmarkStart w:id="2019" w:name="__RefHeading___Toc3586135_3650668749"/>
      <w:bookmarkStart w:id="2020" w:name="_Toc864"/>
      <w:bookmarkEnd w:id="2019"/>
      <w:r>
        <w:rPr>
          <w:rtl w:val="true"/>
        </w:rPr>
        <w:t xml:space="preserve">اول </w:t>
      </w:r>
      <w:r>
        <w:rPr>
          <w:rtl w:val="true"/>
        </w:rPr>
        <w:t xml:space="preserve">- </w:t>
      </w:r>
      <w:r>
        <w:rPr>
          <w:rtl w:val="true"/>
        </w:rPr>
        <w:t>حناء</w:t>
      </w:r>
      <w:bookmarkEnd w:id="2020"/>
    </w:p>
    <w:p>
      <w:pPr>
        <w:pStyle w:val="BookText"/>
        <w:rPr/>
      </w:pPr>
      <w:r>
        <w:rPr>
          <w:rFonts w:ascii="IRNazanin" w:hAnsi="IRNazanin" w:eastAsia="IRNazanin"/>
          <w:color w:val="111111"/>
          <w:sz w:val="28"/>
          <w:sz w:val="28"/>
          <w:szCs w:val="28"/>
          <w:rtl w:val="true"/>
          <w:lang w:bidi="fa-IR"/>
        </w:rPr>
        <w:t>از اين ماده براى رنگ قرمز و خرمايى استفاده مى‌كردند</w:t>
      </w:r>
      <w:r>
        <w:rPr>
          <w:rFonts w:eastAsia="IRNazanin" w:cs="IRNazanin"/>
          <w:color w:val="111111"/>
          <w:sz w:val="28"/>
          <w:szCs w:val="28"/>
          <w:rtl w:val="true"/>
          <w:lang w:bidi="fa-IR"/>
        </w:rPr>
        <w:t xml:space="preserve">. </w:t>
      </w:r>
      <w:r>
        <w:rPr>
          <w:rStyle w:val="FootnoteAnchor"/>
          <w:rtl w:val="true"/>
        </w:rPr>
        <w:footnoteReference w:id="1724"/>
      </w:r>
    </w:p>
    <w:p>
      <w:pPr>
        <w:pStyle w:val="Heading6"/>
        <w:numPr>
          <w:ilvl w:val="5"/>
          <w:numId w:val="1"/>
        </w:numPr>
        <w:rPr/>
      </w:pPr>
      <w:bookmarkStart w:id="2021" w:name="__RefHeading___Toc3586137_3650668749"/>
      <w:bookmarkStart w:id="2022" w:name="_Toc865"/>
      <w:bookmarkEnd w:id="2021"/>
      <w:r>
        <w:rPr>
          <w:rtl w:val="true"/>
        </w:rPr>
        <w:t xml:space="preserve">دوم </w:t>
      </w:r>
      <w:r>
        <w:rPr>
          <w:rtl w:val="true"/>
        </w:rPr>
        <w:t xml:space="preserve">- </w:t>
      </w:r>
      <w:r>
        <w:rPr>
          <w:rtl w:val="true"/>
        </w:rPr>
        <w:t xml:space="preserve">وَسْمَه </w:t>
      </w:r>
      <w:r>
        <w:rPr>
          <w:rtl w:val="true"/>
        </w:rPr>
        <w:t>(</w:t>
      </w:r>
      <w:r>
        <w:rPr>
          <w:rtl w:val="true"/>
        </w:rPr>
        <w:t>كَتْم</w:t>
      </w:r>
      <w:r>
        <w:rPr>
          <w:rtl w:val="true"/>
        </w:rPr>
        <w:t>)</w:t>
      </w:r>
      <w:bookmarkEnd w:id="202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وسمه گياهى است دو ساله كه ارتفاعش تا يك متر مى‌رسد و گل‌هاى زرد رنگى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برگ‌هاى اين گياه، ماده رنگ‌كننده‌اى وجود دارد كه رنگ سبز مايل</w:t>
      </w:r>
      <w:bookmarkStart w:id="2023" w:name="pg1964_19946"/>
    </w:p>
    <w:p>
      <w:pPr>
        <w:pStyle w:val="BookText"/>
        <w:rPr/>
      </w:pPr>
      <w:bookmarkEnd w:id="2023"/>
      <w:r>
        <w:rPr>
          <w:rFonts w:ascii="Amiri" w:hAnsi="Amiri" w:eastAsia="Amiri" w:cs="Amiri"/>
          <w:color w:val="111111"/>
          <w:sz w:val="28"/>
          <w:sz w:val="28"/>
          <w:szCs w:val="28"/>
          <w:rtl w:val="true"/>
          <w:lang w:bidi="ar-SA"/>
        </w:rPr>
        <w:t>به آبى توليد مى‌كند</w:t>
      </w:r>
      <w:r>
        <w:rPr>
          <w:rFonts w:eastAsia="Amiri" w:cs="Amiri" w:ascii="Amiri" w:hAnsi="Amiri"/>
          <w:color w:val="111111"/>
          <w:sz w:val="28"/>
          <w:szCs w:val="28"/>
          <w:rtl w:val="true"/>
          <w:lang w:bidi="ar-SA"/>
        </w:rPr>
        <w:t xml:space="preserve">. </w:t>
      </w:r>
      <w:r>
        <w:rPr>
          <w:rStyle w:val="FootnoteAnchor"/>
          <w:rtl w:val="true"/>
        </w:rPr>
        <w:footnoteReference w:id="1725"/>
      </w:r>
      <w:r>
        <w:rPr>
          <w:rFonts w:ascii="IRNazanin" w:hAnsi="IRNazanin" w:eastAsia="IRNazanin"/>
          <w:color w:val="111111"/>
          <w:sz w:val="28"/>
          <w:sz w:val="28"/>
          <w:szCs w:val="28"/>
          <w:rtl w:val="true"/>
          <w:lang w:bidi="fa-IR"/>
        </w:rPr>
        <w:t xml:space="preserve">استعمال اين ماده رنگ‌كننده در روايات،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Style w:val="FootnoteAnchor"/>
          <w:rtl w:val="true"/>
        </w:rPr>
        <w:footnoteReference w:id="1726"/>
      </w:r>
    </w:p>
    <w:p>
      <w:pPr>
        <w:pStyle w:val="BookText"/>
        <w:rPr/>
      </w:pPr>
      <w:r>
        <w:rPr>
          <w:rFonts w:ascii="IRNazanin" w:hAnsi="IRNazanin" w:eastAsia="IRNazanin"/>
          <w:color w:val="111111"/>
          <w:sz w:val="28"/>
          <w:sz w:val="28"/>
          <w:szCs w:val="28"/>
          <w:rtl w:val="true"/>
          <w:lang w:bidi="fa-IR"/>
        </w:rPr>
        <w:t xml:space="preserve">در روايت چنين آمده است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به وسيله وسمه خضاب كرده بود</w:t>
      </w:r>
      <w:r>
        <w:rPr>
          <w:rFonts w:eastAsia="IRNazanin" w:cs="IRNazanin"/>
          <w:color w:val="111111"/>
          <w:sz w:val="28"/>
          <w:szCs w:val="28"/>
          <w:rtl w:val="true"/>
          <w:lang w:bidi="fa-IR"/>
        </w:rPr>
        <w:t xml:space="preserve">. </w:t>
      </w:r>
      <w:r>
        <w:rPr>
          <w:rStyle w:val="FootnoteAnchor"/>
          <w:rtl w:val="true"/>
        </w:rPr>
        <w:footnoteReference w:id="1727"/>
      </w:r>
      <w:r>
        <w:rPr>
          <w:rFonts w:ascii="IRNazanin" w:hAnsi="IRNazanin" w:eastAsia="IRNazanin"/>
          <w:color w:val="111111"/>
          <w:sz w:val="28"/>
          <w:sz w:val="28"/>
          <w:szCs w:val="28"/>
          <w:rtl w:val="true"/>
          <w:lang w:bidi="fa-IR"/>
        </w:rPr>
        <w:t xml:space="preserve">در بعضى روايات، خضاب نمودن با رنگ‌هاى مشكى و زرد نيز توصيه شده است </w:t>
      </w:r>
      <w:r>
        <w:rPr>
          <w:rStyle w:val="FootnoteAnchor"/>
          <w:rtl w:val="true"/>
        </w:rPr>
        <w:footnoteReference w:id="1728"/>
      </w:r>
      <w:r>
        <w:rPr>
          <w:rFonts w:ascii="IRNazanin" w:hAnsi="IRNazanin" w:eastAsia="IRNazanin"/>
          <w:color w:val="111111"/>
          <w:sz w:val="28"/>
          <w:sz w:val="28"/>
          <w:szCs w:val="28"/>
          <w:rtl w:val="true"/>
          <w:lang w:bidi="fa-IR"/>
        </w:rPr>
        <w:t>، گرچه ماده توليدكننده آن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بعضى از نوشته‌ها از زعفران براى توليد رنگ زرد و از كبريت براى توليد رنگ سفيد ياد شده است</w:t>
      </w:r>
      <w:r>
        <w:rPr>
          <w:rFonts w:eastAsia="IRNazanin" w:cs="IRNazanin"/>
          <w:color w:val="111111"/>
          <w:sz w:val="28"/>
          <w:szCs w:val="28"/>
          <w:rtl w:val="true"/>
          <w:lang w:bidi="fa-IR"/>
        </w:rPr>
        <w:t xml:space="preserve">. </w:t>
      </w:r>
      <w:r>
        <w:rPr>
          <w:rStyle w:val="FootnoteAnchor"/>
          <w:rtl w:val="true"/>
        </w:rPr>
        <w:footnoteReference w:id="1729"/>
      </w:r>
      <w:r>
        <w:rPr>
          <w:rFonts w:ascii="IRNazanin" w:hAnsi="IRNazanin" w:eastAsia="IRNazanin"/>
          <w:color w:val="111111"/>
          <w:sz w:val="28"/>
          <w:sz w:val="28"/>
          <w:szCs w:val="28"/>
          <w:rtl w:val="true"/>
          <w:lang w:bidi="fa-IR"/>
        </w:rPr>
        <w:t xml:space="preserve">در بعضى از كتاب‌هاى تاريخى در باره جرير بن عبدالله بَجَلى كه در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مى‌زيسته، آمده است كه به وسيله زعفران خضاب مى‌كرد</w:t>
      </w:r>
      <w:r>
        <w:rPr>
          <w:rFonts w:eastAsia="IRNazanin" w:cs="IRNazanin"/>
          <w:color w:val="111111"/>
          <w:sz w:val="28"/>
          <w:szCs w:val="28"/>
          <w:rtl w:val="true"/>
          <w:lang w:bidi="fa-IR"/>
        </w:rPr>
        <w:t xml:space="preserve">. </w:t>
      </w:r>
      <w:r>
        <w:rPr>
          <w:rStyle w:val="FootnoteAnchor"/>
          <w:rtl w:val="true"/>
        </w:rPr>
        <w:footnoteReference w:id="1730"/>
      </w:r>
      <w:r>
        <w:rPr>
          <w:rFonts w:ascii="IRNazanin" w:hAnsi="IRNazanin" w:eastAsia="IRNazanin"/>
          <w:color w:val="111111"/>
          <w:sz w:val="28"/>
          <w:sz w:val="28"/>
          <w:szCs w:val="28"/>
          <w:rtl w:val="true"/>
          <w:lang w:bidi="fa-IR"/>
        </w:rPr>
        <w:t>همچنين در باره عمر بن خطاب چنين وارد شده كه ريش خود را با رنگ زرد، و سر خود را با حناء خضاب مى‌كرد</w:t>
      </w:r>
      <w:r>
        <w:rPr>
          <w:rFonts w:eastAsia="IRNazanin" w:cs="IRNazanin"/>
          <w:color w:val="111111"/>
          <w:sz w:val="28"/>
          <w:szCs w:val="28"/>
          <w:rtl w:val="true"/>
          <w:lang w:bidi="fa-IR"/>
        </w:rPr>
        <w:t xml:space="preserve">. </w:t>
      </w:r>
      <w:r>
        <w:rPr>
          <w:rStyle w:val="FootnoteAnchor"/>
          <w:rtl w:val="true"/>
        </w:rPr>
        <w:footnoteReference w:id="1731"/>
      </w:r>
    </w:p>
    <w:p>
      <w:pPr>
        <w:pStyle w:val="Heading5"/>
        <w:numPr>
          <w:ilvl w:val="4"/>
          <w:numId w:val="1"/>
        </w:numPr>
        <w:rPr/>
      </w:pPr>
      <w:bookmarkStart w:id="2024" w:name="__RefHeading___Toc3586139_3650668749"/>
      <w:bookmarkStart w:id="2025" w:name="_Toc866"/>
      <w:bookmarkEnd w:id="2024"/>
      <w:r>
        <w:rPr>
          <w:rtl w:val="true"/>
        </w:rPr>
        <w:t xml:space="preserve">چهار </w:t>
      </w:r>
      <w:r>
        <w:rPr>
          <w:rtl w:val="true"/>
        </w:rPr>
        <w:t xml:space="preserve">- </w:t>
      </w:r>
      <w:r>
        <w:rPr>
          <w:rtl w:val="true"/>
        </w:rPr>
        <w:t>سرمه كشيدن</w:t>
      </w:r>
      <w:bookmarkEnd w:id="2025"/>
    </w:p>
    <w:p>
      <w:pPr>
        <w:pStyle w:val="Heading6"/>
        <w:numPr>
          <w:ilvl w:val="5"/>
          <w:numId w:val="1"/>
        </w:numPr>
        <w:rPr/>
      </w:pPr>
      <w:bookmarkStart w:id="2026" w:name="__RefHeading___Toc3586141_3650668749"/>
      <w:bookmarkStart w:id="2027" w:name="_Toc867"/>
      <w:bookmarkEnd w:id="2026"/>
      <w:r>
        <w:rPr>
          <w:rtl w:val="true"/>
        </w:rPr>
        <w:t>اشاره</w:t>
      </w:r>
      <w:bookmarkEnd w:id="2027"/>
    </w:p>
    <w:p>
      <w:pPr>
        <w:pStyle w:val="BookText"/>
        <w:rPr/>
      </w:pPr>
      <w:r>
        <w:rPr>
          <w:rFonts w:ascii="IRNazanin" w:hAnsi="IRNazanin" w:eastAsia="IRNazanin"/>
          <w:color w:val="111111"/>
          <w:sz w:val="28"/>
          <w:sz w:val="28"/>
          <w:szCs w:val="28"/>
          <w:rtl w:val="true"/>
          <w:lang w:bidi="fa-IR"/>
        </w:rPr>
        <w:t xml:space="preserve">سرمه كشيدن به چشم‌ها اختصاص به زنان نداشته، بلكه مردان نيز چنين مى‌كردند، چنان‌كه در روايات آمده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سرمه مى‌كشيد و سرمه او نوعى سرمه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732"/>
      </w:r>
    </w:p>
    <w:p>
      <w:pPr>
        <w:pStyle w:val="Heading6"/>
        <w:numPr>
          <w:ilvl w:val="5"/>
          <w:numId w:val="1"/>
        </w:numPr>
        <w:rPr/>
      </w:pPr>
      <w:bookmarkStart w:id="2028" w:name="__RefHeading___Toc3586143_3650668749"/>
      <w:bookmarkStart w:id="2029" w:name="_Toc868"/>
      <w:bookmarkEnd w:id="2028"/>
      <w:r>
        <w:rPr>
          <w:rtl w:val="true"/>
        </w:rPr>
        <w:t xml:space="preserve">پنج </w:t>
      </w:r>
      <w:r>
        <w:rPr>
          <w:rtl w:val="true"/>
        </w:rPr>
        <w:t xml:space="preserve">- </w:t>
      </w:r>
      <w:r>
        <w:rPr>
          <w:rtl w:val="true"/>
        </w:rPr>
        <w:t>آرايش موها</w:t>
      </w:r>
      <w:bookmarkEnd w:id="2029"/>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شانه نمودن موها معمول‌ترين آرايش موها بود كه در روايتى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فراوان شانه نمودن موها سفارش مى‌كرد</w:t>
      </w:r>
      <w:r>
        <w:rPr>
          <w:rFonts w:eastAsia="IRNazanin" w:cs="IRNazanin"/>
          <w:color w:val="111111"/>
          <w:sz w:val="28"/>
          <w:szCs w:val="28"/>
          <w:rtl w:val="true"/>
          <w:lang w:bidi="fa-IR"/>
        </w:rPr>
        <w:t xml:space="preserve">. </w:t>
      </w:r>
      <w:r>
        <w:rPr>
          <w:rStyle w:val="FootnoteAnchor"/>
          <w:rtl w:val="true"/>
        </w:rPr>
        <w:footnoteReference w:id="1733"/>
      </w:r>
      <w:r>
        <w:rPr>
          <w:rFonts w:ascii="Amiri" w:hAnsi="Amiri" w:eastAsia="Amiri" w:cs="Amiri"/>
          <w:color w:val="111111"/>
          <w:sz w:val="28"/>
          <w:sz w:val="28"/>
          <w:szCs w:val="28"/>
          <w:rtl w:val="true"/>
          <w:lang w:bidi="ar-SA"/>
        </w:rPr>
        <w:t>در روايات به بعضى از</w:t>
      </w:r>
      <w:bookmarkStart w:id="2030" w:name="pg1964_19947"/>
    </w:p>
    <w:p>
      <w:pPr>
        <w:pStyle w:val="BookText"/>
        <w:rPr/>
      </w:pPr>
      <w:bookmarkEnd w:id="2030"/>
      <w:r>
        <w:rPr>
          <w:rFonts w:ascii="Amiri" w:hAnsi="Amiri" w:eastAsia="Amiri" w:cs="Amiri"/>
          <w:color w:val="111111"/>
          <w:sz w:val="28"/>
          <w:sz w:val="28"/>
          <w:szCs w:val="28"/>
          <w:rtl w:val="true"/>
          <w:lang w:bidi="ar-SA"/>
        </w:rPr>
        <w:t>انواع شانه‌ها مانند شانه‌هايى كه از عاج يا استخوان فيل تهيه مى‌شد، اشاره شده است</w:t>
      </w:r>
      <w:r>
        <w:rPr>
          <w:rFonts w:eastAsia="Amiri" w:cs="Amiri" w:ascii="Amiri" w:hAnsi="Amiri"/>
          <w:color w:val="111111"/>
          <w:sz w:val="28"/>
          <w:szCs w:val="28"/>
          <w:rtl w:val="true"/>
          <w:lang w:bidi="ar-SA"/>
        </w:rPr>
        <w:t xml:space="preserve">. </w:t>
      </w:r>
      <w:r>
        <w:rPr>
          <w:rStyle w:val="FootnoteAnchor"/>
          <w:rtl w:val="true"/>
        </w:rPr>
        <w:footnoteReference w:id="1734"/>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خطاب به مردم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از مردان مو دارد يا بايد به خوبى از آن مواظبت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زيبا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آن را بچيند</w:t>
      </w:r>
      <w:r>
        <w:rPr>
          <w:rFonts w:eastAsia="IRNazanin" w:cs="IRNazanin"/>
          <w:color w:val="111111"/>
          <w:sz w:val="28"/>
          <w:szCs w:val="28"/>
          <w:rtl w:val="true"/>
          <w:lang w:bidi="fa-IR"/>
        </w:rPr>
        <w:t xml:space="preserve">» . </w:t>
      </w:r>
      <w:r>
        <w:rPr>
          <w:rStyle w:val="FootnoteAnchor"/>
          <w:rtl w:val="true"/>
        </w:rPr>
        <w:footnoteReference w:id="1735"/>
      </w:r>
    </w:p>
    <w:p>
      <w:pPr>
        <w:pStyle w:val="BookText"/>
        <w:rPr/>
      </w:pPr>
      <w:r>
        <w:rPr>
          <w:rFonts w:ascii="IRNazanin" w:hAnsi="IRNazanin" w:eastAsia="IRNazanin"/>
          <w:color w:val="111111"/>
          <w:sz w:val="28"/>
          <w:sz w:val="28"/>
          <w:szCs w:val="28"/>
          <w:rtl w:val="true"/>
          <w:lang w:bidi="fa-IR"/>
        </w:rPr>
        <w:t xml:space="preserve">زنان در بسيارى اوقات موهاى خود را مى‌بافتند كه به موهاى بافته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1736"/>
      </w:r>
      <w:r>
        <w:rPr>
          <w:rFonts w:ascii="IRNazanin" w:hAnsi="IRNazanin" w:eastAsia="IRNazanin"/>
          <w:color w:val="111111"/>
          <w:sz w:val="28"/>
          <w:sz w:val="28"/>
          <w:szCs w:val="28"/>
          <w:rtl w:val="true"/>
          <w:lang w:bidi="fa-IR"/>
        </w:rPr>
        <w:t>مردها نيز گاهى چنين مى‌كردند، چنان‌كه در باره هانى بن عروه چنين وارد شده است كه موهاى بافته‌اى در دو طرف سر خود داشت كه عبيدالله بن زياد آنها را در دست گرفته و با چوب به صورتش مى‌زد</w:t>
      </w:r>
      <w:r>
        <w:rPr>
          <w:rFonts w:eastAsia="IRNazanin" w:cs="IRNazanin"/>
          <w:color w:val="111111"/>
          <w:sz w:val="28"/>
          <w:szCs w:val="28"/>
          <w:rtl w:val="true"/>
          <w:lang w:bidi="fa-IR"/>
        </w:rPr>
        <w:t xml:space="preserve">. </w:t>
      </w:r>
      <w:r>
        <w:rPr>
          <w:rStyle w:val="FootnoteAnchor"/>
          <w:rtl w:val="true"/>
        </w:rPr>
        <w:footnoteReference w:id="1737"/>
      </w:r>
      <w:r>
        <w:rPr>
          <w:rFonts w:ascii="IRNazanin" w:hAnsi="IRNazanin" w:eastAsia="IRNazanin"/>
          <w:color w:val="111111"/>
          <w:sz w:val="28"/>
          <w:sz w:val="28"/>
          <w:szCs w:val="28"/>
          <w:rtl w:val="true"/>
          <w:lang w:bidi="fa-IR"/>
        </w:rPr>
        <w:t xml:space="preserve">گاهى نيز مردان و كودكان قسمتى از موى را كه نزديك پيشانى بود، باقى گذاشته و بقيه را مى‌تراشيدند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همچنين قسمتى را در وسط سر باقى گذاشته و بقيه را مى‌تراشيدند يا آنكه كوتاه مى‌كردند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حكومت خود، از هر دو عمل منع فرمود</w:t>
      </w:r>
      <w:r>
        <w:rPr>
          <w:rFonts w:eastAsia="IRNazanin" w:cs="IRNazanin"/>
          <w:color w:val="111111"/>
          <w:sz w:val="28"/>
          <w:szCs w:val="28"/>
          <w:rtl w:val="true"/>
          <w:lang w:bidi="fa-IR"/>
        </w:rPr>
        <w:t xml:space="preserve">. </w:t>
      </w:r>
      <w:r>
        <w:rPr>
          <w:rStyle w:val="FootnoteAnchor"/>
          <w:rtl w:val="true"/>
        </w:rPr>
        <w:footnoteReference w:id="1738"/>
      </w:r>
    </w:p>
    <w:p>
      <w:pPr>
        <w:pStyle w:val="Heading4"/>
        <w:numPr>
          <w:ilvl w:val="3"/>
          <w:numId w:val="1"/>
        </w:numPr>
        <w:rPr/>
      </w:pPr>
      <w:bookmarkStart w:id="2031" w:name="__RefHeading___Toc3586145_3650668749"/>
      <w:bookmarkStart w:id="2032" w:name="_Toc869"/>
      <w:bookmarkEnd w:id="2031"/>
      <w:r>
        <w:rPr>
          <w:rtl w:val="true"/>
        </w:rPr>
        <w:t>ب</w:t>
      </w:r>
      <w:r>
        <w:rPr>
          <w:rtl w:val="true"/>
        </w:rPr>
        <w:t xml:space="preserve">) </w:t>
      </w:r>
      <w:r>
        <w:rPr>
          <w:rtl w:val="true"/>
        </w:rPr>
        <w:t>زينت‌ها و آرايش‌هاى اختصاصي زنان</w:t>
      </w:r>
      <w:bookmarkEnd w:id="2032"/>
    </w:p>
    <w:p>
      <w:pPr>
        <w:pStyle w:val="BookText"/>
        <w:rPr/>
      </w:pPr>
      <w:r>
        <w:rPr>
          <w:rFonts w:ascii="IRNazanin" w:hAnsi="IRNazanin" w:eastAsia="IRNazanin"/>
          <w:color w:val="111111"/>
          <w:sz w:val="28"/>
          <w:sz w:val="28"/>
          <w:szCs w:val="28"/>
          <w:rtl w:val="true"/>
          <w:lang w:bidi="fa-IR"/>
        </w:rPr>
        <w:t>يكى از مهم‌ترين زينت‌هاى زنان پوشيدن لباس‌هاى حرير و ابريشم و لباس‌هاى زيبا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زنان از طلا و فلزهاى قيمتى مختلف در انواع و شكل‌هاى متفاوت استفاده مى‌كردند كه به بعضى از آنها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گردن‌بندهايى از مهره‌ها مى‌ساختند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لغت</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در اين مورد به‌كار مى‌بردند</w:t>
      </w:r>
      <w:r>
        <w:rPr>
          <w:rFonts w:eastAsia="Amiri" w:cs="Amiri" w:ascii="Amiri" w:hAnsi="Amiri"/>
          <w:color w:val="111111"/>
          <w:sz w:val="28"/>
          <w:szCs w:val="28"/>
          <w:rtl w:val="true"/>
          <w:lang w:bidi="ar-SA"/>
        </w:rPr>
        <w:t>.</w:t>
      </w:r>
      <w:bookmarkStart w:id="2033" w:name="pg1964_19948"/>
    </w:p>
    <w:p>
      <w:pPr>
        <w:pStyle w:val="BookText"/>
        <w:rPr/>
      </w:pPr>
      <w:bookmarkEnd w:id="2033"/>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بازوبند و دست‌بند، هر دو گفته مى‌شود</w:t>
      </w:r>
      <w:r>
        <w:rPr>
          <w:rFonts w:eastAsia="IRNazanin" w:cs="IRNazanin"/>
          <w:color w:val="111111"/>
          <w:sz w:val="28"/>
          <w:szCs w:val="28"/>
          <w:rtl w:val="true"/>
          <w:lang w:bidi="fa-IR"/>
        </w:rPr>
        <w:t xml:space="preserve">. </w:t>
      </w:r>
      <w:r>
        <w:rPr>
          <w:rStyle w:val="FootnoteAnchor"/>
          <w:rtl w:val="true"/>
        </w:rPr>
        <w:footnoteReference w:id="1739"/>
      </w:r>
    </w:p>
    <w:p>
      <w:pPr>
        <w:pStyle w:val="BookText"/>
        <w:rPr/>
      </w:pPr>
      <w:r>
        <w:rPr>
          <w:rFonts w:ascii="IRNazanin" w:hAnsi="IRNazanin" w:eastAsia="IRNazanin"/>
          <w:color w:val="111111"/>
          <w:sz w:val="28"/>
          <w:sz w:val="28"/>
          <w:szCs w:val="28"/>
          <w:rtl w:val="true"/>
          <w:lang w:bidi="fa-IR"/>
        </w:rPr>
        <w:t xml:space="preserve">در جريان كربلا چنين گفته شده است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دملج و النگو داشت كه از او گرفتند</w:t>
      </w:r>
      <w:r>
        <w:rPr>
          <w:rFonts w:eastAsia="IRNazanin" w:cs="IRNazanin"/>
          <w:color w:val="111111"/>
          <w:sz w:val="28"/>
          <w:szCs w:val="28"/>
          <w:rtl w:val="true"/>
          <w:lang w:bidi="fa-IR"/>
        </w:rPr>
        <w:t xml:space="preserve">. </w:t>
      </w:r>
      <w:r>
        <w:rPr>
          <w:rStyle w:val="FootnoteAnchor"/>
          <w:rtl w:val="true"/>
        </w:rPr>
        <w:footnoteReference w:id="1740"/>
      </w:r>
      <w:r>
        <w:rPr>
          <w:rFonts w:ascii="IRNazanin" w:hAnsi="IRNazanin" w:eastAsia="IRNazanin"/>
          <w:color w:val="111111"/>
          <w:sz w:val="28"/>
          <w:sz w:val="28"/>
          <w:szCs w:val="28"/>
          <w:rtl w:val="true"/>
          <w:lang w:bidi="fa-IR"/>
        </w:rPr>
        <w:t xml:space="preserve">به دست‌بند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1741"/>
      </w:r>
      <w:r>
        <w:rPr>
          <w:rFonts w:ascii="IRNazanin" w:hAnsi="IRNazanin" w:eastAsia="IRNazanin"/>
          <w:color w:val="111111"/>
          <w:sz w:val="28"/>
          <w:sz w:val="28"/>
          <w:szCs w:val="28"/>
          <w:rtl w:val="true"/>
          <w:lang w:bidi="fa-IR"/>
        </w:rPr>
        <w:t xml:space="preserve">در تاريخ چنين آمده است كه پسركى از لشكر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گوشواره نقره در گوشش بود </w:t>
      </w:r>
      <w:r>
        <w:rPr>
          <w:rStyle w:val="FootnoteAnchor"/>
          <w:rtl w:val="true"/>
        </w:rPr>
        <w:footnoteReference w:id="1742"/>
      </w:r>
      <w:r>
        <w:rPr>
          <w:rFonts w:ascii="IRNazanin" w:hAnsi="IRNazanin" w:eastAsia="IRNazanin"/>
          <w:color w:val="111111"/>
          <w:sz w:val="28"/>
          <w:sz w:val="28"/>
          <w:szCs w:val="28"/>
          <w:rtl w:val="true"/>
          <w:lang w:bidi="fa-IR"/>
        </w:rPr>
        <w:t>كه از اينجا مى‌توان استنباط كرد كه استفاده از گوشواره غير از جنس طلا براى پسران كوچك نيز مرسوم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حلقه‌اى بود كه زنان به مچ پاى خود آويزان مى‌كردند و در فارسى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برنجن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Style w:val="FootnoteAnchor"/>
          <w:rtl w:val="true"/>
        </w:rPr>
        <w:footnoteReference w:id="1743"/>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النگوهايى از جنس عاج يا گوش ماهى يا شاخ حيوانات درست مى‌كردند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1744"/>
      </w:r>
    </w:p>
    <w:p>
      <w:pPr>
        <w:pStyle w:val="BookText"/>
        <w:rPr/>
      </w:pPr>
      <w:r>
        <w:rPr>
          <w:rFonts w:ascii="IRNazanin" w:hAnsi="IRNazanin" w:eastAsia="IRNazanin"/>
          <w:color w:val="111111"/>
          <w:sz w:val="28"/>
          <w:sz w:val="28"/>
          <w:szCs w:val="28"/>
          <w:rtl w:val="true"/>
          <w:lang w:bidi="fa-IR"/>
        </w:rPr>
        <w:t xml:space="preserve">در بعضى نوشته‌ها از زبان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نقل شده است كه تمام زيبايى زن در كفش اوست </w:t>
      </w:r>
      <w:r>
        <w:rPr>
          <w:rStyle w:val="FootnoteAnchor"/>
          <w:rtl w:val="true"/>
        </w:rPr>
        <w:footnoteReference w:id="1745"/>
      </w:r>
      <w:r>
        <w:rPr>
          <w:rFonts w:ascii="Amiri" w:hAnsi="Amiri" w:eastAsia="Amiri" w:cs="Amiri"/>
          <w:color w:val="111111"/>
          <w:sz w:val="28"/>
          <w:sz w:val="28"/>
          <w:szCs w:val="28"/>
          <w:rtl w:val="true"/>
          <w:lang w:bidi="ar-SA"/>
        </w:rPr>
        <w:t>كه احتمالاً بر وجود كفش‌هاى زينتى زنان در زمان مورد بحث دلالت مى‌كند</w:t>
      </w:r>
      <w:r>
        <w:rPr>
          <w:rFonts w:eastAsia="Amiri" w:cs="Amiri" w:ascii="Amiri" w:hAnsi="Amiri"/>
          <w:color w:val="111111"/>
          <w:sz w:val="28"/>
          <w:szCs w:val="28"/>
          <w:rtl w:val="true"/>
          <w:lang w:bidi="ar-SA"/>
        </w:rPr>
        <w:t>.</w:t>
      </w:r>
    </w:p>
    <w:p>
      <w:pPr>
        <w:pStyle w:val="Heading4"/>
        <w:numPr>
          <w:ilvl w:val="3"/>
          <w:numId w:val="1"/>
        </w:numPr>
        <w:rPr/>
      </w:pPr>
      <w:bookmarkStart w:id="2034" w:name="__RefHeading___Toc3586147_3650668749"/>
      <w:bookmarkStart w:id="2035" w:name="_Toc870"/>
      <w:bookmarkEnd w:id="2034"/>
      <w:r>
        <w:rPr>
          <w:rtl w:val="true"/>
        </w:rPr>
        <w:t>ج</w:t>
      </w:r>
      <w:r>
        <w:rPr>
          <w:rtl w:val="true"/>
        </w:rPr>
        <w:t xml:space="preserve">) </w:t>
      </w:r>
      <w:r>
        <w:rPr>
          <w:rtl w:val="true"/>
        </w:rPr>
        <w:t>زينت‌ها و آرايش‌هاى اختصاصي مردان</w:t>
      </w:r>
      <w:bookmarkEnd w:id="2035"/>
    </w:p>
    <w:p>
      <w:pPr>
        <w:pStyle w:val="BookText"/>
        <w:rPr/>
      </w:pPr>
      <w:r>
        <w:rPr>
          <w:rFonts w:ascii="IRNazanin" w:hAnsi="IRNazanin" w:eastAsia="IRNazanin"/>
          <w:color w:val="111111"/>
          <w:sz w:val="28"/>
          <w:sz w:val="28"/>
          <w:szCs w:val="28"/>
          <w:rtl w:val="true"/>
          <w:lang w:bidi="fa-IR"/>
        </w:rPr>
        <w:t>مهم‌ترين و رايج‌ترين زينت مردان انگشتر بود كه در تاريخ سخن از انگشترهاى مختلف مردم زمان مورد بحث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انگشتر</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طبق سنت اسلامى كه از زمان</w:t>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مانده بود، از انگشتان دست راست براى گذاشتن انگشتر استفاده مى‌كردند</w:t>
      </w:r>
      <w:r>
        <w:rPr>
          <w:rFonts w:eastAsia="IRNazanin" w:cs="IRNazanin"/>
          <w:color w:val="111111"/>
          <w:sz w:val="28"/>
          <w:szCs w:val="28"/>
          <w:rtl w:val="true"/>
          <w:lang w:bidi="fa-IR"/>
        </w:rPr>
        <w:t xml:space="preserve">. </w:t>
      </w:r>
      <w:r>
        <w:rPr>
          <w:rStyle w:val="FootnoteAnchor"/>
          <w:rtl w:val="true"/>
        </w:rPr>
        <w:footnoteReference w:id="1746"/>
      </w:r>
      <w:r>
        <w:rPr>
          <w:rFonts w:ascii="IRNazanin" w:hAnsi="IRNazanin" w:eastAsia="IRNazanin"/>
          <w:color w:val="111111"/>
          <w:sz w:val="28"/>
          <w:sz w:val="28"/>
          <w:szCs w:val="28"/>
          <w:rtl w:val="true"/>
          <w:lang w:bidi="fa-IR"/>
        </w:rPr>
        <w:t>گفته شده است اولين كسى كه انگشتر به دست چپ گذاشت،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تا زمان عباسيان در مملكت رواج داشت</w:t>
      </w:r>
      <w:r>
        <w:rPr>
          <w:rFonts w:eastAsia="IRNazanin" w:cs="IRNazanin"/>
          <w:color w:val="111111"/>
          <w:sz w:val="28"/>
          <w:szCs w:val="28"/>
          <w:rtl w:val="true"/>
          <w:lang w:bidi="fa-IR"/>
        </w:rPr>
        <w:t xml:space="preserve">. </w:t>
      </w:r>
      <w:r>
        <w:rPr>
          <w:rStyle w:val="FootnoteAnchor"/>
          <w:rtl w:val="true"/>
        </w:rPr>
        <w:footnoteReference w:id="1747"/>
      </w:r>
    </w:p>
    <w:p>
      <w:pPr>
        <w:pStyle w:val="BookText"/>
        <w:rPr/>
      </w:pPr>
      <w:r>
        <w:rPr>
          <w:rFonts w:ascii="IRNazanin" w:hAnsi="IRNazanin" w:eastAsia="IRNazanin"/>
          <w:color w:val="111111"/>
          <w:sz w:val="28"/>
          <w:sz w:val="28"/>
          <w:szCs w:val="28"/>
          <w:rtl w:val="true"/>
          <w:lang w:bidi="fa-IR"/>
        </w:rPr>
        <w:t xml:space="preserve">در باره انگشتر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گفته شده است كه حلقه آن از نقره و نگين آن به رنگ مشكى بود</w:t>
      </w:r>
      <w:r>
        <w:rPr>
          <w:rFonts w:eastAsia="IRNazanin" w:cs="IRNazanin"/>
          <w:color w:val="111111"/>
          <w:sz w:val="28"/>
          <w:szCs w:val="28"/>
          <w:rtl w:val="true"/>
          <w:lang w:bidi="fa-IR"/>
        </w:rPr>
        <w:t xml:space="preserve">. </w:t>
      </w:r>
      <w:r>
        <w:rPr>
          <w:rStyle w:val="FootnoteAnchor"/>
          <w:rtl w:val="true"/>
        </w:rPr>
        <w:footnoteReference w:id="1748"/>
      </w:r>
      <w:r>
        <w:rPr>
          <w:rFonts w:ascii="IRNazanin" w:hAnsi="IRNazanin" w:eastAsia="IRNazanin"/>
          <w:color w:val="111111"/>
          <w:sz w:val="28"/>
          <w:sz w:val="28"/>
          <w:szCs w:val="28"/>
          <w:rtl w:val="true"/>
          <w:lang w:bidi="fa-IR"/>
        </w:rPr>
        <w:t xml:space="preserve">در باره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چنين آمده است كه چهار انگشتر داشت كه نگين‌هاى سه عدد از ياقوت، فيروزه و عقيق ساخته شده بود و انگشتر چهارم از آهن چينى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آمده بود</w:t>
      </w:r>
      <w:r>
        <w:rPr>
          <w:rFonts w:eastAsia="IRNazanin" w:cs="IRNazanin"/>
          <w:color w:val="111111"/>
          <w:sz w:val="28"/>
          <w:szCs w:val="28"/>
          <w:rtl w:val="true"/>
          <w:lang w:bidi="fa-IR"/>
        </w:rPr>
        <w:t xml:space="preserve">. </w:t>
      </w:r>
      <w:r>
        <w:rPr>
          <w:rStyle w:val="FootnoteAnchor"/>
          <w:rtl w:val="true"/>
        </w:rPr>
        <w:footnoteReference w:id="1749"/>
      </w:r>
      <w:r>
        <w:rPr>
          <w:rFonts w:ascii="IRNazanin" w:hAnsi="IRNazanin" w:eastAsia="IRNazanin"/>
          <w:color w:val="111111"/>
          <w:sz w:val="28"/>
          <w:sz w:val="28"/>
          <w:szCs w:val="28"/>
          <w:rtl w:val="true"/>
          <w:lang w:bidi="fa-IR"/>
        </w:rPr>
        <w:t>انگشتر ابن‌مسعود نيز از آهن بود</w:t>
      </w:r>
      <w:r>
        <w:rPr>
          <w:rFonts w:eastAsia="IRNazanin" w:cs="IRNazanin"/>
          <w:color w:val="111111"/>
          <w:sz w:val="28"/>
          <w:szCs w:val="28"/>
          <w:rtl w:val="true"/>
          <w:lang w:bidi="fa-IR"/>
        </w:rPr>
        <w:t xml:space="preserve">. </w:t>
      </w:r>
      <w:r>
        <w:rPr>
          <w:rStyle w:val="FootnoteAnchor"/>
          <w:rtl w:val="true"/>
        </w:rPr>
        <w:footnoteReference w:id="1750"/>
      </w:r>
      <w:r>
        <w:rPr>
          <w:rFonts w:ascii="IRNazanin" w:hAnsi="IRNazanin" w:eastAsia="IRNazanin"/>
          <w:color w:val="111111"/>
          <w:sz w:val="28"/>
          <w:sz w:val="28"/>
          <w:szCs w:val="28"/>
          <w:rtl w:val="true"/>
          <w:lang w:bidi="fa-IR"/>
        </w:rPr>
        <w:t>در باره نقش نگين انگشتر شريح قاضى چنين گفته شده است كه روى آن شيرى بين دو درخت تصوير شده بود</w:t>
      </w:r>
      <w:r>
        <w:rPr>
          <w:rFonts w:eastAsia="IRNazanin" w:cs="IRNazanin"/>
          <w:color w:val="111111"/>
          <w:sz w:val="28"/>
          <w:szCs w:val="28"/>
          <w:rtl w:val="true"/>
          <w:lang w:bidi="fa-IR"/>
        </w:rPr>
        <w:t xml:space="preserve">. </w:t>
      </w:r>
      <w:r>
        <w:rPr>
          <w:rStyle w:val="FootnoteAnchor"/>
          <w:rtl w:val="true"/>
        </w:rPr>
        <w:footnoteReference w:id="1751"/>
      </w:r>
    </w:p>
    <w:p>
      <w:pPr>
        <w:pStyle w:val="BookText"/>
        <w:rPr/>
      </w:pPr>
      <w:r>
        <w:rPr>
          <w:rFonts w:ascii="IRNazanin" w:hAnsi="IRNazanin" w:eastAsia="IRNazanin"/>
          <w:color w:val="111111"/>
          <w:sz w:val="28"/>
          <w:sz w:val="28"/>
          <w:szCs w:val="28"/>
          <w:rtl w:val="true"/>
          <w:lang w:bidi="fa-IR"/>
        </w:rPr>
        <w:t>گفتنى است در باره عثمان بن عفان چنين وارد شده كه دندان‌هاى خود را با طلا مى‌بست</w:t>
      </w:r>
      <w:r>
        <w:rPr>
          <w:rFonts w:eastAsia="IRNazanin" w:cs="IRNazanin"/>
          <w:color w:val="111111"/>
          <w:sz w:val="28"/>
          <w:szCs w:val="28"/>
          <w:rtl w:val="true"/>
          <w:lang w:bidi="fa-IR"/>
        </w:rPr>
        <w:t xml:space="preserve">. </w:t>
      </w:r>
      <w:r>
        <w:rPr>
          <w:rStyle w:val="FootnoteAnchor"/>
          <w:rtl w:val="true"/>
        </w:rPr>
        <w:footnoteReference w:id="1752"/>
      </w:r>
      <w:r>
        <w:rPr>
          <w:rFonts w:ascii="IRNazanin" w:hAnsi="IRNazanin" w:eastAsia="IRNazanin"/>
          <w:color w:val="111111"/>
          <w:sz w:val="28"/>
          <w:sz w:val="28"/>
          <w:szCs w:val="28"/>
          <w:rtl w:val="true"/>
          <w:lang w:bidi="fa-IR"/>
        </w:rPr>
        <w:t>اين سخن در باره هيچ‌يك از زنان زمان مورد بحث يافت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نوع زينت به ثروتمندانى، همچون عثمان اختصاص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آخر در باره زينت‌هاى مردان آنكه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جَمالِ الرَّجُلِ في كُمَّتِه </w:t>
      </w:r>
      <w:r>
        <w:rPr>
          <w:rFonts w:eastAsia="IRNazanin" w:cs="IRNazanin"/>
          <w:color w:val="111111"/>
          <w:sz w:val="28"/>
          <w:szCs w:val="28"/>
          <w:rtl w:val="true"/>
          <w:lang w:bidi="fa-IR"/>
        </w:rPr>
        <w:t xml:space="preserve">» </w:t>
      </w:r>
      <w:r>
        <w:rPr>
          <w:rStyle w:val="FootnoteAnchor"/>
          <w:rtl w:val="true"/>
        </w:rPr>
        <w:footnoteReference w:id="1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زيبايى مرد در كلاه گرد اوست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شايد از اين فرموده حضرت بتوان وجود كلاه‌هاى مخصوص زينتى را در زمان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مورد بحث استفاده كرد</w:t>
      </w:r>
      <w:r>
        <w:rPr>
          <w:rFonts w:eastAsia="Amiri" w:cs="Amiri" w:ascii="Amiri" w:hAnsi="Amiri"/>
          <w:color w:val="111111"/>
          <w:sz w:val="28"/>
          <w:szCs w:val="28"/>
          <w:rtl w:val="true"/>
          <w:lang w:bidi="ar-SA"/>
        </w:rPr>
        <w:t>.</w:t>
      </w:r>
      <w:bookmarkStart w:id="2036" w:name="pg1964_19950"/>
    </w:p>
    <w:p>
      <w:pPr>
        <w:pStyle w:val="Heading3"/>
        <w:numPr>
          <w:ilvl w:val="2"/>
          <w:numId w:val="1"/>
        </w:numPr>
        <w:rPr/>
      </w:pPr>
      <w:bookmarkStart w:id="2037" w:name="__RefHeading___Toc3586149_3650668749"/>
      <w:bookmarkStart w:id="2038" w:name="_Toc871"/>
      <w:bookmarkEnd w:id="2036"/>
      <w:bookmarkEnd w:id="2037"/>
      <w:r>
        <w:rPr/>
        <w:t>١١</w:t>
      </w:r>
      <w:r>
        <w:rPr>
          <w:rtl w:val="true"/>
        </w:rPr>
        <w:t xml:space="preserve">. </w:t>
      </w:r>
      <w:r>
        <w:rPr>
          <w:rtl w:val="true"/>
        </w:rPr>
        <w:t>مجالس عمومي و گردهمايي‌ها</w:t>
      </w:r>
      <w:bookmarkEnd w:id="2038"/>
    </w:p>
    <w:p>
      <w:pPr>
        <w:pStyle w:val="BookText"/>
        <w:rPr/>
      </w:pPr>
      <w:r>
        <w:rPr>
          <w:rFonts w:ascii="IRNazanin" w:hAnsi="IRNazanin" w:eastAsia="IRNazanin"/>
          <w:color w:val="111111"/>
          <w:sz w:val="28"/>
          <w:sz w:val="28"/>
          <w:szCs w:val="28"/>
          <w:rtl w:val="true"/>
          <w:lang w:bidi="fa-IR"/>
        </w:rPr>
        <w:t>از لابه‌لاى روايات تاريخى چنين بر مى‌آيد كه به مناسبت‌هاى مختلف در كوفه مجالسى در مكان‌هاى متفاوت تشكيل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غرب كوفه به عنوان محلى كه اشراف و مردم كوفه به آن محل مى‌رفتند و مجالسى تشكيل مى‌داده و به شعرخوانى و مفاخره و مناظره مى‌پرداختند، معرفى شده است</w:t>
      </w:r>
      <w:r>
        <w:rPr>
          <w:rFonts w:eastAsia="IRNazanin" w:cs="IRNazanin"/>
          <w:color w:val="111111"/>
          <w:sz w:val="28"/>
          <w:szCs w:val="28"/>
          <w:rtl w:val="true"/>
          <w:lang w:bidi="fa-IR"/>
        </w:rPr>
        <w:t xml:space="preserve">. </w:t>
      </w:r>
      <w:r>
        <w:rPr>
          <w:rStyle w:val="FootnoteAnchor"/>
          <w:rtl w:val="true"/>
        </w:rPr>
        <w:footnoteReference w:id="1754"/>
      </w:r>
      <w:r>
        <w:rPr>
          <w:rFonts w:ascii="IRNazanin" w:hAnsi="IRNazanin" w:eastAsia="IRNazanin"/>
          <w:color w:val="111111"/>
          <w:sz w:val="28"/>
          <w:sz w:val="28"/>
          <w:szCs w:val="28"/>
          <w:rtl w:val="true"/>
          <w:lang w:bidi="fa-IR"/>
        </w:rPr>
        <w:t>همچنين از صحارى و جبّانات به عنوان محل‌هايى براى برگزارى جشن‌ها، ديدار آشنايان و استراحت افراد ياد شده است</w:t>
      </w:r>
      <w:r>
        <w:rPr>
          <w:rFonts w:eastAsia="IRNazanin" w:cs="IRNazanin"/>
          <w:color w:val="111111"/>
          <w:sz w:val="28"/>
          <w:szCs w:val="28"/>
          <w:rtl w:val="true"/>
          <w:lang w:bidi="fa-IR"/>
        </w:rPr>
        <w:t xml:space="preserve">. </w:t>
      </w:r>
      <w:r>
        <w:rPr>
          <w:rStyle w:val="FootnoteAnchor"/>
          <w:rtl w:val="true"/>
        </w:rPr>
        <w:footnoteReference w:id="1755"/>
      </w:r>
    </w:p>
    <w:p>
      <w:pPr>
        <w:pStyle w:val="BookText"/>
        <w:rPr/>
      </w:pPr>
      <w:r>
        <w:rPr>
          <w:rFonts w:ascii="IRNazanin" w:hAnsi="IRNazanin" w:eastAsia="IRNazanin"/>
          <w:color w:val="111111"/>
          <w:sz w:val="28"/>
          <w:sz w:val="28"/>
          <w:szCs w:val="28"/>
          <w:rtl w:val="true"/>
          <w:lang w:bidi="fa-IR"/>
        </w:rPr>
        <w:t xml:space="preserve">از برخى گزارش‌ها مى‌توان چنين استفاده كرد كه مردم كوفه سر گذر بازارها اجتماع مى‌كردند، چنان‌كه گفته شده است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يكى از ياران خود به نام حارث هَمْدانى نامه‌اى مى‌نگارد و از جمله از او مى‌خواهد كه از نشستن در سر گذر بازارها خوددارى كند؛ زيرا آن مكان‌ها محل‌هاى حضور شيطان و پيشامد فتنه و تباه‌كارى است</w:t>
      </w:r>
      <w:r>
        <w:rPr>
          <w:rFonts w:eastAsia="IRNazanin" w:cs="IRNazanin"/>
          <w:color w:val="111111"/>
          <w:sz w:val="28"/>
          <w:szCs w:val="28"/>
          <w:rtl w:val="true"/>
          <w:lang w:bidi="fa-IR"/>
        </w:rPr>
        <w:t xml:space="preserve">. </w:t>
      </w:r>
      <w:r>
        <w:rPr>
          <w:rStyle w:val="FootnoteAnchor"/>
          <w:rtl w:val="true"/>
        </w:rPr>
        <w:footnoteReference w:id="1756"/>
      </w:r>
    </w:p>
    <w:p>
      <w:pPr>
        <w:pStyle w:val="BookText"/>
        <w:rPr/>
      </w:pPr>
      <w:r>
        <w:rPr>
          <w:rFonts w:ascii="IRNazanin" w:hAnsi="IRNazanin" w:eastAsia="IRNazanin"/>
          <w:color w:val="111111"/>
          <w:sz w:val="28"/>
          <w:sz w:val="28"/>
          <w:szCs w:val="28"/>
          <w:rtl w:val="true"/>
          <w:lang w:bidi="fa-IR"/>
        </w:rPr>
        <w:t xml:space="preserve">همچنين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خطبه‌هاى خود خطاب به كوفيان در چند مورد از مجالس آنان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مقام توبيخ آنان به علت سرباز زدنشان از جنگ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دور هم نشسته‌ايد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و چنان مى‌گوييد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 زده و گزاف بسيار مى‌گوييد و اظهار دليرى و مردانگى مى‌نماييد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وقت جنگيدن با دشمن پيش آيد، 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حيدى حَياد</w:t>
      </w:r>
      <w:r>
        <w:rPr>
          <w:rFonts w:eastAsia="IRNazanin" w:cs="IRNazanin"/>
          <w:color w:val="111111"/>
          <w:sz w:val="28"/>
          <w:szCs w:val="28"/>
          <w:rtl w:val="true"/>
          <w:lang w:bidi="fa-IR"/>
        </w:rPr>
        <w:t xml:space="preserve">» </w:t>
      </w:r>
      <w:r>
        <w:rPr>
          <w:rStyle w:val="FootnoteAnchor"/>
          <w:rtl w:val="true"/>
        </w:rPr>
        <w:footnoteReference w:id="1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جنگ از ما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همين مقام مى‌فرمايد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را بر جهاد تباه‌كاران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ترغيب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درحالى‌كه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به آخر نرسيده، همه شما را مانند پراكندگى فرزندان سبا، پراكنده</w:t>
      </w:r>
    </w:p>
    <w:p>
      <w:pPr>
        <w:pStyle w:val="BookText"/>
        <w:rPr/>
      </w:pPr>
      <w:r>
        <w:rPr>
          <w:rFonts w:ascii="IRNazanin" w:hAnsi="IRNazanin" w:eastAsia="IRNazanin"/>
          <w:color w:val="111111"/>
          <w:sz w:val="28"/>
          <w:sz w:val="28"/>
          <w:szCs w:val="28"/>
          <w:rtl w:val="true"/>
          <w:lang w:bidi="fa-IR"/>
        </w:rPr>
        <w:t>مى‌بينم، به محافل خود باز مى‌گرديد و يكديگر را به پندهاى خويش گول مى‌زنيد</w:t>
      </w:r>
      <w:r>
        <w:rPr>
          <w:rFonts w:eastAsia="IRNazanin" w:cs="IRNazanin"/>
          <w:color w:val="111111"/>
          <w:sz w:val="28"/>
          <w:szCs w:val="28"/>
          <w:rtl w:val="true"/>
          <w:lang w:bidi="fa-IR"/>
        </w:rPr>
        <w:t xml:space="preserve">. </w:t>
      </w:r>
      <w:r>
        <w:rPr>
          <w:rStyle w:val="FootnoteAnchor"/>
          <w:rtl w:val="true"/>
        </w:rPr>
        <w:footnoteReference w:id="1758"/>
      </w:r>
    </w:p>
    <w:p>
      <w:pPr>
        <w:pStyle w:val="BookText"/>
        <w:rPr/>
      </w:pPr>
      <w:r>
        <w:rPr>
          <w:rFonts w:ascii="IRNazanin" w:hAnsi="IRNazanin" w:eastAsia="IRNazanin"/>
          <w:color w:val="111111"/>
          <w:sz w:val="28"/>
          <w:sz w:val="28"/>
          <w:szCs w:val="28"/>
          <w:rtl w:val="true"/>
          <w:lang w:bidi="fa-IR"/>
        </w:rPr>
        <w:t>از اين كلام مى‌توان استمرار مجالس كوفيان را استنباط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فرمايشى ديگر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مجالس كوفيان در حالى‌كه در آن چهارزانو و به صورت حلقه‌وار نشسته‌اند، اشاره شده است</w:t>
      </w:r>
      <w:r>
        <w:rPr>
          <w:rFonts w:eastAsia="IRNazanin" w:cs="IRNazanin"/>
          <w:color w:val="111111"/>
          <w:sz w:val="28"/>
          <w:szCs w:val="28"/>
          <w:rtl w:val="true"/>
          <w:lang w:bidi="fa-IR"/>
        </w:rPr>
        <w:t xml:space="preserve">. </w:t>
      </w:r>
      <w:r>
        <w:rPr>
          <w:rStyle w:val="FootnoteAnchor"/>
          <w:rtl w:val="true"/>
        </w:rPr>
        <w:footnoteReference w:id="1759"/>
      </w:r>
    </w:p>
    <w:p>
      <w:pPr>
        <w:pStyle w:val="BookText"/>
        <w:rPr/>
      </w:pPr>
      <w:r>
        <w:rPr>
          <w:rFonts w:ascii="IRNazanin" w:hAnsi="IRNazanin" w:eastAsia="IRNazanin"/>
          <w:color w:val="111111"/>
          <w:sz w:val="28"/>
          <w:sz w:val="28"/>
          <w:szCs w:val="28"/>
          <w:rtl w:val="true"/>
          <w:lang w:bidi="fa-IR"/>
        </w:rPr>
        <w:t xml:space="preserve">در باره ابن‌ملجم چنين گفته شده است كه او پس از نماز صبح تا برآمدن روز 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 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مى‌نشست</w:t>
      </w:r>
      <w:r>
        <w:rPr>
          <w:rFonts w:eastAsia="IRNazanin" w:cs="IRNazanin"/>
          <w:color w:val="111111"/>
          <w:sz w:val="28"/>
          <w:szCs w:val="28"/>
          <w:rtl w:val="true"/>
          <w:lang w:bidi="fa-IR"/>
        </w:rPr>
        <w:t xml:space="preserve">. </w:t>
      </w:r>
      <w:r>
        <w:rPr>
          <w:rStyle w:val="FootnoteAnchor"/>
          <w:rtl w:val="true"/>
        </w:rPr>
        <w:footnoteReference w:id="1760"/>
      </w:r>
      <w:r>
        <w:rPr>
          <w:rFonts w:ascii="IRNazanin" w:hAnsi="IRNazanin" w:eastAsia="IRNazanin"/>
          <w:color w:val="111111"/>
          <w:sz w:val="28"/>
          <w:sz w:val="28"/>
          <w:szCs w:val="28"/>
          <w:rtl w:val="true"/>
          <w:lang w:bidi="fa-IR"/>
        </w:rPr>
        <w:t>اين سخن بر وجود مجالس متعدد از سوى طوايف مختلف و نيز زمان آن دلالت دارد كه ظاهراً با برآمدن روز و گرم شدن هوا متفرق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بن زياد هنگامى كه دستور احضار هانى بن عروه را صادر مى‌كند،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شنيده‌ام كه او در تمام روز در خانه‌اش مى‌نشيند</w:t>
      </w:r>
      <w:r>
        <w:rPr>
          <w:rFonts w:eastAsia="IRNazanin" w:cs="IRNazanin"/>
          <w:color w:val="111111"/>
          <w:sz w:val="28"/>
          <w:szCs w:val="28"/>
          <w:rtl w:val="true"/>
          <w:lang w:bidi="fa-IR"/>
        </w:rPr>
        <w:t xml:space="preserve">» </w:t>
      </w:r>
      <w:r>
        <w:rPr>
          <w:rStyle w:val="FootnoteAnchor"/>
          <w:rtl w:val="true"/>
        </w:rPr>
        <w:footnoteReference w:id="1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دور او جمع مى‌شوند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سخن مى‌توان وجود مجالس متفرقه كنار خانه بعضى از شخصيت‌هاى بزرگ كوفه را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 استفاده از سفارش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وليمه دادن در عروسى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ختنه سوران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خانه نو خريدن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تولد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برگشت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w:t>
      </w:r>
      <w:r>
        <w:rPr>
          <w:rStyle w:val="FootnoteAnchor"/>
          <w:rtl w:val="true"/>
        </w:rPr>
        <w:footnoteReference w:id="1762"/>
      </w:r>
      <w:r>
        <w:rPr>
          <w:rFonts w:ascii="IRNazanin" w:hAnsi="IRNazanin" w:eastAsia="IRNazanin"/>
          <w:color w:val="111111"/>
          <w:sz w:val="28"/>
          <w:sz w:val="28"/>
          <w:szCs w:val="28"/>
          <w:rtl w:val="true"/>
          <w:lang w:bidi="fa-IR"/>
        </w:rPr>
        <w:t>مى‌توان وجود چنين مجالسى را در اين زمان‌ها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توجه به اهميتى كه اسلام براى اعياد فطر و قربان در نظر گرفته است مى‌توان شادى‌ها و گردهمايى‌هاى مردم را در اين روزها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اينكه با توجه به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اختلاط ايرانيان با كوفيان در آن زمان و رسوخ بعضى از رسوم ايرانيان بين اعراب، جشن‌هاى عيد نوروز و مهرگان نيز در بين كوفيان معمول شده بود</w:t>
      </w:r>
      <w:r>
        <w:rPr>
          <w:rFonts w:eastAsia="IRNazanin" w:cs="IRNazanin"/>
          <w:color w:val="111111"/>
          <w:sz w:val="28"/>
          <w:szCs w:val="28"/>
          <w:rtl w:val="true"/>
          <w:lang w:bidi="fa-IR"/>
        </w:rPr>
        <w:t xml:space="preserve">. </w:t>
      </w:r>
      <w:r>
        <w:rPr>
          <w:rStyle w:val="FootnoteAnchor"/>
          <w:rtl w:val="true"/>
        </w:rPr>
        <w:footnoteReference w:id="1763"/>
      </w:r>
      <w:bookmarkStart w:id="2039" w:name="pg1964_19952"/>
    </w:p>
    <w:p>
      <w:pPr>
        <w:pStyle w:val="Heading3"/>
        <w:numPr>
          <w:ilvl w:val="2"/>
          <w:numId w:val="1"/>
        </w:numPr>
        <w:rPr/>
      </w:pPr>
      <w:bookmarkStart w:id="2040" w:name="__RefHeading___Toc3586151_3650668749"/>
      <w:bookmarkStart w:id="2041" w:name="_Toc872"/>
      <w:bookmarkEnd w:id="2039"/>
      <w:bookmarkEnd w:id="2040"/>
      <w:r>
        <w:rPr/>
        <w:t>١٢</w:t>
      </w:r>
      <w:r>
        <w:rPr>
          <w:rtl w:val="true"/>
        </w:rPr>
        <w:t xml:space="preserve">. </w:t>
      </w:r>
      <w:r>
        <w:rPr>
          <w:rtl w:val="true"/>
        </w:rPr>
        <w:t>سرگرمي و ورزش</w:t>
      </w:r>
      <w:bookmarkEnd w:id="2041"/>
    </w:p>
    <w:p>
      <w:pPr>
        <w:pStyle w:val="BookText"/>
        <w:rPr/>
      </w:pPr>
      <w:r>
        <w:rPr>
          <w:rFonts w:ascii="IRNazanin" w:hAnsi="IRNazanin" w:eastAsia="IRNazanin"/>
          <w:color w:val="111111"/>
          <w:sz w:val="28"/>
          <w:sz w:val="28"/>
          <w:szCs w:val="28"/>
          <w:rtl w:val="true"/>
          <w:lang w:bidi="fa-IR"/>
        </w:rPr>
        <w:t>در بخش تعليم جنگاوران، به مسابقات اسب سوارى و تيراندازى به عنوان يك تعليم اشاره شد كه در اينجا مى‌توان آن را نيز به عنوان يك سرگرمى و ورزش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فصل اول هنگام شمردن حيوانات كوفه، به وجود ماهى‌هاى مختلف در بازار كوفه اشاره شد كه از اينجا مى‌توان به وجود صيد و صيادى در رودخانه فرات، چه به عنوان يك شغل و چه به عنوان يك سرگرمى،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وجود رودخانه فرات در كنار كوفه، شنا را به عنوان يك سرگرمى و ورزش براى اهل اين شهر رايج كرده بود، چنان‌كه تاريخ قضاوت‌هاى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گوشه‌هايى از حوادث مربوط به شنا را براى ما بيان مى‌كند</w:t>
      </w:r>
      <w:r>
        <w:rPr>
          <w:rFonts w:eastAsia="IRNazanin" w:cs="IRNazanin"/>
          <w:color w:val="111111"/>
          <w:sz w:val="28"/>
          <w:szCs w:val="28"/>
          <w:rtl w:val="true"/>
          <w:lang w:bidi="fa-IR"/>
        </w:rPr>
        <w:t xml:space="preserve">. </w:t>
      </w:r>
      <w:r>
        <w:rPr>
          <w:rStyle w:val="FootnoteAnchor"/>
          <w:rtl w:val="true"/>
        </w:rPr>
        <w:footnoteReference w:id="1764"/>
      </w:r>
      <w:r>
        <w:rPr>
          <w:rFonts w:ascii="IRNazanin" w:hAnsi="IRNazanin" w:eastAsia="IRNazanin"/>
          <w:color w:val="111111"/>
          <w:sz w:val="28"/>
          <w:sz w:val="28"/>
          <w:szCs w:val="28"/>
          <w:rtl w:val="true"/>
          <w:lang w:bidi="fa-IR"/>
        </w:rPr>
        <w:t xml:space="preserve">همچنين در بعضى از روايات تاريخى، از لعب و بازى با آلات موسيقى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در قسمت موسيقى به وجود بعضى از آلات موسيقى در كوفه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آمده است كه البته مراد سرگرمى مى‌باشد</w:t>
      </w:r>
      <w:r>
        <w:rPr>
          <w:rFonts w:eastAsia="IRNazanin" w:cs="IRNazanin"/>
          <w:color w:val="111111"/>
          <w:sz w:val="28"/>
          <w:szCs w:val="28"/>
          <w:rtl w:val="true"/>
          <w:lang w:bidi="fa-IR"/>
        </w:rPr>
        <w:t xml:space="preserve">. </w:t>
      </w:r>
      <w:r>
        <w:rPr>
          <w:rStyle w:val="FootnoteAnchor"/>
          <w:rtl w:val="true"/>
        </w:rPr>
        <w:footnoteReference w:id="1765"/>
      </w:r>
    </w:p>
    <w:p>
      <w:pPr>
        <w:pStyle w:val="BookText"/>
        <w:rPr/>
      </w:pPr>
      <w:r>
        <w:rPr>
          <w:rFonts w:ascii="IRNazanin" w:hAnsi="IRNazanin" w:eastAsia="IRNazanin"/>
          <w:color w:val="111111"/>
          <w:sz w:val="28"/>
          <w:sz w:val="28"/>
          <w:szCs w:val="28"/>
          <w:rtl w:val="true"/>
          <w:lang w:bidi="fa-IR"/>
        </w:rPr>
        <w:t xml:space="preserve">همچنين با بررسى روايات تاريخى در مى‌يابيم كه مردم آن زمان با وسيله‌اى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جسمى گرد، همانند توپ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كودكان با آن بازى مى‌كردند، آشنا بودند</w:t>
      </w:r>
      <w:r>
        <w:rPr>
          <w:rFonts w:eastAsia="IRNazanin" w:cs="IRNazanin"/>
          <w:color w:val="111111"/>
          <w:sz w:val="28"/>
          <w:szCs w:val="28"/>
          <w:rtl w:val="true"/>
          <w:lang w:bidi="fa-IR"/>
        </w:rPr>
        <w:t xml:space="preserve">. </w:t>
      </w:r>
      <w:r>
        <w:rPr>
          <w:rStyle w:val="FootnoteAnchor"/>
          <w:rtl w:val="true"/>
        </w:rPr>
        <w:footnoteReference w:id="1766"/>
      </w:r>
      <w:r>
        <w:rPr>
          <w:rFonts w:ascii="IRNazanin" w:hAnsi="IRNazanin" w:eastAsia="IRNazanin"/>
          <w:color w:val="111111"/>
          <w:sz w:val="28"/>
          <w:sz w:val="28"/>
          <w:szCs w:val="28"/>
          <w:rtl w:val="true"/>
          <w:lang w:bidi="fa-IR"/>
        </w:rPr>
        <w:t xml:space="preserve">همين‌طور در رواياتى به نقل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بازى‌هاى شطرنج، نَرْد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اربع عشر نهى شده است كه مى‌توان از آنها شناخته شده بودن اين بازى‌ها را براى مردم زمان مورد بحث استفاده كرد</w:t>
      </w:r>
      <w:r>
        <w:rPr>
          <w:rFonts w:eastAsia="IRNazanin" w:cs="IRNazanin"/>
          <w:color w:val="111111"/>
          <w:sz w:val="28"/>
          <w:szCs w:val="28"/>
          <w:rtl w:val="true"/>
          <w:lang w:bidi="fa-IR"/>
        </w:rPr>
        <w:t xml:space="preserve">. </w:t>
      </w:r>
      <w:r>
        <w:rPr>
          <w:rStyle w:val="FootnoteAnchor"/>
          <w:rtl w:val="true"/>
        </w:rPr>
        <w:footnoteReference w:id="1767"/>
      </w:r>
      <w:r>
        <w:rPr>
          <w:rFonts w:ascii="Amiri" w:hAnsi="Amiri" w:eastAsia="Amiri" w:cs="Amiri"/>
          <w:color w:val="111111"/>
          <w:sz w:val="28"/>
          <w:sz w:val="28"/>
          <w:szCs w:val="28"/>
          <w:rtl w:val="true"/>
          <w:lang w:bidi="ar-SA"/>
        </w:rPr>
        <w:t>توضيح آنكه به شطرنج، شاهين و</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سترنگ نيز مى‌گفتند </w:t>
      </w:r>
      <w:r>
        <w:rPr>
          <w:rStyle w:val="FootnoteAnchor"/>
          <w:rtl w:val="true"/>
        </w:rPr>
        <w:footnoteReference w:id="1768"/>
      </w:r>
      <w:r>
        <w:rPr>
          <w:rFonts w:ascii="IRNazanin" w:hAnsi="IRNazanin" w:eastAsia="IRNazanin"/>
          <w:color w:val="111111"/>
          <w:sz w:val="28"/>
          <w:sz w:val="28"/>
          <w:szCs w:val="28"/>
          <w:rtl w:val="true"/>
          <w:lang w:bidi="fa-IR"/>
        </w:rPr>
        <w:t xml:space="preserve">و گاهى نيز در روايات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Style w:val="FootnoteAnchor"/>
          <w:rtl w:val="true"/>
        </w:rPr>
        <w:footnoteReference w:id="1769"/>
      </w:r>
    </w:p>
    <w:p>
      <w:pPr>
        <w:pStyle w:val="BookText"/>
        <w:rPr/>
      </w:pPr>
      <w:r>
        <w:rPr>
          <w:rFonts w:ascii="IRNazanin" w:hAnsi="IRNazanin" w:eastAsia="IRNazanin"/>
          <w:color w:val="111111"/>
          <w:sz w:val="28"/>
          <w:sz w:val="28"/>
          <w:szCs w:val="28"/>
          <w:rtl w:val="true"/>
          <w:lang w:bidi="fa-IR"/>
        </w:rPr>
        <w:t>نَرْد يكى ديگر از بازى‌ها و سرگرمى‌هاى اين دوره بود كه اختراع آن را به بوذرجمهر يا اردشير بابكان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لغت در باره تعريف نرد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نوعى بازى كه به وسيله دو طاس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سى مهره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مهره سفيد و پانزده مهره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تخته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صفحه‌اى مقوايى انجام مى‌شود؛ بدين طريق كه هر يك از طرفين بازى، مهره‌هاى خود را كه پانزده عدد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طرف سياه و طرف ديگر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تخته مى‌چينند و سپس به نوبت، طاس‌ها را مى‌اندازند و مجموع خانه‌هاى دو طاس را مأخذ قرار مى‌دهند و طبق همان شماره، مهره‌هاى خويش را به راست يا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چيدن مهره‌ها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آن‌قدر ادامه مى‌يابد تا همه مهره‌ها در شش خانه متصل آخرى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مهره‌ها را طبق شماره خال‌هاى طاس از تخته نَرد خارج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طرفين كه تمام مهره‌هاى خود را زودتر خارج كند، برنده يك دست شناخته مى‌شود و اگر همه مهره‌هاى يك حريف خارج شود و حريف حتى يك مهره هم خارج نكرده باشد، دو دست به نفع برنده حساب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دور بازى پنج دست است</w:t>
      </w:r>
      <w:r>
        <w:rPr>
          <w:rFonts w:eastAsia="IRNazanin" w:cs="IRNazanin"/>
          <w:color w:val="111111"/>
          <w:sz w:val="28"/>
          <w:szCs w:val="28"/>
          <w:rtl w:val="true"/>
          <w:lang w:bidi="fa-IR"/>
        </w:rPr>
        <w:t xml:space="preserve">. </w:t>
      </w:r>
      <w:r>
        <w:rPr>
          <w:rStyle w:val="FootnoteAnchor"/>
          <w:rtl w:val="true"/>
        </w:rPr>
        <w:footnoteReference w:id="1770"/>
      </w:r>
    </w:p>
    <w:p>
      <w:pPr>
        <w:pStyle w:val="BookText"/>
        <w:rPr/>
      </w:pPr>
      <w:r>
        <w:rPr>
          <w:rFonts w:ascii="IRNazanin" w:hAnsi="IRNazanin" w:eastAsia="IRNazanin"/>
          <w:color w:val="111111"/>
          <w:sz w:val="28"/>
          <w:sz w:val="28"/>
          <w:szCs w:val="28"/>
          <w:rtl w:val="true"/>
          <w:lang w:bidi="fa-IR"/>
        </w:rPr>
        <w:t>سرگرمى و بازى ديگر، اربعه عشر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لغت به معناى چهارده مى‌باشد و در فارسى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كه در عربى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است</w:t>
      </w:r>
      <w:r>
        <w:rPr>
          <w:rFonts w:eastAsia="IRNazanin" w:cs="IRNazanin"/>
          <w:color w:val="111111"/>
          <w:sz w:val="28"/>
          <w:szCs w:val="28"/>
          <w:rtl w:val="true"/>
          <w:lang w:bidi="fa-IR"/>
        </w:rPr>
        <w:t xml:space="preserve">. </w:t>
      </w:r>
      <w:r>
        <w:rPr>
          <w:rStyle w:val="FootnoteAnchor"/>
          <w:rtl w:val="true"/>
        </w:rPr>
        <w:footnoteReference w:id="1771"/>
      </w:r>
      <w:r>
        <w:rPr>
          <w:rFonts w:ascii="IRNazanin" w:hAnsi="IRNazanin" w:eastAsia="IRNazanin"/>
          <w:color w:val="111111"/>
          <w:sz w:val="28"/>
          <w:sz w:val="28"/>
          <w:szCs w:val="28"/>
          <w:rtl w:val="true"/>
          <w:lang w:bidi="fa-IR"/>
        </w:rPr>
        <w:t xml:space="preserve">به نظر مى‌رسد با توصيفاتى كه از آن شده، همان بازى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چهار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در فارسى است كه آن را روى زمين يا تخته‌اى مانند شكل زير مى‌كشيدند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در اين بازى دو طرف با ريگ‌هايى به بازى مى‌پردازند و تعداد ريگ‌هاى هر طرف ممكن است سه يا هفت يا دوازده ريگ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گاهى ممكن است به شكل زير نيز گفته شود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 xml:space="preserve">در فارسى عاميانه به اين بازى‌ها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 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بايد توجه داشت كه از نهى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رواج اين بازى‌ها را در كوفه استفاده كرد، چنان‌كه نگارنده به هيچ روايت تاريخى كه بر وجود بازى اخير در كوفه دلالت كند، برخورد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طبق يك نقل تاريخى كه به قضاوت‌هاى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مى‌شود، بعضى در زمان حكومت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شطرنج بازى مى‌كردند</w:t>
      </w:r>
      <w:r>
        <w:rPr>
          <w:rFonts w:eastAsia="IRNazanin" w:cs="IRNazanin"/>
          <w:color w:val="111111"/>
          <w:sz w:val="28"/>
          <w:szCs w:val="28"/>
          <w:rtl w:val="true"/>
          <w:lang w:bidi="fa-IR"/>
        </w:rPr>
        <w:t xml:space="preserve">. </w:t>
      </w:r>
      <w:r>
        <w:rPr>
          <w:rStyle w:val="FootnoteAnchor"/>
          <w:rtl w:val="true"/>
        </w:rPr>
        <w:footnoteReference w:id="1773"/>
      </w:r>
      <w:r>
        <w:rPr>
          <w:rFonts w:ascii="IRNazanin" w:hAnsi="IRNazanin" w:eastAsia="IRNazanin"/>
          <w:color w:val="111111"/>
          <w:sz w:val="28"/>
          <w:sz w:val="28"/>
          <w:szCs w:val="28"/>
          <w:rtl w:val="true"/>
          <w:lang w:bidi="fa-IR"/>
        </w:rPr>
        <w:t xml:space="preserve">همچنين در باره يزيد بن معاويه نقل شده كه هنگام حضور سر مبارك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كاخ شام، شطرنج بازى مى‌كرد</w:t>
      </w:r>
      <w:r>
        <w:rPr>
          <w:rFonts w:eastAsia="IRNazanin" w:cs="IRNazanin"/>
          <w:color w:val="111111"/>
          <w:sz w:val="28"/>
          <w:szCs w:val="28"/>
          <w:rtl w:val="true"/>
          <w:lang w:bidi="fa-IR"/>
        </w:rPr>
        <w:t xml:space="preserve">. </w:t>
      </w:r>
      <w:r>
        <w:rPr>
          <w:rStyle w:val="FootnoteAnchor"/>
          <w:rtl w:val="true"/>
        </w:rPr>
        <w:footnoteReference w:id="1774"/>
      </w:r>
    </w:p>
    <w:p>
      <w:pPr>
        <w:pStyle w:val="BookText"/>
        <w:rPr/>
      </w:pPr>
      <w:r>
        <w:rPr>
          <w:rFonts w:ascii="IRNazanin" w:hAnsi="IRNazanin" w:eastAsia="IRNazanin"/>
          <w:color w:val="111111"/>
          <w:sz w:val="28"/>
          <w:sz w:val="28"/>
          <w:szCs w:val="28"/>
          <w:rtl w:val="true"/>
          <w:lang w:bidi="fa-IR"/>
        </w:rPr>
        <w:t>بازى ديگرى كه شناخته شده بودن آن نزد مردم زمان مورد بحث ثابت شده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بازى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درباره كودكى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 كه آنها با بچه‌ها اين بازى را انجام مى‌دادند</w:t>
      </w:r>
      <w:r>
        <w:rPr>
          <w:rFonts w:eastAsia="IRNazanin" w:cs="IRNazanin"/>
          <w:color w:val="111111"/>
          <w:sz w:val="28"/>
          <w:szCs w:val="28"/>
          <w:rtl w:val="true"/>
          <w:lang w:bidi="fa-IR"/>
        </w:rPr>
        <w:t xml:space="preserve">. </w:t>
      </w:r>
      <w:r>
        <w:rPr>
          <w:rStyle w:val="FootnoteAnchor"/>
          <w:rtl w:val="true"/>
        </w:rPr>
        <w:footnoteReference w:id="1775"/>
      </w:r>
      <w:r>
        <w:rPr>
          <w:rFonts w:ascii="IRNazanin" w:hAnsi="IRNazanin" w:eastAsia="IRNazanin"/>
          <w:color w:val="111111"/>
          <w:sz w:val="28"/>
          <w:sz w:val="28"/>
          <w:szCs w:val="28"/>
          <w:rtl w:val="true"/>
          <w:lang w:bidi="fa-IR"/>
        </w:rPr>
        <w:t xml:space="preserve">اين لغت،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ريگ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اين بازى كه معمولاً كودكان انجام مى‌دادند،</w:t>
      </w:r>
      <w:bookmarkStart w:id="2042" w:name="pg1964_19955"/>
    </w:p>
    <w:p>
      <w:pPr>
        <w:pStyle w:val="BookText"/>
        <w:rPr/>
      </w:pPr>
      <w:bookmarkEnd w:id="2042"/>
      <w:r>
        <w:rPr>
          <w:rFonts w:ascii="IRNazanin" w:hAnsi="IRNazanin" w:eastAsia="IRNazanin"/>
          <w:color w:val="111111"/>
          <w:sz w:val="28"/>
          <w:sz w:val="28"/>
          <w:szCs w:val="28"/>
          <w:rtl w:val="true"/>
          <w:lang w:bidi="fa-IR"/>
        </w:rPr>
        <w:t>آن بود كه گودال‌هايى مى‌كندند و هر يك از كودكان سنگ‌هايى ريگ مانند بر مى‌گرفتند و به سمت گودال پرتاب مى‌نمودند و هر كس سنگش داخل گودال مى‌رفت، برنده مى‌شد و طرف مقابل بايد او را به پشت مى‌گرفت و سوارى مى‌داد</w:t>
      </w:r>
      <w:r>
        <w:rPr>
          <w:rFonts w:eastAsia="IRNazanin" w:cs="IRNazanin"/>
          <w:color w:val="111111"/>
          <w:sz w:val="28"/>
          <w:szCs w:val="28"/>
          <w:rtl w:val="true"/>
          <w:lang w:bidi="fa-IR"/>
        </w:rPr>
        <w:t xml:space="preserve">. </w:t>
      </w:r>
      <w:r>
        <w:rPr>
          <w:rStyle w:val="FootnoteAnchor"/>
          <w:rtl w:val="true"/>
        </w:rPr>
        <w:footnoteReference w:id="1776"/>
      </w:r>
    </w:p>
    <w:p>
      <w:pPr>
        <w:pStyle w:val="BookText"/>
        <w:rPr/>
      </w:pPr>
      <w:r>
        <w:rPr>
          <w:rFonts w:ascii="IRNazanin" w:hAnsi="IRNazanin" w:eastAsia="IRNazanin"/>
          <w:color w:val="111111"/>
          <w:sz w:val="28"/>
          <w:sz w:val="28"/>
          <w:szCs w:val="28"/>
          <w:rtl w:val="true"/>
          <w:lang w:bidi="fa-IR"/>
        </w:rPr>
        <w:t xml:space="preserve">اما دو بازى كه مى‌توان رواج آن دو را به وسيله يك روايت تاريخى اثبات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كبوتربازى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چنين نقل شده است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كوفيان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كوفه چه مى‌كنند؟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موالى به رباخوارى مشغول‌اند و جوانان عرب به كبوتربازى و جلاهق بازى سرگرم‌اند</w:t>
      </w:r>
      <w:r>
        <w:rPr>
          <w:rFonts w:eastAsia="IRNazanin" w:cs="IRNazanin"/>
          <w:color w:val="111111"/>
          <w:sz w:val="28"/>
          <w:szCs w:val="28"/>
          <w:rtl w:val="true"/>
          <w:lang w:bidi="fa-IR"/>
        </w:rPr>
        <w:t xml:space="preserve">. </w:t>
      </w:r>
      <w:r>
        <w:rPr>
          <w:rStyle w:val="FootnoteAnchor"/>
          <w:rtl w:val="true"/>
        </w:rPr>
        <w:footnoteReference w:id="1777"/>
      </w:r>
    </w:p>
    <w:p>
      <w:pPr>
        <w:pStyle w:val="BookText"/>
        <w:rPr/>
      </w:pPr>
      <w:r>
        <w:rPr>
          <w:rFonts w:ascii="IRNazanin" w:hAnsi="IRNazanin" w:eastAsia="IRNazanin"/>
          <w:color w:val="111111"/>
          <w:sz w:val="28"/>
          <w:sz w:val="28"/>
          <w:szCs w:val="28"/>
          <w:rtl w:val="true"/>
          <w:lang w:bidi="fa-IR"/>
        </w:rPr>
        <w:t xml:space="preserve">جلاهق،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كمان گرومه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قلاب‌سنگ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كودكان به وسيله طناب و حلقه‌اى، سنگ پرتاب مى‌كنند</w:t>
      </w:r>
      <w:r>
        <w:rPr>
          <w:rFonts w:eastAsia="IRNazanin" w:cs="IRNazanin"/>
          <w:color w:val="111111"/>
          <w:sz w:val="28"/>
          <w:szCs w:val="28"/>
          <w:rtl w:val="true"/>
          <w:lang w:bidi="fa-IR"/>
        </w:rPr>
        <w:t xml:space="preserve">. </w:t>
      </w:r>
      <w:r>
        <w:rPr>
          <w:rStyle w:val="FootnoteAnchor"/>
          <w:rtl w:val="true"/>
        </w:rPr>
        <w:footnoteReference w:id="1778"/>
      </w:r>
      <w:r>
        <w:rPr>
          <w:rFonts w:ascii="IRNazanin" w:hAnsi="IRNazanin" w:eastAsia="IRNazanin"/>
          <w:color w:val="111111"/>
          <w:sz w:val="28"/>
          <w:sz w:val="28"/>
          <w:szCs w:val="28"/>
          <w:rtl w:val="true"/>
          <w:lang w:bidi="fa-IR"/>
        </w:rPr>
        <w:t>و شايد از اين وسيله براى شكار پرندگان كوچك نيز 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روايت تاريخى چنين آمده است كه اين دو بازى در سال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حكومت عثمان در ميان عرب رواج يافته بود</w:t>
      </w:r>
      <w:r>
        <w:rPr>
          <w:rFonts w:eastAsia="IRNazanin" w:cs="IRNazanin"/>
          <w:color w:val="111111"/>
          <w:sz w:val="28"/>
          <w:szCs w:val="28"/>
          <w:rtl w:val="true"/>
          <w:lang w:bidi="fa-IR"/>
        </w:rPr>
        <w:t xml:space="preserve">. </w:t>
      </w:r>
      <w:r>
        <w:rPr>
          <w:rStyle w:val="FootnoteAnchor"/>
          <w:rtl w:val="true"/>
        </w:rPr>
        <w:footnoteReference w:id="1779"/>
      </w: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جلاهق را مذموم شمرده و آن را از سنت‌هاى قوم لوط كه در ميان مسلمانان رواج يافته، معرفى كرده است</w:t>
      </w:r>
      <w:r>
        <w:rPr>
          <w:rFonts w:eastAsia="Amiri" w:cs="Amiri" w:ascii="Amiri" w:hAnsi="Amiri"/>
          <w:color w:val="111111"/>
          <w:sz w:val="28"/>
          <w:szCs w:val="28"/>
          <w:rtl w:val="true"/>
          <w:lang w:bidi="ar-SA"/>
        </w:rPr>
        <w:t xml:space="preserve">. </w:t>
      </w:r>
      <w:r>
        <w:rPr>
          <w:rStyle w:val="FootnoteAnchor"/>
          <w:rtl w:val="true"/>
        </w:rPr>
        <w:footnoteReference w:id="1780"/>
      </w:r>
    </w:p>
    <w:p>
      <w:pPr>
        <w:pStyle w:val="Heading3"/>
        <w:numPr>
          <w:ilvl w:val="2"/>
          <w:numId w:val="1"/>
        </w:numPr>
        <w:rPr/>
      </w:pPr>
      <w:bookmarkStart w:id="2043" w:name="__RefHeading___Toc3586153_3650668749"/>
      <w:bookmarkStart w:id="2044" w:name="_Toc873"/>
      <w:bookmarkEnd w:id="2043"/>
      <w:r>
        <w:rPr/>
        <w:t>١٣</w:t>
      </w:r>
      <w:r>
        <w:rPr>
          <w:rtl w:val="true"/>
        </w:rPr>
        <w:t xml:space="preserve">. </w:t>
      </w:r>
      <w:r>
        <w:rPr>
          <w:rtl w:val="true"/>
        </w:rPr>
        <w:t>آداب و رسوم مجالس خلفا و امرا</w:t>
      </w:r>
      <w:bookmarkEnd w:id="2044"/>
    </w:p>
    <w:p>
      <w:pPr>
        <w:pStyle w:val="Heading4"/>
        <w:numPr>
          <w:ilvl w:val="3"/>
          <w:numId w:val="1"/>
        </w:numPr>
        <w:rPr/>
      </w:pPr>
      <w:bookmarkStart w:id="2045" w:name="__RefHeading___Toc3586155_3650668749"/>
      <w:bookmarkStart w:id="2046" w:name="_Toc874"/>
      <w:bookmarkEnd w:id="2045"/>
      <w:r>
        <w:rPr>
          <w:rtl w:val="true"/>
        </w:rPr>
        <w:t>اشاره</w:t>
      </w:r>
      <w:bookmarkEnd w:id="2046"/>
    </w:p>
    <w:p>
      <w:pPr>
        <w:pStyle w:val="BookText"/>
        <w:rPr/>
      </w:pPr>
      <w:r>
        <w:rPr>
          <w:rFonts w:ascii="IRNazanin" w:hAnsi="IRNazanin" w:eastAsia="IRNazanin"/>
          <w:color w:val="111111"/>
          <w:sz w:val="28"/>
          <w:sz w:val="28"/>
          <w:szCs w:val="28"/>
          <w:rtl w:val="true"/>
          <w:lang w:bidi="fa-IR"/>
        </w:rPr>
        <w:t xml:space="preserve">مجالس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وى ابوبكر و عمر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تا حدودى عثمان، بسيار ساده و بى‌آلايش بود، به‌گونه‌اى كه هركس مى‌توانست بر</w:t>
      </w:r>
    </w:p>
    <w:p>
      <w:pPr>
        <w:pStyle w:val="BookText"/>
        <w:rPr/>
      </w:pPr>
      <w:r>
        <w:rPr>
          <w:rFonts w:ascii="Amiri" w:hAnsi="Amiri" w:eastAsia="Amiri" w:cs="Amiri"/>
          <w:color w:val="111111"/>
          <w:sz w:val="28"/>
          <w:sz w:val="28"/>
          <w:szCs w:val="28"/>
          <w:rtl w:val="true"/>
          <w:lang w:bidi="ar-SA"/>
        </w:rPr>
        <w:t>آنها وارد شود و خواسته يا سؤال خود را مطرح كند</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مجلس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وارد شده است كه ايشان به گونه‌اى در ميان اصحاب و ياران خود مى‌نشست كه تازه واردى كه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نمى‌شناخت، نمى‌توانست او را از محل نشستن‌اش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تاريخ مى‌خوانيم</w:t>
      </w:r>
      <w:bookmarkStart w:id="2047" w:name="pg1964_19956"/>
    </w:p>
    <w:p>
      <w:pPr>
        <w:pStyle w:val="BookText"/>
        <w:rPr/>
      </w:pPr>
      <w:bookmarkEnd w:id="2047"/>
      <w:r>
        <w:rPr>
          <w:rFonts w:ascii="Amiri" w:hAnsi="Amiri" w:eastAsia="Amiri" w:cs="Amiri"/>
          <w:color w:val="111111"/>
          <w:sz w:val="28"/>
          <w:sz w:val="28"/>
          <w:szCs w:val="28"/>
          <w:rtl w:val="true"/>
          <w:lang w:bidi="ar-SA"/>
        </w:rPr>
        <w:t>كه وقتى هُرمزان، سردار ايرانى را به مدينه آوردند، عمر در مسجد به خواب رفته بود</w:t>
      </w:r>
      <w:r>
        <w:rPr>
          <w:rFonts w:eastAsia="Amiri" w:cs="Amiri" w:ascii="Amiri" w:hAnsi="Amiri"/>
          <w:color w:val="111111"/>
          <w:sz w:val="28"/>
          <w:szCs w:val="28"/>
          <w:rtl w:val="true"/>
          <w:lang w:bidi="ar-SA"/>
        </w:rPr>
        <w:t xml:space="preserve">. </w:t>
      </w:r>
      <w:r>
        <w:rPr>
          <w:rStyle w:val="FootnoteAnchor"/>
          <w:rtl w:val="true"/>
        </w:rPr>
        <w:footnoteReference w:id="1781"/>
      </w:r>
      <w:r>
        <w:rPr>
          <w:rFonts w:ascii="Amiri" w:hAnsi="Amiri" w:eastAsia="Amiri" w:cs="Amiri"/>
          <w:color w:val="111111"/>
          <w:sz w:val="28"/>
          <w:sz w:val="28"/>
          <w:szCs w:val="28"/>
          <w:rtl w:val="true"/>
          <w:lang w:bidi="ar-SA"/>
        </w:rPr>
        <w:t xml:space="preserve">البته در بعضى از روايات تاريخى به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اذن‌دهنده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شده است </w:t>
      </w:r>
      <w:r>
        <w:rPr>
          <w:rStyle w:val="FootnoteAnchor"/>
          <w:rtl w:val="true"/>
        </w:rPr>
        <w:footnoteReference w:id="1782"/>
      </w:r>
      <w:r>
        <w:rPr>
          <w:rFonts w:ascii="IRNazanin" w:hAnsi="IRNazanin" w:eastAsia="IRNazanin"/>
          <w:color w:val="111111"/>
          <w:sz w:val="28"/>
          <w:sz w:val="28"/>
          <w:szCs w:val="28"/>
          <w:rtl w:val="true"/>
          <w:lang w:bidi="fa-IR"/>
        </w:rPr>
        <w:t>كه ظاهراً براى عدم مزاحمت در اوقات فراغت يا براى منع ازدحام از او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از چنين شخصى براى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جمل نيز ياد شده است</w:t>
      </w:r>
      <w:r>
        <w:rPr>
          <w:rFonts w:eastAsia="IRNazanin" w:cs="IRNazanin"/>
          <w:color w:val="111111"/>
          <w:sz w:val="28"/>
          <w:szCs w:val="28"/>
          <w:rtl w:val="true"/>
          <w:lang w:bidi="fa-IR"/>
        </w:rPr>
        <w:t xml:space="preserve">. </w:t>
      </w:r>
      <w:r>
        <w:rPr>
          <w:rStyle w:val="FootnoteAnchor"/>
          <w:rtl w:val="true"/>
        </w:rPr>
        <w:footnoteReference w:id="1783"/>
      </w:r>
    </w:p>
    <w:p>
      <w:pPr>
        <w:pStyle w:val="BookText"/>
        <w:rPr/>
      </w:pPr>
      <w:r>
        <w:rPr>
          <w:rFonts w:ascii="IRNazanin" w:hAnsi="IRNazanin" w:eastAsia="IRNazanin"/>
          <w:color w:val="111111"/>
          <w:sz w:val="28"/>
          <w:sz w:val="28"/>
          <w:szCs w:val="28"/>
          <w:rtl w:val="true"/>
          <w:lang w:bidi="fa-IR"/>
        </w:rPr>
        <w:t>در باره كيفيت ورود بر خليفه در عصر راشدين چنين گفته شده است كه هر كس قصد ديدار خليفه را داشت، دم در مى‌ايستاد و 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عَلَيكُم ءَأدْخُلُ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اجازه، تا سه بار آن را تكرار مى‌كرد و اگر بعد از بار سوم جوابى به او داده نمى‌شد، بر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پادشاهى معاويه در شام و زمان امارت زياد بن ابيه، سادگى مجالس سابق از بين رفت و آنها قوانين و مقرراتى براى ورود در مجالس خود وضع نمودند</w:t>
      </w:r>
      <w:r>
        <w:rPr>
          <w:rFonts w:eastAsia="IRNazanin" w:cs="IRNazanin"/>
          <w:color w:val="111111"/>
          <w:sz w:val="28"/>
          <w:szCs w:val="28"/>
          <w:rtl w:val="true"/>
          <w:lang w:bidi="fa-IR"/>
        </w:rPr>
        <w:t xml:space="preserve">. </w:t>
      </w:r>
      <w:r>
        <w:rPr>
          <w:rStyle w:val="FootnoteAnchor"/>
          <w:rtl w:val="true"/>
        </w:rPr>
        <w:footnoteReference w:id="1784"/>
      </w:r>
      <w:r>
        <w:rPr>
          <w:rFonts w:ascii="Amiri" w:hAnsi="Amiri" w:eastAsia="Amiri" w:cs="Amiri"/>
          <w:color w:val="111111"/>
          <w:sz w:val="28"/>
          <w:sz w:val="28"/>
          <w:szCs w:val="28"/>
          <w:rtl w:val="true"/>
          <w:lang w:bidi="ar-SA"/>
        </w:rPr>
        <w:t>در اينجا به بعضى از اين آداب و رسوم و مقررات اشاره مى‌كنيم</w:t>
      </w:r>
      <w:r>
        <w:rPr>
          <w:rFonts w:eastAsia="Amiri" w:cs="Amiri" w:ascii="Amiri" w:hAnsi="Amiri"/>
          <w:color w:val="111111"/>
          <w:sz w:val="28"/>
          <w:szCs w:val="28"/>
          <w:rtl w:val="true"/>
          <w:lang w:bidi="ar-SA"/>
        </w:rPr>
        <w:t>:</w:t>
      </w:r>
    </w:p>
    <w:p>
      <w:pPr>
        <w:pStyle w:val="Heading4"/>
        <w:numPr>
          <w:ilvl w:val="3"/>
          <w:numId w:val="1"/>
        </w:numPr>
        <w:rPr/>
      </w:pPr>
      <w:bookmarkStart w:id="2048" w:name="__RefHeading___Toc3586157_3650668749"/>
      <w:bookmarkStart w:id="2049" w:name="_Toc875"/>
      <w:bookmarkEnd w:id="2048"/>
      <w:r>
        <w:rPr>
          <w:rtl w:val="true"/>
        </w:rPr>
        <w:t>الف</w:t>
      </w:r>
      <w:r>
        <w:rPr>
          <w:rtl w:val="true"/>
        </w:rPr>
        <w:t xml:space="preserve">) </w:t>
      </w:r>
      <w:r>
        <w:rPr>
          <w:rtl w:val="true"/>
        </w:rPr>
        <w:t xml:space="preserve">دربان </w:t>
      </w:r>
      <w:r>
        <w:rPr>
          <w:rtl w:val="true"/>
        </w:rPr>
        <w:t>(</w:t>
      </w:r>
      <w:r>
        <w:rPr>
          <w:rtl w:val="true"/>
        </w:rPr>
        <w:t>حاجب</w:t>
      </w:r>
      <w:r>
        <w:rPr>
          <w:rtl w:val="true"/>
        </w:rPr>
        <w:t>)</w:t>
      </w:r>
      <w:bookmarkEnd w:id="2049"/>
    </w:p>
    <w:p>
      <w:pPr>
        <w:pStyle w:val="BookText"/>
        <w:rPr/>
      </w:pPr>
      <w:r>
        <w:rPr>
          <w:rFonts w:ascii="IRNazanin" w:hAnsi="IRNazanin" w:eastAsia="IRNazanin"/>
          <w:color w:val="111111"/>
          <w:sz w:val="28"/>
          <w:sz w:val="28"/>
          <w:szCs w:val="28"/>
          <w:rtl w:val="true"/>
          <w:lang w:bidi="fa-IR"/>
        </w:rPr>
        <w:t>مقام دربان و حاجب را مى‌توان مقامى همانند رئيس دفتر امروزى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معاويه، دربان هنگام فراوانى تقاضا، اهل بيت‌ها و خانواده‌هاى معروف را مقدم مى‌داشت و پس از آن، ملاك برترى، سن و</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 متقاضى ديدار بود و در رتبه بعد، اهل علم و ادب را مقدم مى‌داشت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قاعده در زمان‌هاى بعد نيز عمل مى‌شد</w:t>
      </w:r>
      <w:r>
        <w:rPr>
          <w:rFonts w:eastAsia="Amiri" w:cs="Amiri" w:ascii="Amiri" w:hAnsi="Amiri"/>
          <w:color w:val="111111"/>
          <w:sz w:val="28"/>
          <w:szCs w:val="28"/>
          <w:rtl w:val="true"/>
          <w:lang w:bidi="ar-SA"/>
        </w:rPr>
        <w:t xml:space="preserve">. </w:t>
      </w:r>
      <w:r>
        <w:rPr>
          <w:rStyle w:val="FootnoteAnchor"/>
          <w:rtl w:val="true"/>
        </w:rPr>
        <w:footnoteReference w:id="1785"/>
      </w:r>
      <w:r>
        <w:rPr>
          <w:rFonts w:ascii="IRNazanin" w:hAnsi="IRNazanin" w:eastAsia="IRNazanin"/>
          <w:color w:val="111111"/>
          <w:sz w:val="28"/>
          <w:sz w:val="28"/>
          <w:szCs w:val="28"/>
          <w:rtl w:val="true"/>
          <w:lang w:bidi="fa-IR"/>
        </w:rPr>
        <w:t>اما بعضى از افراد هميشه و در همه حال مى‌توانستند بر خليفه و امير داخل شوند، چنان‌كه زياد بن ابيه خطاب به دربان خود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حجابت و دربانى سراى خود را به</w:t>
      </w:r>
      <w:bookmarkStart w:id="2050" w:name="pg1964_19957"/>
    </w:p>
    <w:p>
      <w:pPr>
        <w:pStyle w:val="BookText"/>
        <w:rPr/>
      </w:pPr>
      <w:bookmarkEnd w:id="2050"/>
      <w:r>
        <w:rPr>
          <w:rFonts w:ascii="IRNazanin" w:hAnsi="IRNazanin" w:eastAsia="IRNazanin"/>
          <w:color w:val="111111"/>
          <w:sz w:val="28"/>
          <w:sz w:val="28"/>
          <w:szCs w:val="28"/>
          <w:rtl w:val="true"/>
          <w:lang w:bidi="fa-IR"/>
        </w:rPr>
        <w:t>تو سپردم، اما بايد به چهار دسته هر وقت خواستند اجازه دخول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مؤذن كه وقت نماز را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پاسبان شب، چه خبر خوب داشته باشد و چه خبر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فرستاده و رسول از سوى مرزها كه اگر لحظه‌اى خبر او ديرتر به من رسد، ممكن است باعث خرابى كار يك‌سال شود، پس او را نزد من بفرست اگر چه من در لحاف خود خوابيده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مسئول غذاست كه اگر ديرتر بر من وارد شود، بايد دوباره غذا را گرم كند و اين باعث فساد غذا خواهد شد</w:t>
      </w:r>
      <w:r>
        <w:rPr>
          <w:rFonts w:eastAsia="IRNazanin" w:cs="IRNazanin"/>
          <w:color w:val="111111"/>
          <w:sz w:val="28"/>
          <w:szCs w:val="28"/>
          <w:rtl w:val="true"/>
          <w:lang w:bidi="fa-IR"/>
        </w:rPr>
        <w:t xml:space="preserve">» . </w:t>
      </w:r>
      <w:r>
        <w:rPr>
          <w:rStyle w:val="FootnoteAnchor"/>
          <w:rtl w:val="true"/>
        </w:rPr>
        <w:footnoteReference w:id="1786"/>
      </w:r>
    </w:p>
    <w:p>
      <w:pPr>
        <w:pStyle w:val="Heading4"/>
        <w:numPr>
          <w:ilvl w:val="3"/>
          <w:numId w:val="1"/>
        </w:numPr>
        <w:rPr/>
      </w:pPr>
      <w:bookmarkStart w:id="2051" w:name="__RefHeading___Toc3586159_3650668749"/>
      <w:bookmarkStart w:id="2052" w:name="_Toc876"/>
      <w:bookmarkEnd w:id="2051"/>
      <w:r>
        <w:rPr>
          <w:rtl w:val="true"/>
        </w:rPr>
        <w:t>ب</w:t>
      </w:r>
      <w:r>
        <w:rPr>
          <w:rtl w:val="true"/>
        </w:rPr>
        <w:t xml:space="preserve">) </w:t>
      </w:r>
      <w:r>
        <w:rPr>
          <w:rtl w:val="true"/>
        </w:rPr>
        <w:t>اذن دخول</w:t>
      </w:r>
      <w:bookmarkEnd w:id="2052"/>
    </w:p>
    <w:p>
      <w:pPr>
        <w:pStyle w:val="BookText"/>
        <w:rPr/>
      </w:pPr>
      <w:r>
        <w:rPr>
          <w:rFonts w:ascii="IRNazanin" w:hAnsi="IRNazanin" w:eastAsia="IRNazanin"/>
          <w:color w:val="111111"/>
          <w:sz w:val="28"/>
          <w:sz w:val="28"/>
          <w:szCs w:val="28"/>
          <w:rtl w:val="true"/>
          <w:lang w:bidi="fa-IR"/>
        </w:rPr>
        <w:t>پس از اجازه دربان، وارد شونده از صاحب مجلس، يعنى خليفه يا امير نيز اذن دخول مى‌گرفت، چنان‌كه محمد بن اشعث هنگامى كه خواست مسلم را بر عبيدالله وارد كند، اذن دخول خواست</w:t>
      </w:r>
      <w:r>
        <w:rPr>
          <w:rFonts w:eastAsia="IRNazanin" w:cs="IRNazanin"/>
          <w:color w:val="111111"/>
          <w:sz w:val="28"/>
          <w:szCs w:val="28"/>
          <w:rtl w:val="true"/>
          <w:lang w:bidi="fa-IR"/>
        </w:rPr>
        <w:t xml:space="preserve">. </w:t>
      </w:r>
      <w:r>
        <w:rPr>
          <w:rStyle w:val="FootnoteAnchor"/>
          <w:rtl w:val="true"/>
        </w:rPr>
        <w:footnoteReference w:id="1787"/>
      </w:r>
    </w:p>
    <w:p>
      <w:pPr>
        <w:pStyle w:val="Heading4"/>
        <w:numPr>
          <w:ilvl w:val="3"/>
          <w:numId w:val="1"/>
        </w:numPr>
        <w:rPr/>
      </w:pPr>
      <w:bookmarkStart w:id="2053" w:name="__RefHeading___Toc3586161_3650668749"/>
      <w:bookmarkStart w:id="2054" w:name="_Toc877"/>
      <w:bookmarkEnd w:id="2053"/>
      <w:r>
        <w:rPr>
          <w:rtl w:val="true"/>
        </w:rPr>
        <w:t>ج</w:t>
      </w:r>
      <w:r>
        <w:rPr>
          <w:rtl w:val="true"/>
        </w:rPr>
        <w:t xml:space="preserve">) </w:t>
      </w:r>
      <w:r>
        <w:rPr>
          <w:rtl w:val="true"/>
        </w:rPr>
        <w:t>كيفيت ورود در مجلس</w:t>
      </w:r>
      <w:bookmarkEnd w:id="2054"/>
    </w:p>
    <w:p>
      <w:pPr>
        <w:pStyle w:val="BookText"/>
        <w:rPr/>
      </w:pPr>
      <w:r>
        <w:rPr>
          <w:rFonts w:ascii="IRNazanin" w:hAnsi="IRNazanin" w:eastAsia="IRNazanin"/>
          <w:color w:val="111111"/>
          <w:sz w:val="28"/>
          <w:sz w:val="28"/>
          <w:szCs w:val="28"/>
          <w:rtl w:val="true"/>
          <w:lang w:bidi="fa-IR"/>
        </w:rPr>
        <w:t>پس از دخول و ورود در مجلس، نوبت به آداب ورود در مجلس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خلفاى راشدين وارد بر مجلس، بر صاحب مجلس سلام ساده‌اى با گفتن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مى‌نمود و گاهى كنيه خليفه يا امير را به آن اضافه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سلام بر خلفا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 اضافه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آشنا شدن با آداب و رسوم ايرانيان و ديگر عجم‌ها، آداب سلام نمودن و ورود در مجلس تغيير يافت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بار مغيرة بن شعبه حاكم كوفه دستور داد كه بر او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ايها الامير و رحمة الله و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بوسيدن دست امير يا</w:t>
      </w:r>
      <w:bookmarkStart w:id="2055" w:name="pg1964_19958"/>
    </w:p>
    <w:p>
      <w:pPr>
        <w:pStyle w:val="BookText"/>
        <w:rPr/>
      </w:pPr>
      <w:bookmarkEnd w:id="2055"/>
      <w:r>
        <w:rPr>
          <w:rFonts w:ascii="Amiri" w:hAnsi="Amiri" w:eastAsia="Amiri" w:cs="Amiri"/>
          <w:color w:val="111111"/>
          <w:sz w:val="28"/>
          <w:sz w:val="28"/>
          <w:szCs w:val="28"/>
          <w:rtl w:val="true"/>
          <w:lang w:bidi="ar-SA"/>
        </w:rPr>
        <w:t>سلطان نيز به آداب مجلس افزوده شد و بعدها به جاى بوسيدن دست، آستين آنها را مى‌بوسيدند</w:t>
      </w:r>
      <w:r>
        <w:rPr>
          <w:rFonts w:eastAsia="Amiri" w:cs="Amiri" w:ascii="Amiri" w:hAnsi="Amiri"/>
          <w:color w:val="111111"/>
          <w:sz w:val="28"/>
          <w:szCs w:val="28"/>
          <w:rtl w:val="true"/>
          <w:lang w:bidi="ar-SA"/>
        </w:rPr>
        <w:t xml:space="preserve">. </w:t>
      </w:r>
      <w:r>
        <w:rPr>
          <w:rStyle w:val="FootnoteAnchor"/>
          <w:rtl w:val="true"/>
        </w:rPr>
        <w:footnoteReference w:id="1788"/>
      </w:r>
    </w:p>
    <w:p>
      <w:pPr>
        <w:pStyle w:val="BookText"/>
        <w:rPr/>
      </w:pPr>
      <w:r>
        <w:rPr>
          <w:rFonts w:ascii="IRNazanin" w:hAnsi="IRNazanin" w:eastAsia="IRNazanin"/>
          <w:color w:val="111111"/>
          <w:sz w:val="28"/>
          <w:sz w:val="28"/>
          <w:szCs w:val="28"/>
          <w:rtl w:val="true"/>
          <w:lang w:bidi="fa-IR"/>
        </w:rPr>
        <w:t xml:space="preserve">نكته ديگر اينكه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خلفاى راشدين، در مجلس خلفا و امرا ديگران با همديگر صحبت مى‌كردند و گاهى تازه وارد بر اطرافيان نيز سلام و با آنها احوال‌پرسى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اولين بار، زياد دستور داد كه هيچ‌كس حق ندارد بر كسى كه روبه‌روى صاحب مجلس ايستاده، سلام كند و بعدها صحبت كردن در حضور خليفه را به‌طور كلى ممنوع كردند</w:t>
      </w:r>
      <w:r>
        <w:rPr>
          <w:rFonts w:eastAsia="IRNazanin" w:cs="IRNazanin"/>
          <w:color w:val="111111"/>
          <w:sz w:val="28"/>
          <w:szCs w:val="28"/>
          <w:rtl w:val="true"/>
          <w:lang w:bidi="fa-IR"/>
        </w:rPr>
        <w:t xml:space="preserve">. </w:t>
      </w:r>
      <w:r>
        <w:rPr>
          <w:rStyle w:val="FootnoteAnchor"/>
          <w:rtl w:val="true"/>
        </w:rPr>
        <w:footnoteReference w:id="1789"/>
      </w:r>
    </w:p>
    <w:p>
      <w:pPr>
        <w:pStyle w:val="Heading4"/>
        <w:numPr>
          <w:ilvl w:val="3"/>
          <w:numId w:val="1"/>
        </w:numPr>
        <w:rPr/>
      </w:pPr>
      <w:bookmarkStart w:id="2056" w:name="__RefHeading___Toc3586163_3650668749"/>
      <w:bookmarkStart w:id="2057" w:name="_Toc878"/>
      <w:bookmarkEnd w:id="2056"/>
      <w:r>
        <w:rPr>
          <w:rtl w:val="true"/>
        </w:rPr>
        <w:t>د</w:t>
      </w:r>
      <w:r>
        <w:rPr>
          <w:rtl w:val="true"/>
        </w:rPr>
        <w:t xml:space="preserve">) </w:t>
      </w:r>
      <w:r>
        <w:rPr>
          <w:rtl w:val="true"/>
        </w:rPr>
        <w:t>تجمّلات مجلس</w:t>
      </w:r>
      <w:bookmarkEnd w:id="2057"/>
    </w:p>
    <w:p>
      <w:pPr>
        <w:pStyle w:val="BookText"/>
        <w:rPr/>
      </w:pPr>
      <w:r>
        <w:rPr>
          <w:rFonts w:ascii="IRNazanin" w:hAnsi="IRNazanin" w:eastAsia="IRNazanin"/>
          <w:color w:val="111111"/>
          <w:sz w:val="28"/>
          <w:sz w:val="28"/>
          <w:szCs w:val="28"/>
          <w:rtl w:val="true"/>
          <w:lang w:bidi="fa-IR"/>
        </w:rPr>
        <w:t xml:space="preserve">تجملات مجلس همانند نهادن كرسى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تخت و نشستن امير يا سلطان بر آن، آويختن پرده‌هاى رنگارنگ و زيبا، گذاشتن متكّاها با نقش‌هاى مختلف و انداختن فرش‌ها در مجلس، از زمان زياد و معاويه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اولين بار معاويه تخت را در مجلس خود آورد، در حالى‌كه خلفا قبل از او روى زمين مى‌نشستند</w:t>
      </w:r>
      <w:r>
        <w:rPr>
          <w:rFonts w:eastAsia="IRNazanin" w:cs="IRNazanin"/>
          <w:color w:val="111111"/>
          <w:sz w:val="28"/>
          <w:szCs w:val="28"/>
          <w:rtl w:val="true"/>
          <w:lang w:bidi="fa-IR"/>
        </w:rPr>
        <w:t xml:space="preserve">. </w:t>
      </w:r>
      <w:r>
        <w:rPr>
          <w:rStyle w:val="FootnoteAnchor"/>
          <w:rtl w:val="true"/>
        </w:rPr>
        <w:footnoteReference w:id="1790"/>
      </w:r>
    </w:p>
    <w:p>
      <w:pPr>
        <w:pStyle w:val="Heading4"/>
        <w:numPr>
          <w:ilvl w:val="3"/>
          <w:numId w:val="1"/>
        </w:numPr>
        <w:rPr/>
      </w:pPr>
      <w:bookmarkStart w:id="2058" w:name="__RefHeading___Toc3586165_3650668749"/>
      <w:bookmarkStart w:id="2059" w:name="_Toc879"/>
      <w:bookmarkEnd w:id="2058"/>
      <w:r>
        <w:rPr>
          <w:rtl w:val="true"/>
        </w:rPr>
        <w:t>ه</w:t>
      </w:r>
      <w:r>
        <w:rPr>
          <w:rtl w:val="true"/>
        </w:rPr>
        <w:t xml:space="preserve">) </w:t>
      </w:r>
      <w:r>
        <w:rPr>
          <w:rtl w:val="true"/>
        </w:rPr>
        <w:t>پاسبان در مجلس</w:t>
      </w:r>
      <w:bookmarkEnd w:id="2059"/>
    </w:p>
    <w:p>
      <w:pPr>
        <w:pStyle w:val="BookText"/>
        <w:rPr/>
      </w:pPr>
      <w:r>
        <w:rPr>
          <w:rFonts w:ascii="IRNazanin" w:hAnsi="IRNazanin" w:eastAsia="IRNazanin"/>
          <w:color w:val="111111"/>
          <w:sz w:val="28"/>
          <w:sz w:val="28"/>
          <w:szCs w:val="28"/>
          <w:rtl w:val="true"/>
          <w:lang w:bidi="fa-IR"/>
        </w:rPr>
        <w:t>حضور پاسبان و نگهبان در مجلس، همراه با سلاح‌هاى آماده نيز از زمان زياد و معاويه شروع شد</w:t>
      </w:r>
      <w:r>
        <w:rPr>
          <w:rFonts w:eastAsia="IRNazanin" w:cs="IRNazanin"/>
          <w:color w:val="111111"/>
          <w:sz w:val="28"/>
          <w:szCs w:val="28"/>
          <w:rtl w:val="true"/>
          <w:lang w:bidi="fa-IR"/>
        </w:rPr>
        <w:t xml:space="preserve">. </w:t>
      </w:r>
      <w:r>
        <w:rPr>
          <w:rStyle w:val="FootnoteAnchor"/>
          <w:rtl w:val="true"/>
        </w:rPr>
        <w:footnoteReference w:id="1791"/>
      </w:r>
    </w:p>
    <w:p>
      <w:pPr>
        <w:pStyle w:val="BookText"/>
        <w:rPr/>
      </w:pPr>
      <w:r>
        <w:rPr>
          <w:rFonts w:ascii="IRNazanin" w:hAnsi="IRNazanin" w:eastAsia="IRNazanin"/>
          <w:color w:val="111111"/>
          <w:sz w:val="28"/>
          <w:sz w:val="28"/>
          <w:szCs w:val="28"/>
          <w:rtl w:val="true"/>
          <w:lang w:bidi="fa-IR"/>
        </w:rPr>
        <w:t>در باره زياد گفته شده است كه اولين بار در زمان حكومتش در بصره در سال</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هنگامى كه در كوچه و خيابان راه مى‌رفت، پاسبانان در پيشاپيش او و همراهش با نيزه و تازيانه و عمود، او را اسكورت مى‌كردند</w:t>
      </w:r>
      <w:r>
        <w:rPr>
          <w:rFonts w:eastAsia="IRNazanin" w:cs="IRNazanin"/>
          <w:color w:val="111111"/>
          <w:sz w:val="28"/>
          <w:szCs w:val="28"/>
          <w:rtl w:val="true"/>
          <w:lang w:bidi="fa-IR"/>
        </w:rPr>
        <w:t xml:space="preserve">. </w:t>
      </w:r>
      <w:r>
        <w:rPr>
          <w:rStyle w:val="FootnoteAnchor"/>
          <w:rtl w:val="true"/>
        </w:rPr>
        <w:footnoteReference w:id="1792"/>
      </w:r>
      <w:r>
        <w:rPr>
          <w:rFonts w:ascii="IRNazanin" w:hAnsi="IRNazanin" w:eastAsia="IRNazanin"/>
          <w:color w:val="111111"/>
          <w:sz w:val="28"/>
          <w:sz w:val="28"/>
          <w:szCs w:val="28"/>
          <w:rtl w:val="true"/>
          <w:lang w:bidi="fa-IR"/>
        </w:rPr>
        <w:t>همچنين او پانصد نگهبان شخصى داشت كه از خود و قصرش محافظت مى‌كردند</w:t>
      </w:r>
      <w:r>
        <w:rPr>
          <w:rFonts w:eastAsia="IRNazanin" w:cs="IRNazanin"/>
          <w:color w:val="111111"/>
          <w:sz w:val="28"/>
          <w:szCs w:val="28"/>
          <w:rtl w:val="true"/>
          <w:lang w:bidi="fa-IR"/>
        </w:rPr>
        <w:t xml:space="preserve">. </w:t>
      </w:r>
      <w:r>
        <w:rPr>
          <w:rStyle w:val="FootnoteAnchor"/>
          <w:rtl w:val="true"/>
        </w:rPr>
        <w:footnoteReference w:id="1793"/>
      </w:r>
      <w:r>
        <w:rPr>
          <w:rFonts w:ascii="IRNazanin" w:hAnsi="IRNazanin" w:eastAsia="IRNazanin"/>
          <w:color w:val="111111"/>
          <w:sz w:val="28"/>
          <w:sz w:val="28"/>
          <w:szCs w:val="28"/>
          <w:rtl w:val="true"/>
          <w:lang w:bidi="fa-IR"/>
        </w:rPr>
        <w:t>احتمالاً همين رويه را در كوفه معمول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نيز پس از ماجراى ترورش در سال</w:t>
      </w:r>
      <w:bookmarkStart w:id="2060" w:name="pg1964_19959"/>
    </w:p>
    <w:p>
      <w:pPr>
        <w:pStyle w:val="BookText"/>
        <w:rPr/>
      </w:pPr>
      <w:bookmarkEnd w:id="2060"/>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مسجد شام، براى خود محل محفوظى در محراب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كرد كه در آنجا به نماز مى‌ايستاد و پاسبانان از او محافظت مى‌كردند</w:t>
      </w:r>
      <w:r>
        <w:rPr>
          <w:rFonts w:eastAsia="IRNazanin" w:cs="IRNazanin"/>
          <w:color w:val="111111"/>
          <w:sz w:val="28"/>
          <w:szCs w:val="28"/>
          <w:rtl w:val="true"/>
          <w:lang w:bidi="fa-IR"/>
        </w:rPr>
        <w:t xml:space="preserve">. </w:t>
      </w:r>
      <w:r>
        <w:rPr>
          <w:rStyle w:val="FootnoteAnchor"/>
          <w:rtl w:val="true"/>
        </w:rPr>
        <w:footnoteReference w:id="1794"/>
      </w:r>
    </w:p>
    <w:p>
      <w:pPr>
        <w:pStyle w:val="Heading4"/>
        <w:numPr>
          <w:ilvl w:val="3"/>
          <w:numId w:val="1"/>
        </w:numPr>
        <w:rPr/>
      </w:pPr>
      <w:bookmarkStart w:id="2061" w:name="__RefHeading___Toc3586167_3650668749"/>
      <w:bookmarkStart w:id="2062" w:name="_Toc880"/>
      <w:bookmarkEnd w:id="2061"/>
      <w:r>
        <w:rPr>
          <w:rtl w:val="true"/>
        </w:rPr>
        <w:t>و</w:t>
      </w:r>
      <w:r>
        <w:rPr>
          <w:rtl w:val="true"/>
        </w:rPr>
        <w:t xml:space="preserve">) </w:t>
      </w:r>
      <w:r>
        <w:rPr>
          <w:rtl w:val="true"/>
        </w:rPr>
        <w:t>مرخص شدن از مجلس</w:t>
      </w:r>
      <w:bookmarkEnd w:id="2062"/>
    </w:p>
    <w:p>
      <w:pPr>
        <w:pStyle w:val="BookText"/>
        <w:rPr/>
      </w:pPr>
      <w:r>
        <w:rPr>
          <w:rFonts w:ascii="IRNazanin" w:hAnsi="IRNazanin" w:eastAsia="IRNazanin"/>
          <w:color w:val="111111"/>
          <w:sz w:val="28"/>
          <w:sz w:val="28"/>
          <w:szCs w:val="28"/>
          <w:rtl w:val="true"/>
          <w:lang w:bidi="fa-IR"/>
        </w:rPr>
        <w:t>پس از مرسوم شدن مقررات در مجالس، پادشاهان اسلامى و امرا علامتى را وضع نمودند كه ابراز آن، نشانه تمايلشان براى بيرون رفتن حاضران از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هرگاه معاويه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بود كه به حاضران دستور ترك مجلس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يزيد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بركة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حاضران مى‌خواست كه مجلس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هر كس مى‌خواست از مجلس خارج شود، نبايستى پشت به صاحب مجلس مى‌كرد، بلكه بايد آن‌قدر عقب‌عقب مى‌رفت تا از ديد صاحب مجلس پنهان شود</w:t>
      </w:r>
      <w:r>
        <w:rPr>
          <w:rFonts w:eastAsia="IRNazanin" w:cs="IRNazanin"/>
          <w:color w:val="111111"/>
          <w:sz w:val="28"/>
          <w:szCs w:val="28"/>
          <w:rtl w:val="true"/>
          <w:lang w:bidi="fa-IR"/>
        </w:rPr>
        <w:t xml:space="preserve">. </w:t>
      </w:r>
      <w:r>
        <w:rPr>
          <w:rStyle w:val="FootnoteAnchor"/>
          <w:rtl w:val="true"/>
        </w:rPr>
        <w:footnoteReference w:id="1795"/>
      </w:r>
    </w:p>
    <w:p>
      <w:pPr>
        <w:pStyle w:val="Heading3"/>
        <w:numPr>
          <w:ilvl w:val="2"/>
          <w:numId w:val="1"/>
        </w:numPr>
        <w:rPr/>
      </w:pPr>
      <w:bookmarkStart w:id="2063" w:name="__RefHeading___Toc3586169_3650668749"/>
      <w:bookmarkStart w:id="2064" w:name="_Toc881"/>
      <w:bookmarkEnd w:id="2063"/>
      <w:r>
        <w:rPr/>
        <w:t>١۴</w:t>
      </w:r>
      <w:r>
        <w:rPr>
          <w:rtl w:val="true"/>
        </w:rPr>
        <w:t xml:space="preserve">. </w:t>
      </w:r>
      <w:r>
        <w:rPr>
          <w:rtl w:val="true"/>
        </w:rPr>
        <w:t>لباس پوشيدن و حجاب</w:t>
      </w:r>
      <w:bookmarkEnd w:id="2064"/>
    </w:p>
    <w:p>
      <w:pPr>
        <w:pStyle w:val="Heading4"/>
        <w:numPr>
          <w:ilvl w:val="3"/>
          <w:numId w:val="1"/>
        </w:numPr>
        <w:rPr/>
      </w:pPr>
      <w:bookmarkStart w:id="2065" w:name="__RefHeading___Toc3586171_3650668749"/>
      <w:bookmarkStart w:id="2066" w:name="_Toc882"/>
      <w:bookmarkEnd w:id="2065"/>
      <w:r>
        <w:rPr>
          <w:rtl w:val="true"/>
        </w:rPr>
        <w:t>اشاره</w:t>
      </w:r>
      <w:bookmarkEnd w:id="2066"/>
    </w:p>
    <w:p>
      <w:pPr>
        <w:pStyle w:val="BookText"/>
        <w:rPr/>
      </w:pPr>
      <w:r>
        <w:rPr>
          <w:rFonts w:ascii="IRNazanin" w:hAnsi="IRNazanin" w:eastAsia="IRNazanin"/>
          <w:color w:val="111111"/>
          <w:sz w:val="28"/>
          <w:sz w:val="28"/>
          <w:szCs w:val="28"/>
          <w:rtl w:val="true"/>
          <w:lang w:bidi="fa-IR"/>
        </w:rPr>
        <w:t>اين بخش را در دو قسمت پارچه‌ها و لباس‌ها بررسى مى‌كنيم</w:t>
      </w:r>
      <w:r>
        <w:rPr>
          <w:rFonts w:eastAsia="IRNazanin" w:cs="IRNazanin"/>
          <w:color w:val="111111"/>
          <w:sz w:val="28"/>
          <w:szCs w:val="28"/>
          <w:rtl w:val="true"/>
          <w:lang w:bidi="fa-IR"/>
        </w:rPr>
        <w:t>:</w:t>
      </w:r>
    </w:p>
    <w:p>
      <w:pPr>
        <w:pStyle w:val="Heading4"/>
        <w:numPr>
          <w:ilvl w:val="3"/>
          <w:numId w:val="1"/>
        </w:numPr>
        <w:rPr/>
      </w:pPr>
      <w:bookmarkStart w:id="2067" w:name="__RefHeading___Toc3586173_3650668749"/>
      <w:bookmarkStart w:id="2068" w:name="_Toc883"/>
      <w:bookmarkEnd w:id="2067"/>
      <w:r>
        <w:rPr>
          <w:rtl w:val="true"/>
        </w:rPr>
        <w:t>الف</w:t>
      </w:r>
      <w:r>
        <w:rPr>
          <w:rtl w:val="true"/>
        </w:rPr>
        <w:t xml:space="preserve">) </w:t>
      </w:r>
      <w:r>
        <w:rPr>
          <w:rtl w:val="true"/>
        </w:rPr>
        <w:t>پارچه‌ها</w:t>
      </w:r>
      <w:bookmarkEnd w:id="2068"/>
    </w:p>
    <w:p>
      <w:pPr>
        <w:pStyle w:val="Heading5"/>
        <w:numPr>
          <w:ilvl w:val="4"/>
          <w:numId w:val="1"/>
        </w:numPr>
        <w:rPr/>
      </w:pPr>
      <w:bookmarkStart w:id="2069" w:name="__RefHeading___Toc3586175_3650668749"/>
      <w:bookmarkStart w:id="2070" w:name="_Toc884"/>
      <w:bookmarkEnd w:id="2069"/>
      <w:r>
        <w:rPr>
          <w:rtl w:val="true"/>
        </w:rPr>
        <w:t xml:space="preserve">يك </w:t>
      </w:r>
      <w:r>
        <w:rPr>
          <w:rtl w:val="true"/>
        </w:rPr>
        <w:t xml:space="preserve">- </w:t>
      </w:r>
      <w:r>
        <w:rPr>
          <w:rtl w:val="true"/>
        </w:rPr>
        <w:t>مواد پارچه‌ها</w:t>
      </w:r>
      <w:bookmarkEnd w:id="2070"/>
    </w:p>
    <w:p>
      <w:pPr>
        <w:pStyle w:val="BookText"/>
        <w:rPr/>
      </w:pPr>
      <w:r>
        <w:rPr>
          <w:rFonts w:ascii="IRNazanin" w:hAnsi="IRNazanin" w:eastAsia="IRNazanin"/>
          <w:color w:val="111111"/>
          <w:sz w:val="28"/>
          <w:sz w:val="28"/>
          <w:szCs w:val="28"/>
          <w:rtl w:val="true"/>
          <w:lang w:bidi="fa-IR"/>
        </w:rPr>
        <w:t>مواد پارچه‌ها عبارت بود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حيوانات،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پشم و كرك حيواناتى،</w:t>
      </w:r>
    </w:p>
    <w:p>
      <w:pPr>
        <w:pStyle w:val="BookText"/>
        <w:rPr/>
      </w:pPr>
      <w:r>
        <w:rPr>
          <w:rFonts w:ascii="IRNazanin" w:hAnsi="IRNazanin" w:eastAsia="IRNazanin"/>
          <w:color w:val="111111"/>
          <w:sz w:val="28"/>
          <w:sz w:val="28"/>
          <w:szCs w:val="28"/>
          <w:rtl w:val="true"/>
          <w:lang w:bidi="fa-IR"/>
        </w:rPr>
        <w:t xml:space="preserve">همچون گوسفند و شتر،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ابريشم،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ذكر پارچه‌ها و لباس‌ها به توضيح اين مواد خواهيم پرداخت</w:t>
      </w:r>
      <w:r>
        <w:rPr>
          <w:rFonts w:eastAsia="IRNazanin" w:cs="IRNazanin"/>
          <w:color w:val="111111"/>
          <w:sz w:val="28"/>
          <w:szCs w:val="28"/>
          <w:rtl w:val="true"/>
          <w:lang w:bidi="fa-IR"/>
        </w:rPr>
        <w:t>.</w:t>
      </w:r>
    </w:p>
    <w:p>
      <w:pPr>
        <w:pStyle w:val="Heading5"/>
        <w:numPr>
          <w:ilvl w:val="4"/>
          <w:numId w:val="1"/>
        </w:numPr>
        <w:rPr/>
      </w:pPr>
      <w:bookmarkStart w:id="2071" w:name="__RefHeading___Toc3586177_3650668749"/>
      <w:bookmarkStart w:id="2072" w:name="_Toc885"/>
      <w:bookmarkEnd w:id="2071"/>
      <w:r>
        <w:rPr>
          <w:rtl w:val="true"/>
        </w:rPr>
        <w:t xml:space="preserve">دو </w:t>
      </w:r>
      <w:r>
        <w:rPr>
          <w:rtl w:val="true"/>
        </w:rPr>
        <w:t xml:space="preserve">- </w:t>
      </w:r>
      <w:r>
        <w:rPr>
          <w:rtl w:val="true"/>
        </w:rPr>
        <w:t>نام پارچه‌ها</w:t>
      </w:r>
      <w:bookmarkEnd w:id="2072"/>
    </w:p>
    <w:p>
      <w:pPr>
        <w:pStyle w:val="Heading6"/>
        <w:numPr>
          <w:ilvl w:val="5"/>
          <w:numId w:val="1"/>
        </w:numPr>
        <w:rPr/>
      </w:pPr>
      <w:bookmarkStart w:id="2073" w:name="__RefHeading___Toc3586179_3650668749"/>
      <w:bookmarkStart w:id="2074" w:name="_Toc886"/>
      <w:bookmarkEnd w:id="2073"/>
      <w:r>
        <w:rPr>
          <w:rtl w:val="true"/>
        </w:rPr>
        <w:t>اشاره</w:t>
      </w:r>
      <w:bookmarkEnd w:id="2074"/>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پارچه‌هاى مختلفى كه در آن زمان از آنها استفاده مى‌شد يا دست‌كم براى مردم آن زمان شناخته شده بود، عبارت است از</w:t>
      </w:r>
      <w:r>
        <w:rPr>
          <w:rFonts w:eastAsia="IRNazanin" w:cs="IRNazanin"/>
          <w:color w:val="111111"/>
          <w:sz w:val="28"/>
          <w:szCs w:val="28"/>
          <w:rtl w:val="true"/>
          <w:lang w:bidi="fa-IR"/>
        </w:rPr>
        <w:t>:</w:t>
      </w:r>
      <w:bookmarkStart w:id="2075" w:name="pg1964_19960"/>
    </w:p>
    <w:p>
      <w:pPr>
        <w:pStyle w:val="Heading6"/>
        <w:numPr>
          <w:ilvl w:val="5"/>
          <w:numId w:val="1"/>
        </w:numPr>
        <w:rPr/>
      </w:pPr>
      <w:bookmarkStart w:id="2076" w:name="__RefHeading___Toc3586181_3650668749"/>
      <w:bookmarkStart w:id="2077" w:name="_Toc887"/>
      <w:bookmarkEnd w:id="2075"/>
      <w:bookmarkEnd w:id="2076"/>
      <w:r>
        <w:rPr>
          <w:rtl w:val="true"/>
        </w:rPr>
        <w:t xml:space="preserve">اول </w:t>
      </w:r>
      <w:r>
        <w:rPr>
          <w:rtl w:val="true"/>
        </w:rPr>
        <w:t xml:space="preserve">- </w:t>
      </w:r>
      <w:r>
        <w:rPr>
          <w:rtl w:val="true"/>
        </w:rPr>
        <w:t>اِسْتَبْرَق</w:t>
      </w:r>
      <w:bookmarkEnd w:id="2077"/>
    </w:p>
    <w:p>
      <w:pPr>
        <w:pStyle w:val="BookText"/>
        <w:rPr/>
      </w:pPr>
      <w:r>
        <w:rPr>
          <w:rFonts w:ascii="IRNazanin" w:hAnsi="IRNazanin" w:eastAsia="IRNazanin"/>
          <w:color w:val="111111"/>
          <w:sz w:val="28"/>
          <w:sz w:val="28"/>
          <w:szCs w:val="28"/>
          <w:rtl w:val="true"/>
          <w:lang w:bidi="fa-IR"/>
        </w:rPr>
        <w:t>از اين نوع پارچه در چند مورد در قرآن كريم ياد شده است</w:t>
      </w:r>
      <w:r>
        <w:rPr>
          <w:rFonts w:eastAsia="IRNazanin" w:cs="IRNazanin"/>
          <w:color w:val="111111"/>
          <w:sz w:val="28"/>
          <w:szCs w:val="28"/>
          <w:rtl w:val="true"/>
          <w:lang w:bidi="fa-IR"/>
        </w:rPr>
        <w:t xml:space="preserve">. </w:t>
      </w:r>
      <w:r>
        <w:rPr>
          <w:rStyle w:val="FootnoteAnchor"/>
          <w:rtl w:val="true"/>
        </w:rPr>
        <w:footnoteReference w:id="1796"/>
      </w:r>
      <w:r>
        <w:rPr>
          <w:rFonts w:ascii="IRNazanin" w:hAnsi="IRNazanin" w:eastAsia="IRNazanin"/>
          <w:color w:val="111111"/>
          <w:sz w:val="28"/>
          <w:sz w:val="28"/>
          <w:szCs w:val="28"/>
          <w:rtl w:val="true"/>
          <w:lang w:bidi="fa-IR"/>
        </w:rPr>
        <w:t xml:space="preserve">طبق گفته لغويان اصل آن، لغت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لغت‌هاى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به معناى محكم و غليظ و ضخيم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پارچه ضخيم، از ابريشم و حرير به عمل مى‌آمد</w:t>
      </w:r>
      <w:r>
        <w:rPr>
          <w:rFonts w:eastAsia="IRNazanin" w:cs="IRNazanin"/>
          <w:color w:val="111111"/>
          <w:sz w:val="28"/>
          <w:szCs w:val="28"/>
          <w:rtl w:val="true"/>
          <w:lang w:bidi="fa-IR"/>
        </w:rPr>
        <w:t xml:space="preserve">. </w:t>
      </w:r>
      <w:r>
        <w:rPr>
          <w:rStyle w:val="FootnoteAnchor"/>
          <w:rtl w:val="true"/>
        </w:rPr>
        <w:footnoteReference w:id="1797"/>
      </w:r>
    </w:p>
    <w:p>
      <w:pPr>
        <w:pStyle w:val="Heading6"/>
        <w:numPr>
          <w:ilvl w:val="5"/>
          <w:numId w:val="1"/>
        </w:numPr>
        <w:rPr/>
      </w:pPr>
      <w:bookmarkStart w:id="2078" w:name="__RefHeading___Toc3586183_3650668749"/>
      <w:bookmarkStart w:id="2079" w:name="_Toc888"/>
      <w:bookmarkEnd w:id="2078"/>
      <w:r>
        <w:rPr>
          <w:rtl w:val="true"/>
        </w:rPr>
        <w:t xml:space="preserve">دوم </w:t>
      </w:r>
      <w:r>
        <w:rPr>
          <w:rtl w:val="true"/>
        </w:rPr>
        <w:t xml:space="preserve">- </w:t>
      </w:r>
      <w:r>
        <w:rPr>
          <w:rtl w:val="true"/>
        </w:rPr>
        <w:t>بَزّ</w:t>
      </w:r>
      <w:bookmarkEnd w:id="2079"/>
    </w:p>
    <w:p>
      <w:pPr>
        <w:pStyle w:val="BookText"/>
        <w:rPr/>
      </w:pPr>
      <w:r>
        <w:rPr>
          <w:rFonts w:ascii="IRNazanin" w:hAnsi="IRNazanin" w:eastAsia="IRNazanin"/>
          <w:color w:val="111111"/>
          <w:sz w:val="28"/>
          <w:sz w:val="28"/>
          <w:szCs w:val="28"/>
          <w:rtl w:val="true"/>
          <w:lang w:bidi="fa-IR"/>
        </w:rPr>
        <w:t>بَزّ براى مطلق پارچه به‌كار مى‌رود، ازاين‌رو به پارچه‌فروش، بزاز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به نوعى پارچه پنبه‌اى گران‌قيمت نيز گفته مى‌شد</w:t>
      </w:r>
      <w:r>
        <w:rPr>
          <w:rFonts w:eastAsia="IRNazanin" w:cs="IRNazanin"/>
          <w:color w:val="111111"/>
          <w:sz w:val="28"/>
          <w:szCs w:val="28"/>
          <w:rtl w:val="true"/>
          <w:lang w:bidi="fa-IR"/>
        </w:rPr>
        <w:t xml:space="preserve">. </w:t>
      </w:r>
      <w:r>
        <w:rPr>
          <w:rStyle w:val="FootnoteAnchor"/>
          <w:rtl w:val="true"/>
        </w:rPr>
        <w:footnoteReference w:id="1798"/>
      </w:r>
    </w:p>
    <w:p>
      <w:pPr>
        <w:pStyle w:val="Heading6"/>
        <w:numPr>
          <w:ilvl w:val="5"/>
          <w:numId w:val="1"/>
        </w:numPr>
        <w:rPr/>
      </w:pPr>
      <w:bookmarkStart w:id="2080" w:name="__RefHeading___Toc3586185_3650668749"/>
      <w:bookmarkStart w:id="2081" w:name="_Toc889"/>
      <w:bookmarkEnd w:id="2080"/>
      <w:r>
        <w:rPr>
          <w:rtl w:val="true"/>
        </w:rPr>
        <w:t xml:space="preserve">سوم </w:t>
      </w:r>
      <w:r>
        <w:rPr>
          <w:rtl w:val="true"/>
        </w:rPr>
        <w:t xml:space="preserve">- </w:t>
      </w:r>
      <w:r>
        <w:rPr>
          <w:rtl w:val="true"/>
        </w:rPr>
        <w:t>حرير</w:t>
      </w:r>
      <w:bookmarkEnd w:id="2081"/>
    </w:p>
    <w:p>
      <w:pPr>
        <w:pStyle w:val="BookText"/>
        <w:rPr/>
      </w:pPr>
      <w:r>
        <w:rPr>
          <w:rFonts w:ascii="IRNazanin" w:hAnsi="IRNazanin" w:eastAsia="IRNazanin"/>
          <w:color w:val="111111"/>
          <w:sz w:val="28"/>
          <w:sz w:val="28"/>
          <w:szCs w:val="28"/>
          <w:rtl w:val="true"/>
          <w:lang w:bidi="fa-IR"/>
        </w:rPr>
        <w:t>از اين نوع پارچه نيز در قرآن كريم ياد شده است</w:t>
      </w:r>
      <w:r>
        <w:rPr>
          <w:rFonts w:eastAsia="IRNazanin" w:cs="IRNazanin"/>
          <w:color w:val="111111"/>
          <w:sz w:val="28"/>
          <w:szCs w:val="28"/>
          <w:rtl w:val="true"/>
          <w:lang w:bidi="fa-IR"/>
        </w:rPr>
        <w:t xml:space="preserve">. </w:t>
      </w:r>
      <w:r>
        <w:rPr>
          <w:rStyle w:val="FootnoteAnchor"/>
          <w:rtl w:val="true"/>
        </w:rPr>
        <w:footnoteReference w:id="1799"/>
      </w:r>
      <w:r>
        <w:rPr>
          <w:rFonts w:ascii="IRNazanin" w:hAnsi="IRNazanin" w:eastAsia="IRNazanin"/>
          <w:color w:val="111111"/>
          <w:sz w:val="28"/>
          <w:sz w:val="28"/>
          <w:szCs w:val="28"/>
          <w:rtl w:val="true"/>
          <w:lang w:bidi="fa-IR"/>
        </w:rPr>
        <w:t>اين نوع پارچه از ابريشم به عمل مى‌آمده است</w:t>
      </w:r>
      <w:r>
        <w:rPr>
          <w:rFonts w:eastAsia="IRNazanin" w:cs="IRNazanin"/>
          <w:color w:val="111111"/>
          <w:sz w:val="28"/>
          <w:szCs w:val="28"/>
          <w:rtl w:val="true"/>
          <w:lang w:bidi="fa-IR"/>
        </w:rPr>
        <w:t xml:space="preserve">. </w:t>
      </w:r>
      <w:r>
        <w:rPr>
          <w:rStyle w:val="FootnoteAnchor"/>
          <w:rtl w:val="true"/>
        </w:rPr>
        <w:footnoteReference w:id="1800"/>
      </w:r>
      <w:r>
        <w:rPr>
          <w:rFonts w:ascii="IRNazanin" w:hAnsi="IRNazanin" w:eastAsia="IRNazanin"/>
          <w:color w:val="111111"/>
          <w:sz w:val="28"/>
          <w:sz w:val="28"/>
          <w:szCs w:val="28"/>
          <w:rtl w:val="true"/>
          <w:lang w:bidi="fa-IR"/>
        </w:rPr>
        <w:t>در اسلام پوشيدن لباس‌هاى به عمل آمده از حرير براى مردان حرام و براى زنان مجاز شمرده شده است</w:t>
      </w:r>
      <w:r>
        <w:rPr>
          <w:rFonts w:eastAsia="IRNazanin" w:cs="IRNazanin"/>
          <w:color w:val="111111"/>
          <w:sz w:val="28"/>
          <w:szCs w:val="28"/>
          <w:rtl w:val="true"/>
          <w:lang w:bidi="fa-IR"/>
        </w:rPr>
        <w:t xml:space="preserve">. </w:t>
      </w:r>
      <w:r>
        <w:rPr>
          <w:rStyle w:val="FootnoteAnchor"/>
          <w:rtl w:val="true"/>
        </w:rPr>
        <w:footnoteReference w:id="1801"/>
      </w:r>
    </w:p>
    <w:p>
      <w:pPr>
        <w:pStyle w:val="Heading6"/>
        <w:numPr>
          <w:ilvl w:val="5"/>
          <w:numId w:val="1"/>
        </w:numPr>
        <w:rPr/>
      </w:pPr>
      <w:bookmarkStart w:id="2082" w:name="__RefHeading___Toc3586187_3650668749"/>
      <w:bookmarkStart w:id="2083" w:name="_Toc890"/>
      <w:bookmarkEnd w:id="2082"/>
      <w:r>
        <w:rPr>
          <w:rtl w:val="true"/>
        </w:rPr>
        <w:t xml:space="preserve">چهارم </w:t>
      </w:r>
      <w:r>
        <w:rPr>
          <w:rtl w:val="true"/>
        </w:rPr>
        <w:t xml:space="preserve">- </w:t>
      </w:r>
      <w:r>
        <w:rPr>
          <w:rtl w:val="true"/>
        </w:rPr>
        <w:t>خَزّ</w:t>
      </w:r>
      <w:bookmarkEnd w:id="2083"/>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 پارچه‌اى بود كه از ابريشم خالص يا از پشم و ابريشم و يا پنبه به عمل مى‌آمد و در لباس‌هاى مختلف، همچون جُبّه به‌كار مى‌رفت</w:t>
      </w:r>
      <w:r>
        <w:rPr>
          <w:rFonts w:eastAsia="IRNazanin" w:cs="IRNazanin"/>
          <w:color w:val="111111"/>
          <w:sz w:val="28"/>
          <w:szCs w:val="28"/>
          <w:rtl w:val="true"/>
          <w:lang w:bidi="fa-IR"/>
        </w:rPr>
        <w:t xml:space="preserve">. </w:t>
      </w:r>
      <w:r>
        <w:rPr>
          <w:rStyle w:val="FootnoteAnchor"/>
          <w:rtl w:val="true"/>
        </w:rPr>
        <w:footnoteReference w:id="1802"/>
      </w:r>
      <w:r>
        <w:rPr>
          <w:rFonts w:ascii="IRNazanin" w:hAnsi="IRNazanin" w:eastAsia="IRNazanin"/>
          <w:color w:val="111111"/>
          <w:sz w:val="28"/>
          <w:sz w:val="28"/>
          <w:szCs w:val="28"/>
          <w:rtl w:val="true"/>
          <w:lang w:bidi="fa-IR"/>
        </w:rPr>
        <w:t>بعضى گفته‌اند كه خَزّ از كُرْك خَزّ، يعنى خرگوش نر نيز به عمل مى‌آمده است</w:t>
      </w:r>
      <w:r>
        <w:rPr>
          <w:rFonts w:eastAsia="IRNazanin" w:cs="IRNazanin"/>
          <w:color w:val="111111"/>
          <w:sz w:val="28"/>
          <w:szCs w:val="28"/>
          <w:rtl w:val="true"/>
          <w:lang w:bidi="fa-IR"/>
        </w:rPr>
        <w:t xml:space="preserve">. </w:t>
      </w:r>
      <w:r>
        <w:rPr>
          <w:rStyle w:val="FootnoteAnchor"/>
          <w:rtl w:val="true"/>
        </w:rPr>
        <w:footnoteReference w:id="1803"/>
      </w:r>
      <w:bookmarkStart w:id="2084" w:name="pg1964_19961"/>
    </w:p>
    <w:p>
      <w:pPr>
        <w:pStyle w:val="BookText"/>
        <w:rPr/>
      </w:pPr>
      <w:bookmarkEnd w:id="2084"/>
      <w:r>
        <w:rPr>
          <w:rFonts w:ascii="Amiri" w:hAnsi="Amiri" w:eastAsia="Amiri" w:cs="Amiri"/>
          <w:color w:val="111111"/>
          <w:sz w:val="28"/>
          <w:sz w:val="28"/>
          <w:szCs w:val="28"/>
          <w:rtl w:val="true"/>
          <w:lang w:bidi="ar-SA"/>
        </w:rPr>
        <w:t xml:space="preserve">به نظر مى‌رسد با توجه به آنكه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جُبّه خَزّ نيز استفاده مى‌كرد </w:t>
      </w:r>
      <w:r>
        <w:rPr>
          <w:rStyle w:val="FootnoteAnchor"/>
          <w:rtl w:val="true"/>
        </w:rPr>
        <w:footnoteReference w:id="1804"/>
      </w:r>
      <w:r>
        <w:rPr>
          <w:rFonts w:ascii="Amiri" w:hAnsi="Amiri" w:eastAsia="Amiri" w:cs="Amiri"/>
          <w:color w:val="111111"/>
          <w:sz w:val="28"/>
          <w:sz w:val="28"/>
          <w:szCs w:val="28"/>
          <w:rtl w:val="true"/>
          <w:lang w:bidi="ar-SA"/>
        </w:rPr>
        <w:t>، بعضى از انواع خَزّ از ابريشم خالص تهيه نمى‌شد تا حرام باشد</w:t>
      </w:r>
      <w:r>
        <w:rPr>
          <w:rFonts w:eastAsia="Amiri" w:cs="Amiri" w:ascii="Amiri" w:hAnsi="Amiri"/>
          <w:color w:val="111111"/>
          <w:sz w:val="28"/>
          <w:szCs w:val="28"/>
          <w:rtl w:val="true"/>
          <w:lang w:bidi="ar-SA"/>
        </w:rPr>
        <w:t xml:space="preserve">. </w:t>
      </w:r>
      <w:r>
        <w:rPr>
          <w:rStyle w:val="FootnoteAnchor"/>
          <w:rtl w:val="true"/>
        </w:rPr>
        <w:footnoteReference w:id="1805"/>
      </w:r>
      <w:r>
        <w:rPr>
          <w:rFonts w:ascii="IRNazanin" w:hAnsi="IRNazanin" w:eastAsia="IRNazanin"/>
          <w:color w:val="111111"/>
          <w:sz w:val="28"/>
          <w:sz w:val="28"/>
          <w:szCs w:val="28"/>
          <w:rtl w:val="true"/>
          <w:lang w:bidi="fa-IR"/>
        </w:rPr>
        <w:t xml:space="preserve">نوعى خَزّ با عنوان خَزّ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خز مايل به سياه رنگ بود </w:t>
      </w:r>
      <w:r>
        <w:rPr>
          <w:rStyle w:val="FootnoteAnchor"/>
          <w:rtl w:val="true"/>
        </w:rPr>
        <w:footnoteReference w:id="1806"/>
      </w:r>
      <w:r>
        <w:rPr>
          <w:rFonts w:ascii="IRNazanin" w:hAnsi="IRNazanin" w:eastAsia="IRNazanin"/>
          <w:color w:val="111111"/>
          <w:sz w:val="28"/>
          <w:sz w:val="28"/>
          <w:szCs w:val="28"/>
          <w:rtl w:val="true"/>
          <w:lang w:bidi="fa-IR"/>
        </w:rPr>
        <w:t>، بسيار كاربرد داشت و به خصوص بزرگان از آن استفاده مى‌كردند</w:t>
      </w:r>
      <w:r>
        <w:rPr>
          <w:rFonts w:eastAsia="IRNazanin" w:cs="IRNazanin"/>
          <w:color w:val="111111"/>
          <w:sz w:val="28"/>
          <w:szCs w:val="28"/>
          <w:rtl w:val="true"/>
          <w:lang w:bidi="fa-IR"/>
        </w:rPr>
        <w:t>.</w:t>
      </w:r>
    </w:p>
    <w:p>
      <w:pPr>
        <w:pStyle w:val="Heading6"/>
        <w:numPr>
          <w:ilvl w:val="5"/>
          <w:numId w:val="1"/>
        </w:numPr>
        <w:rPr/>
      </w:pPr>
      <w:bookmarkStart w:id="2085" w:name="__RefHeading___Toc3586189_3650668749"/>
      <w:bookmarkStart w:id="2086" w:name="_Toc891"/>
      <w:bookmarkEnd w:id="2085"/>
      <w:r>
        <w:rPr>
          <w:rtl w:val="true"/>
        </w:rPr>
        <w:t xml:space="preserve">پنجم </w:t>
      </w:r>
      <w:r>
        <w:rPr>
          <w:rtl w:val="true"/>
        </w:rPr>
        <w:t xml:space="preserve">- </w:t>
      </w:r>
      <w:r>
        <w:rPr>
          <w:rtl w:val="true"/>
        </w:rPr>
        <w:t>ديباج</w:t>
      </w:r>
      <w:bookmarkEnd w:id="2086"/>
    </w:p>
    <w:p>
      <w:pPr>
        <w:pStyle w:val="BookText"/>
        <w:rPr/>
      </w:pPr>
      <w:r>
        <w:rPr>
          <w:rFonts w:ascii="IRNazanin" w:hAnsi="IRNazanin" w:eastAsia="IRNazanin"/>
          <w:color w:val="111111"/>
          <w:sz w:val="28"/>
          <w:sz w:val="28"/>
          <w:szCs w:val="28"/>
          <w:rtl w:val="true"/>
          <w:lang w:bidi="fa-IR"/>
        </w:rPr>
        <w:t xml:space="preserve">اين لغت كه از كلمه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نوعى پارچه ابريشمى رنگين است</w:t>
      </w:r>
      <w:r>
        <w:rPr>
          <w:rFonts w:eastAsia="IRNazanin" w:cs="IRNazanin"/>
          <w:color w:val="111111"/>
          <w:sz w:val="28"/>
          <w:szCs w:val="28"/>
          <w:rtl w:val="true"/>
          <w:lang w:bidi="fa-IR"/>
        </w:rPr>
        <w:t xml:space="preserve">. </w:t>
      </w:r>
      <w:r>
        <w:rPr>
          <w:rStyle w:val="FootnoteAnchor"/>
          <w:rtl w:val="true"/>
        </w:rPr>
        <w:footnoteReference w:id="1807"/>
      </w:r>
      <w:r>
        <w:rPr>
          <w:rFonts w:ascii="IRNazanin" w:hAnsi="IRNazanin" w:eastAsia="IRNazanin"/>
          <w:color w:val="111111"/>
          <w:sz w:val="28"/>
          <w:sz w:val="28"/>
          <w:szCs w:val="28"/>
          <w:rtl w:val="true"/>
          <w:lang w:bidi="fa-IR"/>
        </w:rPr>
        <w:t>گفته شده است، زياد بن ابيه اولين كسى بود كه در اسلام قبايى با پارچه ديباج پوشيد</w:t>
      </w:r>
      <w:r>
        <w:rPr>
          <w:rFonts w:eastAsia="IRNazanin" w:cs="IRNazanin"/>
          <w:color w:val="111111"/>
          <w:sz w:val="28"/>
          <w:szCs w:val="28"/>
          <w:rtl w:val="true"/>
          <w:lang w:bidi="fa-IR"/>
        </w:rPr>
        <w:t xml:space="preserve">. </w:t>
      </w:r>
      <w:r>
        <w:rPr>
          <w:rStyle w:val="FootnoteAnchor"/>
          <w:rtl w:val="true"/>
        </w:rPr>
        <w:footnoteReference w:id="1808"/>
      </w:r>
      <w:r>
        <w:rPr>
          <w:rFonts w:ascii="IRNazanin" w:hAnsi="IRNazanin" w:eastAsia="IRNazanin"/>
          <w:color w:val="111111"/>
          <w:sz w:val="28"/>
          <w:sz w:val="28"/>
          <w:szCs w:val="28"/>
          <w:rtl w:val="true"/>
          <w:lang w:bidi="fa-IR"/>
        </w:rPr>
        <w:t>در جوامع روايى شيعه به نقل از پيامبر گرامى اسلام، از پوشيدن لباسى كه از اين نوع پارچه تهيه شده، نهى شده است</w:t>
      </w:r>
      <w:r>
        <w:rPr>
          <w:rFonts w:eastAsia="IRNazanin" w:cs="IRNazanin"/>
          <w:color w:val="111111"/>
          <w:sz w:val="28"/>
          <w:szCs w:val="28"/>
          <w:rtl w:val="true"/>
          <w:lang w:bidi="fa-IR"/>
        </w:rPr>
        <w:t xml:space="preserve">. </w:t>
      </w:r>
      <w:r>
        <w:rPr>
          <w:rStyle w:val="FootnoteAnchor"/>
          <w:rtl w:val="true"/>
        </w:rPr>
        <w:footnoteReference w:id="1809"/>
      </w:r>
    </w:p>
    <w:p>
      <w:pPr>
        <w:pStyle w:val="Heading6"/>
        <w:numPr>
          <w:ilvl w:val="5"/>
          <w:numId w:val="1"/>
        </w:numPr>
        <w:rPr/>
      </w:pPr>
      <w:bookmarkStart w:id="2087" w:name="__RefHeading___Toc3586191_3650668749"/>
      <w:bookmarkStart w:id="2088" w:name="_Toc892"/>
      <w:bookmarkEnd w:id="2087"/>
      <w:r>
        <w:rPr>
          <w:rtl w:val="true"/>
        </w:rPr>
        <w:t xml:space="preserve">ششم </w:t>
      </w:r>
      <w:r>
        <w:rPr>
          <w:rtl w:val="true"/>
        </w:rPr>
        <w:t xml:space="preserve">- </w:t>
      </w:r>
      <w:r>
        <w:rPr>
          <w:rtl w:val="true"/>
        </w:rPr>
        <w:t>رَفْرَفْ</w:t>
      </w:r>
      <w:bookmarkEnd w:id="2088"/>
    </w:p>
    <w:p>
      <w:pPr>
        <w:pStyle w:val="BookText"/>
        <w:rPr/>
      </w:pPr>
      <w:r>
        <w:rPr>
          <w:rFonts w:ascii="Amiri" w:hAnsi="Amiri" w:eastAsia="Amiri" w:cs="Amiri"/>
          <w:color w:val="111111"/>
          <w:sz w:val="28"/>
          <w:sz w:val="28"/>
          <w:szCs w:val="28"/>
          <w:rtl w:val="true"/>
          <w:lang w:bidi="ar-SA"/>
        </w:rPr>
        <w:t>اين لفظ نيز در قرآن كريم وارد شده است</w:t>
      </w:r>
      <w:r>
        <w:rPr>
          <w:rFonts w:eastAsia="Amiri" w:cs="Amiri" w:ascii="Amiri" w:hAnsi="Amiri"/>
          <w:color w:val="111111"/>
          <w:sz w:val="28"/>
          <w:szCs w:val="28"/>
          <w:rtl w:val="true"/>
          <w:lang w:bidi="ar-SA"/>
        </w:rPr>
        <w:t xml:space="preserve">. </w:t>
      </w:r>
      <w:r>
        <w:rPr>
          <w:rStyle w:val="FootnoteAnchor"/>
          <w:rtl w:val="true"/>
        </w:rPr>
        <w:footnoteReference w:id="1810"/>
      </w:r>
      <w:r>
        <w:rPr>
          <w:rFonts w:ascii="Amiri" w:hAnsi="Amiri" w:eastAsia="Amiri" w:cs="Amiri"/>
          <w:color w:val="111111"/>
          <w:sz w:val="28"/>
          <w:sz w:val="28"/>
          <w:szCs w:val="28"/>
          <w:rtl w:val="true"/>
          <w:lang w:bidi="ar-SA"/>
        </w:rPr>
        <w:t>بعضى معناى آن را نوعى ديباى نازك دانسته‌اند</w:t>
      </w:r>
      <w:r>
        <w:rPr>
          <w:rFonts w:eastAsia="Amiri" w:cs="Amiri" w:ascii="Amiri" w:hAnsi="Amiri"/>
          <w:color w:val="111111"/>
          <w:sz w:val="28"/>
          <w:szCs w:val="28"/>
          <w:rtl w:val="true"/>
          <w:lang w:bidi="ar-SA"/>
        </w:rPr>
        <w:t xml:space="preserve">. </w:t>
      </w:r>
      <w:r>
        <w:rPr>
          <w:rStyle w:val="FootnoteAnchor"/>
          <w:rtl w:val="true"/>
        </w:rPr>
        <w:footnoteReference w:id="1811"/>
      </w:r>
      <w:r>
        <w:rPr>
          <w:rFonts w:ascii="IRNazanin" w:hAnsi="IRNazanin" w:eastAsia="IRNazanin"/>
          <w:color w:val="111111"/>
          <w:sz w:val="28"/>
          <w:sz w:val="28"/>
          <w:szCs w:val="28"/>
          <w:rtl w:val="true"/>
          <w:lang w:bidi="fa-IR"/>
        </w:rPr>
        <w:t xml:space="preserve">گفته مى‌شود در احاديث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w:t>
      </w:r>
    </w:p>
    <w:p>
      <w:pPr>
        <w:pStyle w:val="BookText"/>
        <w:rPr/>
      </w:pPr>
      <w:r>
        <w:rPr>
          <w:rFonts w:ascii="Amiri" w:hAnsi="Amiri" w:eastAsia="Amiri" w:cs="Amiri"/>
          <w:color w:val="111111"/>
          <w:sz w:val="28"/>
          <w:sz w:val="28"/>
          <w:szCs w:val="28"/>
          <w:rtl w:val="true"/>
          <w:lang w:bidi="ar-SA"/>
        </w:rPr>
        <w:t>كه از بعضى از لباس‌هاى به عمل آمده از رفرف در آن سخن به ميان آمده باشد، وجود دارد</w:t>
      </w:r>
      <w:r>
        <w:rPr>
          <w:rFonts w:eastAsia="Amiri" w:cs="Amiri" w:ascii="Amiri" w:hAnsi="Amiri"/>
          <w:color w:val="111111"/>
          <w:sz w:val="28"/>
          <w:szCs w:val="28"/>
          <w:rtl w:val="true"/>
          <w:lang w:bidi="ar-SA"/>
        </w:rPr>
        <w:t xml:space="preserve">. </w:t>
      </w:r>
      <w:r>
        <w:rPr>
          <w:rStyle w:val="FootnoteAnchor"/>
          <w:rtl w:val="true"/>
        </w:rPr>
        <w:footnoteReference w:id="1812"/>
      </w:r>
    </w:p>
    <w:p>
      <w:pPr>
        <w:pStyle w:val="Heading6"/>
        <w:numPr>
          <w:ilvl w:val="5"/>
          <w:numId w:val="1"/>
        </w:numPr>
        <w:rPr/>
      </w:pPr>
      <w:bookmarkStart w:id="2089" w:name="__RefHeading___Toc3586193_3650668749"/>
      <w:bookmarkStart w:id="2090" w:name="_Toc893"/>
      <w:bookmarkEnd w:id="2089"/>
      <w:r>
        <w:rPr>
          <w:rtl w:val="true"/>
        </w:rPr>
        <w:t xml:space="preserve">هفتم </w:t>
      </w:r>
      <w:r>
        <w:rPr>
          <w:rtl w:val="true"/>
        </w:rPr>
        <w:t xml:space="preserve">- </w:t>
      </w:r>
      <w:r>
        <w:rPr>
          <w:rtl w:val="true"/>
        </w:rPr>
        <w:t>سُنْدُس</w:t>
      </w:r>
      <w:bookmarkEnd w:id="2090"/>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اين پارچه نيز در قرآن وارد شده است</w:t>
      </w:r>
      <w:r>
        <w:rPr>
          <w:rFonts w:eastAsia="IRNazanin" w:cs="IRNazanin"/>
          <w:color w:val="111111"/>
          <w:sz w:val="28"/>
          <w:szCs w:val="28"/>
          <w:rtl w:val="true"/>
          <w:lang w:bidi="fa-IR"/>
        </w:rPr>
        <w:t xml:space="preserve">. </w:t>
      </w:r>
      <w:r>
        <w:rPr>
          <w:rStyle w:val="FootnoteAnchor"/>
          <w:rtl w:val="true"/>
        </w:rPr>
        <w:footnoteReference w:id="1813"/>
      </w:r>
      <w:r>
        <w:rPr>
          <w:rFonts w:ascii="IRNazanin" w:hAnsi="IRNazanin" w:eastAsia="IRNazanin"/>
          <w:color w:val="111111"/>
          <w:sz w:val="28"/>
          <w:sz w:val="28"/>
          <w:szCs w:val="28"/>
          <w:rtl w:val="true"/>
          <w:lang w:bidi="fa-IR"/>
        </w:rPr>
        <w:t>سندس به پارچه‌اى گفته مى‌شد كه از ابريشم نازك به عمل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نوع پارچه در زمان</w:t>
      </w:r>
      <w:bookmarkStart w:id="2091" w:name="pg1964_19962"/>
    </w:p>
    <w:p>
      <w:pPr>
        <w:pStyle w:val="BookText"/>
        <w:rPr/>
      </w:pPr>
      <w:bookmarkEnd w:id="2091"/>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ياد شده است</w:t>
      </w:r>
      <w:r>
        <w:rPr>
          <w:rFonts w:eastAsia="IRNazanin" w:cs="IRNazanin"/>
          <w:color w:val="111111"/>
          <w:sz w:val="28"/>
          <w:szCs w:val="28"/>
          <w:rtl w:val="true"/>
          <w:lang w:bidi="fa-IR"/>
        </w:rPr>
        <w:t xml:space="preserve">. </w:t>
      </w:r>
      <w:r>
        <w:rPr>
          <w:rStyle w:val="FootnoteAnchor"/>
          <w:rtl w:val="true"/>
        </w:rPr>
        <w:footnoteReference w:id="1814"/>
      </w:r>
      <w:r>
        <w:rPr>
          <w:rFonts w:ascii="Amiri" w:hAnsi="Amiri" w:eastAsia="Amiri" w:cs="Amiri"/>
          <w:color w:val="111111"/>
          <w:sz w:val="28"/>
          <w:sz w:val="28"/>
          <w:szCs w:val="28"/>
          <w:rtl w:val="true"/>
          <w:lang w:bidi="ar-SA"/>
        </w:rPr>
        <w:t>در فارسى آن را به حرير لطيف ترجمه كرده‌اند</w:t>
      </w:r>
      <w:r>
        <w:rPr>
          <w:rFonts w:eastAsia="Amiri" w:cs="Amiri" w:ascii="Amiri" w:hAnsi="Amiri"/>
          <w:color w:val="111111"/>
          <w:sz w:val="28"/>
          <w:szCs w:val="28"/>
          <w:rtl w:val="true"/>
          <w:lang w:bidi="ar-SA"/>
        </w:rPr>
        <w:t xml:space="preserve">. </w:t>
      </w:r>
      <w:r>
        <w:rPr>
          <w:rStyle w:val="FootnoteAnchor"/>
          <w:rtl w:val="true"/>
        </w:rPr>
        <w:footnoteReference w:id="1815"/>
      </w:r>
      <w:r>
        <w:rPr>
          <w:rFonts w:ascii="IRNazanin" w:hAnsi="IRNazanin" w:eastAsia="IRNazanin"/>
          <w:color w:val="111111"/>
          <w:sz w:val="28"/>
          <w:sz w:val="28"/>
          <w:szCs w:val="28"/>
          <w:rtl w:val="true"/>
          <w:lang w:bidi="fa-IR"/>
        </w:rPr>
        <w:t>در باره زياد بن ابيه چنين آمده است كه قبايى مى‌پوشيد كه از پارچه سندس تهيه شده بود</w:t>
      </w:r>
      <w:r>
        <w:rPr>
          <w:rFonts w:eastAsia="IRNazanin" w:cs="IRNazanin"/>
          <w:color w:val="111111"/>
          <w:sz w:val="28"/>
          <w:szCs w:val="28"/>
          <w:rtl w:val="true"/>
          <w:lang w:bidi="fa-IR"/>
        </w:rPr>
        <w:t xml:space="preserve">. </w:t>
      </w:r>
      <w:r>
        <w:rPr>
          <w:rStyle w:val="FootnoteAnchor"/>
          <w:rtl w:val="true"/>
        </w:rPr>
        <w:footnoteReference w:id="1816"/>
      </w:r>
    </w:p>
    <w:p>
      <w:pPr>
        <w:pStyle w:val="Heading6"/>
        <w:numPr>
          <w:ilvl w:val="5"/>
          <w:numId w:val="1"/>
        </w:numPr>
        <w:rPr/>
      </w:pPr>
      <w:bookmarkStart w:id="2092" w:name="__RefHeading___Toc3586195_3650668749"/>
      <w:bookmarkStart w:id="2093" w:name="_Toc894"/>
      <w:bookmarkEnd w:id="2092"/>
      <w:r>
        <w:rPr>
          <w:rtl w:val="true"/>
        </w:rPr>
        <w:t xml:space="preserve">هشتم </w:t>
      </w:r>
      <w:r>
        <w:rPr>
          <w:rtl w:val="true"/>
        </w:rPr>
        <w:t xml:space="preserve">- </w:t>
      </w:r>
      <w:r>
        <w:rPr>
          <w:rtl w:val="true"/>
        </w:rPr>
        <w:t>قِبْطيّه</w:t>
      </w:r>
      <w:bookmarkEnd w:id="2093"/>
    </w:p>
    <w:p>
      <w:pPr>
        <w:pStyle w:val="BookText"/>
        <w:rPr/>
      </w:pPr>
      <w:r>
        <w:rPr>
          <w:rFonts w:ascii="IRNazanin" w:hAnsi="IRNazanin" w:eastAsia="IRNazanin"/>
          <w:color w:val="111111"/>
          <w:sz w:val="28"/>
          <w:sz w:val="28"/>
          <w:szCs w:val="28"/>
          <w:rtl w:val="true"/>
          <w:lang w:bidi="fa-IR"/>
        </w:rPr>
        <w:t>به پارچه‌هاى نازك و سفيد تهيه شده از كتان، قبطيه مى‌گفتند كه معمولاً از مصر وارد مى‌شد</w:t>
      </w:r>
      <w:r>
        <w:rPr>
          <w:rFonts w:eastAsia="IRNazanin" w:cs="IRNazanin"/>
          <w:color w:val="111111"/>
          <w:sz w:val="28"/>
          <w:szCs w:val="28"/>
          <w:rtl w:val="true"/>
          <w:lang w:bidi="fa-IR"/>
        </w:rPr>
        <w:t xml:space="preserve">. </w:t>
      </w:r>
      <w:r>
        <w:rPr>
          <w:rStyle w:val="FootnoteAnchor"/>
          <w:rtl w:val="true"/>
        </w:rPr>
        <w:footnoteReference w:id="1817"/>
      </w:r>
      <w:r>
        <w:rPr>
          <w:rFonts w:ascii="IRNazanin" w:hAnsi="IRNazanin" w:eastAsia="IRNazanin"/>
          <w:color w:val="111111"/>
          <w:sz w:val="28"/>
          <w:sz w:val="28"/>
          <w:szCs w:val="28"/>
          <w:rtl w:val="true"/>
          <w:lang w:bidi="fa-IR"/>
        </w:rPr>
        <w:t>كتان گياهى است با گل لاجوردى كه پوست آن را مانند پنبه مى‌ريسند و از آن جامه مى‌بافند</w:t>
      </w:r>
      <w:r>
        <w:rPr>
          <w:rFonts w:eastAsia="IRNazanin" w:cs="IRNazanin"/>
          <w:color w:val="111111"/>
          <w:sz w:val="28"/>
          <w:szCs w:val="28"/>
          <w:rtl w:val="true"/>
          <w:lang w:bidi="fa-IR"/>
        </w:rPr>
        <w:t>.</w:t>
      </w:r>
    </w:p>
    <w:p>
      <w:pPr>
        <w:pStyle w:val="Heading6"/>
        <w:numPr>
          <w:ilvl w:val="5"/>
          <w:numId w:val="1"/>
        </w:numPr>
        <w:rPr/>
      </w:pPr>
      <w:bookmarkStart w:id="2094" w:name="__RefHeading___Toc3586197_3650668749"/>
      <w:bookmarkStart w:id="2095" w:name="_Toc895"/>
      <w:bookmarkEnd w:id="2094"/>
      <w:r>
        <w:rPr>
          <w:rtl w:val="true"/>
        </w:rPr>
        <w:t xml:space="preserve">نهم </w:t>
      </w:r>
      <w:r>
        <w:rPr>
          <w:rtl w:val="true"/>
        </w:rPr>
        <w:t xml:space="preserve">- </w:t>
      </w:r>
      <w:r>
        <w:rPr>
          <w:rtl w:val="true"/>
        </w:rPr>
        <w:t>قَزّ</w:t>
      </w:r>
      <w:bookmarkEnd w:id="2095"/>
    </w:p>
    <w:p>
      <w:pPr>
        <w:pStyle w:val="BookText"/>
        <w:rPr/>
      </w:pPr>
      <w:r>
        <w:rPr>
          <w:rFonts w:ascii="IRNazanin" w:hAnsi="IRNazanin" w:eastAsia="IRNazanin"/>
          <w:color w:val="111111"/>
          <w:sz w:val="28"/>
          <w:sz w:val="28"/>
          <w:szCs w:val="28"/>
          <w:rtl w:val="true"/>
          <w:lang w:bidi="fa-IR"/>
        </w:rPr>
        <w:t xml:space="preserve">اين لغت از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معناى ابريشم است</w:t>
      </w:r>
      <w:r>
        <w:rPr>
          <w:rFonts w:eastAsia="IRNazanin" w:cs="IRNazanin"/>
          <w:color w:val="111111"/>
          <w:sz w:val="28"/>
          <w:szCs w:val="28"/>
          <w:rtl w:val="true"/>
          <w:lang w:bidi="fa-IR"/>
        </w:rPr>
        <w:t xml:space="preserve">. </w:t>
      </w:r>
      <w:r>
        <w:rPr>
          <w:rStyle w:val="FootnoteAnchor"/>
          <w:rtl w:val="true"/>
        </w:rPr>
        <w:footnoteReference w:id="1818"/>
      </w:r>
      <w:r>
        <w:rPr>
          <w:rFonts w:ascii="IRNazanin" w:hAnsi="IRNazanin" w:eastAsia="IRNazanin"/>
          <w:color w:val="111111"/>
          <w:sz w:val="28"/>
          <w:sz w:val="28"/>
          <w:szCs w:val="28"/>
          <w:rtl w:val="true"/>
          <w:lang w:bidi="fa-IR"/>
        </w:rPr>
        <w:t>پيش از اين نيز گفته شد كه پيامبر گرامى اسلام از پوشيدن لباسى كه از ابريشم تهيه شده، نهى فرموده است</w:t>
      </w:r>
      <w:r>
        <w:rPr>
          <w:rFonts w:eastAsia="IRNazanin" w:cs="IRNazanin"/>
          <w:color w:val="111111"/>
          <w:sz w:val="28"/>
          <w:szCs w:val="28"/>
          <w:rtl w:val="true"/>
          <w:lang w:bidi="fa-IR"/>
        </w:rPr>
        <w:t xml:space="preserve">. </w:t>
      </w:r>
      <w:r>
        <w:rPr>
          <w:rStyle w:val="FootnoteAnchor"/>
          <w:rtl w:val="true"/>
        </w:rPr>
        <w:footnoteReference w:id="1819"/>
      </w:r>
      <w:r>
        <w:rPr>
          <w:rFonts w:ascii="Amiri" w:hAnsi="Amiri" w:eastAsia="Amiri" w:cs="Amiri"/>
          <w:color w:val="111111"/>
          <w:sz w:val="28"/>
          <w:sz w:val="28"/>
          <w:szCs w:val="28"/>
          <w:rtl w:val="true"/>
          <w:lang w:bidi="ar-SA"/>
        </w:rPr>
        <w:t xml:space="preserve">در عربى به ابريشم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w:t>
      </w:r>
      <w:r>
        <w:rPr>
          <w:rFonts w:eastAsia="IRNazanin" w:cs="IRNazanin"/>
          <w:color w:val="111111"/>
          <w:sz w:val="28"/>
          <w:szCs w:val="28"/>
          <w:rtl w:val="true"/>
          <w:lang w:bidi="fa-IR"/>
        </w:rPr>
        <w:t xml:space="preserve">. </w:t>
      </w:r>
      <w:r>
        <w:rPr>
          <w:rStyle w:val="FootnoteAnchor"/>
          <w:rtl w:val="true"/>
        </w:rPr>
        <w:footnoteReference w:id="1820"/>
      </w:r>
    </w:p>
    <w:p>
      <w:pPr>
        <w:pStyle w:val="Heading6"/>
        <w:numPr>
          <w:ilvl w:val="5"/>
          <w:numId w:val="1"/>
        </w:numPr>
        <w:rPr/>
      </w:pPr>
      <w:bookmarkStart w:id="2096" w:name="__RefHeading___Toc3586199_3650668749"/>
      <w:bookmarkStart w:id="2097" w:name="_Toc896"/>
      <w:bookmarkEnd w:id="2096"/>
      <w:r>
        <w:rPr>
          <w:rtl w:val="true"/>
        </w:rPr>
        <w:t xml:space="preserve">دهم </w:t>
      </w:r>
      <w:r>
        <w:rPr>
          <w:rtl w:val="true"/>
        </w:rPr>
        <w:t xml:space="preserve">- </w:t>
      </w:r>
      <w:r>
        <w:rPr>
          <w:rtl w:val="true"/>
        </w:rPr>
        <w:t>كتان</w:t>
      </w:r>
      <w:bookmarkEnd w:id="2097"/>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كتان گاهى نيز به عنوان پارچه ياد شده است كه به پارچه‌هاى براق و مرغوب تهيه شده از اين ماده، كتان مى‌گفتند</w:t>
      </w:r>
      <w:r>
        <w:rPr>
          <w:rFonts w:eastAsia="IRNazanin" w:cs="IRNazanin"/>
          <w:color w:val="111111"/>
          <w:sz w:val="28"/>
          <w:szCs w:val="28"/>
          <w:rtl w:val="true"/>
          <w:lang w:bidi="fa-IR"/>
        </w:rPr>
        <w:t xml:space="preserve">. </w:t>
      </w:r>
      <w:r>
        <w:rPr>
          <w:rStyle w:val="FootnoteAnchor"/>
          <w:rtl w:val="true"/>
        </w:rPr>
        <w:footnoteReference w:id="1821"/>
      </w:r>
      <w:bookmarkStart w:id="2098" w:name="pg1964_19963"/>
    </w:p>
    <w:p>
      <w:pPr>
        <w:pStyle w:val="Heading6"/>
        <w:numPr>
          <w:ilvl w:val="5"/>
          <w:numId w:val="1"/>
        </w:numPr>
        <w:rPr/>
      </w:pPr>
      <w:bookmarkStart w:id="2099" w:name="__RefHeading___Toc3586201_3650668749"/>
      <w:bookmarkStart w:id="2100" w:name="_Toc897"/>
      <w:bookmarkEnd w:id="2098"/>
      <w:bookmarkEnd w:id="2099"/>
      <w:r>
        <w:rPr>
          <w:rtl w:val="true"/>
        </w:rPr>
        <w:t xml:space="preserve">يازدهم </w:t>
      </w:r>
      <w:r>
        <w:rPr>
          <w:rtl w:val="true"/>
        </w:rPr>
        <w:t xml:space="preserve">- </w:t>
      </w:r>
      <w:r>
        <w:rPr>
          <w:rtl w:val="true"/>
        </w:rPr>
        <w:t>كَرْباس</w:t>
      </w:r>
      <w:bookmarkEnd w:id="2100"/>
    </w:p>
    <w:p>
      <w:pPr>
        <w:pStyle w:val="BookText"/>
        <w:rPr/>
      </w:pPr>
      <w:r>
        <w:rPr>
          <w:rFonts w:ascii="IRNazanin" w:hAnsi="IRNazanin" w:eastAsia="IRNazanin"/>
          <w:color w:val="111111"/>
          <w:sz w:val="28"/>
          <w:sz w:val="28"/>
          <w:szCs w:val="28"/>
          <w:rtl w:val="true"/>
          <w:lang w:bidi="fa-IR"/>
        </w:rPr>
        <w:t>كرباس نوعى پارچه بود كه از پنبه سفيد و ارزان قيمت به عمل مى‌آمد و با آن، لباس‌هاى ساده و ارزان قيمتى تهيه مى‌كردند</w:t>
      </w:r>
      <w:r>
        <w:rPr>
          <w:rFonts w:eastAsia="IRNazanin" w:cs="IRNazanin"/>
          <w:color w:val="111111"/>
          <w:sz w:val="28"/>
          <w:szCs w:val="28"/>
          <w:rtl w:val="true"/>
          <w:lang w:bidi="fa-IR"/>
        </w:rPr>
        <w:t xml:space="preserve">. </w:t>
      </w:r>
      <w:r>
        <w:rPr>
          <w:rStyle w:val="FootnoteAnchor"/>
          <w:rtl w:val="true"/>
        </w:rPr>
        <w:footnoteReference w:id="1822"/>
      </w:r>
      <w:r>
        <w:rPr>
          <w:rFonts w:ascii="IRNazanin" w:hAnsi="IRNazanin" w:eastAsia="IRNazanin"/>
          <w:color w:val="111111"/>
          <w:sz w:val="28"/>
          <w:sz w:val="28"/>
          <w:szCs w:val="28"/>
          <w:rtl w:val="true"/>
          <w:lang w:bidi="fa-IR"/>
        </w:rPr>
        <w:t>عرب‌هاى ساده‌زيست در دوران جاهليت و نيز در صدر اسلام، بيشتر لباس‌هاى خود را از اين پارچه تهيه مى‌كردند</w:t>
      </w:r>
      <w:r>
        <w:rPr>
          <w:rFonts w:eastAsia="IRNazanin" w:cs="IRNazanin"/>
          <w:color w:val="111111"/>
          <w:sz w:val="28"/>
          <w:szCs w:val="28"/>
          <w:rtl w:val="true"/>
          <w:lang w:bidi="fa-IR"/>
        </w:rPr>
        <w:t xml:space="preserve">. </w:t>
      </w:r>
      <w:r>
        <w:rPr>
          <w:rStyle w:val="FootnoteAnchor"/>
          <w:rtl w:val="true"/>
        </w:rPr>
        <w:footnoteReference w:id="1823"/>
      </w:r>
      <w:r>
        <w:rPr>
          <w:rFonts w:ascii="IRNazanin" w:hAnsi="IRNazanin" w:eastAsia="IRNazanin"/>
          <w:color w:val="111111"/>
          <w:sz w:val="28"/>
          <w:sz w:val="28"/>
          <w:szCs w:val="28"/>
          <w:rtl w:val="true"/>
          <w:lang w:bidi="fa-IR"/>
        </w:rPr>
        <w:t xml:space="preserve">در روايت چنين آمده است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كرباس ضربت خورده، به شهادت رسيد</w:t>
      </w:r>
      <w:r>
        <w:rPr>
          <w:rFonts w:eastAsia="IRNazanin" w:cs="IRNazanin"/>
          <w:color w:val="111111"/>
          <w:sz w:val="28"/>
          <w:szCs w:val="28"/>
          <w:rtl w:val="true"/>
          <w:lang w:bidi="fa-IR"/>
        </w:rPr>
        <w:t xml:space="preserve">. </w:t>
      </w:r>
      <w:r>
        <w:rPr>
          <w:rStyle w:val="FootnoteAnchor"/>
          <w:rtl w:val="true"/>
        </w:rPr>
        <w:footnoteReference w:id="1824"/>
      </w:r>
    </w:p>
    <w:p>
      <w:pPr>
        <w:pStyle w:val="Heading6"/>
        <w:numPr>
          <w:ilvl w:val="5"/>
          <w:numId w:val="1"/>
        </w:numPr>
        <w:rPr/>
      </w:pPr>
      <w:bookmarkStart w:id="2101" w:name="__RefHeading___Toc3586203_3650668749"/>
      <w:bookmarkStart w:id="2102" w:name="_Toc898"/>
      <w:bookmarkEnd w:id="2101"/>
      <w:r>
        <w:rPr>
          <w:rtl w:val="true"/>
        </w:rPr>
        <w:t xml:space="preserve">دوازدهم </w:t>
      </w:r>
      <w:r>
        <w:rPr>
          <w:rtl w:val="true"/>
        </w:rPr>
        <w:t xml:space="preserve">- </w:t>
      </w:r>
      <w:r>
        <w:rPr>
          <w:rtl w:val="true"/>
        </w:rPr>
        <w:t>مُعَلَّم</w:t>
      </w:r>
      <w:bookmarkEnd w:id="2102"/>
    </w:p>
    <w:p>
      <w:pPr>
        <w:pStyle w:val="BookText"/>
        <w:rPr/>
      </w:pPr>
      <w:r>
        <w:rPr>
          <w:rFonts w:ascii="IRNazanin" w:hAnsi="IRNazanin" w:eastAsia="IRNazanin"/>
          <w:color w:val="111111"/>
          <w:sz w:val="28"/>
          <w:sz w:val="28"/>
          <w:szCs w:val="28"/>
          <w:rtl w:val="true"/>
          <w:lang w:bidi="fa-IR"/>
        </w:rPr>
        <w:t>به پارچه‌اى گفته مى‌شد كه روى آن رسومى كشيده شده بود</w:t>
      </w:r>
      <w:r>
        <w:rPr>
          <w:rFonts w:eastAsia="IRNazanin" w:cs="IRNazanin"/>
          <w:color w:val="111111"/>
          <w:sz w:val="28"/>
          <w:szCs w:val="28"/>
          <w:rtl w:val="true"/>
          <w:lang w:bidi="fa-IR"/>
        </w:rPr>
        <w:t xml:space="preserve">. </w:t>
      </w:r>
      <w:r>
        <w:rPr>
          <w:rStyle w:val="FootnoteAnchor"/>
          <w:rtl w:val="true"/>
        </w:rPr>
        <w:footnoteReference w:id="1825"/>
      </w:r>
    </w:p>
    <w:p>
      <w:pPr>
        <w:pStyle w:val="Heading6"/>
        <w:numPr>
          <w:ilvl w:val="5"/>
          <w:numId w:val="1"/>
        </w:numPr>
        <w:rPr/>
      </w:pPr>
      <w:bookmarkStart w:id="2103" w:name="__RefHeading___Toc3586205_3650668749"/>
      <w:bookmarkStart w:id="2104" w:name="_Toc899"/>
      <w:bookmarkEnd w:id="2103"/>
      <w:r>
        <w:rPr>
          <w:rtl w:val="true"/>
        </w:rPr>
        <w:t xml:space="preserve">سيزدهم </w:t>
      </w:r>
      <w:r>
        <w:rPr>
          <w:rtl w:val="true"/>
        </w:rPr>
        <w:t xml:space="preserve">- </w:t>
      </w:r>
      <w:r>
        <w:rPr>
          <w:rtl w:val="true"/>
        </w:rPr>
        <w:t>مُنَيّر</w:t>
      </w:r>
      <w:bookmarkEnd w:id="2104"/>
    </w:p>
    <w:p>
      <w:pPr>
        <w:pStyle w:val="BookText"/>
        <w:rPr/>
      </w:pPr>
      <w:r>
        <w:rPr>
          <w:rFonts w:ascii="IRNazanin" w:hAnsi="IRNazanin" w:eastAsia="IRNazanin"/>
          <w:color w:val="111111"/>
          <w:sz w:val="28"/>
          <w:sz w:val="28"/>
          <w:szCs w:val="28"/>
          <w:rtl w:val="true"/>
          <w:lang w:bidi="fa-IR"/>
        </w:rPr>
        <w:t>به پارچه‌اى كه از دو پود بافته شده بود، منير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پارچه‌هاى حاشيه‌دار نيز گفته مى‌شد</w:t>
      </w:r>
      <w:r>
        <w:rPr>
          <w:rFonts w:eastAsia="IRNazanin" w:cs="IRNazanin"/>
          <w:color w:val="111111"/>
          <w:sz w:val="28"/>
          <w:szCs w:val="28"/>
          <w:rtl w:val="true"/>
          <w:lang w:bidi="fa-IR"/>
        </w:rPr>
        <w:t xml:space="preserve">. </w:t>
      </w:r>
      <w:r>
        <w:rPr>
          <w:rStyle w:val="FootnoteAnchor"/>
          <w:rtl w:val="true"/>
        </w:rPr>
        <w:footnoteReference w:id="1826"/>
      </w:r>
    </w:p>
    <w:p>
      <w:pPr>
        <w:pStyle w:val="Heading6"/>
        <w:numPr>
          <w:ilvl w:val="5"/>
          <w:numId w:val="1"/>
        </w:numPr>
        <w:rPr/>
      </w:pPr>
      <w:bookmarkStart w:id="2105" w:name="__RefHeading___Toc3586207_3650668749"/>
      <w:bookmarkStart w:id="2106" w:name="_Toc900"/>
      <w:bookmarkEnd w:id="2105"/>
      <w:r>
        <w:rPr>
          <w:rtl w:val="true"/>
        </w:rPr>
        <w:t xml:space="preserve">چهاردهم </w:t>
      </w:r>
      <w:r>
        <w:rPr>
          <w:rtl w:val="true"/>
        </w:rPr>
        <w:t xml:space="preserve">- </w:t>
      </w:r>
      <w:r>
        <w:rPr>
          <w:rtl w:val="true"/>
        </w:rPr>
        <w:t>وَشي</w:t>
      </w:r>
      <w:bookmarkEnd w:id="2106"/>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پارچه‌هايى گفته مى‌شد كه با نخ‌هايى غير از رنگ اصلى پارچه، منقش شده و نگاربندى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نخ‌ها در بعضى موارد در لباس ثروتمندان طلاكارى شده بود كه به اين نوع پارچه‌ها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زربفت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مى‌گفتند</w:t>
      </w:r>
      <w:r>
        <w:rPr>
          <w:rFonts w:eastAsia="IRNazanin" w:cs="IRNazanin"/>
          <w:color w:val="111111"/>
          <w:sz w:val="28"/>
          <w:szCs w:val="28"/>
          <w:rtl w:val="true"/>
          <w:lang w:bidi="fa-IR"/>
        </w:rPr>
        <w:t xml:space="preserve">. </w:t>
      </w:r>
      <w:r>
        <w:rPr>
          <w:rStyle w:val="FootnoteAnchor"/>
          <w:rtl w:val="true"/>
        </w:rPr>
        <w:footnoteReference w:id="1827"/>
      </w:r>
      <w:r>
        <w:rPr>
          <w:rFonts w:ascii="IRNazanin" w:hAnsi="IRNazanin" w:eastAsia="IRNazanin"/>
          <w:color w:val="111111"/>
          <w:sz w:val="28"/>
          <w:sz w:val="28"/>
          <w:szCs w:val="28"/>
          <w:rtl w:val="true"/>
          <w:lang w:bidi="fa-IR"/>
        </w:rPr>
        <w:t>با راه‌يافتن تجمّلات در بين عرب‌ها، پوشيدن لباس‌هاى به عمل آمده از اين نوع پارچه در ميان ثروتمندان و سياست‌مداران رايج شد</w:t>
      </w:r>
      <w:r>
        <w:rPr>
          <w:rFonts w:eastAsia="IRNazanin" w:cs="IRNazanin"/>
          <w:color w:val="111111"/>
          <w:sz w:val="28"/>
          <w:szCs w:val="28"/>
          <w:rtl w:val="true"/>
          <w:lang w:bidi="fa-IR"/>
        </w:rPr>
        <w:t xml:space="preserve">. </w:t>
      </w:r>
      <w:r>
        <w:rPr>
          <w:rStyle w:val="FootnoteAnchor"/>
          <w:rtl w:val="true"/>
        </w:rPr>
        <w:footnoteReference w:id="1828"/>
      </w:r>
      <w:bookmarkStart w:id="2107" w:name="pg1964_19964"/>
    </w:p>
    <w:p>
      <w:pPr>
        <w:pStyle w:val="Heading4"/>
        <w:numPr>
          <w:ilvl w:val="3"/>
          <w:numId w:val="1"/>
        </w:numPr>
        <w:rPr/>
      </w:pPr>
      <w:bookmarkStart w:id="2108" w:name="__RefHeading___Toc3586209_3650668749"/>
      <w:bookmarkStart w:id="2109" w:name="_Toc901"/>
      <w:bookmarkEnd w:id="2107"/>
      <w:bookmarkEnd w:id="2108"/>
      <w:r>
        <w:rPr>
          <w:rtl w:val="true"/>
        </w:rPr>
        <w:t>ب</w:t>
      </w:r>
      <w:r>
        <w:rPr>
          <w:rtl w:val="true"/>
        </w:rPr>
        <w:t xml:space="preserve">) </w:t>
      </w:r>
      <w:r>
        <w:rPr>
          <w:rtl w:val="true"/>
        </w:rPr>
        <w:t>لباس‌ها</w:t>
      </w:r>
      <w:bookmarkEnd w:id="2109"/>
    </w:p>
    <w:p>
      <w:pPr>
        <w:pStyle w:val="Heading5"/>
        <w:numPr>
          <w:ilvl w:val="4"/>
          <w:numId w:val="1"/>
        </w:numPr>
        <w:rPr/>
      </w:pPr>
      <w:bookmarkStart w:id="2110" w:name="__RefHeading___Toc3586211_3650668749"/>
      <w:bookmarkStart w:id="2111" w:name="_Toc902"/>
      <w:bookmarkEnd w:id="2110"/>
      <w:r>
        <w:rPr>
          <w:rtl w:val="true"/>
        </w:rPr>
        <w:t>اشاره</w:t>
      </w:r>
      <w:bookmarkEnd w:id="2111"/>
    </w:p>
    <w:p>
      <w:pPr>
        <w:pStyle w:val="BookText"/>
        <w:rPr/>
      </w:pPr>
      <w:r>
        <w:rPr>
          <w:rFonts w:ascii="IRNazanin" w:hAnsi="IRNazanin" w:eastAsia="IRNazanin"/>
          <w:color w:val="111111"/>
          <w:sz w:val="28"/>
          <w:sz w:val="28"/>
          <w:szCs w:val="28"/>
          <w:rtl w:val="true"/>
          <w:lang w:bidi="fa-IR"/>
        </w:rPr>
        <w:t>قبل از پرداختن به لباس‌هاى زمان مورد بحث، ابتدا در باره كيفيت پوشش در مقاطع مختلف اين دوره را ذكر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 كلى لباس‌هاى عرب در دوران جاهليت و صدر اسلام، هم از نظر جنس پارچه و هم به لحاظ كيفيت تهيه، بسيار ساده بود، چنان‌كه آنها اصولاً از بعضى از انواع پوشش‌ها، مانند قبا و شلوار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شناختى نداشتند و اين دو لباس بعد از فتوحات و به واسطه معاشرت با ايرانيان در بين آنان رواج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معمولى اعراب در آن زمان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عبا، پيراهن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بُرد، حُلَّه، اِزار و شَمْلَه كه توضيحات آنها خواهد آمد، معمولاً پوشش آنها از پايين زانو تجاوز نمى‌كرد و همين مقدار پوشش يا به وسيله پيراهن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مى‌گرفت و يا به وسيله اِزار</w:t>
      </w:r>
      <w:r>
        <w:rPr>
          <w:rFonts w:eastAsia="IRNazanin" w:cs="IRNazanin"/>
          <w:color w:val="111111"/>
          <w:sz w:val="28"/>
          <w:szCs w:val="28"/>
          <w:rtl w:val="true"/>
          <w:lang w:bidi="fa-IR"/>
        </w:rPr>
        <w:t xml:space="preserve">. </w:t>
      </w:r>
      <w:r>
        <w:rPr>
          <w:rStyle w:val="FootnoteAnchor"/>
          <w:rtl w:val="true"/>
        </w:rPr>
        <w:footnoteReference w:id="1829"/>
      </w:r>
      <w:r>
        <w:rPr>
          <w:rFonts w:ascii="IRNazanin" w:hAnsi="IRNazanin" w:eastAsia="IRNazanin"/>
          <w:color w:val="111111"/>
          <w:sz w:val="28"/>
          <w:sz w:val="28"/>
          <w:szCs w:val="28"/>
          <w:rtl w:val="true"/>
          <w:lang w:bidi="fa-IR"/>
        </w:rPr>
        <w:t>آنان از وصله زدن مكرّر لباس‌هاى خود نيز ابايى نداشتند، چنان‌كه در باره عمر خليفه دوم چنين نقل شده است كه حتى در دوران حكومت خود با پيراهن وصله‌دار كه تا نيمه پاهاى او را پوشانده بود، در بازارها قدم مى‌زد و به امر و نهى مى‌پرداخت</w:t>
      </w:r>
      <w:r>
        <w:rPr>
          <w:rFonts w:eastAsia="IRNazanin" w:cs="IRNazanin"/>
          <w:color w:val="111111"/>
          <w:sz w:val="28"/>
          <w:szCs w:val="28"/>
          <w:rtl w:val="true"/>
          <w:lang w:bidi="fa-IR"/>
        </w:rPr>
        <w:t xml:space="preserve">. </w:t>
      </w:r>
      <w:r>
        <w:rPr>
          <w:rStyle w:val="FootnoteAnchor"/>
          <w:rtl w:val="true"/>
        </w:rPr>
        <w:footnoteReference w:id="1830"/>
      </w:r>
    </w:p>
    <w:p>
      <w:pPr>
        <w:pStyle w:val="BookText"/>
        <w:rPr/>
      </w:pPr>
      <w:r>
        <w:rPr>
          <w:rFonts w:ascii="IRNazanin" w:hAnsi="IRNazanin" w:eastAsia="IRNazanin"/>
          <w:color w:val="111111"/>
          <w:sz w:val="28"/>
          <w:sz w:val="28"/>
          <w:szCs w:val="28"/>
          <w:rtl w:val="true"/>
          <w:lang w:bidi="fa-IR"/>
        </w:rPr>
        <w:t>تجمّل‌گرايى در پوشش به‌طور كلى و عمومى از دوره عثمان شروع شد، گرچه قبل از آن معاويه در شام به تجمّل‌گرايى در همه ابعاد زندگى خود و از جمله در لباس روى آورده بود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كم‌رنگ‌تر شدن فتوحات، مردم كوفه نيز در زمان بنى‌اميه به تجمّل‌گرايى روى آوردند و زنان و مردان آن، لباس‌هايى نگارين و از جنس‌هاى عالى، مانند حرير، ديباج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پديد آورده و مى‌پوشيدند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لباس‌هايى به تقليد از ايرانيان و روميان مى‌پوشيدند كه تا قبل از آن نمى‌پوشيدند</w:t>
      </w:r>
      <w:r>
        <w:rPr>
          <w:rFonts w:eastAsia="IRNazanin" w:cs="IRNazanin"/>
          <w:color w:val="111111"/>
          <w:sz w:val="28"/>
          <w:szCs w:val="28"/>
          <w:rtl w:val="true"/>
          <w:lang w:bidi="fa-IR"/>
        </w:rPr>
        <w:t xml:space="preserve">. </w:t>
      </w:r>
      <w:r>
        <w:rPr>
          <w:rStyle w:val="FootnoteAnchor"/>
          <w:rtl w:val="true"/>
        </w:rPr>
        <w:footnoteReference w:id="1831"/>
      </w:r>
      <w:bookmarkStart w:id="2112" w:name="pg1964_19965"/>
    </w:p>
    <w:p>
      <w:pPr>
        <w:pStyle w:val="BookText"/>
        <w:rPr/>
      </w:pPr>
      <w:bookmarkEnd w:id="2112"/>
      <w:r>
        <w:rPr>
          <w:rFonts w:ascii="IRNazanin" w:hAnsi="IRNazanin" w:eastAsia="IRNazanin"/>
          <w:color w:val="111111"/>
          <w:sz w:val="28"/>
          <w:sz w:val="28"/>
          <w:szCs w:val="28"/>
          <w:rtl w:val="true"/>
          <w:lang w:bidi="fa-IR"/>
        </w:rPr>
        <w:t>در بعضى از نوشته‌ها چنين آمده است كه در اين دوران، لباس اهل ذمّه، يعنى مسيحيان، يهوديان و مجوسيان با لباس مسلمانان تفاوت داشت؛ زيرا لباس آنان عموماً از پيراهن و شلوار تشكيل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گذاشتن عمامه و قَلَنْسُوَه بر سر خود باز داشته شده بودند، هم‌چنان‌كه به آنها اجازه پوشيدن لباس‌هاى تهيه شده از خزّ را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پوشيدن قبا براى آنها ممنوع بود؛ زيرا اين نوع لباس‌ها مخصوص طبقه اشراف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آنها اجازه به پا كردن نعلين را نمى‌دادند</w:t>
      </w:r>
      <w:r>
        <w:rPr>
          <w:rFonts w:eastAsia="IRNazanin" w:cs="IRNazanin"/>
          <w:color w:val="111111"/>
          <w:sz w:val="28"/>
          <w:szCs w:val="28"/>
          <w:rtl w:val="true"/>
          <w:lang w:bidi="fa-IR"/>
        </w:rPr>
        <w:t xml:space="preserve">. </w:t>
      </w:r>
      <w:r>
        <w:rPr>
          <w:rStyle w:val="FootnoteAnchor"/>
          <w:rtl w:val="true"/>
        </w:rPr>
        <w:footnoteReference w:id="1832"/>
      </w:r>
    </w:p>
    <w:p>
      <w:pPr>
        <w:pStyle w:val="BookText"/>
        <w:rPr/>
      </w:pPr>
      <w:r>
        <w:rPr>
          <w:rFonts w:ascii="IRNazanin" w:hAnsi="IRNazanin" w:eastAsia="IRNazanin"/>
          <w:color w:val="111111"/>
          <w:sz w:val="28"/>
          <w:sz w:val="28"/>
          <w:szCs w:val="28"/>
          <w:rtl w:val="true"/>
          <w:lang w:bidi="fa-IR"/>
        </w:rPr>
        <w:t>در اينجا براى شناساندن لباس‌هاى معمول در زمان مورد بحث كه اغلب از شواهد تاريخى به دست آمده است، آنها را در چهار قسمت پوشش سر، پوشش بدن، پوشش پايين بدن و پوشش كف پا بررسى مى‌كنيم، بدون آنكه بين لباس‌هاى مردان و زنان تفكيك ايجاد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موردى كه لباسى مخصوص زنان باشد، يادآور خواهيم شد</w:t>
      </w:r>
      <w:r>
        <w:rPr>
          <w:rFonts w:eastAsia="IRNazanin" w:cs="IRNazanin"/>
          <w:color w:val="111111"/>
          <w:sz w:val="28"/>
          <w:szCs w:val="28"/>
          <w:rtl w:val="true"/>
          <w:lang w:bidi="fa-IR"/>
        </w:rPr>
        <w:t>.</w:t>
      </w:r>
    </w:p>
    <w:p>
      <w:pPr>
        <w:pStyle w:val="Heading5"/>
        <w:numPr>
          <w:ilvl w:val="4"/>
          <w:numId w:val="1"/>
        </w:numPr>
        <w:rPr/>
      </w:pPr>
      <w:bookmarkStart w:id="2113" w:name="__RefHeading___Toc3586213_3650668749"/>
      <w:bookmarkStart w:id="2114" w:name="_Toc903"/>
      <w:bookmarkEnd w:id="2113"/>
      <w:r>
        <w:rPr>
          <w:rtl w:val="true"/>
        </w:rPr>
        <w:t xml:space="preserve">يك </w:t>
      </w:r>
      <w:r>
        <w:rPr>
          <w:rtl w:val="true"/>
        </w:rPr>
        <w:t xml:space="preserve">- </w:t>
      </w:r>
      <w:r>
        <w:rPr>
          <w:rtl w:val="true"/>
        </w:rPr>
        <w:t>پوشش سر</w:t>
      </w:r>
      <w:bookmarkEnd w:id="2114"/>
    </w:p>
    <w:p>
      <w:pPr>
        <w:pStyle w:val="Heading6"/>
        <w:numPr>
          <w:ilvl w:val="5"/>
          <w:numId w:val="1"/>
        </w:numPr>
        <w:rPr/>
      </w:pPr>
      <w:bookmarkStart w:id="2115" w:name="__RefHeading___Toc3586215_3650668749"/>
      <w:bookmarkStart w:id="2116" w:name="_Toc904"/>
      <w:bookmarkEnd w:id="2115"/>
      <w:r>
        <w:rPr>
          <w:rtl w:val="true"/>
        </w:rPr>
        <w:t>اشاره</w:t>
      </w:r>
      <w:bookmarkEnd w:id="2116"/>
    </w:p>
    <w:p>
      <w:pPr>
        <w:pStyle w:val="BookText"/>
        <w:rPr/>
      </w:pPr>
      <w:r>
        <w:rPr>
          <w:rFonts w:ascii="IRNazanin" w:hAnsi="IRNazanin" w:eastAsia="IRNazanin"/>
          <w:color w:val="111111"/>
          <w:sz w:val="28"/>
          <w:sz w:val="28"/>
          <w:szCs w:val="28"/>
          <w:rtl w:val="true"/>
          <w:lang w:bidi="fa-IR"/>
        </w:rPr>
        <w:t>لباس‌هايى كه در مورد پوشش سر به‌كار مى‌رفت عبارت بود از</w:t>
      </w:r>
      <w:r>
        <w:rPr>
          <w:rFonts w:eastAsia="IRNazanin" w:cs="IRNazanin"/>
          <w:color w:val="111111"/>
          <w:sz w:val="28"/>
          <w:szCs w:val="28"/>
          <w:rtl w:val="true"/>
          <w:lang w:bidi="fa-IR"/>
        </w:rPr>
        <w:t>:</w:t>
      </w:r>
    </w:p>
    <w:p>
      <w:pPr>
        <w:pStyle w:val="Heading6"/>
        <w:numPr>
          <w:ilvl w:val="5"/>
          <w:numId w:val="1"/>
        </w:numPr>
        <w:rPr/>
      </w:pPr>
      <w:bookmarkStart w:id="2117" w:name="__RefHeading___Toc3586217_3650668749"/>
      <w:bookmarkStart w:id="2118" w:name="_Toc905"/>
      <w:bookmarkEnd w:id="2117"/>
      <w:r>
        <w:rPr>
          <w:rtl w:val="true"/>
        </w:rPr>
        <w:t xml:space="preserve">اول </w:t>
      </w:r>
      <w:r>
        <w:rPr>
          <w:rtl w:val="true"/>
        </w:rPr>
        <w:t xml:space="preserve">- </w:t>
      </w:r>
      <w:r>
        <w:rPr>
          <w:rtl w:val="true"/>
        </w:rPr>
        <w:t>عِمامَه</w:t>
      </w:r>
      <w:bookmarkEnd w:id="2118"/>
    </w:p>
    <w:p>
      <w:pPr>
        <w:pStyle w:val="Heading6"/>
        <w:numPr>
          <w:ilvl w:val="5"/>
          <w:numId w:val="1"/>
        </w:numPr>
        <w:rPr/>
      </w:pPr>
      <w:bookmarkStart w:id="2119" w:name="__RefHeading___Toc3586219_3650668749"/>
      <w:bookmarkStart w:id="2120" w:name="_Toc906"/>
      <w:bookmarkEnd w:id="2119"/>
      <w:r>
        <w:rPr>
          <w:rtl w:val="true"/>
        </w:rPr>
        <w:t>اشاره</w:t>
      </w:r>
      <w:bookmarkEnd w:id="2120"/>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عِمامه مهم‌ترين پوشش سر نزد اعراب بود كه اصولاً علامت عرب بودن شخص به حساب مى‌آمد، چنان‌كه احنف بن قيس مى‌گفت </w:t>
      </w:r>
      <w:r>
        <w:rPr>
          <w:rStyle w:val="FootnoteAnchor"/>
          <w:rtl w:val="true"/>
        </w:rPr>
        <w:footnoteReference w:id="18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مادامى كه عمامه بر سر گذارده عرب است</w:t>
      </w:r>
      <w:r>
        <w:rPr>
          <w:rFonts w:eastAsia="IRNazanin" w:cs="IRNazanin"/>
          <w:color w:val="111111"/>
          <w:sz w:val="28"/>
          <w:szCs w:val="28"/>
          <w:rtl w:val="true"/>
          <w:lang w:bidi="fa-IR"/>
        </w:rPr>
        <w:t xml:space="preserve">» . </w:t>
      </w:r>
      <w:r>
        <w:rPr>
          <w:rStyle w:val="FootnoteAnchor"/>
          <w:rtl w:val="true"/>
        </w:rPr>
        <w:footnoteReference w:id="1834"/>
      </w:r>
      <w:r>
        <w:rPr>
          <w:rFonts w:ascii="Amiri" w:hAnsi="Amiri" w:eastAsia="Amiri" w:cs="Amiri"/>
          <w:color w:val="111111"/>
          <w:sz w:val="28"/>
          <w:sz w:val="28"/>
          <w:szCs w:val="28"/>
          <w:rtl w:val="true"/>
          <w:lang w:bidi="ar-SA"/>
        </w:rPr>
        <w:t>در كلام عُمر از عمامه به عنوان تاج عرب ياد شده است</w:t>
      </w:r>
      <w:r>
        <w:rPr>
          <w:rFonts w:eastAsia="Amiri" w:cs="Amiri" w:ascii="Amiri" w:hAnsi="Amiri"/>
          <w:color w:val="111111"/>
          <w:sz w:val="28"/>
          <w:szCs w:val="28"/>
          <w:rtl w:val="true"/>
          <w:lang w:bidi="ar-SA"/>
        </w:rPr>
        <w:t xml:space="preserve">. </w:t>
      </w:r>
      <w:r>
        <w:rPr>
          <w:rStyle w:val="FootnoteAnchor"/>
          <w:rtl w:val="true"/>
        </w:rPr>
        <w:footnoteReference w:id="1835"/>
      </w:r>
      <w:r>
        <w:rPr>
          <w:rFonts w:ascii="IRNazanin" w:hAnsi="IRNazanin" w:eastAsia="IRNazanin"/>
          <w:color w:val="111111"/>
          <w:sz w:val="28"/>
          <w:sz w:val="28"/>
          <w:szCs w:val="28"/>
          <w:rtl w:val="true"/>
          <w:lang w:bidi="fa-IR"/>
        </w:rPr>
        <w:t xml:space="preserve">پيامبر گرامى اسلام نيز در سخنى، از نوعى عمامه بستن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w:t>
      </w:r>
      <w:r>
        <w:rPr>
          <w:rFonts w:eastAsia="IRNazanin" w:cs="IRNazanin"/>
          <w:color w:val="111111"/>
          <w:sz w:val="28"/>
          <w:szCs w:val="28"/>
          <w:rtl w:val="true"/>
          <w:lang w:bidi="fa-IR"/>
        </w:rPr>
        <w:t xml:space="preserve">. </w:t>
      </w:r>
      <w:r>
        <w:rPr>
          <w:rStyle w:val="FootnoteAnchor"/>
          <w:rtl w:val="true"/>
        </w:rPr>
        <w:footnoteReference w:id="1836"/>
      </w:r>
      <w:bookmarkStart w:id="2121" w:name="pg1964_19966"/>
    </w:p>
    <w:p>
      <w:pPr>
        <w:pStyle w:val="BookText"/>
        <w:rPr/>
      </w:pPr>
      <w:bookmarkEnd w:id="2121"/>
      <w:r>
        <w:rPr>
          <w:rFonts w:ascii="IRNazanin" w:hAnsi="IRNazanin" w:eastAsia="IRNazanin"/>
          <w:color w:val="111111"/>
          <w:sz w:val="28"/>
          <w:sz w:val="28"/>
          <w:szCs w:val="28"/>
          <w:rtl w:val="true"/>
          <w:lang w:bidi="fa-IR"/>
        </w:rPr>
        <w:t>معمولاً پارچه عمامه به صورت يك‌دست بود و بر حسب نوع عمامه، طول و عرض ثابتى داشت</w:t>
      </w:r>
      <w:r>
        <w:rPr>
          <w:rFonts w:eastAsia="IRNazanin" w:cs="IRNazanin"/>
          <w:color w:val="111111"/>
          <w:sz w:val="28"/>
          <w:szCs w:val="28"/>
          <w:rtl w:val="true"/>
          <w:lang w:bidi="fa-IR"/>
        </w:rPr>
        <w:t xml:space="preserve">. </w:t>
      </w:r>
      <w:r>
        <w:rPr>
          <w:rStyle w:val="FootnoteAnchor"/>
          <w:rtl w:val="true"/>
        </w:rPr>
        <w:footnoteReference w:id="1837"/>
      </w:r>
      <w:r>
        <w:rPr>
          <w:rFonts w:ascii="IRNazanin" w:hAnsi="IRNazanin" w:eastAsia="IRNazanin"/>
          <w:color w:val="111111"/>
          <w:sz w:val="28"/>
          <w:sz w:val="28"/>
          <w:szCs w:val="28"/>
          <w:rtl w:val="true"/>
          <w:lang w:bidi="fa-IR"/>
        </w:rPr>
        <w:t>معمولاً جنس پارچه عمامه از پنبه بود كه بعدها از خزّ نيز تهيه مى‌شد</w:t>
      </w:r>
      <w:r>
        <w:rPr>
          <w:rFonts w:eastAsia="IRNazanin" w:cs="IRNazanin"/>
          <w:color w:val="111111"/>
          <w:sz w:val="28"/>
          <w:szCs w:val="28"/>
          <w:rtl w:val="true"/>
          <w:lang w:bidi="fa-IR"/>
        </w:rPr>
        <w:t xml:space="preserve">. </w:t>
      </w:r>
      <w:r>
        <w:rPr>
          <w:rStyle w:val="FootnoteAnchor"/>
          <w:rtl w:val="true"/>
        </w:rPr>
        <w:footnoteReference w:id="1838"/>
      </w:r>
    </w:p>
    <w:p>
      <w:pPr>
        <w:pStyle w:val="BookText"/>
        <w:rPr/>
      </w:pPr>
      <w:r>
        <w:rPr>
          <w:rFonts w:ascii="IRNazanin" w:hAnsi="IRNazanin" w:eastAsia="IRNazanin"/>
          <w:color w:val="111111"/>
          <w:sz w:val="28"/>
          <w:sz w:val="28"/>
          <w:szCs w:val="28"/>
          <w:rtl w:val="true"/>
          <w:lang w:bidi="fa-IR"/>
        </w:rPr>
        <w:t xml:space="preserve">معمولاً عمامه نزد عرب رنگ مشخصى نداشت و به رنگ‌هاى مختلفى، همانند مشكى، سفيد، قرمز، زرد و حتى رنگارنگ تهيه مى‌شد </w:t>
      </w:r>
      <w:r>
        <w:rPr>
          <w:rStyle w:val="FootnoteAnchor"/>
          <w:rtl w:val="true"/>
        </w:rPr>
        <w:footnoteReference w:id="1839"/>
      </w:r>
      <w:r>
        <w:rPr>
          <w:rFonts w:ascii="IRNazanin" w:hAnsi="IRNazanin" w:eastAsia="IRNazanin"/>
          <w:color w:val="111111"/>
          <w:sz w:val="28"/>
          <w:sz w:val="28"/>
          <w:szCs w:val="28"/>
          <w:rtl w:val="true"/>
          <w:lang w:bidi="fa-IR"/>
        </w:rPr>
        <w:t xml:space="preserve">، چنان‌كه در جنگ جمل، هنگام توصيف عمامه‌هاى سپاهيان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عمامه‌هايى با رنگ‌هاى مشكى و زرد ياد شده است</w:t>
      </w:r>
      <w:r>
        <w:rPr>
          <w:rFonts w:eastAsia="IRNazanin" w:cs="IRNazanin"/>
          <w:color w:val="111111"/>
          <w:sz w:val="28"/>
          <w:szCs w:val="28"/>
          <w:rtl w:val="true"/>
          <w:lang w:bidi="fa-IR"/>
        </w:rPr>
        <w:t xml:space="preserve">. </w:t>
      </w:r>
      <w:r>
        <w:rPr>
          <w:rStyle w:val="FootnoteAnchor"/>
          <w:rtl w:val="true"/>
        </w:rPr>
        <w:footnoteReference w:id="1840"/>
      </w:r>
      <w:r>
        <w:rPr>
          <w:rFonts w:ascii="IRNazanin" w:hAnsi="IRNazanin" w:eastAsia="IRNazanin"/>
          <w:color w:val="111111"/>
          <w:sz w:val="28"/>
          <w:sz w:val="28"/>
          <w:szCs w:val="28"/>
          <w:rtl w:val="true"/>
          <w:lang w:bidi="fa-IR"/>
        </w:rPr>
        <w:t>همچنين گفته شده است كه سپاهيان معاويه در جنگ صفين، عمامه‌هايى با رنگ سبز و تهيه شده از حرير بر سر داشتند</w:t>
      </w:r>
      <w:r>
        <w:rPr>
          <w:rFonts w:eastAsia="IRNazanin" w:cs="IRNazanin"/>
          <w:color w:val="111111"/>
          <w:sz w:val="28"/>
          <w:szCs w:val="28"/>
          <w:rtl w:val="true"/>
          <w:lang w:bidi="fa-IR"/>
        </w:rPr>
        <w:t xml:space="preserve">. </w:t>
      </w:r>
      <w:r>
        <w:rPr>
          <w:rStyle w:val="FootnoteAnchor"/>
          <w:rtl w:val="true"/>
        </w:rPr>
        <w:footnoteReference w:id="1841"/>
      </w:r>
    </w:p>
    <w:p>
      <w:pPr>
        <w:pStyle w:val="Heading6"/>
        <w:numPr>
          <w:ilvl w:val="5"/>
          <w:numId w:val="1"/>
        </w:numPr>
        <w:rPr/>
      </w:pPr>
      <w:bookmarkStart w:id="2122" w:name="__RefHeading___Toc3586221_3650668749"/>
      <w:bookmarkStart w:id="2123" w:name="_Toc907"/>
      <w:bookmarkEnd w:id="2122"/>
      <w:r>
        <w:rPr>
          <w:rtl w:val="true"/>
        </w:rPr>
        <w:t>كيفيت بستن عمامه</w:t>
      </w:r>
      <w:bookmarkEnd w:id="2123"/>
    </w:p>
    <w:p>
      <w:pPr>
        <w:pStyle w:val="BookText"/>
        <w:rPr/>
      </w:pPr>
      <w:r>
        <w:rPr>
          <w:rFonts w:ascii="IRNazanin" w:hAnsi="IRNazanin" w:eastAsia="IRNazanin"/>
          <w:color w:val="111111"/>
          <w:sz w:val="28"/>
          <w:sz w:val="28"/>
          <w:szCs w:val="28"/>
          <w:rtl w:val="true"/>
          <w:lang w:bidi="fa-IR"/>
        </w:rPr>
        <w:t>در روايات تاريخى انواع مختلفى براى بستن عمامه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روايات آمده است هنگامى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براى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انتهاى آن را به صورت حلقه‌اى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جلوى سينه قرار داد و سپس آن را به پشت</w:t>
      </w:r>
    </w:p>
    <w:p>
      <w:pPr>
        <w:pStyle w:val="BookText"/>
        <w:rPr/>
      </w:pPr>
      <w:r>
        <w:rPr>
          <w:rFonts w:ascii="IRNazanin" w:hAnsi="IRNazanin" w:eastAsia="IRNazanin"/>
          <w:color w:val="111111"/>
          <w:sz w:val="28"/>
          <w:sz w:val="28"/>
          <w:szCs w:val="28"/>
          <w:rtl w:val="true"/>
          <w:lang w:bidi="fa-IR"/>
        </w:rPr>
        <w:t>او برده و به اندازه چهار انگشت در پشت‌سر او رها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تاج‌هاى فرشتگان اين چنين است</w:t>
      </w:r>
      <w:r>
        <w:rPr>
          <w:rFonts w:eastAsia="IRNazanin" w:cs="IRNazanin"/>
          <w:color w:val="111111"/>
          <w:sz w:val="28"/>
          <w:szCs w:val="28"/>
          <w:rtl w:val="true"/>
          <w:lang w:bidi="fa-IR"/>
        </w:rPr>
        <w:t xml:space="preserve">» . </w:t>
      </w:r>
      <w:r>
        <w:rPr>
          <w:rStyle w:val="FootnoteAnchor"/>
          <w:rtl w:val="true"/>
        </w:rPr>
        <w:footnoteReference w:id="1842"/>
      </w:r>
      <w:r>
        <w:rPr>
          <w:rFonts w:ascii="IRNazanin" w:hAnsi="IRNazanin" w:eastAsia="IRNazanin"/>
          <w:color w:val="111111"/>
          <w:sz w:val="28"/>
          <w:sz w:val="28"/>
          <w:szCs w:val="28"/>
          <w:rtl w:val="true"/>
          <w:lang w:bidi="fa-IR"/>
        </w:rPr>
        <w:t xml:space="preserve">نيز در باره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 كه عمامه خود را بر سر مى‌بست و انتهاى آن را از پشت‌سر بين دو شانه خود رها مى‌كرد</w:t>
      </w:r>
      <w:r>
        <w:rPr>
          <w:rFonts w:eastAsia="IRNazanin" w:cs="IRNazanin"/>
          <w:color w:val="111111"/>
          <w:sz w:val="28"/>
          <w:szCs w:val="28"/>
          <w:rtl w:val="true"/>
          <w:lang w:bidi="fa-IR"/>
        </w:rPr>
        <w:t xml:space="preserve">. </w:t>
      </w:r>
      <w:r>
        <w:rPr>
          <w:rStyle w:val="FootnoteAnchor"/>
          <w:rtl w:val="true"/>
        </w:rPr>
        <w:footnoteReference w:id="1843"/>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نوعى از عمامه بستن نيز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الْحَنَك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آن بدين صورت بود كه پيچى از عمامه را از زير چانه گذرانده و به سر مى‌پيچيدند تا عمامه محكم‌تر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عمل را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مى‌دهند</w:t>
      </w:r>
      <w:r>
        <w:rPr>
          <w:rFonts w:eastAsia="IRNazanin" w:cs="IRNazanin"/>
          <w:color w:val="111111"/>
          <w:sz w:val="28"/>
          <w:szCs w:val="28"/>
          <w:rtl w:val="true"/>
          <w:lang w:bidi="fa-IR"/>
        </w:rPr>
        <w:t xml:space="preserve">. </w:t>
      </w:r>
      <w:r>
        <w:rPr>
          <w:rStyle w:val="FootnoteAnchor"/>
          <w:rtl w:val="true"/>
        </w:rPr>
        <w:footnoteReference w:id="18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ديگر عمامه بستن بود و آن بستن عمامه بدون تحنك و بدون رها كردن قسمتى از آن بود</w:t>
      </w:r>
      <w:r>
        <w:rPr>
          <w:rFonts w:eastAsia="IRNazanin" w:cs="IRNazanin"/>
          <w:color w:val="111111"/>
          <w:sz w:val="28"/>
          <w:szCs w:val="28"/>
          <w:rtl w:val="true"/>
          <w:lang w:bidi="fa-IR"/>
        </w:rPr>
        <w:t xml:space="preserve">. </w:t>
      </w:r>
      <w:r>
        <w:rPr>
          <w:rStyle w:val="FootnoteAnchor"/>
          <w:rtl w:val="true"/>
        </w:rPr>
        <w:footnoteReference w:id="1845"/>
      </w:r>
      <w:r>
        <w:rPr>
          <w:rFonts w:ascii="IRNazanin" w:hAnsi="IRNazanin" w:eastAsia="IRNazanin"/>
          <w:color w:val="111111"/>
          <w:sz w:val="28"/>
          <w:sz w:val="28"/>
          <w:szCs w:val="28"/>
          <w:rtl w:val="true"/>
          <w:lang w:bidi="fa-IR"/>
        </w:rPr>
        <w:t xml:space="preserve">همچنين در بعضى عبارت‌ها از نوعى عمامه بستن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 كه عمامه را در پشت‌سر، گره مى‌زدند، چنان‌كه در باره عمامه مُصْعَب بن زُبَير چنين نقل شده است</w:t>
      </w:r>
      <w:r>
        <w:rPr>
          <w:rFonts w:eastAsia="IRNazanin" w:cs="IRNazanin"/>
          <w:color w:val="111111"/>
          <w:sz w:val="28"/>
          <w:szCs w:val="28"/>
          <w:rtl w:val="true"/>
          <w:lang w:bidi="fa-IR"/>
        </w:rPr>
        <w:t xml:space="preserve">. </w:t>
      </w:r>
      <w:r>
        <w:rPr>
          <w:rStyle w:val="FootnoteAnchor"/>
          <w:rtl w:val="true"/>
        </w:rPr>
        <w:footnoteReference w:id="1846"/>
      </w:r>
    </w:p>
    <w:p>
      <w:pPr>
        <w:pStyle w:val="BookText"/>
        <w:rPr/>
      </w:pPr>
      <w:r>
        <w:rPr>
          <w:rFonts w:ascii="Amiri" w:hAnsi="Amiri" w:eastAsia="Amiri" w:cs="Amiri"/>
          <w:color w:val="111111"/>
          <w:sz w:val="28"/>
          <w:sz w:val="28"/>
          <w:szCs w:val="28"/>
          <w:rtl w:val="true"/>
          <w:lang w:bidi="ar-SA"/>
        </w:rPr>
        <w:t xml:space="preserve">دورهاى عمامه نيز متفاوت بود </w:t>
      </w:r>
      <w:r>
        <w:rPr>
          <w:rStyle w:val="FootnoteAnchor"/>
          <w:rtl w:val="true"/>
        </w:rPr>
        <w:footnoteReference w:id="1847"/>
      </w:r>
      <w:r>
        <w:rPr>
          <w:rFonts w:ascii="IRNazanin" w:hAnsi="IRNazanin" w:eastAsia="IRNazanin"/>
          <w:color w:val="111111"/>
          <w:sz w:val="28"/>
          <w:sz w:val="28"/>
          <w:szCs w:val="28"/>
          <w:rtl w:val="true"/>
          <w:lang w:bidi="fa-IR"/>
        </w:rPr>
        <w:t>چنان‌كه در باره شُرَيح قاضى چنين نقل شده است كه عمامه خود را با يك دور مى‌بست</w:t>
      </w:r>
      <w:r>
        <w:rPr>
          <w:rFonts w:eastAsia="IRNazanin" w:cs="IRNazanin"/>
          <w:color w:val="111111"/>
          <w:sz w:val="28"/>
          <w:szCs w:val="28"/>
          <w:rtl w:val="true"/>
          <w:lang w:bidi="fa-IR"/>
        </w:rPr>
        <w:t xml:space="preserve">. </w:t>
      </w:r>
      <w:r>
        <w:rPr>
          <w:rStyle w:val="FootnoteAnchor"/>
          <w:rtl w:val="true"/>
        </w:rPr>
        <w:footnoteReference w:id="1848"/>
      </w:r>
      <w:r>
        <w:rPr>
          <w:rFonts w:ascii="IRNazanin" w:hAnsi="IRNazanin" w:eastAsia="IRNazanin"/>
          <w:color w:val="111111"/>
          <w:sz w:val="28"/>
          <w:sz w:val="28"/>
          <w:szCs w:val="28"/>
          <w:rtl w:val="true"/>
          <w:lang w:bidi="fa-IR"/>
        </w:rPr>
        <w:t>البته در اين هنگام به دستار شبيه‌تر بود تا به عمامه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عرب‌ها از عمامه استفاده‌هاى ديگرى نيز مى‌كردند، چنان‌كه در بعضى از جنگ‌ها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 مى‌بردند يا هنگام شدت معركه آن را به كمر خود مى‌بستند</w:t>
      </w:r>
      <w:r>
        <w:rPr>
          <w:rFonts w:eastAsia="IRNazanin" w:cs="IRNazanin"/>
          <w:color w:val="111111"/>
          <w:sz w:val="28"/>
          <w:szCs w:val="28"/>
          <w:rtl w:val="true"/>
          <w:lang w:bidi="fa-IR"/>
        </w:rPr>
        <w:t xml:space="preserve">. </w:t>
      </w:r>
      <w:r>
        <w:rPr>
          <w:rStyle w:val="FootnoteAnchor"/>
          <w:rtl w:val="true"/>
        </w:rPr>
        <w:footnoteReference w:id="1849"/>
      </w:r>
      <w:r>
        <w:rPr>
          <w:rFonts w:ascii="IRNazanin" w:hAnsi="IRNazanin" w:eastAsia="IRNazanin"/>
          <w:color w:val="111111"/>
          <w:sz w:val="28"/>
          <w:sz w:val="28"/>
          <w:szCs w:val="28"/>
          <w:rtl w:val="true"/>
          <w:lang w:bidi="fa-IR"/>
        </w:rPr>
        <w:t>ابوالأسود دُئلى در كلام معروفى فايده‌هاى عمامه را اين چنين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عمامه سپرى است در جنگ و پوششى است از آفتاب و گرم كننده‌اى است هنگام سرما، و باعث وقار است در مجلس‌ها، و موجب بلند قد نموده شدن انسان</w:t>
      </w:r>
    </w:p>
    <w:p>
      <w:pPr>
        <w:pStyle w:val="BookText"/>
        <w:rPr/>
      </w:pPr>
      <w:r>
        <w:rPr>
          <w:rFonts w:ascii="IRNazanin" w:hAnsi="IRNazanin" w:eastAsia="IRNazanin"/>
          <w:color w:val="111111"/>
          <w:sz w:val="28"/>
          <w:sz w:val="28"/>
          <w:szCs w:val="28"/>
          <w:rtl w:val="true"/>
          <w:lang w:bidi="fa-IR"/>
        </w:rPr>
        <w:t>مى‌گردد و بدن انسان را بزرگ جلوه مى‌دهد و در هر حال، عادتى از عادات عرب است</w:t>
      </w:r>
      <w:r>
        <w:rPr>
          <w:rFonts w:eastAsia="IRNazanin" w:cs="IRNazanin"/>
          <w:color w:val="111111"/>
          <w:sz w:val="28"/>
          <w:szCs w:val="28"/>
          <w:rtl w:val="true"/>
          <w:lang w:bidi="fa-IR"/>
        </w:rPr>
        <w:t xml:space="preserve">. </w:t>
      </w:r>
      <w:r>
        <w:rPr>
          <w:rStyle w:val="FootnoteAnchor"/>
          <w:rtl w:val="true"/>
        </w:rPr>
        <w:footnoteReference w:id="1850"/>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بعضى عمامه‌ها براى خود شهرتى به دست آورده و نام مخصوصى داشتند، چنان‌كه گفته‌اند كه نام عمامه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851"/>
      </w:r>
      <w:r>
        <w:rPr>
          <w:rFonts w:ascii="IRNazanin" w:hAnsi="IRNazanin" w:eastAsia="IRNazanin"/>
          <w:color w:val="111111"/>
          <w:sz w:val="28"/>
          <w:sz w:val="28"/>
          <w:szCs w:val="28"/>
          <w:rtl w:val="true"/>
          <w:lang w:bidi="fa-IR"/>
        </w:rPr>
        <w:t>در بعضى از نوشته‌ها اسامى ديگرى، هم‌چون عصابه، مِغْطَعَه، مِعْجَر، مِشْوَد و كَوّارَه براى عمامه ذكر شده است</w:t>
      </w:r>
      <w:r>
        <w:rPr>
          <w:rFonts w:eastAsia="IRNazanin" w:cs="IRNazanin"/>
          <w:color w:val="111111"/>
          <w:sz w:val="28"/>
          <w:szCs w:val="28"/>
          <w:rtl w:val="true"/>
          <w:lang w:bidi="fa-IR"/>
        </w:rPr>
        <w:t xml:space="preserve">. </w:t>
      </w:r>
      <w:r>
        <w:rPr>
          <w:rStyle w:val="FootnoteAnchor"/>
          <w:rtl w:val="true"/>
        </w:rPr>
        <w:footnoteReference w:id="1852"/>
      </w:r>
      <w:bookmarkStart w:id="2124" w:name="pg1964_19968"/>
    </w:p>
    <w:p>
      <w:pPr>
        <w:pStyle w:val="BookText"/>
        <w:rPr/>
      </w:pPr>
      <w:bookmarkEnd w:id="2124"/>
      <w:r>
        <w:rPr>
          <w:rFonts w:ascii="IRNazanin" w:hAnsi="IRNazanin" w:eastAsia="IRNazanin"/>
          <w:color w:val="111111"/>
          <w:sz w:val="28"/>
          <w:sz w:val="28"/>
          <w:szCs w:val="28"/>
          <w:rtl w:val="true"/>
          <w:lang w:bidi="fa-IR"/>
        </w:rPr>
        <w:t>نكته پايانى اينكه عرب‌ها در بسيارى از مواقع، زير عمامه از انواع كلاه‌ها و عرقچين‌ها استفاده مى‌كردند</w:t>
      </w:r>
      <w:r>
        <w:rPr>
          <w:rFonts w:eastAsia="IRNazanin" w:cs="IRNazanin"/>
          <w:color w:val="111111"/>
          <w:sz w:val="28"/>
          <w:szCs w:val="28"/>
          <w:rtl w:val="true"/>
          <w:lang w:bidi="fa-IR"/>
        </w:rPr>
        <w:t xml:space="preserve">. </w:t>
      </w:r>
      <w:r>
        <w:rPr>
          <w:rStyle w:val="FootnoteAnchor"/>
          <w:rtl w:val="true"/>
        </w:rPr>
        <w:footnoteReference w:id="1853"/>
      </w:r>
    </w:p>
    <w:p>
      <w:pPr>
        <w:pStyle w:val="Heading6"/>
        <w:numPr>
          <w:ilvl w:val="5"/>
          <w:numId w:val="1"/>
        </w:numPr>
        <w:rPr/>
      </w:pPr>
      <w:bookmarkStart w:id="2125" w:name="__RefHeading___Toc3586223_3650668749"/>
      <w:bookmarkStart w:id="2126" w:name="_Toc908"/>
      <w:bookmarkEnd w:id="2125"/>
      <w:r>
        <w:rPr>
          <w:rtl w:val="true"/>
        </w:rPr>
        <w:t xml:space="preserve">دوم </w:t>
      </w:r>
      <w:r>
        <w:rPr>
          <w:rtl w:val="true"/>
        </w:rPr>
        <w:t xml:space="preserve">- </w:t>
      </w:r>
      <w:r>
        <w:rPr>
          <w:rtl w:val="true"/>
        </w:rPr>
        <w:t>بُرْنُس</w:t>
      </w:r>
      <w:bookmarkEnd w:id="2126"/>
    </w:p>
    <w:p>
      <w:pPr>
        <w:pStyle w:val="BookText"/>
        <w:rPr/>
      </w:pPr>
      <w:r>
        <w:rPr>
          <w:rFonts w:ascii="Amiri" w:hAnsi="Amiri" w:eastAsia="Amiri" w:cs="Amiri"/>
          <w:color w:val="111111"/>
          <w:sz w:val="28"/>
          <w:sz w:val="28"/>
          <w:szCs w:val="28"/>
          <w:rtl w:val="true"/>
          <w:lang w:bidi="ar-SA"/>
        </w:rPr>
        <w:t xml:space="preserve">در لغت به هر لباسى كه كلاه آن به آن متصل است </w:t>
      </w:r>
      <w:r>
        <w:rPr>
          <w:rStyle w:val="FootnoteAnchor"/>
          <w:rtl w:val="true"/>
        </w:rPr>
        <w:footnoteReference w:id="1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كلاه‌دار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برنس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بعضى مواقع تنها در باره كلاه به‌كار مى‌رود كه مى‌توان آن را به شب‌كلاه ترجمه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كلاهى دراز و بزرگ‌تر از عرقچين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عُمر چنين نقل شده است كه هنگام ملاقات با هرمزان، سردار ايرانى روى بُرنس خود خوابيده بود كه در اينجا بُرنس در معناى اول خود به‌كار رفته است</w:t>
      </w:r>
      <w:r>
        <w:rPr>
          <w:rFonts w:eastAsia="IRNazanin" w:cs="IRNazanin"/>
          <w:color w:val="111111"/>
          <w:sz w:val="28"/>
          <w:szCs w:val="28"/>
          <w:rtl w:val="true"/>
          <w:lang w:bidi="fa-IR"/>
        </w:rPr>
        <w:t xml:space="preserve">. </w:t>
      </w:r>
      <w:r>
        <w:rPr>
          <w:rStyle w:val="FootnoteAnchor"/>
          <w:rtl w:val="true"/>
        </w:rPr>
        <w:footnoteReference w:id="1855"/>
      </w:r>
      <w:r>
        <w:rPr>
          <w:rFonts w:ascii="IRNazanin" w:hAnsi="IRNazanin" w:eastAsia="IRNazanin"/>
          <w:color w:val="111111"/>
          <w:sz w:val="28"/>
          <w:sz w:val="28"/>
          <w:szCs w:val="28"/>
          <w:rtl w:val="true"/>
          <w:lang w:bidi="fa-IR"/>
        </w:rPr>
        <w:t xml:space="preserve">همچنين در باره شُريح چنين آمده است كه عمامه خود را روى بُرنس مى‌بست </w:t>
      </w:r>
      <w:r>
        <w:rPr>
          <w:rStyle w:val="FootnoteAnchor"/>
          <w:rtl w:val="true"/>
        </w:rPr>
        <w:footnoteReference w:id="1856"/>
      </w:r>
      <w:r>
        <w:rPr>
          <w:rFonts w:ascii="IRNazanin" w:hAnsi="IRNazanin" w:eastAsia="IRNazanin"/>
          <w:color w:val="111111"/>
          <w:sz w:val="28"/>
          <w:sz w:val="28"/>
          <w:szCs w:val="28"/>
          <w:rtl w:val="true"/>
          <w:lang w:bidi="fa-IR"/>
        </w:rPr>
        <w:t>كه شايد مراد معناى دوم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نقل شده است كه آن حضرت قبل از شهادت، بُرنسى از جنس خزّ بر سر داشت </w:t>
      </w:r>
      <w:r>
        <w:rPr>
          <w:rStyle w:val="FootnoteAnchor"/>
          <w:rtl w:val="true"/>
        </w:rPr>
        <w:footnoteReference w:id="1857"/>
      </w:r>
      <w:r>
        <w:rPr>
          <w:rFonts w:ascii="Amiri" w:hAnsi="Amiri" w:eastAsia="Amiri" w:cs="Amiri"/>
          <w:color w:val="111111"/>
          <w:sz w:val="28"/>
          <w:sz w:val="28"/>
          <w:szCs w:val="28"/>
          <w:rtl w:val="true"/>
          <w:lang w:bidi="ar-SA"/>
        </w:rPr>
        <w:t>كه احتمال هر دو معنا را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بُرنس را لفظى يونانى و گرفته شده از لغت ويروس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virros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به معناى لباسى است با آستين‌هاى بلند و كلاه‌دار كه روى لباس‌ها مى‌پوشيدند، دانسته‌اند</w:t>
      </w:r>
      <w:r>
        <w:rPr>
          <w:rFonts w:eastAsia="IRNazanin" w:cs="IRNazanin"/>
          <w:color w:val="111111"/>
          <w:sz w:val="28"/>
          <w:szCs w:val="28"/>
          <w:rtl w:val="true"/>
          <w:lang w:bidi="fa-IR"/>
        </w:rPr>
        <w:t xml:space="preserve">. </w:t>
      </w:r>
      <w:r>
        <w:rPr>
          <w:rStyle w:val="FootnoteAnchor"/>
          <w:rtl w:val="true"/>
        </w:rPr>
        <w:footnoteReference w:id="1858"/>
      </w:r>
    </w:p>
    <w:p>
      <w:pPr>
        <w:pStyle w:val="Heading6"/>
        <w:numPr>
          <w:ilvl w:val="5"/>
          <w:numId w:val="1"/>
        </w:numPr>
        <w:rPr/>
      </w:pPr>
      <w:bookmarkStart w:id="2127" w:name="__RefHeading___Toc3586225_3650668749"/>
      <w:bookmarkStart w:id="2128" w:name="_Toc909"/>
      <w:bookmarkEnd w:id="2127"/>
      <w:r>
        <w:rPr>
          <w:rtl w:val="true"/>
        </w:rPr>
        <w:t xml:space="preserve">سوم </w:t>
      </w:r>
      <w:r>
        <w:rPr>
          <w:rtl w:val="true"/>
        </w:rPr>
        <w:t xml:space="preserve">- </w:t>
      </w:r>
      <w:r>
        <w:rPr>
          <w:rtl w:val="true"/>
        </w:rPr>
        <w:t>قَلَنْسُوَه</w:t>
      </w:r>
      <w:bookmarkEnd w:id="2128"/>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لباس، شبيه بُرنس بود كه فقط در سر از آن استفاده مى‌شد</w:t>
      </w:r>
      <w:r>
        <w:rPr>
          <w:rFonts w:eastAsia="Amiri" w:cs="Amiri" w:ascii="Amiri" w:hAnsi="Amiri"/>
          <w:color w:val="111111"/>
          <w:sz w:val="28"/>
          <w:szCs w:val="28"/>
          <w:rtl w:val="true"/>
          <w:lang w:bidi="ar-SA"/>
        </w:rPr>
        <w:t xml:space="preserve">. </w:t>
      </w:r>
      <w:r>
        <w:rPr>
          <w:rStyle w:val="FootnoteAnchor"/>
          <w:rtl w:val="true"/>
        </w:rPr>
        <w:footnoteReference w:id="1859"/>
      </w:r>
      <w:r>
        <w:rPr>
          <w:rFonts w:ascii="IRNazanin" w:hAnsi="IRNazanin" w:eastAsia="IRNazanin"/>
          <w:color w:val="111111"/>
          <w:sz w:val="28"/>
          <w:sz w:val="28"/>
          <w:szCs w:val="28"/>
          <w:rtl w:val="true"/>
          <w:lang w:bidi="fa-IR"/>
        </w:rPr>
        <w:t>مى‌توان قلنسوه را به شب‌كلاه يا كلاه دراز ترجمه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آن را برگرفته از لغت لاتينى كالانتيكا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calantica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نوعى پوشش سر بوده، دانسته‌اند</w:t>
      </w:r>
      <w:r>
        <w:rPr>
          <w:rFonts w:eastAsia="IRNazanin" w:cs="IRNazanin"/>
          <w:color w:val="111111"/>
          <w:sz w:val="28"/>
          <w:szCs w:val="28"/>
          <w:rtl w:val="true"/>
          <w:lang w:bidi="fa-IR"/>
        </w:rPr>
        <w:t xml:space="preserve">. </w:t>
      </w:r>
      <w:r>
        <w:rPr>
          <w:rStyle w:val="FootnoteAnchor"/>
          <w:rtl w:val="true"/>
        </w:rPr>
        <w:footnoteReference w:id="1860"/>
      </w:r>
      <w:bookmarkStart w:id="2129" w:name="pg1964_19969"/>
    </w:p>
    <w:p>
      <w:pPr>
        <w:pStyle w:val="BookText"/>
        <w:rPr/>
      </w:pPr>
      <w:bookmarkEnd w:id="2129"/>
      <w:r>
        <w:rPr>
          <w:rFonts w:ascii="IRNazanin" w:hAnsi="IRNazanin" w:eastAsia="IRNazanin"/>
          <w:color w:val="111111"/>
          <w:sz w:val="28"/>
          <w:sz w:val="28"/>
          <w:szCs w:val="28"/>
          <w:rtl w:val="true"/>
          <w:lang w:bidi="fa-IR"/>
        </w:rPr>
        <w:t xml:space="preserve">به هرحال، اين پوشش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قبل از آن رواج داشت و بسيارى از مردم عمامه‌هاى خود را روى قَلَنْسُوَه مى‌بستند</w:t>
      </w:r>
      <w:r>
        <w:rPr>
          <w:rFonts w:eastAsia="IRNazanin" w:cs="IRNazanin"/>
          <w:color w:val="111111"/>
          <w:sz w:val="28"/>
          <w:szCs w:val="28"/>
          <w:rtl w:val="true"/>
          <w:lang w:bidi="fa-IR"/>
        </w:rPr>
        <w:t xml:space="preserve">. </w:t>
      </w:r>
      <w:r>
        <w:rPr>
          <w:rStyle w:val="FootnoteAnchor"/>
          <w:rtl w:val="true"/>
        </w:rPr>
        <w:footnoteReference w:id="1861"/>
      </w:r>
      <w:r>
        <w:rPr>
          <w:rFonts w:ascii="IRNazanin" w:hAnsi="IRNazanin" w:eastAsia="IRNazanin"/>
          <w:color w:val="111111"/>
          <w:sz w:val="28"/>
          <w:sz w:val="28"/>
          <w:szCs w:val="28"/>
          <w:rtl w:val="true"/>
          <w:lang w:bidi="fa-IR"/>
        </w:rPr>
        <w:t xml:space="preserve">در بسيارى از روايت‌هاى تاريخى از قَلَنْسُوَه‌هايى به رنگ سفيد ياد شده است </w:t>
      </w:r>
      <w:r>
        <w:rPr>
          <w:rStyle w:val="FootnoteAnchor"/>
          <w:rtl w:val="true"/>
        </w:rPr>
        <w:footnoteReference w:id="1862"/>
      </w:r>
      <w:r>
        <w:rPr>
          <w:rFonts w:ascii="IRNazanin" w:hAnsi="IRNazanin" w:eastAsia="IRNazanin"/>
          <w:color w:val="111111"/>
          <w:sz w:val="28"/>
          <w:sz w:val="28"/>
          <w:szCs w:val="28"/>
          <w:rtl w:val="true"/>
          <w:lang w:bidi="fa-IR"/>
        </w:rPr>
        <w:t>كه شايد بتوان گفت بيشتر، از اين رنگ براى قَلَنْسُوَه استفاده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 كه وقتى ضربه‌اى به سر آن حضرت وارد شد و بُرنس او خونين شد، بُرنس را در آورده و قَلَنْسُوَه‌اى به جاى آن بر سر گذاشت</w:t>
      </w:r>
      <w:r>
        <w:rPr>
          <w:rFonts w:eastAsia="IRNazanin" w:cs="IRNazanin"/>
          <w:color w:val="111111"/>
          <w:sz w:val="28"/>
          <w:szCs w:val="28"/>
          <w:rtl w:val="true"/>
          <w:lang w:bidi="fa-IR"/>
        </w:rPr>
        <w:t xml:space="preserve">. </w:t>
      </w:r>
      <w:r>
        <w:rPr>
          <w:rStyle w:val="FootnoteAnchor"/>
          <w:rtl w:val="true"/>
        </w:rPr>
        <w:footnoteReference w:id="1863"/>
      </w:r>
      <w:r>
        <w:rPr>
          <w:rFonts w:ascii="IRNazanin" w:hAnsi="IRNazanin" w:eastAsia="IRNazanin"/>
          <w:color w:val="111111"/>
          <w:sz w:val="28"/>
          <w:sz w:val="28"/>
          <w:szCs w:val="28"/>
          <w:rtl w:val="true"/>
          <w:lang w:bidi="fa-IR"/>
        </w:rPr>
        <w:t xml:space="preserve">همين‌طور در باره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 كه آن حضرت زير عمامه خود از قَلَنْسُوَه يمنى سفيد رنگ با آستر كه در زير آن، پنبه نهاده شده بود و دو گوش داشت، استفاده مى‌كرد</w:t>
      </w:r>
      <w:r>
        <w:rPr>
          <w:rFonts w:eastAsia="IRNazanin" w:cs="IRNazanin"/>
          <w:color w:val="111111"/>
          <w:sz w:val="28"/>
          <w:szCs w:val="28"/>
          <w:rtl w:val="true"/>
          <w:lang w:bidi="fa-IR"/>
        </w:rPr>
        <w:t xml:space="preserve">. </w:t>
      </w:r>
      <w:r>
        <w:rPr>
          <w:rStyle w:val="FootnoteAnchor"/>
          <w:rtl w:val="true"/>
        </w:rPr>
        <w:footnoteReference w:id="1864"/>
      </w:r>
    </w:p>
    <w:p>
      <w:pPr>
        <w:pStyle w:val="Heading6"/>
        <w:numPr>
          <w:ilvl w:val="5"/>
          <w:numId w:val="1"/>
        </w:numPr>
        <w:rPr/>
      </w:pPr>
      <w:bookmarkStart w:id="2130" w:name="__RefHeading___Toc3586227_3650668749"/>
      <w:bookmarkStart w:id="2131" w:name="_Toc910"/>
      <w:bookmarkEnd w:id="2130"/>
      <w:r>
        <w:rPr>
          <w:rtl w:val="true"/>
        </w:rPr>
        <w:t xml:space="preserve">چهارم </w:t>
      </w:r>
      <w:r>
        <w:rPr>
          <w:rtl w:val="true"/>
        </w:rPr>
        <w:t xml:space="preserve">- </w:t>
      </w:r>
      <w:r>
        <w:rPr>
          <w:rtl w:val="true"/>
        </w:rPr>
        <w:t>كوفيه و عِقال</w:t>
      </w:r>
      <w:bookmarkEnd w:id="2131"/>
    </w:p>
    <w:p>
      <w:pPr>
        <w:pStyle w:val="BookText"/>
        <w:rPr/>
      </w:pPr>
      <w:r>
        <w:rPr>
          <w:rFonts w:ascii="IRNazanin" w:hAnsi="IRNazanin" w:eastAsia="IRNazanin"/>
          <w:color w:val="111111"/>
          <w:sz w:val="28"/>
          <w:sz w:val="28"/>
          <w:szCs w:val="28"/>
          <w:rtl w:val="true"/>
          <w:lang w:bidi="fa-IR"/>
        </w:rPr>
        <w:t>كوفيه همان چفيه امروزى است كه در كوفه توليد مى‌شد و به دور سر مى‌بستند</w:t>
      </w:r>
    </w:p>
    <w:p>
      <w:pPr>
        <w:pStyle w:val="BookText"/>
        <w:rPr/>
      </w:pPr>
      <w:r>
        <w:rPr>
          <w:rFonts w:ascii="Amiri" w:hAnsi="Amiri" w:eastAsia="Amiri" w:cs="Amiri"/>
          <w:color w:val="111111"/>
          <w:sz w:val="28"/>
          <w:sz w:val="28"/>
          <w:szCs w:val="28"/>
          <w:rtl w:val="true"/>
          <w:lang w:bidi="ar-SA"/>
        </w:rPr>
        <w:t>و عِقال‌بندى نيز روى آن مى‌بستند</w:t>
      </w:r>
      <w:r>
        <w:rPr>
          <w:rFonts w:eastAsia="Amiri" w:cs="Amiri" w:ascii="Amiri" w:hAnsi="Amiri"/>
          <w:color w:val="111111"/>
          <w:sz w:val="28"/>
          <w:szCs w:val="28"/>
          <w:rtl w:val="true"/>
          <w:lang w:bidi="ar-SA"/>
        </w:rPr>
        <w:t xml:space="preserve">. </w:t>
      </w:r>
      <w:r>
        <w:rPr>
          <w:rStyle w:val="FootnoteAnchor"/>
          <w:rtl w:val="true"/>
        </w:rPr>
        <w:footnoteReference w:id="1865"/>
      </w:r>
      <w:r>
        <w:rPr>
          <w:rFonts w:ascii="Amiri" w:hAnsi="Amiri" w:eastAsia="Amiri" w:cs="Amiri"/>
          <w:color w:val="111111"/>
          <w:sz w:val="28"/>
          <w:sz w:val="28"/>
          <w:szCs w:val="28"/>
          <w:rtl w:val="true"/>
          <w:lang w:bidi="ar-SA"/>
        </w:rPr>
        <w:t>وجود اين دو در زمان مورد بحث معلوم نيست</w:t>
      </w:r>
      <w:r>
        <w:rPr>
          <w:rFonts w:eastAsia="Amiri" w:cs="Amiri" w:ascii="Amiri" w:hAnsi="Amiri"/>
          <w:color w:val="111111"/>
          <w:sz w:val="28"/>
          <w:szCs w:val="28"/>
          <w:rtl w:val="true"/>
          <w:lang w:bidi="ar-SA"/>
        </w:rPr>
        <w:t>.</w:t>
      </w:r>
    </w:p>
    <w:p>
      <w:pPr>
        <w:pStyle w:val="Heading6"/>
        <w:numPr>
          <w:ilvl w:val="5"/>
          <w:numId w:val="1"/>
        </w:numPr>
        <w:rPr/>
      </w:pPr>
      <w:bookmarkStart w:id="2132" w:name="__RefHeading___Toc3586229_3650668749"/>
      <w:bookmarkStart w:id="2133" w:name="_Toc911"/>
      <w:bookmarkEnd w:id="2132"/>
      <w:r>
        <w:rPr>
          <w:rtl w:val="true"/>
        </w:rPr>
        <w:t xml:space="preserve">پنجم </w:t>
      </w:r>
      <w:r>
        <w:rPr>
          <w:rtl w:val="true"/>
        </w:rPr>
        <w:t xml:space="preserve">- </w:t>
      </w:r>
      <w:r>
        <w:rPr>
          <w:rtl w:val="true"/>
        </w:rPr>
        <w:t>بُرْقَعْ</w:t>
      </w:r>
      <w:bookmarkEnd w:id="2133"/>
    </w:p>
    <w:p>
      <w:pPr>
        <w:pStyle w:val="BookText"/>
        <w:rPr/>
      </w:pPr>
      <w:r>
        <w:rPr>
          <w:rFonts w:ascii="IRNazanin" w:hAnsi="IRNazanin" w:eastAsia="IRNazanin"/>
          <w:color w:val="111111"/>
          <w:sz w:val="28"/>
          <w:sz w:val="28"/>
          <w:szCs w:val="28"/>
          <w:rtl w:val="true"/>
          <w:lang w:bidi="fa-IR"/>
        </w:rPr>
        <w:t>پوشيه‌اى بود كه زنان عرب روى صورت خود مى‌زدند و فقط جاى دو چشم باز بود</w:t>
      </w:r>
      <w:r>
        <w:rPr>
          <w:rFonts w:eastAsia="IRNazanin" w:cs="IRNazanin"/>
          <w:color w:val="111111"/>
          <w:sz w:val="28"/>
          <w:szCs w:val="28"/>
          <w:rtl w:val="true"/>
          <w:lang w:bidi="fa-IR"/>
        </w:rPr>
        <w:t xml:space="preserve">. </w:t>
      </w:r>
      <w:r>
        <w:rPr>
          <w:rStyle w:val="FootnoteAnchor"/>
          <w:rtl w:val="true"/>
        </w:rPr>
        <w:footnoteReference w:id="1866"/>
      </w:r>
      <w:r>
        <w:rPr>
          <w:rFonts w:ascii="Amiri" w:hAnsi="Amiri" w:eastAsia="Amiri" w:cs="Amiri"/>
          <w:color w:val="111111"/>
          <w:sz w:val="28"/>
          <w:sz w:val="28"/>
          <w:szCs w:val="28"/>
          <w:rtl w:val="true"/>
          <w:lang w:bidi="ar-SA"/>
        </w:rPr>
        <w:t>روايت تاريخى كه در آن، اين لفظ در زمان مورد بحث به‌كار رفته باشد، مشاهده نشد</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برقع را اين‌گونه 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 پرده‌اى است كه چهره را از نقطه مبدأ بينى مى‌پوشاند و از اطراف و روى پيشانى به سربند متصل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 از</w:t>
      </w:r>
      <w:bookmarkStart w:id="2134" w:name="pg1964_19970"/>
    </w:p>
    <w:p>
      <w:pPr>
        <w:pStyle w:val="BookText"/>
        <w:rPr/>
      </w:pPr>
      <w:bookmarkEnd w:id="2134"/>
      <w:r>
        <w:rPr>
          <w:rFonts w:ascii="IRNazanin" w:hAnsi="IRNazanin" w:eastAsia="IRNazanin"/>
          <w:color w:val="111111"/>
          <w:sz w:val="28"/>
          <w:sz w:val="28"/>
          <w:szCs w:val="28"/>
          <w:rtl w:val="true"/>
          <w:lang w:bidi="fa-IR"/>
        </w:rPr>
        <w:t>قطعه پارچه‌اى از جنسى مانند كتان درست شده و به شكل چهره انسان به عمل آمده و گاهى تا روى زانوها مى‌رسد</w:t>
      </w:r>
      <w:r>
        <w:rPr>
          <w:rFonts w:eastAsia="IRNazanin" w:cs="IRNazanin"/>
          <w:color w:val="111111"/>
          <w:sz w:val="28"/>
          <w:szCs w:val="28"/>
          <w:rtl w:val="true"/>
          <w:lang w:bidi="fa-IR"/>
        </w:rPr>
        <w:t xml:space="preserve">. </w:t>
      </w:r>
      <w:r>
        <w:rPr>
          <w:rStyle w:val="FootnoteAnchor"/>
          <w:rtl w:val="true"/>
        </w:rPr>
        <w:footnoteReference w:id="1867"/>
      </w:r>
      <w:r>
        <w:rPr>
          <w:rFonts w:ascii="IRNazanin" w:hAnsi="IRNazanin" w:eastAsia="IRNazanin"/>
          <w:color w:val="111111"/>
          <w:sz w:val="28"/>
          <w:sz w:val="28"/>
          <w:szCs w:val="28"/>
          <w:rtl w:val="true"/>
          <w:lang w:bidi="fa-IR"/>
        </w:rPr>
        <w:t>البته معلوم نيست كه از اين نوع در چه زمانى استفاده مى‌شده است</w:t>
      </w:r>
      <w:r>
        <w:rPr>
          <w:rFonts w:eastAsia="IRNazanin" w:cs="IRNazanin"/>
          <w:color w:val="111111"/>
          <w:sz w:val="28"/>
          <w:szCs w:val="28"/>
          <w:rtl w:val="true"/>
          <w:lang w:bidi="fa-IR"/>
        </w:rPr>
        <w:t>.</w:t>
      </w:r>
    </w:p>
    <w:p>
      <w:pPr>
        <w:pStyle w:val="Heading6"/>
        <w:numPr>
          <w:ilvl w:val="5"/>
          <w:numId w:val="1"/>
        </w:numPr>
        <w:rPr/>
      </w:pPr>
      <w:bookmarkStart w:id="2135" w:name="__RefHeading___Toc3586231_3650668749"/>
      <w:bookmarkStart w:id="2136" w:name="_Toc912"/>
      <w:bookmarkEnd w:id="2135"/>
      <w:r>
        <w:rPr>
          <w:rtl w:val="true"/>
        </w:rPr>
        <w:t xml:space="preserve">ششم </w:t>
      </w:r>
      <w:r>
        <w:rPr>
          <w:rtl w:val="true"/>
        </w:rPr>
        <w:t xml:space="preserve">- </w:t>
      </w:r>
      <w:r>
        <w:rPr>
          <w:rtl w:val="true"/>
        </w:rPr>
        <w:t>نِقاب</w:t>
      </w:r>
      <w:bookmarkEnd w:id="2136"/>
    </w:p>
    <w:p>
      <w:pPr>
        <w:pStyle w:val="BookText"/>
        <w:rPr/>
      </w:pPr>
      <w:r>
        <w:rPr>
          <w:rFonts w:ascii="IRNazanin" w:hAnsi="IRNazanin" w:eastAsia="IRNazanin"/>
          <w:color w:val="111111"/>
          <w:sz w:val="28"/>
          <w:sz w:val="28"/>
          <w:szCs w:val="28"/>
          <w:rtl w:val="true"/>
          <w:lang w:bidi="fa-IR"/>
        </w:rPr>
        <w:t>اين پوشش مانند بُرقع بود</w:t>
      </w:r>
      <w:r>
        <w:rPr>
          <w:rFonts w:eastAsia="IRNazanin" w:cs="IRNazanin"/>
          <w:color w:val="111111"/>
          <w:sz w:val="28"/>
          <w:szCs w:val="28"/>
          <w:rtl w:val="true"/>
          <w:lang w:bidi="fa-IR"/>
        </w:rPr>
        <w:t xml:space="preserve">. </w:t>
      </w:r>
      <w:r>
        <w:rPr>
          <w:rStyle w:val="FootnoteAnchor"/>
          <w:rtl w:val="true"/>
        </w:rPr>
        <w:footnoteReference w:id="1868"/>
      </w:r>
      <w:r>
        <w:rPr>
          <w:rFonts w:ascii="Amiri" w:hAnsi="Amiri" w:eastAsia="Amiri" w:cs="Amiri"/>
          <w:color w:val="111111"/>
          <w:sz w:val="28"/>
          <w:sz w:val="28"/>
          <w:szCs w:val="28"/>
          <w:rtl w:val="true"/>
          <w:lang w:bidi="ar-SA"/>
        </w:rPr>
        <w:t>در داستان قُطامه و ابن‌ملجم از آن ياد شده است</w:t>
      </w:r>
      <w:r>
        <w:rPr>
          <w:rFonts w:eastAsia="Amiri" w:cs="Amiri" w:ascii="Amiri" w:hAnsi="Amiri"/>
          <w:color w:val="111111"/>
          <w:sz w:val="28"/>
          <w:szCs w:val="28"/>
          <w:rtl w:val="true"/>
          <w:lang w:bidi="ar-SA"/>
        </w:rPr>
        <w:t xml:space="preserve">. </w:t>
      </w:r>
      <w:r>
        <w:rPr>
          <w:rStyle w:val="FootnoteAnchor"/>
          <w:rtl w:val="true"/>
        </w:rPr>
        <w:footnoteReference w:id="1869"/>
      </w:r>
    </w:p>
    <w:p>
      <w:pPr>
        <w:pStyle w:val="Heading6"/>
        <w:numPr>
          <w:ilvl w:val="5"/>
          <w:numId w:val="1"/>
        </w:numPr>
        <w:rPr/>
      </w:pPr>
      <w:bookmarkStart w:id="2137" w:name="__RefHeading___Toc3586233_3650668749"/>
      <w:bookmarkStart w:id="2138" w:name="_Toc913"/>
      <w:bookmarkEnd w:id="2137"/>
      <w:r>
        <w:rPr>
          <w:rtl w:val="true"/>
        </w:rPr>
        <w:t xml:space="preserve">هفتم </w:t>
      </w:r>
      <w:r>
        <w:rPr>
          <w:rtl w:val="true"/>
        </w:rPr>
        <w:t xml:space="preserve">- </w:t>
      </w:r>
      <w:r>
        <w:rPr>
          <w:rtl w:val="true"/>
        </w:rPr>
        <w:t>خِمار</w:t>
      </w:r>
      <w:bookmarkEnd w:id="2138"/>
    </w:p>
    <w:p>
      <w:pPr>
        <w:pStyle w:val="BookText"/>
        <w:rPr/>
      </w:pPr>
      <w:r>
        <w:rPr>
          <w:rFonts w:ascii="IRNazanin" w:hAnsi="IRNazanin" w:eastAsia="IRNazanin"/>
          <w:color w:val="111111"/>
          <w:sz w:val="28"/>
          <w:sz w:val="28"/>
          <w:szCs w:val="28"/>
          <w:rtl w:val="true"/>
          <w:lang w:bidi="fa-IR"/>
        </w:rPr>
        <w:t>از اين نوع پوشش سر كه مخصوص زنان بود در قرآن كريم ياد شده است</w:t>
      </w:r>
      <w:r>
        <w:rPr>
          <w:rFonts w:eastAsia="IRNazanin" w:cs="IRNazanin"/>
          <w:color w:val="111111"/>
          <w:sz w:val="28"/>
          <w:szCs w:val="28"/>
          <w:rtl w:val="true"/>
          <w:lang w:bidi="fa-IR"/>
        </w:rPr>
        <w:t xml:space="preserve">. </w:t>
      </w:r>
      <w:r>
        <w:rPr>
          <w:rStyle w:val="FootnoteAnchor"/>
          <w:rtl w:val="true"/>
        </w:rPr>
        <w:footnoteReference w:id="1870"/>
      </w:r>
      <w:r>
        <w:rPr>
          <w:rFonts w:ascii="IRNazanin" w:hAnsi="IRNazanin" w:eastAsia="IRNazanin"/>
          <w:color w:val="111111"/>
          <w:sz w:val="28"/>
          <w:sz w:val="28"/>
          <w:szCs w:val="28"/>
          <w:rtl w:val="true"/>
          <w:lang w:bidi="fa-IR"/>
        </w:rPr>
        <w:t>در تعريف آن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پوشش زنان بود كه قسمت جلو گردن، چانه و دهان را به هم مى‌پوشاند و روى فرق سر به هم متصل مى‌شد و گاهى دو انتهاى آن را پس از پوشاندن سر، روى سينه مى‌انداختند</w:t>
      </w:r>
      <w:r>
        <w:rPr>
          <w:rFonts w:eastAsia="IRNazanin" w:cs="IRNazanin"/>
          <w:color w:val="111111"/>
          <w:sz w:val="28"/>
          <w:szCs w:val="28"/>
          <w:rtl w:val="true"/>
          <w:lang w:bidi="fa-IR"/>
        </w:rPr>
        <w:t xml:space="preserve">. </w:t>
      </w:r>
      <w:r>
        <w:rPr>
          <w:rStyle w:val="FootnoteAnchor"/>
          <w:rtl w:val="true"/>
        </w:rPr>
        <w:footnoteReference w:id="1871"/>
      </w:r>
      <w:r>
        <w:rPr>
          <w:rFonts w:ascii="IRNazanin" w:hAnsi="IRNazanin" w:eastAsia="IRNazanin"/>
          <w:color w:val="111111"/>
          <w:sz w:val="28"/>
          <w:sz w:val="28"/>
          <w:szCs w:val="28"/>
          <w:rtl w:val="true"/>
          <w:lang w:bidi="fa-IR"/>
        </w:rPr>
        <w:t>در فارسى مى‌توان آن را به</w:t>
      </w:r>
    </w:p>
    <w:p>
      <w:pPr>
        <w:pStyle w:val="BookText"/>
        <w:rPr/>
      </w:pPr>
      <w:r>
        <w:rPr>
          <w:rFonts w:ascii="Amiri" w:hAnsi="Amiri" w:eastAsia="Amiri" w:cs="Amiri"/>
          <w:color w:val="111111"/>
          <w:sz w:val="28"/>
          <w:sz w:val="28"/>
          <w:szCs w:val="28"/>
          <w:rtl w:val="true"/>
          <w:lang w:bidi="ar-SA"/>
        </w:rPr>
        <w:t>روبند و روسرى ترجمه كرد</w:t>
      </w:r>
      <w:r>
        <w:rPr>
          <w:rFonts w:eastAsia="Amiri" w:cs="Amiri" w:ascii="Amiri" w:hAnsi="Amiri"/>
          <w:color w:val="111111"/>
          <w:sz w:val="28"/>
          <w:szCs w:val="28"/>
          <w:rtl w:val="true"/>
          <w:lang w:bidi="ar-SA"/>
        </w:rPr>
        <w:t xml:space="preserve">. </w:t>
      </w:r>
      <w:r>
        <w:rPr>
          <w:rStyle w:val="FootnoteAnchor"/>
          <w:rtl w:val="true"/>
        </w:rPr>
        <w:footnoteReference w:id="1872"/>
      </w:r>
      <w:r>
        <w:rPr>
          <w:rFonts w:ascii="IRNazanin" w:hAnsi="IRNazanin" w:eastAsia="IRNazanin"/>
          <w:color w:val="111111"/>
          <w:sz w:val="28"/>
          <w:sz w:val="28"/>
          <w:szCs w:val="28"/>
          <w:rtl w:val="true"/>
          <w:lang w:bidi="fa-IR"/>
        </w:rPr>
        <w:t xml:space="preserve">در ليست جهيزيه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خِمارى به قيمت چهار درهم ذكر شده است</w:t>
      </w:r>
      <w:r>
        <w:rPr>
          <w:rFonts w:eastAsia="IRNazanin" w:cs="IRNazanin"/>
          <w:color w:val="111111"/>
          <w:sz w:val="28"/>
          <w:szCs w:val="28"/>
          <w:rtl w:val="true"/>
          <w:lang w:bidi="fa-IR"/>
        </w:rPr>
        <w:t xml:space="preserve">. </w:t>
      </w:r>
      <w:r>
        <w:rPr>
          <w:rStyle w:val="FootnoteAnchor"/>
          <w:rtl w:val="true"/>
        </w:rPr>
        <w:footnoteReference w:id="1873"/>
      </w:r>
    </w:p>
    <w:p>
      <w:pPr>
        <w:pStyle w:val="Heading6"/>
        <w:numPr>
          <w:ilvl w:val="5"/>
          <w:numId w:val="1"/>
        </w:numPr>
        <w:rPr/>
      </w:pPr>
      <w:bookmarkStart w:id="2139" w:name="__RefHeading___Toc3586235_3650668749"/>
      <w:bookmarkStart w:id="2140" w:name="_Toc914"/>
      <w:bookmarkEnd w:id="2139"/>
      <w:r>
        <w:rPr>
          <w:rtl w:val="true"/>
        </w:rPr>
        <w:t xml:space="preserve">هشتم </w:t>
      </w:r>
      <w:r>
        <w:rPr>
          <w:rtl w:val="true"/>
        </w:rPr>
        <w:t xml:space="preserve">- </w:t>
      </w:r>
      <w:r>
        <w:rPr>
          <w:rtl w:val="true"/>
        </w:rPr>
        <w:t>مِعْجَر</w:t>
      </w:r>
      <w:bookmarkEnd w:id="2140"/>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نوعى پوشش سر و بزرگ‌تر از مِقْنَعَه بود كه زنان دور سر خود مى‌پيچيدند</w:t>
      </w:r>
      <w:r>
        <w:rPr>
          <w:rFonts w:eastAsia="IRNazanin" w:cs="IRNazanin"/>
          <w:color w:val="111111"/>
          <w:sz w:val="28"/>
          <w:szCs w:val="28"/>
          <w:rtl w:val="true"/>
          <w:lang w:bidi="fa-IR"/>
        </w:rPr>
        <w:t xml:space="preserve">. </w:t>
      </w:r>
      <w:r>
        <w:rPr>
          <w:rStyle w:val="FootnoteAnchor"/>
          <w:rtl w:val="true"/>
        </w:rPr>
        <w:footnoteReference w:id="1874"/>
      </w:r>
      <w:r>
        <w:rPr>
          <w:rFonts w:ascii="IRNazanin" w:hAnsi="IRNazanin" w:eastAsia="IRNazanin"/>
          <w:color w:val="111111"/>
          <w:sz w:val="28"/>
          <w:sz w:val="28"/>
          <w:szCs w:val="28"/>
          <w:rtl w:val="true"/>
          <w:lang w:bidi="fa-IR"/>
        </w:rPr>
        <w:t>در فارسى مى‌توان آن را به چارقد و روسرى ترجمه كرد</w:t>
      </w:r>
      <w:r>
        <w:rPr>
          <w:rFonts w:eastAsia="IRNazanin" w:cs="IRNazanin"/>
          <w:color w:val="111111"/>
          <w:sz w:val="28"/>
          <w:szCs w:val="28"/>
          <w:rtl w:val="true"/>
          <w:lang w:bidi="fa-IR"/>
        </w:rPr>
        <w:t xml:space="preserve">. </w:t>
      </w:r>
      <w:r>
        <w:rPr>
          <w:rStyle w:val="FootnoteAnchor"/>
          <w:rtl w:val="true"/>
        </w:rPr>
        <w:footnoteReference w:id="1875"/>
      </w:r>
      <w:r>
        <w:rPr>
          <w:rFonts w:ascii="IRNazanin" w:hAnsi="IRNazanin" w:eastAsia="IRNazanin"/>
          <w:color w:val="111111"/>
          <w:sz w:val="28"/>
          <w:sz w:val="28"/>
          <w:szCs w:val="28"/>
          <w:rtl w:val="true"/>
          <w:lang w:bidi="fa-IR"/>
        </w:rPr>
        <w:t xml:space="preserve">گفتنى است اين لغت در يكى از اشعار عايشه كه در مراسم عروسى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به عنوان</w:t>
      </w:r>
      <w:bookmarkStart w:id="2141" w:name="pg1964_19971"/>
    </w:p>
    <w:p>
      <w:pPr>
        <w:pStyle w:val="BookText"/>
        <w:rPr/>
      </w:pPr>
      <w:bookmarkEnd w:id="2141"/>
      <w:r>
        <w:rPr>
          <w:rFonts w:ascii="IRNazanin" w:hAnsi="IRNazanin" w:eastAsia="IRNazanin"/>
          <w:color w:val="111111"/>
          <w:sz w:val="28"/>
          <w:sz w:val="28"/>
          <w:szCs w:val="28"/>
          <w:rtl w:val="true"/>
          <w:lang w:bidi="fa-IR"/>
        </w:rPr>
        <w:t>پوشش زن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 شعر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نِسْوَة اُسْتُرْنَ بِالْمَعاجِر</w:t>
      </w:r>
      <w:r>
        <w:rPr>
          <w:rFonts w:eastAsia="IRNazanin" w:cs="IRNazanin"/>
          <w:color w:val="111111"/>
          <w:sz w:val="28"/>
          <w:szCs w:val="28"/>
          <w:rtl w:val="true"/>
          <w:lang w:bidi="fa-IR"/>
        </w:rPr>
        <w:t xml:space="preserve">» </w:t>
      </w:r>
      <w:r>
        <w:rPr>
          <w:rStyle w:val="FootnoteAnchor"/>
          <w:rtl w:val="true"/>
        </w:rPr>
        <w:footnoteReference w:id="18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زنان با معجرها خود را بپوشانيد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اين لغت به معناى نوعى لباس نيز آمده است</w:t>
      </w:r>
      <w:r>
        <w:rPr>
          <w:rFonts w:eastAsia="IRNazanin" w:cs="IRNazanin"/>
          <w:color w:val="111111"/>
          <w:sz w:val="28"/>
          <w:szCs w:val="28"/>
          <w:rtl w:val="true"/>
          <w:lang w:bidi="fa-IR"/>
        </w:rPr>
        <w:t xml:space="preserve">. </w:t>
      </w:r>
      <w:r>
        <w:rPr>
          <w:rStyle w:val="FootnoteAnchor"/>
          <w:rtl w:val="true"/>
        </w:rPr>
        <w:footnoteReference w:id="1877"/>
      </w:r>
    </w:p>
    <w:p>
      <w:pPr>
        <w:pStyle w:val="Heading6"/>
        <w:numPr>
          <w:ilvl w:val="5"/>
          <w:numId w:val="1"/>
        </w:numPr>
        <w:rPr/>
      </w:pPr>
      <w:bookmarkStart w:id="2142" w:name="__RefHeading___Toc3586237_3650668749"/>
      <w:bookmarkStart w:id="2143" w:name="_Toc915"/>
      <w:bookmarkEnd w:id="2142"/>
      <w:r>
        <w:rPr>
          <w:rtl w:val="true"/>
        </w:rPr>
        <w:t xml:space="preserve">نُهم </w:t>
      </w:r>
      <w:r>
        <w:rPr>
          <w:rtl w:val="true"/>
        </w:rPr>
        <w:t xml:space="preserve">- </w:t>
      </w:r>
      <w:r>
        <w:rPr>
          <w:rtl w:val="true"/>
        </w:rPr>
        <w:t>قِناع و مِقْنَعَه</w:t>
      </w:r>
      <w:bookmarkEnd w:id="2143"/>
    </w:p>
    <w:p>
      <w:pPr>
        <w:pStyle w:val="BookText"/>
        <w:rPr/>
      </w:pPr>
      <w:r>
        <w:rPr>
          <w:rFonts w:ascii="IRNazanin" w:hAnsi="IRNazanin" w:eastAsia="IRNazanin"/>
          <w:color w:val="111111"/>
          <w:sz w:val="28"/>
          <w:sz w:val="28"/>
          <w:szCs w:val="28"/>
          <w:rtl w:val="true"/>
          <w:lang w:bidi="fa-IR"/>
        </w:rPr>
        <w:t>مقنعه نوعى پوشش سر و مخصوص زنان بود كه با آن سر و محاسن خود را مى‌پوشاندند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چنين آمده است كه قِناع از مقنعه بزرگ‌تر بوده است</w:t>
      </w:r>
      <w:r>
        <w:rPr>
          <w:rFonts w:eastAsia="IRNazanin" w:cs="IRNazanin"/>
          <w:color w:val="111111"/>
          <w:sz w:val="28"/>
          <w:szCs w:val="28"/>
          <w:rtl w:val="true"/>
          <w:lang w:bidi="fa-IR"/>
        </w:rPr>
        <w:t xml:space="preserve">. </w:t>
      </w:r>
      <w:r>
        <w:rPr>
          <w:rStyle w:val="FootnoteAnchor"/>
          <w:rtl w:val="true"/>
        </w:rPr>
        <w:footnoteReference w:id="1878"/>
      </w:r>
      <w:r>
        <w:rPr>
          <w:rFonts w:ascii="IRNazanin" w:hAnsi="IRNazanin" w:eastAsia="IRNazanin"/>
          <w:color w:val="111111"/>
          <w:sz w:val="28"/>
          <w:sz w:val="28"/>
          <w:szCs w:val="28"/>
          <w:rtl w:val="true"/>
          <w:lang w:bidi="fa-IR"/>
        </w:rPr>
        <w:t xml:space="preserve">بعضى از مشتقات قِناع مانند منقنّع در باره مردان نيز به‌كار رفته است، چنان‌كه استفاده از آن به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نسبت داده شده است</w:t>
      </w:r>
      <w:r>
        <w:rPr>
          <w:rFonts w:eastAsia="IRNazanin" w:cs="IRNazanin"/>
          <w:color w:val="111111"/>
          <w:sz w:val="28"/>
          <w:szCs w:val="28"/>
          <w:rtl w:val="true"/>
          <w:lang w:bidi="fa-IR"/>
        </w:rPr>
        <w:t xml:space="preserve">. </w:t>
      </w:r>
      <w:r>
        <w:rPr>
          <w:rStyle w:val="FootnoteAnchor"/>
          <w:rtl w:val="true"/>
        </w:rPr>
        <w:footnoteReference w:id="1879"/>
      </w:r>
    </w:p>
    <w:p>
      <w:pPr>
        <w:pStyle w:val="BookText"/>
        <w:rPr/>
      </w:pPr>
      <w:r>
        <w:rPr>
          <w:rFonts w:ascii="IRNazanin" w:hAnsi="IRNazanin" w:eastAsia="IRNazanin"/>
          <w:color w:val="111111"/>
          <w:sz w:val="28"/>
          <w:sz w:val="28"/>
          <w:szCs w:val="28"/>
          <w:rtl w:val="true"/>
          <w:lang w:bidi="fa-IR"/>
        </w:rPr>
        <w:t xml:space="preserve">در باره پوشش زنان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دستور حجاب، چنين آمده است كه زنان مقنعه‌هاى خود را پشت گوش خود مى‌انداختند</w:t>
      </w:r>
      <w:r>
        <w:rPr>
          <w:rFonts w:eastAsia="IRNazanin" w:cs="IRNazanin"/>
          <w:color w:val="111111"/>
          <w:sz w:val="28"/>
          <w:szCs w:val="28"/>
          <w:rtl w:val="true"/>
          <w:lang w:bidi="fa-IR"/>
        </w:rPr>
        <w:t xml:space="preserve">. </w:t>
      </w:r>
      <w:r>
        <w:rPr>
          <w:rStyle w:val="FootnoteAnchor"/>
          <w:rtl w:val="true"/>
        </w:rPr>
        <w:footnoteReference w:id="1880"/>
      </w:r>
      <w:r>
        <w:rPr>
          <w:rFonts w:ascii="Amiri" w:hAnsi="Amiri" w:eastAsia="Amiri" w:cs="Amiri"/>
          <w:color w:val="111111"/>
          <w:sz w:val="28"/>
          <w:sz w:val="28"/>
          <w:szCs w:val="28"/>
          <w:rtl w:val="true"/>
          <w:lang w:bidi="ar-SA"/>
        </w:rPr>
        <w:t>در روايتى نيز از</w:t>
      </w:r>
    </w:p>
    <w:p>
      <w:pPr>
        <w:pStyle w:val="BookText"/>
        <w:rPr/>
      </w:pPr>
      <w:r>
        <w:rPr>
          <w:rFonts w:ascii="Amiri" w:hAnsi="Amiri" w:eastAsia="Amiri" w:cs="Amiri"/>
          <w:color w:val="111111"/>
          <w:sz w:val="28"/>
          <w:sz w:val="28"/>
          <w:szCs w:val="28"/>
          <w:rtl w:val="true"/>
          <w:lang w:bidi="ar-SA"/>
        </w:rPr>
        <w:t xml:space="preserve">قِناع حضرت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به ميان آمده است</w:t>
      </w:r>
      <w:r>
        <w:rPr>
          <w:rFonts w:eastAsia="Amiri" w:cs="Amiri" w:ascii="Amiri" w:hAnsi="Amiri"/>
          <w:color w:val="111111"/>
          <w:sz w:val="28"/>
          <w:szCs w:val="28"/>
          <w:rtl w:val="true"/>
          <w:lang w:bidi="ar-SA"/>
        </w:rPr>
        <w:t xml:space="preserve">. </w:t>
      </w:r>
      <w:r>
        <w:rPr>
          <w:rStyle w:val="FootnoteAnchor"/>
          <w:rtl w:val="true"/>
        </w:rPr>
        <w:footnoteReference w:id="1881"/>
      </w:r>
    </w:p>
    <w:p>
      <w:pPr>
        <w:pStyle w:val="Heading6"/>
        <w:numPr>
          <w:ilvl w:val="5"/>
          <w:numId w:val="1"/>
        </w:numPr>
        <w:rPr/>
      </w:pPr>
      <w:bookmarkStart w:id="2144" w:name="__RefHeading___Toc3586239_3650668749"/>
      <w:bookmarkStart w:id="2145" w:name="_Toc916"/>
      <w:bookmarkEnd w:id="2144"/>
      <w:r>
        <w:rPr>
          <w:rtl w:val="true"/>
        </w:rPr>
        <w:t xml:space="preserve">دهم </w:t>
      </w:r>
      <w:r>
        <w:rPr>
          <w:rtl w:val="true"/>
        </w:rPr>
        <w:t xml:space="preserve">- </w:t>
      </w:r>
      <w:r>
        <w:rPr>
          <w:rtl w:val="true"/>
        </w:rPr>
        <w:t>لِثام</w:t>
      </w:r>
      <w:bookmarkEnd w:id="2145"/>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لثام را قطعه پارچه‌اى معرفى كرده‌اند كه مرد عرب براى پوشاندن قسمت زيرين چهره خود از آن استفاده مى‌كرد تا شناخته نشود</w:t>
      </w:r>
      <w:r>
        <w:rPr>
          <w:rFonts w:eastAsia="IRNazanin" w:cs="IRNazanin"/>
          <w:color w:val="111111"/>
          <w:sz w:val="28"/>
          <w:szCs w:val="28"/>
          <w:rtl w:val="true"/>
          <w:lang w:bidi="fa-IR"/>
        </w:rPr>
        <w:t xml:space="preserve">. </w:t>
      </w:r>
      <w:r>
        <w:rPr>
          <w:rStyle w:val="FootnoteAnchor"/>
          <w:rtl w:val="true"/>
        </w:rPr>
        <w:footnoteReference w:id="1882"/>
      </w:r>
      <w:r>
        <w:rPr>
          <w:rFonts w:ascii="IRNazanin" w:hAnsi="IRNazanin" w:eastAsia="IRNazanin"/>
          <w:color w:val="111111"/>
          <w:sz w:val="28"/>
          <w:sz w:val="28"/>
          <w:szCs w:val="28"/>
          <w:rtl w:val="true"/>
          <w:lang w:bidi="fa-IR"/>
        </w:rPr>
        <w:t>با استفاده از كتاب‌هاى لغت مى‌توان دريافت كه اين نوع پوشش، پوشش مستقلى نبوده است، بلكه مردان با عمامه و زنان با مقنعه خود، قسمت زيرين چهره خود تا بينى را مى‌پوشاندند و به اين عمل، لثام مى‌گفتند</w:t>
      </w:r>
      <w:r>
        <w:rPr>
          <w:rFonts w:eastAsia="IRNazanin" w:cs="IRNazanin"/>
          <w:color w:val="111111"/>
          <w:sz w:val="28"/>
          <w:szCs w:val="28"/>
          <w:rtl w:val="true"/>
          <w:lang w:bidi="fa-IR"/>
        </w:rPr>
        <w:t xml:space="preserve">. </w:t>
      </w:r>
      <w:r>
        <w:rPr>
          <w:rStyle w:val="FootnoteAnchor"/>
          <w:rtl w:val="true"/>
        </w:rPr>
        <w:footnoteReference w:id="1883"/>
      </w:r>
      <w:bookmarkStart w:id="2146" w:name="pg1964_19972"/>
    </w:p>
    <w:p>
      <w:pPr>
        <w:pStyle w:val="Heading5"/>
        <w:numPr>
          <w:ilvl w:val="4"/>
          <w:numId w:val="1"/>
        </w:numPr>
        <w:rPr/>
      </w:pPr>
      <w:bookmarkStart w:id="2147" w:name="__RefHeading___Toc3586241_3650668749"/>
      <w:bookmarkStart w:id="2148" w:name="_Toc917"/>
      <w:bookmarkEnd w:id="2146"/>
      <w:bookmarkEnd w:id="2147"/>
      <w:r>
        <w:rPr>
          <w:rtl w:val="true"/>
        </w:rPr>
        <w:t xml:space="preserve">دو </w:t>
      </w:r>
      <w:r>
        <w:rPr>
          <w:rtl w:val="true"/>
        </w:rPr>
        <w:t xml:space="preserve">- </w:t>
      </w:r>
      <w:r>
        <w:rPr>
          <w:rtl w:val="true"/>
        </w:rPr>
        <w:t>پوشش بدن</w:t>
      </w:r>
      <w:bookmarkEnd w:id="2148"/>
    </w:p>
    <w:p>
      <w:pPr>
        <w:pStyle w:val="Heading6"/>
        <w:numPr>
          <w:ilvl w:val="5"/>
          <w:numId w:val="1"/>
        </w:numPr>
        <w:rPr/>
      </w:pPr>
      <w:bookmarkStart w:id="2149" w:name="__RefHeading___Toc3586243_3650668749"/>
      <w:bookmarkStart w:id="2150" w:name="_Toc918"/>
      <w:bookmarkEnd w:id="2149"/>
      <w:r>
        <w:rPr>
          <w:rtl w:val="true"/>
        </w:rPr>
        <w:t>اشاره</w:t>
      </w:r>
      <w:bookmarkEnd w:id="2150"/>
    </w:p>
    <w:p>
      <w:pPr>
        <w:pStyle w:val="BookText"/>
        <w:rPr/>
      </w:pPr>
      <w:r>
        <w:rPr>
          <w:rFonts w:ascii="IRNazanin" w:hAnsi="IRNazanin" w:eastAsia="IRNazanin"/>
          <w:color w:val="111111"/>
          <w:sz w:val="28"/>
          <w:sz w:val="28"/>
          <w:szCs w:val="28"/>
          <w:rtl w:val="true"/>
          <w:lang w:bidi="fa-IR"/>
        </w:rPr>
        <w:t>عرب‌ها براى پوشش بدن از لباس‌هاى مختلفى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براى پوشش قسمت پايين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كمر به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پارچه‌هاى دوخته نشده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لباس‌هايى كه براى پوشش بدن از آنها استفاده مى‌شد، به ترتيب حروف الفبا عبارت بود از</w:t>
      </w:r>
      <w:r>
        <w:rPr>
          <w:rFonts w:eastAsia="IRNazanin" w:cs="IRNazanin"/>
          <w:color w:val="111111"/>
          <w:sz w:val="28"/>
          <w:szCs w:val="28"/>
          <w:rtl w:val="true"/>
          <w:lang w:bidi="fa-IR"/>
        </w:rPr>
        <w:t>:</w:t>
      </w:r>
    </w:p>
    <w:p>
      <w:pPr>
        <w:pStyle w:val="Heading6"/>
        <w:numPr>
          <w:ilvl w:val="5"/>
          <w:numId w:val="1"/>
        </w:numPr>
        <w:rPr/>
      </w:pPr>
      <w:bookmarkStart w:id="2151" w:name="__RefHeading___Toc3586245_3650668749"/>
      <w:bookmarkStart w:id="2152" w:name="_Toc919"/>
      <w:bookmarkEnd w:id="2151"/>
      <w:r>
        <w:rPr>
          <w:rtl w:val="true"/>
        </w:rPr>
        <w:t xml:space="preserve">يكم </w:t>
      </w:r>
      <w:r>
        <w:rPr>
          <w:rtl w:val="true"/>
        </w:rPr>
        <w:t xml:space="preserve">- </w:t>
      </w:r>
      <w:r>
        <w:rPr>
          <w:rtl w:val="true"/>
        </w:rPr>
        <w:t>بَتّ</w:t>
      </w:r>
      <w:bookmarkEnd w:id="2152"/>
    </w:p>
    <w:p>
      <w:pPr>
        <w:pStyle w:val="BookText"/>
        <w:rPr/>
      </w:pPr>
      <w:r>
        <w:rPr>
          <w:rFonts w:ascii="IRNazanin" w:hAnsi="IRNazanin" w:eastAsia="IRNazanin"/>
          <w:color w:val="111111"/>
          <w:sz w:val="28"/>
          <w:sz w:val="28"/>
          <w:szCs w:val="28"/>
          <w:rtl w:val="true"/>
          <w:lang w:bidi="fa-IR"/>
        </w:rPr>
        <w:t>نوعى لباس ضخيم و تنگ بود كه از كرك و پشم يا خزّ تهيه مى‌شد</w:t>
      </w:r>
      <w:r>
        <w:rPr>
          <w:rFonts w:eastAsia="IRNazanin" w:cs="IRNazanin"/>
          <w:color w:val="111111"/>
          <w:sz w:val="28"/>
          <w:szCs w:val="28"/>
          <w:rtl w:val="true"/>
          <w:lang w:bidi="fa-IR"/>
        </w:rPr>
        <w:t xml:space="preserve">. </w:t>
      </w:r>
      <w:r>
        <w:rPr>
          <w:rStyle w:val="FootnoteAnchor"/>
          <w:rtl w:val="true"/>
        </w:rPr>
        <w:footnoteReference w:id="1884"/>
      </w:r>
      <w:r>
        <w:rPr>
          <w:rFonts w:ascii="IRNazanin" w:hAnsi="IRNazanin" w:eastAsia="IRNazanin"/>
          <w:color w:val="111111"/>
          <w:sz w:val="28"/>
          <w:sz w:val="28"/>
          <w:szCs w:val="28"/>
          <w:rtl w:val="true"/>
          <w:lang w:bidi="fa-IR"/>
        </w:rPr>
        <w:t>شكل آن مربّع و معمولاً رنگ آن سبز بود</w:t>
      </w:r>
      <w:r>
        <w:rPr>
          <w:rFonts w:eastAsia="IRNazanin" w:cs="IRNazanin"/>
          <w:color w:val="111111"/>
          <w:sz w:val="28"/>
          <w:szCs w:val="28"/>
          <w:rtl w:val="true"/>
          <w:lang w:bidi="fa-IR"/>
        </w:rPr>
        <w:t xml:space="preserve">. </w:t>
      </w:r>
      <w:r>
        <w:rPr>
          <w:rStyle w:val="FootnoteAnchor"/>
          <w:rtl w:val="true"/>
        </w:rPr>
        <w:footnoteReference w:id="1885"/>
      </w:r>
      <w:r>
        <w:rPr>
          <w:rFonts w:ascii="IRNazanin" w:hAnsi="IRNazanin" w:eastAsia="IRNazanin"/>
          <w:color w:val="111111"/>
          <w:sz w:val="28"/>
          <w:sz w:val="28"/>
          <w:szCs w:val="28"/>
          <w:rtl w:val="true"/>
          <w:lang w:bidi="fa-IR"/>
        </w:rPr>
        <w:t>غالباً اعراب صحرانشين از اين نوع پوشش كه به صورت يك‌پارچه و ندوخته بود استفاده مى‌كردند و آن را به بدن خود مى‌پيچيدند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شعرهاى قديم آنها از اين‌گونه پوشش ياد شده است</w:t>
      </w:r>
      <w:r>
        <w:rPr>
          <w:rFonts w:eastAsia="IRNazanin" w:cs="IRNazanin"/>
          <w:color w:val="111111"/>
          <w:sz w:val="28"/>
          <w:szCs w:val="28"/>
          <w:rtl w:val="true"/>
          <w:lang w:bidi="fa-IR"/>
        </w:rPr>
        <w:t xml:space="preserve">. </w:t>
      </w:r>
      <w:r>
        <w:rPr>
          <w:rStyle w:val="FootnoteAnchor"/>
          <w:rtl w:val="true"/>
        </w:rPr>
        <w:footnoteReference w:id="1886"/>
      </w:r>
    </w:p>
    <w:p>
      <w:pPr>
        <w:pStyle w:val="Heading6"/>
        <w:numPr>
          <w:ilvl w:val="5"/>
          <w:numId w:val="1"/>
        </w:numPr>
        <w:rPr/>
      </w:pPr>
      <w:bookmarkStart w:id="2153" w:name="__RefHeading___Toc3586247_3650668749"/>
      <w:bookmarkStart w:id="2154" w:name="_Toc920"/>
      <w:bookmarkEnd w:id="2153"/>
      <w:r>
        <w:rPr>
          <w:rtl w:val="true"/>
        </w:rPr>
        <w:t xml:space="preserve">دوم </w:t>
      </w:r>
      <w:r>
        <w:rPr>
          <w:rtl w:val="true"/>
        </w:rPr>
        <w:t xml:space="preserve">- </w:t>
      </w:r>
      <w:r>
        <w:rPr>
          <w:rtl w:val="true"/>
        </w:rPr>
        <w:t>بِجاد</w:t>
      </w:r>
      <w:bookmarkEnd w:id="2154"/>
    </w:p>
    <w:p>
      <w:pPr>
        <w:pStyle w:val="BookText"/>
        <w:rPr/>
      </w:pPr>
      <w:r>
        <w:rPr>
          <w:rFonts w:ascii="IRNazanin" w:hAnsi="IRNazanin" w:eastAsia="IRNazanin"/>
          <w:color w:val="111111"/>
          <w:sz w:val="28"/>
          <w:sz w:val="28"/>
          <w:szCs w:val="28"/>
          <w:rtl w:val="true"/>
          <w:lang w:bidi="fa-IR"/>
        </w:rPr>
        <w:t xml:space="preserve">بِجاد نيز نوعى پوشش يك‌پارچه و ندوخته به صورت خط خط بود كه عرب‌ها، به خصوص در جاهليت و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مى‌كردند</w:t>
      </w:r>
      <w:r>
        <w:rPr>
          <w:rFonts w:eastAsia="IRNazanin" w:cs="IRNazanin"/>
          <w:color w:val="111111"/>
          <w:sz w:val="28"/>
          <w:szCs w:val="28"/>
          <w:rtl w:val="true"/>
          <w:lang w:bidi="fa-IR"/>
        </w:rPr>
        <w:t xml:space="preserve">. </w:t>
      </w:r>
      <w:r>
        <w:rPr>
          <w:rStyle w:val="FootnoteAnchor"/>
          <w:rtl w:val="true"/>
        </w:rPr>
        <w:footnoteReference w:id="1887"/>
      </w:r>
    </w:p>
    <w:p>
      <w:pPr>
        <w:pStyle w:val="Heading6"/>
        <w:numPr>
          <w:ilvl w:val="5"/>
          <w:numId w:val="1"/>
        </w:numPr>
        <w:rPr/>
      </w:pPr>
      <w:bookmarkStart w:id="2155" w:name="__RefHeading___Toc3586249_3650668749"/>
      <w:bookmarkStart w:id="2156" w:name="_Toc921"/>
      <w:bookmarkEnd w:id="2155"/>
      <w:r>
        <w:rPr>
          <w:rtl w:val="true"/>
        </w:rPr>
        <w:t xml:space="preserve">سوم </w:t>
      </w:r>
      <w:r>
        <w:rPr>
          <w:rtl w:val="true"/>
        </w:rPr>
        <w:t xml:space="preserve">- </w:t>
      </w:r>
      <w:r>
        <w:rPr>
          <w:rtl w:val="true"/>
        </w:rPr>
        <w:t>بُرْجُد</w:t>
      </w:r>
      <w:bookmarkEnd w:id="2156"/>
    </w:p>
    <w:p>
      <w:pPr>
        <w:pStyle w:val="BookText"/>
        <w:rPr/>
      </w:pPr>
      <w:r>
        <w:rPr>
          <w:rFonts w:ascii="IRNazanin" w:hAnsi="IRNazanin" w:eastAsia="IRNazanin"/>
          <w:color w:val="111111"/>
          <w:sz w:val="28"/>
          <w:sz w:val="28"/>
          <w:szCs w:val="28"/>
          <w:rtl w:val="true"/>
          <w:lang w:bidi="fa-IR"/>
        </w:rPr>
        <w:t>نوعى پوشش يك‌دست و ندوخته و ضخيم و درشت و راه راه بود كه معمولاً از پشم قرمز رنگ تهيه مى‌شد</w:t>
      </w:r>
      <w:r>
        <w:rPr>
          <w:rFonts w:eastAsia="IRNazanin" w:cs="IRNazanin"/>
          <w:color w:val="111111"/>
          <w:sz w:val="28"/>
          <w:szCs w:val="28"/>
          <w:rtl w:val="true"/>
          <w:lang w:bidi="fa-IR"/>
        </w:rPr>
        <w:t xml:space="preserve">. </w:t>
      </w:r>
      <w:r>
        <w:rPr>
          <w:rStyle w:val="FootnoteAnchor"/>
          <w:rtl w:val="true"/>
        </w:rPr>
        <w:footnoteReference w:id="1888"/>
      </w:r>
    </w:p>
    <w:p>
      <w:pPr>
        <w:pStyle w:val="Heading6"/>
        <w:numPr>
          <w:ilvl w:val="5"/>
          <w:numId w:val="1"/>
        </w:numPr>
        <w:rPr/>
      </w:pPr>
      <w:bookmarkStart w:id="2157" w:name="__RefHeading___Toc3586251_3650668749"/>
      <w:bookmarkStart w:id="2158" w:name="_Toc922"/>
      <w:bookmarkEnd w:id="2157"/>
      <w:r>
        <w:rPr>
          <w:rtl w:val="true"/>
        </w:rPr>
        <w:t xml:space="preserve">چهارم </w:t>
      </w:r>
      <w:r>
        <w:rPr>
          <w:rtl w:val="true"/>
        </w:rPr>
        <w:t xml:space="preserve">- </w:t>
      </w:r>
      <w:r>
        <w:rPr>
          <w:rtl w:val="true"/>
        </w:rPr>
        <w:t>بُرْد</w:t>
      </w:r>
      <w:bookmarkEnd w:id="2158"/>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نوشته‌ها اين چنين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پارچه پشمى دراز و ضخيمى بود كه روزها براى پوشاندن بدن و شب‌ها به جاى جامه خواب مورد</w:t>
      </w:r>
      <w:bookmarkStart w:id="2159" w:name="pg1964_19973"/>
    </w:p>
    <w:p>
      <w:pPr>
        <w:pStyle w:val="BookText"/>
        <w:rPr/>
      </w:pPr>
      <w:bookmarkEnd w:id="2159"/>
      <w:r>
        <w:rPr>
          <w:rFonts w:ascii="IRNazanin" w:hAnsi="IRNazanin" w:eastAsia="IRNazanin"/>
          <w:color w:val="111111"/>
          <w:sz w:val="28"/>
          <w:sz w:val="28"/>
          <w:szCs w:val="28"/>
          <w:rtl w:val="true"/>
          <w:lang w:bidi="fa-IR"/>
        </w:rPr>
        <w:t>استفاده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رنگ آن قهوه‌اى يا خاكسترى بود و ظاهراً در قديم هميشه راه راه بود</w:t>
      </w:r>
      <w:r>
        <w:rPr>
          <w:rFonts w:eastAsia="IRNazanin" w:cs="IRNazanin"/>
          <w:color w:val="111111"/>
          <w:sz w:val="28"/>
          <w:szCs w:val="28"/>
          <w:rtl w:val="true"/>
          <w:lang w:bidi="fa-IR"/>
        </w:rPr>
        <w:t xml:space="preserve">. </w:t>
      </w:r>
      <w:r>
        <w:rPr>
          <w:rStyle w:val="FootnoteAnchor"/>
          <w:rtl w:val="true"/>
        </w:rPr>
        <w:footnoteReference w:id="1889"/>
      </w:r>
      <w:r>
        <w:rPr>
          <w:rFonts w:ascii="IRNazanin" w:hAnsi="IRNazanin" w:eastAsia="IRNazanin"/>
          <w:color w:val="111111"/>
          <w:sz w:val="28"/>
          <w:sz w:val="28"/>
          <w:szCs w:val="28"/>
          <w:rtl w:val="true"/>
          <w:lang w:bidi="fa-IR"/>
        </w:rPr>
        <w:t>گفتنى است از اين نوع پوشش نيز به صورت يك‌دست و ندوخته استفاده مى‌شد</w:t>
      </w:r>
      <w:r>
        <w:rPr>
          <w:rFonts w:eastAsia="IRNazanin" w:cs="IRNazanin"/>
          <w:color w:val="111111"/>
          <w:sz w:val="28"/>
          <w:szCs w:val="28"/>
          <w:rtl w:val="true"/>
          <w:lang w:bidi="fa-IR"/>
        </w:rPr>
        <w:t xml:space="preserve">. </w:t>
      </w:r>
      <w:r>
        <w:rPr>
          <w:rStyle w:val="FootnoteAnchor"/>
          <w:rtl w:val="true"/>
        </w:rPr>
        <w:footnoteReference w:id="1890"/>
      </w:r>
      <w:r>
        <w:rPr>
          <w:rFonts w:ascii="IRNazanin" w:hAnsi="IRNazanin" w:eastAsia="IRNazanin"/>
          <w:color w:val="111111"/>
          <w:sz w:val="28"/>
          <w:sz w:val="28"/>
          <w:szCs w:val="28"/>
          <w:rtl w:val="true"/>
          <w:lang w:bidi="fa-IR"/>
        </w:rPr>
        <w:t>و هم براى پوشش قسمت بالاى بدن و هم پوشش قسمت پايين به‌كار مى‌رفت، چنان‌كه در باره عُمر چنين نقل شده است كه دو بُرْد داشت كه يكى را روى سر مى‌پيچيد و ديگرى را روى بدن مى‌انداخت</w:t>
      </w:r>
      <w:r>
        <w:rPr>
          <w:rFonts w:eastAsia="IRNazanin" w:cs="IRNazanin"/>
          <w:color w:val="111111"/>
          <w:sz w:val="28"/>
          <w:szCs w:val="28"/>
          <w:rtl w:val="true"/>
          <w:lang w:bidi="fa-IR"/>
        </w:rPr>
        <w:t xml:space="preserve">. </w:t>
      </w:r>
      <w:r>
        <w:rPr>
          <w:rStyle w:val="FootnoteAnchor"/>
          <w:rtl w:val="true"/>
        </w:rPr>
        <w:footnoteReference w:id="1891"/>
      </w:r>
      <w:r>
        <w:rPr>
          <w:rFonts w:ascii="IRNazanin" w:hAnsi="IRNazanin" w:eastAsia="IRNazanin"/>
          <w:color w:val="111111"/>
          <w:sz w:val="28"/>
          <w:sz w:val="28"/>
          <w:szCs w:val="28"/>
          <w:rtl w:val="true"/>
          <w:lang w:bidi="fa-IR"/>
        </w:rPr>
        <w:t xml:space="preserve">و نيز در باره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از دو بُرْد خود به عنوان لنگ و 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بالاى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مى‌كرد</w:t>
      </w:r>
      <w:r>
        <w:rPr>
          <w:rFonts w:eastAsia="IRNazanin" w:cs="IRNazanin"/>
          <w:color w:val="111111"/>
          <w:sz w:val="28"/>
          <w:szCs w:val="28"/>
          <w:rtl w:val="true"/>
          <w:lang w:bidi="fa-IR"/>
        </w:rPr>
        <w:t xml:space="preserve">. </w:t>
      </w:r>
      <w:r>
        <w:rPr>
          <w:rStyle w:val="FootnoteAnchor"/>
          <w:rtl w:val="true"/>
        </w:rPr>
        <w:footnoteReference w:id="1892"/>
      </w:r>
      <w:r>
        <w:rPr>
          <w:rFonts w:ascii="Amiri" w:hAnsi="Amiri" w:eastAsia="Amiri" w:cs="Amiri"/>
          <w:color w:val="111111"/>
          <w:sz w:val="28"/>
          <w:sz w:val="28"/>
          <w:szCs w:val="28"/>
          <w:rtl w:val="true"/>
          <w:lang w:bidi="ar-SA"/>
        </w:rPr>
        <w:t xml:space="preserve">در ليست مهريه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نيز قرار داشت</w:t>
      </w:r>
      <w:r>
        <w:rPr>
          <w:rFonts w:eastAsia="Amiri" w:cs="Amiri" w:ascii="Amiri" w:hAnsi="Amiri"/>
          <w:color w:val="111111"/>
          <w:sz w:val="28"/>
          <w:szCs w:val="28"/>
          <w:rtl w:val="true"/>
          <w:lang w:bidi="ar-SA"/>
        </w:rPr>
        <w:t xml:space="preserve">. </w:t>
      </w:r>
      <w:r>
        <w:rPr>
          <w:rStyle w:val="FootnoteAnchor"/>
          <w:rtl w:val="true"/>
        </w:rPr>
        <w:footnoteReference w:id="1893"/>
      </w:r>
    </w:p>
    <w:p>
      <w:pPr>
        <w:pStyle w:val="BookText"/>
        <w:rPr/>
      </w:pPr>
      <w:r>
        <w:rPr>
          <w:rFonts w:ascii="IRNazanin" w:hAnsi="IRNazanin" w:eastAsia="IRNazanin"/>
          <w:color w:val="111111"/>
          <w:sz w:val="28"/>
          <w:sz w:val="28"/>
          <w:szCs w:val="28"/>
          <w:rtl w:val="true"/>
          <w:lang w:bidi="fa-IR"/>
        </w:rPr>
        <w:t>بُرْد در نقاط مختلفى از شبه جزيره عربستان توليد مى‌شد و بُردهاى يمانى، قطرى و حضرمى مشهور بود و از همه مشهورتر، بُرد يمانى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در رنگ‌هاى مختلفى توليد مى‌شد، چنان‌كه گفته‌اند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بردهايى به رنگ‌هاى سبز،</w:t>
      </w:r>
    </w:p>
    <w:p>
      <w:pPr>
        <w:pStyle w:val="BookText"/>
        <w:rPr/>
      </w:pPr>
      <w:r>
        <w:rPr>
          <w:rFonts w:ascii="Amiri" w:hAnsi="Amiri" w:eastAsia="Amiri" w:cs="Amiri"/>
          <w:color w:val="111111"/>
          <w:sz w:val="28"/>
          <w:sz w:val="28"/>
          <w:szCs w:val="28"/>
          <w:rtl w:val="true"/>
          <w:lang w:bidi="ar-SA"/>
        </w:rPr>
        <w:t>قرمز و مشكى داشت</w:t>
      </w:r>
      <w:r>
        <w:rPr>
          <w:rFonts w:eastAsia="Amiri" w:cs="Amiri" w:ascii="Amiri" w:hAnsi="Amiri"/>
          <w:color w:val="111111"/>
          <w:sz w:val="28"/>
          <w:szCs w:val="28"/>
          <w:rtl w:val="true"/>
          <w:lang w:bidi="ar-SA"/>
        </w:rPr>
        <w:t xml:space="preserve">. </w:t>
      </w:r>
      <w:r>
        <w:rPr>
          <w:rStyle w:val="FootnoteAnchor"/>
          <w:rtl w:val="true"/>
        </w:rPr>
        <w:footnoteReference w:id="1894"/>
      </w:r>
    </w:p>
    <w:p>
      <w:pPr>
        <w:pStyle w:val="Heading6"/>
        <w:numPr>
          <w:ilvl w:val="5"/>
          <w:numId w:val="1"/>
        </w:numPr>
        <w:rPr/>
      </w:pPr>
      <w:bookmarkStart w:id="2160" w:name="__RefHeading___Toc3586253_3650668749"/>
      <w:bookmarkStart w:id="2161" w:name="_Toc923"/>
      <w:bookmarkEnd w:id="2160"/>
      <w:r>
        <w:rPr>
          <w:rtl w:val="true"/>
        </w:rPr>
        <w:t xml:space="preserve">پنجم </w:t>
      </w:r>
      <w:r>
        <w:rPr>
          <w:rtl w:val="true"/>
        </w:rPr>
        <w:t xml:space="preserve">- </w:t>
      </w:r>
      <w:r>
        <w:rPr>
          <w:rtl w:val="true"/>
        </w:rPr>
        <w:t>بُرْدَه</w:t>
      </w:r>
      <w:bookmarkEnd w:id="2161"/>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بُرْدَه غير از بُرد بوده؛ زيرا در كتاب‌هاى لغت، پوششى ريشه‌دار كه معمولاً از پشم به عمل مى‌آمده و عرب آن را به خود مى‌پيچيد، معرفى شده است</w:t>
      </w:r>
      <w:r>
        <w:rPr>
          <w:rFonts w:eastAsia="IRNazanin" w:cs="IRNazanin"/>
          <w:color w:val="111111"/>
          <w:sz w:val="28"/>
          <w:szCs w:val="28"/>
          <w:rtl w:val="true"/>
          <w:lang w:bidi="fa-IR"/>
        </w:rPr>
        <w:t xml:space="preserve">. </w:t>
      </w:r>
      <w:r>
        <w:rPr>
          <w:rStyle w:val="FootnoteAnchor"/>
          <w:rtl w:val="true"/>
        </w:rPr>
        <w:footnoteReference w:id="1895"/>
      </w:r>
      <w:r>
        <w:rPr>
          <w:rFonts w:ascii="IRNazanin" w:hAnsi="IRNazanin" w:eastAsia="IRNazanin"/>
          <w:color w:val="111111"/>
          <w:sz w:val="28"/>
          <w:sz w:val="28"/>
          <w:szCs w:val="28"/>
          <w:rtl w:val="true"/>
          <w:lang w:bidi="fa-IR"/>
        </w:rPr>
        <w:t>در بعضى از تعريف‌ها شكل آن را مربع و رنگ آن را سفيد معين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نيز گاهى براى پوشش قسمت پايين بدن و به عنوان لنگ مورد استفاده قرار مى‌گرفت</w:t>
      </w:r>
      <w:r>
        <w:rPr>
          <w:rFonts w:eastAsia="IRNazanin" w:cs="IRNazanin"/>
          <w:color w:val="111111"/>
          <w:sz w:val="28"/>
          <w:szCs w:val="28"/>
          <w:rtl w:val="true"/>
          <w:lang w:bidi="fa-IR"/>
        </w:rPr>
        <w:t xml:space="preserve">. </w:t>
      </w:r>
      <w:r>
        <w:rPr>
          <w:rStyle w:val="FootnoteAnchor"/>
          <w:rtl w:val="true"/>
        </w:rPr>
        <w:footnoteReference w:id="1896"/>
      </w:r>
      <w:r>
        <w:rPr>
          <w:rFonts w:ascii="IRNazanin" w:hAnsi="IRNazanin" w:eastAsia="IRNazanin"/>
          <w:color w:val="111111"/>
          <w:sz w:val="28"/>
          <w:sz w:val="28"/>
          <w:szCs w:val="28"/>
          <w:rtl w:val="true"/>
          <w:lang w:bidi="fa-IR"/>
        </w:rPr>
        <w:t xml:space="preserve">در باره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نقل شده است كه در روز عاشورا، بُرده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پيچيده بود</w:t>
      </w:r>
      <w:r>
        <w:rPr>
          <w:rFonts w:eastAsia="IRNazanin" w:cs="IRNazanin"/>
          <w:color w:val="111111"/>
          <w:sz w:val="28"/>
          <w:szCs w:val="28"/>
          <w:rtl w:val="true"/>
          <w:lang w:bidi="fa-IR"/>
        </w:rPr>
        <w:t xml:space="preserve">. </w:t>
      </w:r>
      <w:r>
        <w:rPr>
          <w:rStyle w:val="FootnoteAnchor"/>
          <w:rtl w:val="true"/>
        </w:rPr>
        <w:footnoteReference w:id="1897"/>
      </w:r>
      <w:bookmarkStart w:id="2162" w:name="pg1964_19974"/>
    </w:p>
    <w:p>
      <w:pPr>
        <w:pStyle w:val="Heading6"/>
        <w:numPr>
          <w:ilvl w:val="5"/>
          <w:numId w:val="1"/>
        </w:numPr>
        <w:rPr/>
      </w:pPr>
      <w:bookmarkStart w:id="2163" w:name="__RefHeading___Toc3586255_3650668749"/>
      <w:bookmarkStart w:id="2164" w:name="_Toc924"/>
      <w:bookmarkEnd w:id="2162"/>
      <w:bookmarkEnd w:id="2163"/>
      <w:r>
        <w:rPr>
          <w:rtl w:val="true"/>
        </w:rPr>
        <w:t xml:space="preserve">ششم </w:t>
      </w:r>
      <w:r>
        <w:rPr>
          <w:rtl w:val="true"/>
        </w:rPr>
        <w:t xml:space="preserve">- </w:t>
      </w:r>
      <w:r>
        <w:rPr>
          <w:rtl w:val="true"/>
        </w:rPr>
        <w:t>ثَوب قِطْري</w:t>
      </w:r>
      <w:bookmarkEnd w:id="2164"/>
    </w:p>
    <w:p>
      <w:pPr>
        <w:pStyle w:val="BookText"/>
        <w:rPr/>
      </w:pPr>
      <w:r>
        <w:rPr>
          <w:rFonts w:ascii="IRNazanin" w:hAnsi="IRNazanin" w:eastAsia="IRNazanin"/>
          <w:color w:val="111111"/>
          <w:sz w:val="28"/>
          <w:sz w:val="28"/>
          <w:szCs w:val="28"/>
          <w:rtl w:val="true"/>
          <w:lang w:bidi="fa-IR"/>
        </w:rPr>
        <w:t xml:space="preserve">ثوب به معناى مطلق لباس مى‌باشد، اما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ثوب با عنوان ثوب قطرى بود </w:t>
      </w:r>
      <w:r>
        <w:rPr>
          <w:rStyle w:val="FootnoteAnchor"/>
          <w:rtl w:val="true"/>
        </w:rPr>
        <w:footnoteReference w:id="1898"/>
      </w:r>
      <w:r>
        <w:rPr>
          <w:rFonts w:ascii="IRNazanin" w:hAnsi="IRNazanin" w:eastAsia="IRNazanin"/>
          <w:color w:val="111111"/>
          <w:sz w:val="28"/>
          <w:sz w:val="28"/>
          <w:szCs w:val="28"/>
          <w:rtl w:val="true"/>
          <w:lang w:bidi="fa-IR"/>
        </w:rPr>
        <w:t>كه در قَطَر توليد مى‌شد و لباسى ضخيم و قرمز رنگ و با حاشيه بود</w:t>
      </w:r>
      <w:r>
        <w:rPr>
          <w:rFonts w:eastAsia="IRNazanin" w:cs="IRNazanin"/>
          <w:color w:val="111111"/>
          <w:sz w:val="28"/>
          <w:szCs w:val="28"/>
          <w:rtl w:val="true"/>
          <w:lang w:bidi="fa-IR"/>
        </w:rPr>
        <w:t xml:space="preserve">. </w:t>
      </w:r>
      <w:r>
        <w:rPr>
          <w:rStyle w:val="FootnoteAnchor"/>
          <w:rtl w:val="true"/>
        </w:rPr>
        <w:footnoteReference w:id="1899"/>
      </w:r>
    </w:p>
    <w:p>
      <w:pPr>
        <w:pStyle w:val="Heading6"/>
        <w:numPr>
          <w:ilvl w:val="5"/>
          <w:numId w:val="1"/>
        </w:numPr>
        <w:rPr/>
      </w:pPr>
      <w:bookmarkStart w:id="2165" w:name="__RefHeading___Toc3586257_3650668749"/>
      <w:bookmarkStart w:id="2166" w:name="_Toc925"/>
      <w:bookmarkEnd w:id="2165"/>
      <w:r>
        <w:rPr>
          <w:rtl w:val="true"/>
        </w:rPr>
        <w:t xml:space="preserve">هفتم </w:t>
      </w:r>
      <w:r>
        <w:rPr>
          <w:rtl w:val="true"/>
        </w:rPr>
        <w:t xml:space="preserve">- </w:t>
      </w:r>
      <w:r>
        <w:rPr>
          <w:rtl w:val="true"/>
        </w:rPr>
        <w:t>جُبَّه</w:t>
      </w:r>
      <w:bookmarkEnd w:id="2166"/>
    </w:p>
    <w:p>
      <w:pPr>
        <w:pStyle w:val="BookText"/>
        <w:rPr/>
      </w:pPr>
      <w:r>
        <w:rPr>
          <w:rFonts w:ascii="IRNazanin" w:hAnsi="IRNazanin" w:eastAsia="IRNazanin"/>
          <w:color w:val="111111"/>
          <w:sz w:val="28"/>
          <w:sz w:val="28"/>
          <w:szCs w:val="28"/>
          <w:rtl w:val="true"/>
          <w:lang w:bidi="fa-IR"/>
        </w:rPr>
        <w:t>لباسى دوخته بود كه سرتاسر بدن را تا روى پاها دربر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 كه آستين هم داشت، جلوى آن باز بود و با دكمه‌هايى بسته مى‌شد</w:t>
      </w:r>
      <w:r>
        <w:rPr>
          <w:rFonts w:eastAsia="IRNazanin" w:cs="IRNazanin"/>
          <w:color w:val="111111"/>
          <w:sz w:val="28"/>
          <w:szCs w:val="28"/>
          <w:rtl w:val="true"/>
          <w:lang w:bidi="fa-IR"/>
        </w:rPr>
        <w:t xml:space="preserve">. </w:t>
      </w:r>
      <w:r>
        <w:rPr>
          <w:rStyle w:val="FootnoteAnchor"/>
          <w:rtl w:val="true"/>
        </w:rPr>
        <w:footnoteReference w:id="1900"/>
      </w:r>
      <w:r>
        <w:rPr>
          <w:rFonts w:ascii="Amiri" w:hAnsi="Amiri" w:eastAsia="Amiri" w:cs="Amiri"/>
          <w:color w:val="111111"/>
          <w:sz w:val="28"/>
          <w:sz w:val="28"/>
          <w:szCs w:val="28"/>
          <w:rtl w:val="true"/>
          <w:lang w:bidi="ar-SA"/>
        </w:rPr>
        <w:t xml:space="preserve">اين لباس براى مردم جاهليت شناخته شده بود </w:t>
      </w:r>
      <w:r>
        <w:rPr>
          <w:rStyle w:val="FootnoteAnchor"/>
          <w:rtl w:val="true"/>
        </w:rPr>
        <w:footnoteReference w:id="1901"/>
      </w:r>
      <w:r>
        <w:rPr>
          <w:rFonts w:ascii="IRNazanin" w:hAnsi="IRNazanin" w:eastAsia="IRNazanin"/>
          <w:color w:val="111111"/>
          <w:sz w:val="28"/>
          <w:sz w:val="28"/>
          <w:szCs w:val="28"/>
          <w:rtl w:val="true"/>
          <w:lang w:bidi="fa-IR"/>
        </w:rPr>
        <w:t xml:space="preserve">و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ثروتمندان بسيار از آن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جُبّه‌هاى يمنى بسيار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نوعى جُبّ به نام جُبّه‌هاى شامى وجود داشت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مى‌كرد و</w:t>
      </w:r>
    </w:p>
    <w:p>
      <w:pPr>
        <w:pStyle w:val="BookText"/>
        <w:rPr/>
      </w:pPr>
      <w:r>
        <w:rPr>
          <w:rFonts w:ascii="IRNazanin" w:hAnsi="IRNazanin" w:eastAsia="IRNazanin"/>
          <w:color w:val="111111"/>
          <w:sz w:val="28"/>
          <w:sz w:val="28"/>
          <w:szCs w:val="28"/>
          <w:rtl w:val="true"/>
          <w:lang w:bidi="fa-IR"/>
        </w:rPr>
        <w:t>آستين‌هاى تنگى داشت</w:t>
      </w:r>
      <w:r>
        <w:rPr>
          <w:rFonts w:eastAsia="IRNazanin" w:cs="IRNazanin"/>
          <w:color w:val="111111"/>
          <w:sz w:val="28"/>
          <w:szCs w:val="28"/>
          <w:rtl w:val="true"/>
          <w:lang w:bidi="fa-IR"/>
        </w:rPr>
        <w:t xml:space="preserve">. </w:t>
      </w:r>
      <w:r>
        <w:rPr>
          <w:rStyle w:val="FootnoteAnchor"/>
          <w:rtl w:val="true"/>
        </w:rPr>
        <w:footnoteReference w:id="1902"/>
      </w:r>
    </w:p>
    <w:p>
      <w:pPr>
        <w:pStyle w:val="BookText"/>
        <w:rPr/>
      </w:pPr>
      <w:r>
        <w:rPr>
          <w:rFonts w:ascii="IRNazanin" w:hAnsi="IRNazanin" w:eastAsia="IRNazanin"/>
          <w:color w:val="111111"/>
          <w:sz w:val="28"/>
          <w:sz w:val="28"/>
          <w:szCs w:val="28"/>
          <w:rtl w:val="true"/>
          <w:lang w:bidi="fa-IR"/>
        </w:rPr>
        <w:t>معمولاً جُبّه از پارچه‌هاى پشمى، پنبه‌اى، كتانى و بعدها از پارچه‌هاى خزّ و حرير توليد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اين نوع لباس، روى لباس‌هاى ديگر پوشيده مى‌شد</w:t>
      </w:r>
      <w:r>
        <w:rPr>
          <w:rFonts w:eastAsia="IRNazanin" w:cs="IRNazanin"/>
          <w:color w:val="111111"/>
          <w:sz w:val="28"/>
          <w:szCs w:val="28"/>
          <w:rtl w:val="true"/>
          <w:lang w:bidi="fa-IR"/>
        </w:rPr>
        <w:t xml:space="preserve">. </w:t>
      </w:r>
      <w:r>
        <w:rPr>
          <w:rStyle w:val="FootnoteAnchor"/>
          <w:rtl w:val="true"/>
        </w:rPr>
        <w:footnoteReference w:id="1903"/>
      </w:r>
      <w:r>
        <w:rPr>
          <w:rFonts w:ascii="IRNazanin" w:hAnsi="IRNazanin" w:eastAsia="IRNazanin"/>
          <w:color w:val="111111"/>
          <w:sz w:val="28"/>
          <w:sz w:val="28"/>
          <w:szCs w:val="28"/>
          <w:rtl w:val="true"/>
          <w:lang w:bidi="fa-IR"/>
        </w:rPr>
        <w:t xml:space="preserve">در باره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 كه آن حضرت در روز عاشورا جُبّه خزّ مايل به سياه دربرداشت</w:t>
      </w:r>
      <w:r>
        <w:rPr>
          <w:rFonts w:eastAsia="IRNazanin" w:cs="IRNazanin"/>
          <w:color w:val="111111"/>
          <w:sz w:val="28"/>
          <w:szCs w:val="28"/>
          <w:rtl w:val="true"/>
          <w:lang w:bidi="fa-IR"/>
        </w:rPr>
        <w:t xml:space="preserve">. </w:t>
      </w:r>
      <w:r>
        <w:rPr>
          <w:rStyle w:val="FootnoteAnchor"/>
          <w:rtl w:val="true"/>
        </w:rPr>
        <w:footnoteReference w:id="1904"/>
      </w:r>
    </w:p>
    <w:p>
      <w:pPr>
        <w:pStyle w:val="Heading6"/>
        <w:numPr>
          <w:ilvl w:val="5"/>
          <w:numId w:val="1"/>
        </w:numPr>
        <w:rPr/>
      </w:pPr>
      <w:bookmarkStart w:id="2167" w:name="__RefHeading___Toc3586259_3650668749"/>
      <w:bookmarkStart w:id="2168" w:name="_Toc926"/>
      <w:bookmarkEnd w:id="2167"/>
      <w:r>
        <w:rPr>
          <w:rtl w:val="true"/>
        </w:rPr>
        <w:t xml:space="preserve">هشتم </w:t>
      </w:r>
      <w:r>
        <w:rPr>
          <w:rtl w:val="true"/>
        </w:rPr>
        <w:t xml:space="preserve">- </w:t>
      </w:r>
      <w:r>
        <w:rPr>
          <w:rtl w:val="true"/>
        </w:rPr>
        <w:t>جلْباب</w:t>
      </w:r>
      <w:bookmarkEnd w:id="2168"/>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لغت در قرآن كريم به صورت جمع،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به‌كار رفته است</w:t>
      </w:r>
      <w:r>
        <w:rPr>
          <w:rFonts w:eastAsia="Amiri" w:cs="Amiri" w:ascii="Amiri" w:hAnsi="Amiri"/>
          <w:color w:val="111111"/>
          <w:sz w:val="28"/>
          <w:szCs w:val="28"/>
          <w:rtl w:val="true"/>
          <w:lang w:bidi="ar-SA"/>
        </w:rPr>
        <w:t xml:space="preserve">. </w:t>
      </w:r>
      <w:r>
        <w:rPr>
          <w:rStyle w:val="FootnoteAnchor"/>
          <w:rtl w:val="true"/>
        </w:rPr>
        <w:footnoteReference w:id="1905"/>
      </w:r>
      <w:r>
        <w:rPr>
          <w:rFonts w:ascii="IRNazanin" w:hAnsi="IRNazanin" w:eastAsia="IRNazanin"/>
          <w:color w:val="111111"/>
          <w:sz w:val="28"/>
          <w:sz w:val="28"/>
          <w:szCs w:val="28"/>
          <w:rtl w:val="true"/>
          <w:lang w:bidi="fa-IR"/>
        </w:rPr>
        <w:t>و در تفاسير آن را به لباسى كه همه بدن زن را مى‌پوشاند يا خِمارى كه سر و صورت</w:t>
      </w:r>
      <w:bookmarkStart w:id="2169" w:name="pg1964_19975"/>
    </w:p>
    <w:p>
      <w:pPr>
        <w:pStyle w:val="BookText"/>
        <w:rPr/>
      </w:pPr>
      <w:bookmarkEnd w:id="2169"/>
      <w:r>
        <w:rPr>
          <w:rFonts w:ascii="IRNazanin" w:hAnsi="IRNazanin" w:eastAsia="IRNazanin"/>
          <w:color w:val="111111"/>
          <w:sz w:val="28"/>
          <w:sz w:val="28"/>
          <w:szCs w:val="28"/>
          <w:rtl w:val="true"/>
          <w:lang w:bidi="fa-IR"/>
        </w:rPr>
        <w:t>او را مى‌پوشاند، تعريف كرده‌اند</w:t>
      </w:r>
      <w:r>
        <w:rPr>
          <w:rFonts w:eastAsia="IRNazanin" w:cs="IRNazanin"/>
          <w:color w:val="111111"/>
          <w:sz w:val="28"/>
          <w:szCs w:val="28"/>
          <w:rtl w:val="true"/>
          <w:lang w:bidi="fa-IR"/>
        </w:rPr>
        <w:t xml:space="preserve">. </w:t>
      </w:r>
      <w:r>
        <w:rPr>
          <w:rStyle w:val="FootnoteAnchor"/>
          <w:rtl w:val="true"/>
        </w:rPr>
        <w:footnoteReference w:id="1906"/>
      </w:r>
      <w:r>
        <w:rPr>
          <w:rFonts w:ascii="IRNazanin" w:hAnsi="IRNazanin" w:eastAsia="IRNazanin"/>
          <w:color w:val="111111"/>
          <w:sz w:val="28"/>
          <w:sz w:val="28"/>
          <w:szCs w:val="28"/>
          <w:rtl w:val="true"/>
          <w:lang w:bidi="fa-IR"/>
        </w:rPr>
        <w:t>طبق معناى اول، پوششى شبيه چادر براى زنان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نيز علاوه بر دو معناى فوق، معانى ديگرى، همچون پيراهن و ملحفه براى آن ذكر شده است</w:t>
      </w:r>
      <w:r>
        <w:rPr>
          <w:rFonts w:eastAsia="IRNazanin" w:cs="IRNazanin"/>
          <w:color w:val="111111"/>
          <w:sz w:val="28"/>
          <w:szCs w:val="28"/>
          <w:rtl w:val="true"/>
          <w:lang w:bidi="fa-IR"/>
        </w:rPr>
        <w:t xml:space="preserve">. </w:t>
      </w:r>
      <w:r>
        <w:rPr>
          <w:rStyle w:val="FootnoteAnchor"/>
          <w:rtl w:val="true"/>
        </w:rPr>
        <w:footnoteReference w:id="1907"/>
      </w:r>
      <w:r>
        <w:rPr>
          <w:rFonts w:ascii="IRNazanin" w:hAnsi="IRNazanin" w:eastAsia="IRNazanin"/>
          <w:color w:val="111111"/>
          <w:sz w:val="28"/>
          <w:sz w:val="28"/>
          <w:szCs w:val="28"/>
          <w:rtl w:val="true"/>
          <w:lang w:bidi="fa-IR"/>
        </w:rPr>
        <w:t>اين كلمه در بعضى از نوشته‌هاى مستشرقان، اين چنين معنا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 بزرگى كه زنان در شرق هنگام بيرون شدن از خانه سر تا پاى خود را در آن مى‌پوشانند</w:t>
      </w:r>
      <w:r>
        <w:rPr>
          <w:rFonts w:eastAsia="IRNazanin" w:cs="IRNazanin"/>
          <w:color w:val="111111"/>
          <w:sz w:val="28"/>
          <w:szCs w:val="28"/>
          <w:rtl w:val="true"/>
          <w:lang w:bidi="fa-IR"/>
        </w:rPr>
        <w:t xml:space="preserve">» . </w:t>
      </w:r>
      <w:r>
        <w:rPr>
          <w:rStyle w:val="FootnoteAnchor"/>
          <w:rtl w:val="true"/>
        </w:rPr>
        <w:footnoteReference w:id="1908"/>
      </w:r>
      <w:r>
        <w:rPr>
          <w:rFonts w:ascii="IRNazanin" w:hAnsi="IRNazanin" w:eastAsia="IRNazanin"/>
          <w:color w:val="111111"/>
          <w:sz w:val="28"/>
          <w:sz w:val="28"/>
          <w:szCs w:val="28"/>
          <w:rtl w:val="true"/>
          <w:lang w:bidi="fa-IR"/>
        </w:rPr>
        <w:t>ابن‌عباس، مفسّر كبير قرآن اين لغت را به معناى پوششى كه از سر تا پاى زن را مى‌پوشاند، تفسير كرده است كه بر وجود نوعى چادر در آن زمان دلالت مى‌كند</w:t>
      </w:r>
      <w:r>
        <w:rPr>
          <w:rFonts w:eastAsia="IRNazanin" w:cs="IRNazanin"/>
          <w:color w:val="111111"/>
          <w:sz w:val="28"/>
          <w:szCs w:val="28"/>
          <w:rtl w:val="true"/>
          <w:lang w:bidi="fa-IR"/>
        </w:rPr>
        <w:t xml:space="preserve">. </w:t>
      </w:r>
      <w:r>
        <w:rPr>
          <w:rStyle w:val="FootnoteAnchor"/>
          <w:rtl w:val="true"/>
        </w:rPr>
        <w:footnoteReference w:id="1909"/>
      </w:r>
    </w:p>
    <w:p>
      <w:pPr>
        <w:pStyle w:val="Heading6"/>
        <w:numPr>
          <w:ilvl w:val="5"/>
          <w:numId w:val="1"/>
        </w:numPr>
        <w:rPr/>
      </w:pPr>
      <w:bookmarkStart w:id="2170" w:name="__RefHeading___Toc3586261_3650668749"/>
      <w:bookmarkStart w:id="2171" w:name="_Toc927"/>
      <w:bookmarkEnd w:id="2170"/>
      <w:r>
        <w:rPr>
          <w:rtl w:val="true"/>
        </w:rPr>
        <w:t xml:space="preserve">نهم </w:t>
      </w:r>
      <w:r>
        <w:rPr>
          <w:rtl w:val="true"/>
        </w:rPr>
        <w:t xml:space="preserve">- </w:t>
      </w:r>
      <w:r>
        <w:rPr>
          <w:rtl w:val="true"/>
        </w:rPr>
        <w:t xml:space="preserve">حِبْرَه </w:t>
      </w:r>
      <w:r>
        <w:rPr>
          <w:rtl w:val="true"/>
        </w:rPr>
        <w:t>(</w:t>
      </w:r>
      <w:r>
        <w:rPr>
          <w:rtl w:val="true"/>
        </w:rPr>
        <w:t>حَبَرَه</w:t>
      </w:r>
      <w:r>
        <w:rPr>
          <w:rtl w:val="true"/>
        </w:rPr>
        <w:t>)</w:t>
      </w:r>
      <w:bookmarkEnd w:id="2171"/>
    </w:p>
    <w:p>
      <w:pPr>
        <w:pStyle w:val="BookText"/>
        <w:rPr/>
      </w:pPr>
      <w:r>
        <w:rPr>
          <w:rFonts w:ascii="Amiri" w:hAnsi="Amiri" w:eastAsia="Amiri" w:cs="Amiri"/>
          <w:color w:val="111111"/>
          <w:sz w:val="28"/>
          <w:sz w:val="28"/>
          <w:szCs w:val="28"/>
          <w:rtl w:val="true"/>
          <w:lang w:bidi="ar-SA"/>
        </w:rPr>
        <w:t>نوعى از بُردهاى يمنى بوده كه در آن خطوط سياه و سفيد فراوان يافت</w:t>
      </w:r>
    </w:p>
    <w:p>
      <w:pPr>
        <w:pStyle w:val="BookText"/>
        <w:rPr/>
      </w:pPr>
      <w:r>
        <w:rPr>
          <w:rFonts w:ascii="IRNazanin" w:hAnsi="IRNazanin" w:eastAsia="IRNazanin"/>
          <w:color w:val="111111"/>
          <w:sz w:val="28"/>
          <w:sz w:val="28"/>
          <w:szCs w:val="28"/>
          <w:rtl w:val="true"/>
          <w:lang w:bidi="fa-IR"/>
        </w:rPr>
        <w:t>مى‌شد</w:t>
      </w:r>
      <w:r>
        <w:rPr>
          <w:rFonts w:eastAsia="IRNazanin" w:cs="IRNazanin"/>
          <w:color w:val="111111"/>
          <w:sz w:val="28"/>
          <w:szCs w:val="28"/>
          <w:rtl w:val="true"/>
          <w:lang w:bidi="fa-IR"/>
        </w:rPr>
        <w:t xml:space="preserve">. </w:t>
      </w:r>
      <w:r>
        <w:rPr>
          <w:rStyle w:val="FootnoteAnchor"/>
          <w:rtl w:val="true"/>
        </w:rPr>
        <w:footnoteReference w:id="1910"/>
      </w:r>
      <w:r>
        <w:rPr>
          <w:rFonts w:ascii="IRNazanin" w:hAnsi="IRNazanin" w:eastAsia="IRNazanin"/>
          <w:color w:val="111111"/>
          <w:sz w:val="28"/>
          <w:sz w:val="28"/>
          <w:szCs w:val="28"/>
          <w:rtl w:val="true"/>
          <w:lang w:bidi="fa-IR"/>
        </w:rPr>
        <w:t xml:space="preserve">در روايتى از طريق اهل‌سنت چنين آمده است كه محبوب‌ترين لباس نزد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حِبره بوده است</w:t>
      </w:r>
      <w:r>
        <w:rPr>
          <w:rFonts w:eastAsia="IRNazanin" w:cs="IRNazanin"/>
          <w:color w:val="111111"/>
          <w:sz w:val="28"/>
          <w:szCs w:val="28"/>
          <w:rtl w:val="true"/>
          <w:lang w:bidi="fa-IR"/>
        </w:rPr>
        <w:t xml:space="preserve">. </w:t>
      </w:r>
      <w:r>
        <w:rPr>
          <w:rStyle w:val="FootnoteAnchor"/>
          <w:rtl w:val="true"/>
        </w:rPr>
        <w:footnoteReference w:id="1911"/>
      </w:r>
      <w:r>
        <w:rPr>
          <w:rFonts w:ascii="IRNazanin" w:hAnsi="IRNazanin" w:eastAsia="IRNazanin"/>
          <w:color w:val="111111"/>
          <w:sz w:val="28"/>
          <w:sz w:val="28"/>
          <w:szCs w:val="28"/>
          <w:rtl w:val="true"/>
          <w:lang w:bidi="fa-IR"/>
        </w:rPr>
        <w:t>بُرد حِبْرى از انواع فاخر بُرد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نوشته‌ها تعريف ديگرى براى حِبره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حِبره، بُرد يمنى بافته شده از كتان يا پنبه بوده و معمولاً رنگ قرمز مايل به سياه داشته است</w:t>
      </w:r>
      <w:r>
        <w:rPr>
          <w:rFonts w:eastAsia="IRNazanin" w:cs="IRNazanin"/>
          <w:color w:val="111111"/>
          <w:sz w:val="28"/>
          <w:szCs w:val="28"/>
          <w:rtl w:val="true"/>
          <w:lang w:bidi="fa-IR"/>
        </w:rPr>
        <w:t xml:space="preserve">. </w:t>
      </w:r>
      <w:r>
        <w:rPr>
          <w:rStyle w:val="FootnoteAnchor"/>
          <w:rtl w:val="true"/>
        </w:rPr>
        <w:footnoteReference w:id="1912"/>
      </w:r>
    </w:p>
    <w:p>
      <w:pPr>
        <w:pStyle w:val="Heading6"/>
        <w:numPr>
          <w:ilvl w:val="5"/>
          <w:numId w:val="1"/>
        </w:numPr>
        <w:rPr/>
      </w:pPr>
      <w:bookmarkStart w:id="2172" w:name="__RefHeading___Toc3586263_3650668749"/>
      <w:bookmarkStart w:id="2173" w:name="_Toc928"/>
      <w:bookmarkEnd w:id="2172"/>
      <w:r>
        <w:rPr>
          <w:rtl w:val="true"/>
        </w:rPr>
        <w:t xml:space="preserve">دهم </w:t>
      </w:r>
      <w:r>
        <w:rPr>
          <w:rtl w:val="true"/>
        </w:rPr>
        <w:t xml:space="preserve">- </w:t>
      </w:r>
      <w:r>
        <w:rPr>
          <w:rtl w:val="true"/>
        </w:rPr>
        <w:t>حُلّه</w:t>
      </w:r>
      <w:bookmarkEnd w:id="2173"/>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اين لغت را فقط براى دو يا سه قطعه لباس، همانند پيراهن و رِداء و عمامه يا 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پايين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گفته‌اند كه در صورتى به‌كار مى‌برد</w:t>
      </w:r>
      <w:bookmarkStart w:id="2174" w:name="pg1964_19976"/>
    </w:p>
    <w:p>
      <w:pPr>
        <w:pStyle w:val="BookText"/>
        <w:rPr/>
      </w:pPr>
      <w:bookmarkEnd w:id="2174"/>
      <w:r>
        <w:rPr>
          <w:rFonts w:ascii="Amiri" w:hAnsi="Amiri" w:eastAsia="Amiri" w:cs="Amiri"/>
          <w:color w:val="111111"/>
          <w:sz w:val="28"/>
          <w:sz w:val="28"/>
          <w:szCs w:val="28"/>
          <w:rtl w:val="true"/>
          <w:lang w:bidi="ar-SA"/>
        </w:rPr>
        <w:t>كه لباس‌ها از يك جنس باشند</w:t>
      </w:r>
      <w:r>
        <w:rPr>
          <w:rFonts w:eastAsia="Amiri" w:cs="Amiri" w:ascii="Amiri" w:hAnsi="Amiri"/>
          <w:color w:val="111111"/>
          <w:sz w:val="28"/>
          <w:szCs w:val="28"/>
          <w:rtl w:val="true"/>
          <w:lang w:bidi="ar-SA"/>
        </w:rPr>
        <w:t xml:space="preserve">. </w:t>
      </w:r>
      <w:r>
        <w:rPr>
          <w:rStyle w:val="FootnoteAnchor"/>
          <w:rtl w:val="true"/>
        </w:rPr>
        <w:footnoteReference w:id="1913"/>
      </w:r>
      <w:r>
        <w:rPr>
          <w:rFonts w:ascii="IRNazanin" w:hAnsi="IRNazanin" w:eastAsia="IRNazanin"/>
          <w:color w:val="111111"/>
          <w:sz w:val="28"/>
          <w:sz w:val="28"/>
          <w:szCs w:val="28"/>
          <w:rtl w:val="true"/>
          <w:lang w:bidi="fa-IR"/>
        </w:rPr>
        <w:t>بنابراين، هيچ‌گاه به يك لباس، حُلّه نمى‌گفتند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قطعه لباس ممكن بود، هركدام يك‌پارچه و ندوخته، مانند رِداء باشند يا دوخته، مانند پيراهن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تاريخى چنين آمده است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حُلّه استفاده مى‌كرد</w:t>
      </w:r>
      <w:r>
        <w:rPr>
          <w:rFonts w:eastAsia="IRNazanin" w:cs="IRNazanin"/>
          <w:color w:val="111111"/>
          <w:sz w:val="28"/>
          <w:szCs w:val="28"/>
          <w:rtl w:val="true"/>
          <w:lang w:bidi="fa-IR"/>
        </w:rPr>
        <w:t xml:space="preserve">. </w:t>
      </w:r>
      <w:r>
        <w:rPr>
          <w:rStyle w:val="FootnoteAnchor"/>
          <w:rtl w:val="true"/>
        </w:rPr>
        <w:footnoteReference w:id="1914"/>
      </w:r>
      <w:r>
        <w:rPr>
          <w:rFonts w:ascii="Amiri" w:hAnsi="Amiri" w:eastAsia="Amiri" w:cs="Amiri"/>
          <w:color w:val="111111"/>
          <w:sz w:val="28"/>
          <w:sz w:val="28"/>
          <w:szCs w:val="28"/>
          <w:rtl w:val="true"/>
          <w:lang w:bidi="ar-SA"/>
        </w:rPr>
        <w:t>حُلّه‌هاى نجرانى و يمنى مشهورترين حُلّه‌ها بود</w:t>
      </w:r>
      <w:r>
        <w:rPr>
          <w:rFonts w:eastAsia="Amiri" w:cs="Amiri" w:ascii="Amiri" w:hAnsi="Amiri"/>
          <w:color w:val="111111"/>
          <w:sz w:val="28"/>
          <w:szCs w:val="28"/>
          <w:rtl w:val="true"/>
          <w:lang w:bidi="ar-SA"/>
        </w:rPr>
        <w:t xml:space="preserve">. </w:t>
      </w:r>
      <w:r>
        <w:rPr>
          <w:rStyle w:val="FootnoteAnchor"/>
          <w:rtl w:val="true"/>
        </w:rPr>
        <w:footnoteReference w:id="1915"/>
      </w:r>
    </w:p>
    <w:p>
      <w:pPr>
        <w:pStyle w:val="Heading6"/>
        <w:numPr>
          <w:ilvl w:val="5"/>
          <w:numId w:val="1"/>
        </w:numPr>
        <w:rPr/>
      </w:pPr>
      <w:bookmarkStart w:id="2175" w:name="__RefHeading___Toc3586265_3650668749"/>
      <w:bookmarkStart w:id="2176" w:name="_Toc929"/>
      <w:bookmarkEnd w:id="2175"/>
      <w:r>
        <w:rPr>
          <w:rtl w:val="true"/>
        </w:rPr>
        <w:t xml:space="preserve">يازدهم </w:t>
      </w:r>
      <w:r>
        <w:rPr>
          <w:rtl w:val="true"/>
        </w:rPr>
        <w:t xml:space="preserve">- </w:t>
      </w:r>
      <w:r>
        <w:rPr>
          <w:rtl w:val="true"/>
        </w:rPr>
        <w:t>خميصه</w:t>
      </w:r>
      <w:bookmarkEnd w:id="2176"/>
    </w:p>
    <w:p>
      <w:pPr>
        <w:pStyle w:val="BookText"/>
        <w:rPr/>
      </w:pPr>
      <w:r>
        <w:rPr>
          <w:rFonts w:ascii="IRNazanin" w:hAnsi="IRNazanin" w:eastAsia="IRNazanin"/>
          <w:color w:val="111111"/>
          <w:sz w:val="28"/>
          <w:sz w:val="28"/>
          <w:szCs w:val="28"/>
          <w:rtl w:val="true"/>
          <w:lang w:bidi="fa-IR"/>
        </w:rPr>
        <w:t>در لغت به معناى پوششى سياه رنگ و مربع شكل كه دو طرف آن حاشيه‌اى با رنگ غير از رنگ متن داشته، آمده است</w:t>
      </w:r>
      <w:r>
        <w:rPr>
          <w:rFonts w:eastAsia="IRNazanin" w:cs="IRNazanin"/>
          <w:color w:val="111111"/>
          <w:sz w:val="28"/>
          <w:szCs w:val="28"/>
          <w:rtl w:val="true"/>
          <w:lang w:bidi="fa-IR"/>
        </w:rPr>
        <w:t xml:space="preserve">. </w:t>
      </w:r>
      <w:r>
        <w:rPr>
          <w:rStyle w:val="FootnoteAnchor"/>
          <w:rtl w:val="true"/>
        </w:rPr>
        <w:footnoteReference w:id="1916"/>
      </w:r>
      <w:r>
        <w:rPr>
          <w:rFonts w:ascii="IRNazanin" w:hAnsi="IRNazanin" w:eastAsia="IRNazanin"/>
          <w:color w:val="111111"/>
          <w:sz w:val="28"/>
          <w:sz w:val="28"/>
          <w:szCs w:val="28"/>
          <w:rtl w:val="true"/>
          <w:lang w:bidi="fa-IR"/>
        </w:rPr>
        <w:t xml:space="preserve">در باره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خميصه‌اى مشكى داشت</w:t>
      </w:r>
      <w:r>
        <w:rPr>
          <w:rFonts w:eastAsia="IRNazanin" w:cs="IRNazanin"/>
          <w:color w:val="111111"/>
          <w:sz w:val="28"/>
          <w:szCs w:val="28"/>
          <w:rtl w:val="true"/>
          <w:lang w:bidi="fa-IR"/>
        </w:rPr>
        <w:t xml:space="preserve">. </w:t>
      </w:r>
      <w:r>
        <w:rPr>
          <w:rStyle w:val="FootnoteAnchor"/>
          <w:rtl w:val="true"/>
        </w:rPr>
        <w:footnoteReference w:id="1917"/>
      </w:r>
      <w:r>
        <w:rPr>
          <w:rFonts w:ascii="Amiri" w:hAnsi="Amiri" w:eastAsia="Amiri" w:cs="Amiri"/>
          <w:color w:val="111111"/>
          <w:sz w:val="28"/>
          <w:sz w:val="28"/>
          <w:szCs w:val="28"/>
          <w:rtl w:val="true"/>
          <w:lang w:bidi="ar-SA"/>
        </w:rPr>
        <w:t xml:space="preserve">در باره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است كه</w:t>
      </w:r>
    </w:p>
    <w:p>
      <w:pPr>
        <w:pStyle w:val="BookText"/>
        <w:rPr/>
      </w:pPr>
      <w:r>
        <w:rPr>
          <w:rFonts w:ascii="Amiri" w:hAnsi="Amiri" w:eastAsia="Amiri" w:cs="Amiri"/>
          <w:color w:val="111111"/>
          <w:sz w:val="28"/>
          <w:sz w:val="28"/>
          <w:szCs w:val="28"/>
          <w:rtl w:val="true"/>
          <w:lang w:bidi="ar-SA"/>
        </w:rPr>
        <w:t xml:space="preserve">خميصه‌اى دارابجردى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دارابجرد نام شهرى در ايران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w:t>
      </w:r>
      <w:r>
        <w:rPr>
          <w:rFonts w:eastAsia="Amiri" w:cs="Amiri" w:ascii="Amiri" w:hAnsi="Amiri"/>
          <w:color w:val="111111"/>
          <w:sz w:val="28"/>
          <w:szCs w:val="28"/>
          <w:rtl w:val="true"/>
          <w:lang w:bidi="ar-SA"/>
        </w:rPr>
        <w:t xml:space="preserve">. </w:t>
      </w:r>
      <w:r>
        <w:rPr>
          <w:rStyle w:val="FootnoteAnchor"/>
          <w:rtl w:val="true"/>
        </w:rPr>
        <w:footnoteReference w:id="1918"/>
      </w:r>
      <w:r>
        <w:rPr>
          <w:rFonts w:ascii="Amiri" w:hAnsi="Amiri" w:eastAsia="Amiri" w:cs="Amiri"/>
          <w:color w:val="111111"/>
          <w:sz w:val="28"/>
          <w:sz w:val="28"/>
          <w:szCs w:val="28"/>
          <w:rtl w:val="true"/>
          <w:lang w:bidi="ar-SA"/>
        </w:rPr>
        <w:t>طبق بعضى از نوشته‌ها اين لباس براى مردم جاهليت نيز شناخته شده بود</w:t>
      </w:r>
      <w:r>
        <w:rPr>
          <w:rFonts w:eastAsia="Amiri" w:cs="Amiri" w:ascii="Amiri" w:hAnsi="Amiri"/>
          <w:color w:val="111111"/>
          <w:sz w:val="28"/>
          <w:szCs w:val="28"/>
          <w:rtl w:val="true"/>
          <w:lang w:bidi="ar-SA"/>
        </w:rPr>
        <w:t xml:space="preserve">. </w:t>
      </w:r>
      <w:r>
        <w:rPr>
          <w:rStyle w:val="FootnoteAnchor"/>
          <w:rtl w:val="true"/>
        </w:rPr>
        <w:footnoteReference w:id="1919"/>
      </w:r>
    </w:p>
    <w:p>
      <w:pPr>
        <w:pStyle w:val="Heading6"/>
        <w:numPr>
          <w:ilvl w:val="5"/>
          <w:numId w:val="1"/>
        </w:numPr>
        <w:rPr/>
      </w:pPr>
      <w:bookmarkStart w:id="2177" w:name="__RefHeading___Toc3586267_3650668749"/>
      <w:bookmarkStart w:id="2178" w:name="_Toc930"/>
      <w:bookmarkEnd w:id="2177"/>
      <w:r>
        <w:rPr>
          <w:rtl w:val="true"/>
        </w:rPr>
        <w:t xml:space="preserve">دوازدهم </w:t>
      </w:r>
      <w:r>
        <w:rPr>
          <w:rtl w:val="true"/>
        </w:rPr>
        <w:t xml:space="preserve">- </w:t>
      </w:r>
      <w:r>
        <w:rPr>
          <w:rtl w:val="true"/>
        </w:rPr>
        <w:t>دِثار</w:t>
      </w:r>
      <w:bookmarkEnd w:id="2178"/>
    </w:p>
    <w:p>
      <w:pPr>
        <w:pStyle w:val="BookText"/>
        <w:rPr/>
      </w:pPr>
      <w:r>
        <w:rPr>
          <w:rFonts w:ascii="IRNazanin" w:hAnsi="IRNazanin" w:eastAsia="IRNazanin"/>
          <w:color w:val="111111"/>
          <w:sz w:val="28"/>
          <w:sz w:val="28"/>
          <w:szCs w:val="28"/>
          <w:rtl w:val="true"/>
          <w:lang w:bidi="fa-IR"/>
        </w:rPr>
        <w:t>به هر نوع لباس رويى كه روى لباس‌هاى زيرين مى‌پوشيدند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عرب‌ها براى گرم شدن از دثار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مُدَّثِّر كه در قرآن كريم به‌كار رفته، از همين ريشه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به لباس زيرين كه روى پوست و موى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مى‌شد، مى‌گفتند</w:t>
      </w:r>
      <w:r>
        <w:rPr>
          <w:rFonts w:eastAsia="IRNazanin" w:cs="IRNazanin"/>
          <w:color w:val="111111"/>
          <w:sz w:val="28"/>
          <w:szCs w:val="28"/>
          <w:rtl w:val="true"/>
          <w:lang w:bidi="fa-IR"/>
        </w:rPr>
        <w:t xml:space="preserve">. </w:t>
      </w:r>
      <w:r>
        <w:rPr>
          <w:rStyle w:val="FootnoteAnchor"/>
          <w:rtl w:val="true"/>
        </w:rPr>
        <w:footnoteReference w:id="1920"/>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كلمه دثار و شعار در خطبه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پيش از عاشورا به‌كار رفته است</w:t>
      </w:r>
      <w:r>
        <w:rPr>
          <w:rFonts w:eastAsia="IRNazanin" w:cs="IRNazanin"/>
          <w:color w:val="111111"/>
          <w:sz w:val="28"/>
          <w:szCs w:val="28"/>
          <w:rtl w:val="true"/>
          <w:lang w:bidi="fa-IR"/>
        </w:rPr>
        <w:t xml:space="preserve">. </w:t>
      </w:r>
      <w:r>
        <w:rPr>
          <w:rStyle w:val="FootnoteAnchor"/>
          <w:rtl w:val="true"/>
        </w:rPr>
        <w:footnoteReference w:id="1921"/>
      </w:r>
      <w:bookmarkStart w:id="2179" w:name="pg1964_19977"/>
    </w:p>
    <w:p>
      <w:pPr>
        <w:pStyle w:val="Heading6"/>
        <w:numPr>
          <w:ilvl w:val="5"/>
          <w:numId w:val="1"/>
        </w:numPr>
        <w:rPr/>
      </w:pPr>
      <w:bookmarkStart w:id="2180" w:name="__RefHeading___Toc3586269_3650668749"/>
      <w:bookmarkStart w:id="2181" w:name="_Toc931"/>
      <w:bookmarkEnd w:id="2179"/>
      <w:bookmarkEnd w:id="2180"/>
      <w:r>
        <w:rPr>
          <w:rtl w:val="true"/>
        </w:rPr>
        <w:t xml:space="preserve">سيزدهم </w:t>
      </w:r>
      <w:r>
        <w:rPr>
          <w:rtl w:val="true"/>
        </w:rPr>
        <w:t xml:space="preserve">- </w:t>
      </w:r>
      <w:r>
        <w:rPr>
          <w:rtl w:val="true"/>
        </w:rPr>
        <w:t>دُرّاعَه و مِدْرَع</w:t>
      </w:r>
      <w:bookmarkEnd w:id="2181"/>
    </w:p>
    <w:p>
      <w:pPr>
        <w:pStyle w:val="BookText"/>
        <w:rPr/>
      </w:pPr>
      <w:r>
        <w:rPr>
          <w:rFonts w:ascii="IRNazanin" w:hAnsi="IRNazanin" w:eastAsia="IRNazanin"/>
          <w:color w:val="111111"/>
          <w:sz w:val="28"/>
          <w:sz w:val="28"/>
          <w:szCs w:val="28"/>
          <w:rtl w:val="true"/>
          <w:lang w:bidi="fa-IR"/>
        </w:rPr>
        <w:t>اين دو كلمه براى دو نوع جُبّه كه جلوى آن باز بود و از پشم تهيه مى‌شد، به‌كار مى‌رفت</w:t>
      </w:r>
      <w:r>
        <w:rPr>
          <w:rFonts w:eastAsia="IRNazanin" w:cs="IRNazanin"/>
          <w:color w:val="111111"/>
          <w:sz w:val="28"/>
          <w:szCs w:val="28"/>
          <w:rtl w:val="true"/>
          <w:lang w:bidi="fa-IR"/>
        </w:rPr>
        <w:t xml:space="preserve">. </w:t>
      </w:r>
      <w:r>
        <w:rPr>
          <w:rStyle w:val="FootnoteAnchor"/>
          <w:rtl w:val="true"/>
        </w:rPr>
        <w:footnoteReference w:id="1922"/>
      </w:r>
      <w:r>
        <w:rPr>
          <w:rFonts w:ascii="IRNazanin" w:hAnsi="IRNazanin" w:eastAsia="IRNazanin"/>
          <w:color w:val="111111"/>
          <w:sz w:val="28"/>
          <w:sz w:val="28"/>
          <w:szCs w:val="28"/>
          <w:rtl w:val="true"/>
          <w:lang w:bidi="fa-IR"/>
        </w:rPr>
        <w:t>گفته شده است اولين كسى كه دُراعه‌هاى سياه رنگ پوشيد، مختار ثقفى بود</w:t>
      </w:r>
      <w:r>
        <w:rPr>
          <w:rFonts w:eastAsia="IRNazanin" w:cs="IRNazanin"/>
          <w:color w:val="111111"/>
          <w:sz w:val="28"/>
          <w:szCs w:val="28"/>
          <w:rtl w:val="true"/>
          <w:lang w:bidi="fa-IR"/>
        </w:rPr>
        <w:t xml:space="preserve">. </w:t>
      </w:r>
      <w:r>
        <w:rPr>
          <w:rStyle w:val="FootnoteAnchor"/>
          <w:rtl w:val="true"/>
        </w:rPr>
        <w:footnoteReference w:id="1923"/>
      </w:r>
      <w:r>
        <w:rPr>
          <w:rFonts w:ascii="IRNazanin" w:hAnsi="IRNazanin" w:eastAsia="IRNazanin"/>
          <w:color w:val="111111"/>
          <w:sz w:val="28"/>
          <w:sz w:val="28"/>
          <w:szCs w:val="28"/>
          <w:rtl w:val="true"/>
          <w:lang w:bidi="fa-IR"/>
        </w:rPr>
        <w:t xml:space="preserve">نيز پوشيدن دُراعه مشكى به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نسبت داده شده است</w:t>
      </w:r>
      <w:r>
        <w:rPr>
          <w:rFonts w:eastAsia="IRNazanin" w:cs="IRNazanin"/>
          <w:color w:val="111111"/>
          <w:sz w:val="28"/>
          <w:szCs w:val="28"/>
          <w:rtl w:val="true"/>
          <w:lang w:bidi="fa-IR"/>
        </w:rPr>
        <w:t xml:space="preserve">. </w:t>
      </w:r>
      <w:r>
        <w:rPr>
          <w:rStyle w:val="FootnoteAnchor"/>
          <w:rtl w:val="true"/>
        </w:rPr>
        <w:footnoteReference w:id="1924"/>
      </w:r>
      <w:r>
        <w:rPr>
          <w:rFonts w:ascii="Amiri" w:hAnsi="Amiri" w:eastAsia="Amiri" w:cs="Amiri"/>
          <w:color w:val="111111"/>
          <w:sz w:val="28"/>
          <w:sz w:val="28"/>
          <w:szCs w:val="28"/>
          <w:rtl w:val="true"/>
          <w:lang w:bidi="ar-SA"/>
        </w:rPr>
        <w:t>در بعضى از نوشته‌ها دُراعه به عنوان لباس اهل روم معرفى شده است كه بر وارداتى بودن اين نوع لباس دلالت مى‌كند</w:t>
      </w:r>
      <w:r>
        <w:rPr>
          <w:rFonts w:eastAsia="Amiri" w:cs="Amiri" w:ascii="Amiri" w:hAnsi="Amiri"/>
          <w:color w:val="111111"/>
          <w:sz w:val="28"/>
          <w:szCs w:val="28"/>
          <w:rtl w:val="true"/>
          <w:lang w:bidi="ar-SA"/>
        </w:rPr>
        <w:t xml:space="preserve">. </w:t>
      </w:r>
      <w:r>
        <w:rPr>
          <w:rStyle w:val="FootnoteAnchor"/>
          <w:rtl w:val="true"/>
        </w:rPr>
        <w:footnoteReference w:id="1925"/>
      </w:r>
    </w:p>
    <w:p>
      <w:pPr>
        <w:pStyle w:val="Heading6"/>
        <w:numPr>
          <w:ilvl w:val="5"/>
          <w:numId w:val="1"/>
        </w:numPr>
        <w:rPr/>
      </w:pPr>
      <w:bookmarkStart w:id="2182" w:name="__RefHeading___Toc3586271_3650668749"/>
      <w:bookmarkStart w:id="2183" w:name="_Toc932"/>
      <w:bookmarkEnd w:id="2182"/>
      <w:r>
        <w:rPr>
          <w:rtl w:val="true"/>
        </w:rPr>
        <w:t xml:space="preserve">چهاردهم </w:t>
      </w:r>
      <w:r>
        <w:rPr>
          <w:rtl w:val="true"/>
        </w:rPr>
        <w:t xml:space="preserve">- </w:t>
      </w:r>
      <w:r>
        <w:rPr>
          <w:rtl w:val="true"/>
        </w:rPr>
        <w:t>رِداء</w:t>
      </w:r>
      <w:bookmarkEnd w:id="2183"/>
    </w:p>
    <w:p>
      <w:pPr>
        <w:pStyle w:val="BookText"/>
        <w:rPr/>
      </w:pPr>
      <w:r>
        <w:rPr>
          <w:rFonts w:ascii="IRNazanin" w:hAnsi="IRNazanin" w:eastAsia="IRNazanin"/>
          <w:color w:val="111111"/>
          <w:sz w:val="28"/>
          <w:sz w:val="28"/>
          <w:szCs w:val="28"/>
          <w:rtl w:val="true"/>
          <w:lang w:bidi="fa-IR"/>
        </w:rPr>
        <w:t>رِداء به هر نوع پوشش يك دست و ندوخته گفته مى‌شد كه براى پوشاندن</w:t>
      </w:r>
    </w:p>
    <w:p>
      <w:pPr>
        <w:pStyle w:val="BookText"/>
        <w:rPr/>
      </w:pPr>
      <w:r>
        <w:rPr>
          <w:rFonts w:ascii="IRNazanin" w:hAnsi="IRNazanin" w:eastAsia="IRNazanin"/>
          <w:color w:val="111111"/>
          <w:sz w:val="28"/>
          <w:sz w:val="28"/>
          <w:szCs w:val="28"/>
          <w:rtl w:val="true"/>
          <w:lang w:bidi="fa-IR"/>
        </w:rPr>
        <w:t>قسمت بالاى بدن از آن استفاده مى‌شد و معمولاً آن را روى شانه‌اى مى‌انداختند و يك طرف آن را از زير گردن رد كرده و به روى شانه ديگر مى‌افكندند</w:t>
      </w:r>
      <w:r>
        <w:rPr>
          <w:rFonts w:eastAsia="IRNazanin" w:cs="IRNazanin"/>
          <w:color w:val="111111"/>
          <w:sz w:val="28"/>
          <w:szCs w:val="28"/>
          <w:rtl w:val="true"/>
          <w:lang w:bidi="fa-IR"/>
        </w:rPr>
        <w:t xml:space="preserve">. </w:t>
      </w:r>
      <w:r>
        <w:rPr>
          <w:rStyle w:val="FootnoteAnchor"/>
          <w:rtl w:val="true"/>
        </w:rPr>
        <w:footnoteReference w:id="1926"/>
      </w:r>
      <w:r>
        <w:rPr>
          <w:rFonts w:ascii="IRNazanin" w:hAnsi="IRNazanin" w:eastAsia="IRNazanin"/>
          <w:color w:val="111111"/>
          <w:sz w:val="28"/>
          <w:sz w:val="28"/>
          <w:szCs w:val="28"/>
          <w:rtl w:val="true"/>
          <w:lang w:bidi="fa-IR"/>
        </w:rPr>
        <w:t>اين پوشش در زمان جاهليت نيز كاربرد داشت</w:t>
      </w:r>
      <w:r>
        <w:rPr>
          <w:rFonts w:eastAsia="IRNazanin" w:cs="IRNazanin"/>
          <w:color w:val="111111"/>
          <w:sz w:val="28"/>
          <w:szCs w:val="28"/>
          <w:rtl w:val="true"/>
          <w:lang w:bidi="fa-IR"/>
        </w:rPr>
        <w:t xml:space="preserve">. </w:t>
      </w:r>
      <w:r>
        <w:rPr>
          <w:rStyle w:val="FootnoteAnchor"/>
          <w:rtl w:val="true"/>
        </w:rPr>
        <w:footnoteReference w:id="1927"/>
      </w:r>
      <w:r>
        <w:rPr>
          <w:rFonts w:ascii="IRNazanin" w:hAnsi="IRNazanin" w:eastAsia="IRNazanin"/>
          <w:color w:val="111111"/>
          <w:sz w:val="28"/>
          <w:sz w:val="28"/>
          <w:szCs w:val="28"/>
          <w:rtl w:val="true"/>
          <w:lang w:bidi="fa-IR"/>
        </w:rPr>
        <w:t xml:space="preserve">اين لفظ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كاربرد فراوان داشت و آن را در مقابل اِزار، براى پوشش قسمت پايين بدن به‌كار مى‌بردند</w:t>
      </w:r>
      <w:r>
        <w:rPr>
          <w:rFonts w:eastAsia="IRNazanin" w:cs="IRNazanin"/>
          <w:color w:val="111111"/>
          <w:sz w:val="28"/>
          <w:szCs w:val="28"/>
          <w:rtl w:val="true"/>
          <w:lang w:bidi="fa-IR"/>
        </w:rPr>
        <w:t xml:space="preserve">. </w:t>
      </w:r>
      <w:r>
        <w:rPr>
          <w:rStyle w:val="FootnoteAnchor"/>
          <w:rtl w:val="true"/>
        </w:rPr>
        <w:footnoteReference w:id="1928"/>
      </w:r>
      <w:r>
        <w:rPr>
          <w:rFonts w:ascii="IRNazanin" w:hAnsi="IRNazanin" w:eastAsia="IRNazanin"/>
          <w:color w:val="111111"/>
          <w:sz w:val="28"/>
          <w:sz w:val="28"/>
          <w:szCs w:val="28"/>
          <w:rtl w:val="true"/>
          <w:lang w:bidi="fa-IR"/>
        </w:rPr>
        <w:t xml:space="preserve">در روايتى چنين آمده است كه ردايى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مى‌كرد از جلو تا روى سينه و از پشت تا پايين كمر، امتداد داشت</w:t>
      </w:r>
      <w:r>
        <w:rPr>
          <w:rFonts w:eastAsia="IRNazanin" w:cs="IRNazanin"/>
          <w:color w:val="111111"/>
          <w:sz w:val="28"/>
          <w:szCs w:val="28"/>
          <w:rtl w:val="true"/>
          <w:lang w:bidi="fa-IR"/>
        </w:rPr>
        <w:t xml:space="preserve">. </w:t>
      </w:r>
      <w:r>
        <w:rPr>
          <w:rStyle w:val="FootnoteAnchor"/>
          <w:rtl w:val="true"/>
        </w:rPr>
        <w:footnoteReference w:id="1929"/>
      </w:r>
    </w:p>
    <w:p>
      <w:pPr>
        <w:pStyle w:val="Heading6"/>
        <w:numPr>
          <w:ilvl w:val="5"/>
          <w:numId w:val="1"/>
        </w:numPr>
        <w:rPr/>
      </w:pPr>
      <w:bookmarkStart w:id="2184" w:name="__RefHeading___Toc3586273_3650668749"/>
      <w:bookmarkStart w:id="2185" w:name="_Toc933"/>
      <w:bookmarkEnd w:id="2184"/>
      <w:r>
        <w:rPr>
          <w:rtl w:val="true"/>
        </w:rPr>
        <w:t xml:space="preserve">پانزدهم </w:t>
      </w:r>
      <w:r>
        <w:rPr>
          <w:rtl w:val="true"/>
        </w:rPr>
        <w:t xml:space="preserve">- </w:t>
      </w:r>
      <w:r>
        <w:rPr>
          <w:rtl w:val="true"/>
        </w:rPr>
        <w:t>رَيْطَه</w:t>
      </w:r>
      <w:bookmarkEnd w:id="2185"/>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لباس رويى كه به صورت يك‌پارچه و ندوخته بود،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نوع لباس در زمان مورد بحث استفاده مى‌شد</w:t>
      </w:r>
      <w:r>
        <w:rPr>
          <w:rFonts w:eastAsia="IRNazanin" w:cs="IRNazanin"/>
          <w:color w:val="111111"/>
          <w:sz w:val="28"/>
          <w:szCs w:val="28"/>
          <w:rtl w:val="true"/>
          <w:lang w:bidi="fa-IR"/>
        </w:rPr>
        <w:t xml:space="preserve">. </w:t>
      </w:r>
      <w:r>
        <w:rPr>
          <w:rStyle w:val="FootnoteAnchor"/>
          <w:rtl w:val="true"/>
        </w:rPr>
        <w:footnoteReference w:id="1930"/>
      </w:r>
      <w:bookmarkStart w:id="2186" w:name="pg1964_19978"/>
    </w:p>
    <w:p>
      <w:pPr>
        <w:pStyle w:val="Heading6"/>
        <w:numPr>
          <w:ilvl w:val="5"/>
          <w:numId w:val="1"/>
        </w:numPr>
        <w:rPr/>
      </w:pPr>
      <w:bookmarkStart w:id="2187" w:name="__RefHeading___Toc3586275_3650668749"/>
      <w:bookmarkStart w:id="2188" w:name="_Toc934"/>
      <w:bookmarkEnd w:id="2186"/>
      <w:bookmarkEnd w:id="2187"/>
      <w:r>
        <w:rPr>
          <w:rtl w:val="true"/>
        </w:rPr>
        <w:t xml:space="preserve">شانزدهم </w:t>
      </w:r>
      <w:r>
        <w:rPr>
          <w:rtl w:val="true"/>
        </w:rPr>
        <w:t xml:space="preserve">- </w:t>
      </w:r>
      <w:r>
        <w:rPr>
          <w:rtl w:val="true"/>
        </w:rPr>
        <w:t>سابِريّ</w:t>
      </w:r>
      <w:bookmarkEnd w:id="2188"/>
    </w:p>
    <w:p>
      <w:pPr>
        <w:pStyle w:val="BookText"/>
        <w:rPr/>
      </w:pPr>
      <w:r>
        <w:rPr>
          <w:rFonts w:ascii="IRNazanin" w:hAnsi="IRNazanin" w:eastAsia="IRNazanin"/>
          <w:color w:val="111111"/>
          <w:sz w:val="28"/>
          <w:sz w:val="28"/>
          <w:szCs w:val="28"/>
          <w:rtl w:val="true"/>
          <w:lang w:bidi="fa-IR"/>
        </w:rPr>
        <w:t>به هر لباس نازك، سابرى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پوشنده اين لباس حالتى بين عريان و شخص پوشيده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لباس يكى از بهترين انواع لباس بود و متقاضيان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روايات تاريخى چنين آمده است كه ابن‌عباس را با اين لباس مشاهده كرده‌اند</w:t>
      </w:r>
      <w:r>
        <w:rPr>
          <w:rFonts w:eastAsia="IRNazanin" w:cs="IRNazanin"/>
          <w:color w:val="111111"/>
          <w:sz w:val="28"/>
          <w:szCs w:val="28"/>
          <w:rtl w:val="true"/>
          <w:lang w:bidi="fa-IR"/>
        </w:rPr>
        <w:t xml:space="preserve">. </w:t>
      </w:r>
      <w:r>
        <w:rPr>
          <w:rStyle w:val="FootnoteAnchor"/>
          <w:rtl w:val="true"/>
        </w:rPr>
        <w:footnoteReference w:id="1931"/>
      </w:r>
    </w:p>
    <w:p>
      <w:pPr>
        <w:pStyle w:val="Heading6"/>
        <w:numPr>
          <w:ilvl w:val="5"/>
          <w:numId w:val="1"/>
        </w:numPr>
        <w:rPr/>
      </w:pPr>
      <w:bookmarkStart w:id="2189" w:name="__RefHeading___Toc3586277_3650668749"/>
      <w:bookmarkStart w:id="2190" w:name="_Toc935"/>
      <w:bookmarkEnd w:id="2189"/>
      <w:r>
        <w:rPr>
          <w:rtl w:val="true"/>
        </w:rPr>
        <w:t xml:space="preserve">هفدهم </w:t>
      </w:r>
      <w:r>
        <w:rPr>
          <w:rtl w:val="true"/>
        </w:rPr>
        <w:t xml:space="preserve">- </w:t>
      </w:r>
      <w:r>
        <w:rPr>
          <w:rtl w:val="true"/>
        </w:rPr>
        <w:t>ساج</w:t>
      </w:r>
      <w:bookmarkEnd w:id="2190"/>
    </w:p>
    <w:p>
      <w:pPr>
        <w:pStyle w:val="BookText"/>
        <w:rPr/>
      </w:pPr>
      <w:r>
        <w:rPr>
          <w:rFonts w:ascii="IRNazanin" w:hAnsi="IRNazanin" w:eastAsia="IRNazanin"/>
          <w:color w:val="111111"/>
          <w:sz w:val="28"/>
          <w:sz w:val="28"/>
          <w:szCs w:val="28"/>
          <w:rtl w:val="true"/>
          <w:lang w:bidi="fa-IR"/>
        </w:rPr>
        <w:t>نوعى جامه سبز رنگ يا به رنگ مشكى بود كه آن را به دوش مى‌انداختند</w:t>
      </w:r>
      <w:r>
        <w:rPr>
          <w:rFonts w:eastAsia="IRNazanin" w:cs="IRNazanin"/>
          <w:color w:val="111111"/>
          <w:sz w:val="28"/>
          <w:szCs w:val="28"/>
          <w:rtl w:val="true"/>
          <w:lang w:bidi="fa-IR"/>
        </w:rPr>
        <w:t xml:space="preserve">. </w:t>
      </w:r>
      <w:r>
        <w:rPr>
          <w:rStyle w:val="FootnoteAnchor"/>
          <w:rtl w:val="true"/>
        </w:rPr>
        <w:footnoteReference w:id="1932"/>
      </w:r>
      <w:r>
        <w:rPr>
          <w:rFonts w:ascii="IRNazanin" w:hAnsi="IRNazanin" w:eastAsia="IRNazanin"/>
          <w:color w:val="111111"/>
          <w:sz w:val="28"/>
          <w:sz w:val="28"/>
          <w:szCs w:val="28"/>
          <w:rtl w:val="true"/>
          <w:lang w:bidi="fa-IR"/>
        </w:rPr>
        <w:t>بعضى گفته‌اند كه از اين نوع لباس هنگام خواب به عنوان لباس خواب استفاده</w:t>
      </w:r>
    </w:p>
    <w:p>
      <w:pPr>
        <w:pStyle w:val="BookText"/>
        <w:rPr/>
      </w:pPr>
      <w:r>
        <w:rPr>
          <w:rFonts w:ascii="IRNazanin" w:hAnsi="IRNazanin" w:eastAsia="IRNazanin"/>
          <w:color w:val="111111"/>
          <w:sz w:val="28"/>
          <w:sz w:val="28"/>
          <w:szCs w:val="28"/>
          <w:rtl w:val="true"/>
          <w:lang w:bidi="fa-IR"/>
        </w:rPr>
        <w:t>مى‌شد</w:t>
      </w:r>
      <w:r>
        <w:rPr>
          <w:rFonts w:eastAsia="IRNazanin" w:cs="IRNazanin"/>
          <w:color w:val="111111"/>
          <w:sz w:val="28"/>
          <w:szCs w:val="28"/>
          <w:rtl w:val="true"/>
          <w:lang w:bidi="fa-IR"/>
        </w:rPr>
        <w:t xml:space="preserve">. </w:t>
      </w:r>
      <w:r>
        <w:rPr>
          <w:rStyle w:val="FootnoteAnchor"/>
          <w:rtl w:val="true"/>
        </w:rPr>
        <w:footnoteReference w:id="1933"/>
      </w:r>
      <w:r>
        <w:rPr>
          <w:rFonts w:ascii="IRNazanin" w:hAnsi="IRNazanin" w:eastAsia="IRNazanin"/>
          <w:color w:val="111111"/>
          <w:sz w:val="28"/>
          <w:sz w:val="28"/>
          <w:szCs w:val="28"/>
          <w:rtl w:val="true"/>
          <w:lang w:bidi="fa-IR"/>
        </w:rPr>
        <w:t xml:space="preserve">در روايات شيعه پوشيدن اين لباس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Style w:val="FootnoteAnchor"/>
          <w:rtl w:val="true"/>
        </w:rPr>
        <w:footnoteReference w:id="1934"/>
      </w:r>
    </w:p>
    <w:p>
      <w:pPr>
        <w:pStyle w:val="Heading6"/>
        <w:numPr>
          <w:ilvl w:val="5"/>
          <w:numId w:val="1"/>
        </w:numPr>
        <w:rPr/>
      </w:pPr>
      <w:bookmarkStart w:id="2191" w:name="__RefHeading___Toc3586279_3650668749"/>
      <w:bookmarkStart w:id="2192" w:name="_Toc936"/>
      <w:bookmarkEnd w:id="2191"/>
      <w:r>
        <w:rPr>
          <w:rtl w:val="true"/>
        </w:rPr>
        <w:t xml:space="preserve">هجدهم </w:t>
      </w:r>
      <w:r>
        <w:rPr>
          <w:rtl w:val="true"/>
        </w:rPr>
        <w:t xml:space="preserve">- </w:t>
      </w:r>
      <w:r>
        <w:rPr>
          <w:rtl w:val="true"/>
        </w:rPr>
        <w:t>سُدوس</w:t>
      </w:r>
      <w:bookmarkEnd w:id="2192"/>
    </w:p>
    <w:p>
      <w:pPr>
        <w:pStyle w:val="BookText"/>
        <w:rPr/>
      </w:pPr>
      <w:r>
        <w:rPr>
          <w:rFonts w:ascii="IRNazanin" w:hAnsi="IRNazanin" w:eastAsia="IRNazanin"/>
          <w:color w:val="111111"/>
          <w:sz w:val="28"/>
          <w:sz w:val="28"/>
          <w:szCs w:val="28"/>
          <w:rtl w:val="true"/>
          <w:lang w:bidi="fa-IR"/>
        </w:rPr>
        <w:t>به هر نوع لباس سبز رنگ گفته مى‌شد</w:t>
      </w:r>
      <w:r>
        <w:rPr>
          <w:rFonts w:eastAsia="IRNazanin" w:cs="IRNazanin"/>
          <w:color w:val="111111"/>
          <w:sz w:val="28"/>
          <w:szCs w:val="28"/>
          <w:rtl w:val="true"/>
          <w:lang w:bidi="fa-IR"/>
        </w:rPr>
        <w:t xml:space="preserve">. </w:t>
      </w:r>
      <w:r>
        <w:rPr>
          <w:rStyle w:val="FootnoteAnchor"/>
          <w:rtl w:val="true"/>
        </w:rPr>
        <w:footnoteReference w:id="1935"/>
      </w:r>
      <w:r>
        <w:rPr>
          <w:rFonts w:ascii="IRNazanin" w:hAnsi="IRNazanin" w:eastAsia="IRNazanin"/>
          <w:color w:val="111111"/>
          <w:sz w:val="28"/>
          <w:sz w:val="28"/>
          <w:szCs w:val="28"/>
          <w:rtl w:val="true"/>
          <w:lang w:bidi="fa-IR"/>
        </w:rPr>
        <w:t>اين نوع لباس‌ها با شروع تجمّل‌گرايى در كوفه رواج يافت و به عنوان لباس خواب مورد استفاده قرار مى‌گرفت</w:t>
      </w:r>
      <w:r>
        <w:rPr>
          <w:rFonts w:eastAsia="IRNazanin" w:cs="IRNazanin"/>
          <w:color w:val="111111"/>
          <w:sz w:val="28"/>
          <w:szCs w:val="28"/>
          <w:rtl w:val="true"/>
          <w:lang w:bidi="fa-IR"/>
        </w:rPr>
        <w:t xml:space="preserve">. </w:t>
      </w:r>
      <w:r>
        <w:rPr>
          <w:rStyle w:val="FootnoteAnchor"/>
          <w:rtl w:val="true"/>
        </w:rPr>
        <w:footnoteReference w:id="1936"/>
      </w:r>
    </w:p>
    <w:p>
      <w:pPr>
        <w:pStyle w:val="Heading6"/>
        <w:numPr>
          <w:ilvl w:val="5"/>
          <w:numId w:val="1"/>
        </w:numPr>
        <w:rPr/>
      </w:pPr>
      <w:bookmarkStart w:id="2193" w:name="__RefHeading___Toc3586281_3650668749"/>
      <w:bookmarkStart w:id="2194" w:name="_Toc937"/>
      <w:bookmarkEnd w:id="2193"/>
      <w:r>
        <w:rPr>
          <w:rtl w:val="true"/>
        </w:rPr>
        <w:t xml:space="preserve">نوزدهم </w:t>
      </w:r>
      <w:r>
        <w:rPr>
          <w:rtl w:val="true"/>
        </w:rPr>
        <w:t xml:space="preserve">- </w:t>
      </w:r>
      <w:r>
        <w:rPr>
          <w:rtl w:val="true"/>
        </w:rPr>
        <w:t>سِرْبال</w:t>
      </w:r>
      <w:bookmarkEnd w:id="2194"/>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لغت كه به صورت جمع،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به‌كار رفته </w:t>
      </w:r>
      <w:r>
        <w:rPr>
          <w:rStyle w:val="FootnoteAnchor"/>
          <w:rtl w:val="true"/>
        </w:rPr>
        <w:footnoteReference w:id="1937"/>
      </w:r>
      <w:r>
        <w:rPr>
          <w:rFonts w:ascii="IRNazanin" w:hAnsi="IRNazanin" w:eastAsia="IRNazanin"/>
          <w:color w:val="111111"/>
          <w:sz w:val="28"/>
          <w:sz w:val="28"/>
          <w:szCs w:val="28"/>
          <w:rtl w:val="true"/>
          <w:lang w:bidi="fa-IR"/>
        </w:rPr>
        <w:t>، به معناى پيراهن يا هر نوع لباس است</w:t>
      </w:r>
      <w:r>
        <w:rPr>
          <w:rFonts w:eastAsia="IRNazanin" w:cs="IRNazanin"/>
          <w:color w:val="111111"/>
          <w:sz w:val="28"/>
          <w:szCs w:val="28"/>
          <w:rtl w:val="true"/>
          <w:lang w:bidi="fa-IR"/>
        </w:rPr>
        <w:t xml:space="preserve">. </w:t>
      </w:r>
      <w:r>
        <w:rPr>
          <w:rStyle w:val="FootnoteAnchor"/>
          <w:rtl w:val="true"/>
        </w:rPr>
        <w:footnoteReference w:id="1938"/>
      </w:r>
      <w:r>
        <w:rPr>
          <w:rFonts w:ascii="Amiri" w:hAnsi="Amiri" w:eastAsia="Amiri" w:cs="Amiri"/>
          <w:color w:val="111111"/>
          <w:sz w:val="28"/>
          <w:sz w:val="28"/>
          <w:szCs w:val="28"/>
          <w:rtl w:val="true"/>
          <w:lang w:bidi="ar-SA"/>
        </w:rPr>
        <w:t>عثمان در كلمات خود از اين لغت استفاده كرده</w:t>
      </w:r>
      <w:bookmarkStart w:id="2195" w:name="pg1964_19979"/>
    </w:p>
    <w:p>
      <w:pPr>
        <w:pStyle w:val="BookText"/>
        <w:rPr/>
      </w:pPr>
      <w:bookmarkEnd w:id="2195"/>
      <w:r>
        <w:rPr>
          <w:rFonts w:ascii="IRNazanin" w:hAnsi="IRNazanin" w:eastAsia="IRNazanin"/>
          <w:color w:val="111111"/>
          <w:sz w:val="28"/>
          <w:sz w:val="28"/>
          <w:szCs w:val="28"/>
          <w:rtl w:val="true"/>
          <w:lang w:bidi="fa-IR"/>
        </w:rPr>
        <w:t xml:space="preserve">است، آنجا كه او از خلافت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كه خدا به او پوشانده است</w:t>
      </w:r>
      <w:r>
        <w:rPr>
          <w:rFonts w:eastAsia="IRNazanin" w:cs="IRNazanin"/>
          <w:color w:val="111111"/>
          <w:sz w:val="28"/>
          <w:szCs w:val="28"/>
          <w:rtl w:val="true"/>
          <w:lang w:bidi="fa-IR"/>
        </w:rPr>
        <w:t xml:space="preserve">. </w:t>
      </w:r>
      <w:r>
        <w:rPr>
          <w:rStyle w:val="FootnoteAnchor"/>
          <w:rtl w:val="true"/>
        </w:rPr>
        <w:footnoteReference w:id="1939"/>
      </w:r>
    </w:p>
    <w:p>
      <w:pPr>
        <w:pStyle w:val="Heading6"/>
        <w:numPr>
          <w:ilvl w:val="5"/>
          <w:numId w:val="1"/>
        </w:numPr>
        <w:rPr/>
      </w:pPr>
      <w:bookmarkStart w:id="2196" w:name="__RefHeading___Toc3586283_3650668749"/>
      <w:bookmarkStart w:id="2197" w:name="_Toc938"/>
      <w:bookmarkEnd w:id="2196"/>
      <w:r>
        <w:rPr>
          <w:rtl w:val="true"/>
        </w:rPr>
        <w:t xml:space="preserve">بيستم </w:t>
      </w:r>
      <w:r>
        <w:rPr>
          <w:rtl w:val="true"/>
        </w:rPr>
        <w:t xml:space="preserve">- </w:t>
      </w:r>
      <w:r>
        <w:rPr>
          <w:rtl w:val="true"/>
        </w:rPr>
        <w:t>شِعار</w:t>
      </w:r>
      <w:bookmarkEnd w:id="2197"/>
    </w:p>
    <w:p>
      <w:pPr>
        <w:pStyle w:val="BookText"/>
        <w:rPr/>
      </w:pPr>
      <w:r>
        <w:rPr>
          <w:rFonts w:ascii="IRNazanin" w:hAnsi="IRNazanin" w:eastAsia="IRNazanin"/>
          <w:color w:val="111111"/>
          <w:sz w:val="28"/>
          <w:sz w:val="28"/>
          <w:szCs w:val="28"/>
          <w:rtl w:val="true"/>
          <w:lang w:bidi="fa-IR"/>
        </w:rPr>
        <w:t>به هر نوع لباس زيرين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هنگام معرفى دِثار، در باره شعار نيز توضيحاتى داده شد</w:t>
      </w:r>
      <w:r>
        <w:rPr>
          <w:rFonts w:eastAsia="IRNazanin" w:cs="IRNazanin"/>
          <w:color w:val="111111"/>
          <w:sz w:val="28"/>
          <w:szCs w:val="28"/>
          <w:rtl w:val="true"/>
          <w:lang w:bidi="fa-IR"/>
        </w:rPr>
        <w:t>.</w:t>
      </w:r>
    </w:p>
    <w:p>
      <w:pPr>
        <w:pStyle w:val="Heading6"/>
        <w:numPr>
          <w:ilvl w:val="5"/>
          <w:numId w:val="1"/>
        </w:numPr>
        <w:rPr/>
      </w:pPr>
      <w:bookmarkStart w:id="2198" w:name="__RefHeading___Toc3586285_3650668749"/>
      <w:bookmarkStart w:id="2199" w:name="_Toc939"/>
      <w:bookmarkEnd w:id="2198"/>
      <w:r>
        <w:rPr>
          <w:rtl w:val="true"/>
        </w:rPr>
        <w:t xml:space="preserve">بيست و يكم </w:t>
      </w:r>
      <w:r>
        <w:rPr>
          <w:rtl w:val="true"/>
        </w:rPr>
        <w:t xml:space="preserve">- </w:t>
      </w:r>
      <w:r>
        <w:rPr>
          <w:rtl w:val="true"/>
        </w:rPr>
        <w:t>شَمْلَة</w:t>
      </w:r>
      <w:bookmarkEnd w:id="2199"/>
    </w:p>
    <w:p>
      <w:pPr>
        <w:pStyle w:val="BookText"/>
        <w:rPr/>
      </w:pPr>
      <w:r>
        <w:rPr>
          <w:rFonts w:ascii="IRNazanin" w:hAnsi="IRNazanin" w:eastAsia="IRNazanin"/>
          <w:color w:val="111111"/>
          <w:sz w:val="28"/>
          <w:sz w:val="28"/>
          <w:szCs w:val="28"/>
          <w:rtl w:val="true"/>
          <w:lang w:bidi="fa-IR"/>
        </w:rPr>
        <w:t>نوعى پوشيدنى دوخته نشده بود كه آن را به خود مى‌پيچيدند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 با بُرده، اين بود كه در حاشيه بُرده، زينت‌هايى بافته مى‌شد، اما شَمله، ساده و</w:t>
      </w:r>
    </w:p>
    <w:p>
      <w:pPr>
        <w:pStyle w:val="BookText"/>
        <w:rPr/>
      </w:pPr>
      <w:r>
        <w:rPr>
          <w:rFonts w:ascii="IRNazanin" w:hAnsi="IRNazanin" w:eastAsia="IRNazanin"/>
          <w:color w:val="111111"/>
          <w:sz w:val="28"/>
          <w:sz w:val="28"/>
          <w:szCs w:val="28"/>
          <w:rtl w:val="true"/>
          <w:lang w:bidi="fa-IR"/>
        </w:rPr>
        <w:t>يك‌پارچه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پوشش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فراوانى داشت</w:t>
      </w:r>
      <w:r>
        <w:rPr>
          <w:rFonts w:eastAsia="IRNazanin" w:cs="IRNazanin"/>
          <w:color w:val="111111"/>
          <w:sz w:val="28"/>
          <w:szCs w:val="28"/>
          <w:rtl w:val="true"/>
          <w:lang w:bidi="fa-IR"/>
        </w:rPr>
        <w:t xml:space="preserve">. </w:t>
      </w:r>
      <w:r>
        <w:rPr>
          <w:rStyle w:val="FootnoteAnchor"/>
          <w:rtl w:val="true"/>
        </w:rPr>
        <w:footnoteReference w:id="1940"/>
      </w:r>
    </w:p>
    <w:p>
      <w:pPr>
        <w:pStyle w:val="Heading6"/>
        <w:numPr>
          <w:ilvl w:val="5"/>
          <w:numId w:val="1"/>
        </w:numPr>
        <w:rPr/>
      </w:pPr>
      <w:bookmarkStart w:id="2200" w:name="__RefHeading___Toc3586287_3650668749"/>
      <w:bookmarkStart w:id="2201" w:name="_Toc940"/>
      <w:bookmarkEnd w:id="2200"/>
      <w:r>
        <w:rPr>
          <w:rtl w:val="true"/>
        </w:rPr>
        <w:t xml:space="preserve">بيست و دوم </w:t>
      </w:r>
      <w:r>
        <w:rPr>
          <w:rtl w:val="true"/>
        </w:rPr>
        <w:t xml:space="preserve">- </w:t>
      </w:r>
      <w:r>
        <w:rPr>
          <w:rtl w:val="true"/>
        </w:rPr>
        <w:t>طاق</w:t>
      </w:r>
      <w:bookmarkEnd w:id="2201"/>
    </w:p>
    <w:p>
      <w:pPr>
        <w:pStyle w:val="BookText"/>
        <w:rPr/>
      </w:pPr>
      <w:r>
        <w:rPr>
          <w:rFonts w:ascii="IRNazanin" w:hAnsi="IRNazanin" w:eastAsia="IRNazanin"/>
          <w:color w:val="111111"/>
          <w:sz w:val="28"/>
          <w:sz w:val="28"/>
          <w:szCs w:val="28"/>
          <w:rtl w:val="true"/>
          <w:lang w:bidi="fa-IR"/>
        </w:rPr>
        <w:t>طاق را طَيلَسان سبز رنگ معنا كرده‌اند</w:t>
      </w:r>
      <w:r>
        <w:rPr>
          <w:rFonts w:eastAsia="IRNazanin" w:cs="IRNazanin"/>
          <w:color w:val="111111"/>
          <w:sz w:val="28"/>
          <w:szCs w:val="28"/>
          <w:rtl w:val="true"/>
          <w:lang w:bidi="fa-IR"/>
        </w:rPr>
        <w:t xml:space="preserve">. </w:t>
      </w:r>
      <w:r>
        <w:rPr>
          <w:rStyle w:val="FootnoteAnchor"/>
          <w:rtl w:val="true"/>
        </w:rPr>
        <w:footnoteReference w:id="1941"/>
      </w:r>
      <w:r>
        <w:rPr>
          <w:rFonts w:ascii="IRNazanin" w:hAnsi="IRNazanin" w:eastAsia="IRNazanin"/>
          <w:color w:val="111111"/>
          <w:sz w:val="28"/>
          <w:sz w:val="28"/>
          <w:szCs w:val="28"/>
          <w:rtl w:val="true"/>
          <w:lang w:bidi="fa-IR"/>
        </w:rPr>
        <w:t xml:space="preserve">در روايات شيعه، پوشيدن اين لباس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Style w:val="FootnoteAnchor"/>
          <w:rtl w:val="true"/>
        </w:rPr>
        <w:footnoteReference w:id="1942"/>
      </w:r>
      <w:r>
        <w:rPr>
          <w:rFonts w:ascii="IRNazanin" w:hAnsi="IRNazanin" w:eastAsia="IRNazanin"/>
          <w:color w:val="111111"/>
          <w:sz w:val="28"/>
          <w:sz w:val="28"/>
          <w:szCs w:val="28"/>
          <w:rtl w:val="true"/>
          <w:lang w:bidi="fa-IR"/>
        </w:rPr>
        <w:t xml:space="preserve">همچنين در تاريخ چنين آمده است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نوع لباس استفاده مى‌كرد</w:t>
      </w:r>
      <w:r>
        <w:rPr>
          <w:rFonts w:eastAsia="IRNazanin" w:cs="IRNazanin"/>
          <w:color w:val="111111"/>
          <w:sz w:val="28"/>
          <w:szCs w:val="28"/>
          <w:rtl w:val="true"/>
          <w:lang w:bidi="fa-IR"/>
        </w:rPr>
        <w:t xml:space="preserve">. </w:t>
      </w:r>
      <w:r>
        <w:rPr>
          <w:rStyle w:val="FootnoteAnchor"/>
          <w:rtl w:val="true"/>
        </w:rPr>
        <w:footnoteReference w:id="1943"/>
      </w:r>
    </w:p>
    <w:p>
      <w:pPr>
        <w:pStyle w:val="Heading6"/>
        <w:numPr>
          <w:ilvl w:val="5"/>
          <w:numId w:val="1"/>
        </w:numPr>
        <w:rPr/>
      </w:pPr>
      <w:bookmarkStart w:id="2202" w:name="__RefHeading___Toc3586289_3650668749"/>
      <w:bookmarkStart w:id="2203" w:name="_Toc941"/>
      <w:bookmarkEnd w:id="2202"/>
      <w:r>
        <w:rPr>
          <w:rtl w:val="true"/>
        </w:rPr>
        <w:t xml:space="preserve">بيست و سوم </w:t>
      </w:r>
      <w:r>
        <w:rPr>
          <w:rtl w:val="true"/>
        </w:rPr>
        <w:t xml:space="preserve">- </w:t>
      </w:r>
      <w:r>
        <w:rPr>
          <w:rtl w:val="true"/>
        </w:rPr>
        <w:t>طَيْلَسان</w:t>
      </w:r>
      <w:bookmarkEnd w:id="2203"/>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لغت، عربى شده لغت 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1944"/>
      </w:r>
      <w:r>
        <w:rPr>
          <w:rFonts w:ascii="IRNazanin" w:hAnsi="IRNazanin" w:eastAsia="IRNazanin"/>
          <w:color w:val="111111"/>
          <w:sz w:val="28"/>
          <w:sz w:val="28"/>
          <w:szCs w:val="28"/>
          <w:rtl w:val="true"/>
          <w:lang w:bidi="fa-IR"/>
        </w:rPr>
        <w:t>طيلسان جامه گشاد و بلندى بود كه روى سر و شانه‌ها و روى عمامه و قلنسوه و در دو طرف صورت و سينه يا فقط روى شانه‌ها مى‌انداختند</w:t>
      </w:r>
      <w:r>
        <w:rPr>
          <w:rFonts w:eastAsia="IRNazanin" w:cs="IRNazanin"/>
          <w:color w:val="111111"/>
          <w:sz w:val="28"/>
          <w:szCs w:val="28"/>
          <w:rtl w:val="true"/>
          <w:lang w:bidi="fa-IR"/>
        </w:rPr>
        <w:t xml:space="preserve">. </w:t>
      </w:r>
      <w:r>
        <w:rPr>
          <w:rStyle w:val="FootnoteAnchor"/>
          <w:rtl w:val="true"/>
        </w:rPr>
        <w:footnoteReference w:id="1945"/>
      </w:r>
      <w:r>
        <w:rPr>
          <w:rFonts w:ascii="Amiri" w:hAnsi="Amiri" w:eastAsia="Amiri" w:cs="Amiri"/>
          <w:color w:val="111111"/>
          <w:sz w:val="28"/>
          <w:sz w:val="28"/>
          <w:szCs w:val="28"/>
          <w:rtl w:val="true"/>
          <w:lang w:bidi="ar-SA"/>
        </w:rPr>
        <w:t>عرب‌هاى جاهلى نيز اين نوع لباس را لباسى فاخر</w:t>
      </w:r>
      <w:bookmarkStart w:id="2204" w:name="pg1964_19980"/>
    </w:p>
    <w:p>
      <w:pPr>
        <w:pStyle w:val="BookText"/>
        <w:rPr/>
      </w:pPr>
      <w:bookmarkEnd w:id="2204"/>
      <w:r>
        <w:rPr>
          <w:rFonts w:ascii="IRNazanin" w:hAnsi="IRNazanin" w:eastAsia="IRNazanin"/>
          <w:color w:val="111111"/>
          <w:sz w:val="28"/>
          <w:sz w:val="28"/>
          <w:szCs w:val="28"/>
          <w:rtl w:val="true"/>
          <w:lang w:bidi="fa-IR"/>
        </w:rPr>
        <w:t>مى‌شناختند و آن را در مناسبات مختلف، مانند مراسم حج و برپايى بازارها مى‌پوشيدند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جلوى بعضى از طيلسان‌ها دگمه‌هايى نيز تعبيه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اين نوع لباس يك‌پارچه و به صورت مستطيل شكل و با اندازه‌هاى متفاوت بود</w:t>
      </w:r>
      <w:r>
        <w:rPr>
          <w:rFonts w:eastAsia="IRNazanin" w:cs="IRNazanin"/>
          <w:color w:val="111111"/>
          <w:sz w:val="28"/>
          <w:szCs w:val="28"/>
          <w:rtl w:val="true"/>
          <w:lang w:bidi="fa-IR"/>
        </w:rPr>
        <w:t xml:space="preserve">. </w:t>
      </w:r>
      <w:r>
        <w:rPr>
          <w:rStyle w:val="FootnoteAnchor"/>
          <w:rtl w:val="true"/>
        </w:rPr>
        <w:footnoteReference w:id="1946"/>
      </w:r>
      <w:r>
        <w:rPr>
          <w:rFonts w:ascii="Amiri" w:hAnsi="Amiri" w:eastAsia="Amiri" w:cs="Amiri"/>
          <w:color w:val="111111"/>
          <w:sz w:val="28"/>
          <w:sz w:val="28"/>
          <w:szCs w:val="28"/>
          <w:rtl w:val="true"/>
          <w:lang w:bidi="ar-SA"/>
        </w:rPr>
        <w:t>در بعضى از نوشته‌ها، طيلسان به عنوان لباس خواب معرفى شده است</w:t>
      </w:r>
      <w:r>
        <w:rPr>
          <w:rFonts w:eastAsia="Amiri" w:cs="Amiri" w:ascii="Amiri" w:hAnsi="Amiri"/>
          <w:color w:val="111111"/>
          <w:sz w:val="28"/>
          <w:szCs w:val="28"/>
          <w:rtl w:val="true"/>
          <w:lang w:bidi="ar-SA"/>
        </w:rPr>
        <w:t xml:space="preserve">. </w:t>
      </w:r>
      <w:r>
        <w:rPr>
          <w:rStyle w:val="FootnoteAnchor"/>
          <w:rtl w:val="true"/>
        </w:rPr>
        <w:footnoteReference w:id="1947"/>
      </w:r>
      <w:r>
        <w:rPr>
          <w:rFonts w:ascii="IRNazanin" w:hAnsi="IRNazanin" w:eastAsia="IRNazanin"/>
          <w:color w:val="111111"/>
          <w:sz w:val="28"/>
          <w:sz w:val="28"/>
          <w:szCs w:val="28"/>
          <w:rtl w:val="true"/>
          <w:lang w:bidi="fa-IR"/>
        </w:rPr>
        <w:t xml:space="preserve">در روايات شيعه چنين آمده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طيلسانى آبى رنگ داشته است</w:t>
      </w:r>
      <w:r>
        <w:rPr>
          <w:rFonts w:eastAsia="IRNazanin" w:cs="IRNazanin"/>
          <w:color w:val="111111"/>
          <w:sz w:val="28"/>
          <w:szCs w:val="28"/>
          <w:rtl w:val="true"/>
          <w:lang w:bidi="fa-IR"/>
        </w:rPr>
        <w:t xml:space="preserve">. </w:t>
      </w:r>
      <w:r>
        <w:rPr>
          <w:rStyle w:val="FootnoteAnchor"/>
          <w:rtl w:val="true"/>
        </w:rPr>
        <w:footnoteReference w:id="1948"/>
      </w:r>
    </w:p>
    <w:p>
      <w:pPr>
        <w:pStyle w:val="Heading6"/>
        <w:numPr>
          <w:ilvl w:val="5"/>
          <w:numId w:val="1"/>
        </w:numPr>
        <w:rPr/>
      </w:pPr>
      <w:bookmarkStart w:id="2205" w:name="__RefHeading___Toc3586291_3650668749"/>
      <w:bookmarkStart w:id="2206" w:name="_Toc942"/>
      <w:bookmarkEnd w:id="2205"/>
      <w:r>
        <w:rPr>
          <w:rtl w:val="true"/>
        </w:rPr>
        <w:t xml:space="preserve">بيست و چهارم </w:t>
      </w:r>
      <w:r>
        <w:rPr>
          <w:rtl w:val="true"/>
        </w:rPr>
        <w:t xml:space="preserve">- </w:t>
      </w:r>
      <w:r>
        <w:rPr>
          <w:rtl w:val="true"/>
        </w:rPr>
        <w:t xml:space="preserve">عَباء </w:t>
      </w:r>
      <w:r>
        <w:rPr>
          <w:rtl w:val="true"/>
        </w:rPr>
        <w:t>(</w:t>
      </w:r>
      <w:r>
        <w:rPr>
          <w:rtl w:val="true"/>
        </w:rPr>
        <w:t>عَباءَه</w:t>
      </w:r>
      <w:r>
        <w:rPr>
          <w:rtl w:val="true"/>
        </w:rPr>
        <w:t>)</w:t>
      </w:r>
      <w:bookmarkEnd w:id="2206"/>
    </w:p>
    <w:p>
      <w:pPr>
        <w:pStyle w:val="BookText"/>
        <w:rPr/>
      </w:pPr>
      <w:r>
        <w:rPr>
          <w:rFonts w:ascii="IRNazanin" w:hAnsi="IRNazanin" w:eastAsia="IRNazanin"/>
          <w:color w:val="111111"/>
          <w:sz w:val="28"/>
          <w:sz w:val="28"/>
          <w:szCs w:val="28"/>
          <w:rtl w:val="true"/>
          <w:lang w:bidi="fa-IR"/>
        </w:rPr>
        <w:t>نوعى روپوش دوخته شده و جلوباز و بدون آستين يا با آستين‌هاى كوتاه</w:t>
      </w:r>
    </w:p>
    <w:p>
      <w:pPr>
        <w:pStyle w:val="BookText"/>
        <w:rPr/>
      </w:pPr>
      <w:r>
        <w:rPr>
          <w:rFonts w:ascii="IRNazanin" w:hAnsi="IRNazanin" w:eastAsia="IRNazanin"/>
          <w:color w:val="111111"/>
          <w:sz w:val="28"/>
          <w:sz w:val="28"/>
          <w:szCs w:val="28"/>
          <w:rtl w:val="true"/>
          <w:lang w:bidi="fa-IR"/>
        </w:rPr>
        <w:t>بود كه عرب‌ها از آن بسيار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بدون آستين آن، دو سوراخ در دو طرف آن تعبيه شده بود كه دست‌ها را از آن مى‌گذراندند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عَباء از پشم تهيه و روى همه لباس‌ها پوشيده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از عَباء نيز استفاده‌هاى ديگرى، همچون رختخواب يا اِزار مى‌نمودند </w:t>
      </w:r>
      <w:r>
        <w:rPr>
          <w:rStyle w:val="FootnoteAnchor"/>
          <w:rtl w:val="true"/>
        </w:rPr>
        <w:footnoteReference w:id="1949"/>
      </w:r>
      <w:r>
        <w:rPr>
          <w:rFonts w:ascii="IRNazanin" w:hAnsi="IRNazanin" w:eastAsia="IRNazanin"/>
          <w:color w:val="111111"/>
          <w:sz w:val="28"/>
          <w:sz w:val="28"/>
          <w:szCs w:val="28"/>
          <w:rtl w:val="true"/>
          <w:lang w:bidi="fa-IR"/>
        </w:rPr>
        <w:t>، حتى در بعضى موارد از آن به عنوان پول رايج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كه در زمان عُمر با اهل انبار مصالحه كرد، مورد مصالحه، پرداخت چهارصد هزار درهم و هزار عَباء در هر سال بود</w:t>
      </w:r>
      <w:r>
        <w:rPr>
          <w:rFonts w:eastAsia="IRNazanin" w:cs="IRNazanin"/>
          <w:color w:val="111111"/>
          <w:sz w:val="28"/>
          <w:szCs w:val="28"/>
          <w:rtl w:val="true"/>
          <w:lang w:bidi="fa-IR"/>
        </w:rPr>
        <w:t xml:space="preserve">. </w:t>
      </w:r>
      <w:r>
        <w:rPr>
          <w:rStyle w:val="FootnoteAnchor"/>
          <w:rtl w:val="true"/>
        </w:rPr>
        <w:footnoteReference w:id="1950"/>
      </w:r>
    </w:p>
    <w:p>
      <w:pPr>
        <w:pStyle w:val="Heading6"/>
        <w:numPr>
          <w:ilvl w:val="5"/>
          <w:numId w:val="1"/>
        </w:numPr>
        <w:rPr/>
      </w:pPr>
      <w:bookmarkStart w:id="2207" w:name="__RefHeading___Toc3586293_3650668749"/>
      <w:bookmarkStart w:id="2208" w:name="_Toc943"/>
      <w:bookmarkEnd w:id="2207"/>
      <w:r>
        <w:rPr>
          <w:rtl w:val="true"/>
        </w:rPr>
        <w:t xml:space="preserve">بيست و پنجم </w:t>
      </w:r>
      <w:r>
        <w:rPr>
          <w:rtl w:val="true"/>
        </w:rPr>
        <w:t xml:space="preserve">- </w:t>
      </w:r>
      <w:r>
        <w:rPr>
          <w:rtl w:val="true"/>
        </w:rPr>
        <w:t>غِلالَه</w:t>
      </w:r>
      <w:bookmarkEnd w:id="2208"/>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لغت به معناى لباس زير آمده است</w:t>
      </w:r>
      <w:r>
        <w:rPr>
          <w:rFonts w:eastAsia="Amiri" w:cs="Amiri" w:ascii="Amiri" w:hAnsi="Amiri"/>
          <w:color w:val="111111"/>
          <w:sz w:val="28"/>
          <w:szCs w:val="28"/>
          <w:rtl w:val="true"/>
          <w:lang w:bidi="ar-SA"/>
        </w:rPr>
        <w:t xml:space="preserve">. </w:t>
      </w:r>
      <w:r>
        <w:rPr>
          <w:rStyle w:val="FootnoteAnchor"/>
          <w:rtl w:val="true"/>
        </w:rPr>
        <w:footnoteReference w:id="1951"/>
      </w:r>
      <w:r>
        <w:rPr>
          <w:rFonts w:ascii="IRNazanin" w:hAnsi="IRNazanin" w:eastAsia="IRNazanin"/>
          <w:color w:val="111111"/>
          <w:sz w:val="28"/>
          <w:sz w:val="28"/>
          <w:szCs w:val="28"/>
          <w:rtl w:val="true"/>
          <w:lang w:bidi="fa-IR"/>
        </w:rPr>
        <w:t>البته بعضى آن را به معناى پيراهن بسيار نازك زنانه كه معمولاً زرد رنگ و بدن‌نما بود، ترجمه كرده‌اند</w:t>
      </w:r>
      <w:r>
        <w:rPr>
          <w:rFonts w:eastAsia="IRNazanin" w:cs="IRNazanin"/>
          <w:color w:val="111111"/>
          <w:sz w:val="28"/>
          <w:szCs w:val="28"/>
          <w:rtl w:val="true"/>
          <w:lang w:bidi="fa-IR"/>
        </w:rPr>
        <w:t xml:space="preserve">. </w:t>
      </w:r>
      <w:r>
        <w:rPr>
          <w:rStyle w:val="FootnoteAnchor"/>
          <w:rtl w:val="true"/>
        </w:rPr>
        <w:footnoteReference w:id="1952"/>
      </w:r>
      <w:r>
        <w:rPr>
          <w:rFonts w:ascii="Amiri" w:hAnsi="Amiri" w:eastAsia="Amiri" w:cs="Amiri"/>
          <w:color w:val="111111"/>
          <w:sz w:val="28"/>
          <w:sz w:val="28"/>
          <w:szCs w:val="28"/>
          <w:rtl w:val="true"/>
          <w:lang w:bidi="ar-SA"/>
        </w:rPr>
        <w:t xml:space="preserve">اين كلمه درباره قطامه به‌كار رفته </w:t>
      </w:r>
      <w:r>
        <w:rPr>
          <w:rStyle w:val="FootnoteAnchor"/>
          <w:rtl w:val="true"/>
        </w:rPr>
        <w:footnoteReference w:id="1953"/>
      </w:r>
      <w:r>
        <w:rPr>
          <w:rFonts w:ascii="IRNazanin" w:hAnsi="IRNazanin" w:eastAsia="IRNazanin"/>
          <w:color w:val="111111"/>
          <w:sz w:val="28"/>
          <w:sz w:val="28"/>
          <w:szCs w:val="28"/>
          <w:rtl w:val="true"/>
          <w:lang w:bidi="fa-IR"/>
        </w:rPr>
        <w:t>كه با هر دو معنا سازگار است</w:t>
      </w:r>
      <w:r>
        <w:rPr>
          <w:rFonts w:eastAsia="IRNazanin" w:cs="IRNazanin"/>
          <w:color w:val="111111"/>
          <w:sz w:val="28"/>
          <w:szCs w:val="28"/>
          <w:rtl w:val="true"/>
          <w:lang w:bidi="fa-IR"/>
        </w:rPr>
        <w:t>.</w:t>
      </w:r>
      <w:bookmarkStart w:id="2209" w:name="pg1964_19981"/>
    </w:p>
    <w:p>
      <w:pPr>
        <w:pStyle w:val="Heading6"/>
        <w:numPr>
          <w:ilvl w:val="5"/>
          <w:numId w:val="1"/>
        </w:numPr>
        <w:rPr/>
      </w:pPr>
      <w:bookmarkStart w:id="2210" w:name="__RefHeading___Toc3586295_3650668749"/>
      <w:bookmarkStart w:id="2211" w:name="_Toc944"/>
      <w:bookmarkEnd w:id="2209"/>
      <w:bookmarkEnd w:id="2210"/>
      <w:r>
        <w:rPr>
          <w:rtl w:val="true"/>
        </w:rPr>
        <w:t xml:space="preserve">بيست و ششم </w:t>
      </w:r>
      <w:r>
        <w:rPr>
          <w:rtl w:val="true"/>
        </w:rPr>
        <w:t xml:space="preserve">- </w:t>
      </w:r>
      <w:r>
        <w:rPr>
          <w:rtl w:val="true"/>
        </w:rPr>
        <w:t>قَباء</w:t>
      </w:r>
      <w:bookmarkEnd w:id="2211"/>
    </w:p>
    <w:p>
      <w:pPr>
        <w:pStyle w:val="BookText"/>
        <w:rPr/>
      </w:pPr>
      <w:r>
        <w:rPr>
          <w:rFonts w:ascii="Amiri" w:hAnsi="Amiri" w:eastAsia="Amiri" w:cs="Amiri"/>
          <w:color w:val="111111"/>
          <w:sz w:val="28"/>
          <w:sz w:val="28"/>
          <w:szCs w:val="28"/>
          <w:rtl w:val="true"/>
          <w:lang w:bidi="ar-SA"/>
        </w:rPr>
        <w:t>قَباء را به لباس روى مردانه كه به‌طور مورب از زير بغل باز مى‌شد، معنا نموده‌اند</w:t>
      </w:r>
      <w:r>
        <w:rPr>
          <w:rFonts w:eastAsia="Amiri" w:cs="Amiri" w:ascii="Amiri" w:hAnsi="Amiri"/>
          <w:color w:val="111111"/>
          <w:sz w:val="28"/>
          <w:szCs w:val="28"/>
          <w:rtl w:val="true"/>
          <w:lang w:bidi="ar-SA"/>
        </w:rPr>
        <w:t xml:space="preserve">. </w:t>
      </w:r>
      <w:r>
        <w:rPr>
          <w:rStyle w:val="FootnoteAnchor"/>
          <w:rtl w:val="true"/>
        </w:rPr>
        <w:footnoteReference w:id="1954"/>
      </w:r>
      <w:r>
        <w:rPr>
          <w:rFonts w:ascii="IRNazanin" w:hAnsi="IRNazanin" w:eastAsia="IRNazanin"/>
          <w:color w:val="111111"/>
          <w:sz w:val="28"/>
          <w:sz w:val="28"/>
          <w:szCs w:val="28"/>
          <w:rtl w:val="true"/>
          <w:lang w:bidi="fa-IR"/>
        </w:rPr>
        <w:t>اين نوع لباس، مخصوص ايرانيان بود و عرب‌ها استفاده از آن را از ايرانيان گرفتند</w:t>
      </w:r>
      <w:r>
        <w:rPr>
          <w:rFonts w:eastAsia="IRNazanin" w:cs="IRNazanin"/>
          <w:color w:val="111111"/>
          <w:sz w:val="28"/>
          <w:szCs w:val="28"/>
          <w:rtl w:val="true"/>
          <w:lang w:bidi="fa-IR"/>
        </w:rPr>
        <w:t xml:space="preserve">. </w:t>
      </w:r>
      <w:r>
        <w:rPr>
          <w:rStyle w:val="FootnoteAnchor"/>
          <w:rtl w:val="true"/>
        </w:rPr>
        <w:footnoteReference w:id="1955"/>
      </w:r>
      <w:r>
        <w:rPr>
          <w:rFonts w:ascii="Amiri" w:hAnsi="Amiri" w:eastAsia="Amiri" w:cs="Amiri"/>
          <w:color w:val="111111"/>
          <w:sz w:val="28"/>
          <w:sz w:val="28"/>
          <w:szCs w:val="28"/>
          <w:rtl w:val="true"/>
          <w:lang w:bidi="ar-SA"/>
        </w:rPr>
        <w:t>طبق بعضى نوشته‌ها اعراب جاهلى از اين نوع لباس استفاده مى‌كردند</w:t>
      </w:r>
      <w:r>
        <w:rPr>
          <w:rFonts w:eastAsia="Amiri" w:cs="Amiri" w:ascii="Amiri" w:hAnsi="Amiri"/>
          <w:color w:val="111111"/>
          <w:sz w:val="28"/>
          <w:szCs w:val="28"/>
          <w:rtl w:val="true"/>
          <w:lang w:bidi="ar-SA"/>
        </w:rPr>
        <w:t xml:space="preserve">. </w:t>
      </w:r>
      <w:r>
        <w:rPr>
          <w:rStyle w:val="FootnoteAnchor"/>
          <w:rtl w:val="true"/>
        </w:rPr>
        <w:footnoteReference w:id="1956"/>
      </w:r>
      <w:r>
        <w:rPr>
          <w:rFonts w:ascii="IRNazanin" w:hAnsi="IRNazanin" w:eastAsia="IRNazanin"/>
          <w:color w:val="111111"/>
          <w:sz w:val="28"/>
          <w:sz w:val="28"/>
          <w:szCs w:val="28"/>
          <w:rtl w:val="true"/>
          <w:lang w:bidi="fa-IR"/>
        </w:rPr>
        <w:t xml:space="preserve">نيز گفته شده است كه استفاده از اين لباس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شمردن سنت‌هاى قوم لوط كه در ميان مسلمانان</w:t>
      </w:r>
    </w:p>
    <w:p>
      <w:pPr>
        <w:pStyle w:val="BookText"/>
        <w:rPr/>
      </w:pPr>
      <w:r>
        <w:rPr>
          <w:rFonts w:ascii="IRNazanin" w:hAnsi="IRNazanin" w:eastAsia="IRNazanin"/>
          <w:color w:val="111111"/>
          <w:sz w:val="28"/>
          <w:sz w:val="28"/>
          <w:szCs w:val="28"/>
          <w:rtl w:val="true"/>
          <w:lang w:bidi="fa-IR"/>
        </w:rPr>
        <w:t xml:space="preserve">رواج پيدا كرده، باز گذاشتن دگمه‌هاى قباء را از آن جمله مى‌داند </w:t>
      </w:r>
      <w:r>
        <w:rPr>
          <w:rStyle w:val="FootnoteAnchor"/>
          <w:rtl w:val="true"/>
        </w:rPr>
        <w:footnoteReference w:id="1957"/>
      </w:r>
      <w:r>
        <w:rPr>
          <w:rFonts w:ascii="IRNazanin" w:hAnsi="IRNazanin" w:eastAsia="IRNazanin"/>
          <w:color w:val="111111"/>
          <w:sz w:val="28"/>
          <w:sz w:val="28"/>
          <w:szCs w:val="28"/>
          <w:rtl w:val="true"/>
          <w:lang w:bidi="fa-IR"/>
        </w:rPr>
        <w:t>كه علاوه بر وجود دگمه براى قباء بر اصل استفاده از آن نيز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 يافتن تجمّلات در ميان عرب‌ها قباهايى از اجناس عالى تهيه مى‌شد، چنان‌كه گفته شده است كه قباى زياد، از جنس سُندس بود</w:t>
      </w:r>
      <w:r>
        <w:rPr>
          <w:rFonts w:eastAsia="IRNazanin" w:cs="IRNazanin"/>
          <w:color w:val="111111"/>
          <w:sz w:val="28"/>
          <w:szCs w:val="28"/>
          <w:rtl w:val="true"/>
          <w:lang w:bidi="fa-IR"/>
        </w:rPr>
        <w:t xml:space="preserve">. </w:t>
      </w:r>
      <w:r>
        <w:rPr>
          <w:rStyle w:val="FootnoteAnchor"/>
          <w:rtl w:val="true"/>
        </w:rPr>
        <w:footnoteReference w:id="1958"/>
      </w:r>
      <w:r>
        <w:rPr>
          <w:rFonts w:ascii="IRNazanin" w:hAnsi="IRNazanin" w:eastAsia="IRNazanin"/>
          <w:color w:val="111111"/>
          <w:sz w:val="28"/>
          <w:sz w:val="28"/>
          <w:szCs w:val="28"/>
          <w:rtl w:val="true"/>
          <w:lang w:bidi="fa-IR"/>
        </w:rPr>
        <w:t>و همين‌طور او را اولين كسى دانسته‌اند كه قباى ديباج پوشيد</w:t>
      </w:r>
      <w:r>
        <w:rPr>
          <w:rFonts w:eastAsia="IRNazanin" w:cs="IRNazanin"/>
          <w:color w:val="111111"/>
          <w:sz w:val="28"/>
          <w:szCs w:val="28"/>
          <w:rtl w:val="true"/>
          <w:lang w:bidi="fa-IR"/>
        </w:rPr>
        <w:t xml:space="preserve">. </w:t>
      </w:r>
      <w:r>
        <w:rPr>
          <w:rStyle w:val="FootnoteAnchor"/>
          <w:rtl w:val="true"/>
        </w:rPr>
        <w:footnoteReference w:id="1959"/>
      </w:r>
    </w:p>
    <w:p>
      <w:pPr>
        <w:pStyle w:val="Heading6"/>
        <w:numPr>
          <w:ilvl w:val="5"/>
          <w:numId w:val="1"/>
        </w:numPr>
        <w:rPr/>
      </w:pPr>
      <w:bookmarkStart w:id="2212" w:name="__RefHeading___Toc3586297_3650668749"/>
      <w:bookmarkStart w:id="2213" w:name="_Toc945"/>
      <w:bookmarkEnd w:id="2212"/>
      <w:r>
        <w:rPr>
          <w:rtl w:val="true"/>
        </w:rPr>
        <w:t xml:space="preserve">بيست و هفتم </w:t>
      </w:r>
      <w:r>
        <w:rPr>
          <w:rtl w:val="true"/>
        </w:rPr>
        <w:t xml:space="preserve">- </w:t>
      </w:r>
      <w:r>
        <w:rPr>
          <w:rtl w:val="true"/>
        </w:rPr>
        <w:t>قَسّي</w:t>
      </w:r>
      <w:bookmarkEnd w:id="2213"/>
    </w:p>
    <w:p>
      <w:pPr>
        <w:pStyle w:val="BookText"/>
        <w:rPr/>
      </w:pPr>
      <w:r>
        <w:rPr>
          <w:rFonts w:ascii="Amiri" w:hAnsi="Amiri" w:eastAsia="Amiri" w:cs="Amiri"/>
          <w:color w:val="111111"/>
          <w:sz w:val="28"/>
          <w:sz w:val="28"/>
          <w:szCs w:val="28"/>
          <w:rtl w:val="true"/>
          <w:lang w:bidi="ar-SA"/>
        </w:rPr>
        <w:t xml:space="preserve">نوعى لباس تهيه شده از كتان مخلوط با حرير بود كه در روستايى از مصر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مى‌شد</w:t>
      </w:r>
      <w:r>
        <w:rPr>
          <w:rFonts w:eastAsia="Amiri" w:cs="Amiri" w:ascii="Amiri" w:hAnsi="Amiri"/>
          <w:color w:val="111111"/>
          <w:sz w:val="28"/>
          <w:szCs w:val="28"/>
          <w:rtl w:val="true"/>
          <w:lang w:bidi="ar-SA"/>
        </w:rPr>
        <w:t xml:space="preserve">. </w:t>
      </w:r>
      <w:r>
        <w:rPr>
          <w:rStyle w:val="FootnoteAnchor"/>
          <w:rtl w:val="true"/>
        </w:rPr>
        <w:footnoteReference w:id="1960"/>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پوشيدن اين لباس نهى فرمودند</w:t>
      </w:r>
      <w:r>
        <w:rPr>
          <w:rFonts w:eastAsia="IRNazanin" w:cs="IRNazanin"/>
          <w:color w:val="111111"/>
          <w:sz w:val="28"/>
          <w:szCs w:val="28"/>
          <w:rtl w:val="true"/>
          <w:lang w:bidi="fa-IR"/>
        </w:rPr>
        <w:t xml:space="preserve">. </w:t>
      </w:r>
      <w:r>
        <w:rPr>
          <w:rStyle w:val="FootnoteAnchor"/>
          <w:rtl w:val="true"/>
        </w:rPr>
        <w:footnoteReference w:id="1961"/>
      </w:r>
    </w:p>
    <w:p>
      <w:pPr>
        <w:pStyle w:val="Heading6"/>
        <w:numPr>
          <w:ilvl w:val="5"/>
          <w:numId w:val="1"/>
        </w:numPr>
        <w:rPr/>
      </w:pPr>
      <w:bookmarkStart w:id="2214" w:name="__RefHeading___Toc3586299_3650668749"/>
      <w:bookmarkStart w:id="2215" w:name="_Toc946"/>
      <w:bookmarkEnd w:id="2214"/>
      <w:r>
        <w:rPr>
          <w:rtl w:val="true"/>
        </w:rPr>
        <w:t xml:space="preserve">بيست و هشتم </w:t>
      </w:r>
      <w:r>
        <w:rPr>
          <w:rtl w:val="true"/>
        </w:rPr>
        <w:t xml:space="preserve">- </w:t>
      </w:r>
      <w:r>
        <w:rPr>
          <w:rtl w:val="true"/>
        </w:rPr>
        <w:t>قَطيفَه</w:t>
      </w:r>
      <w:bookmarkEnd w:id="2215"/>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به معناى جامه رويى كُرك و ريشه‌دار يا هر پوششى كه كرك و ريشه داشته باشد، معنا شده است</w:t>
      </w:r>
      <w:r>
        <w:rPr>
          <w:rFonts w:eastAsia="IRNazanin" w:cs="IRNazanin"/>
          <w:color w:val="111111"/>
          <w:sz w:val="28"/>
          <w:szCs w:val="28"/>
          <w:rtl w:val="true"/>
          <w:lang w:bidi="fa-IR"/>
        </w:rPr>
        <w:t xml:space="preserve">. </w:t>
      </w:r>
      <w:r>
        <w:rPr>
          <w:rStyle w:val="FootnoteAnchor"/>
          <w:rtl w:val="true"/>
        </w:rPr>
        <w:footnoteReference w:id="1962"/>
      </w:r>
      <w:r>
        <w:rPr>
          <w:rFonts w:ascii="Amiri" w:hAnsi="Amiri" w:eastAsia="Amiri" w:cs="Amiri"/>
          <w:color w:val="111111"/>
          <w:sz w:val="28"/>
          <w:sz w:val="28"/>
          <w:szCs w:val="28"/>
          <w:rtl w:val="true"/>
          <w:lang w:bidi="ar-SA"/>
        </w:rPr>
        <w:t xml:space="preserve">در ميان جهيزيه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قطيفه مشكى</w:t>
      </w:r>
      <w:bookmarkStart w:id="2216" w:name="pg1964_19982"/>
    </w:p>
    <w:p>
      <w:pPr>
        <w:pStyle w:val="BookText"/>
        <w:rPr/>
      </w:pPr>
      <w:bookmarkEnd w:id="2216"/>
      <w:r>
        <w:rPr>
          <w:rFonts w:ascii="Amiri" w:hAnsi="Amiri" w:eastAsia="Amiri" w:cs="Amiri"/>
          <w:color w:val="111111"/>
          <w:sz w:val="28"/>
          <w:sz w:val="28"/>
          <w:szCs w:val="28"/>
          <w:rtl w:val="true"/>
          <w:lang w:bidi="ar-SA"/>
        </w:rPr>
        <w:t xml:space="preserve">خيبرى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قطيفه سوداء خيبريه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 xml:space="preserve">. </w:t>
      </w:r>
      <w:r>
        <w:rPr>
          <w:rStyle w:val="FootnoteAnchor"/>
          <w:rtl w:val="true"/>
        </w:rPr>
        <w:footnoteReference w:id="1963"/>
      </w:r>
      <w:r>
        <w:rPr>
          <w:rFonts w:ascii="IRNazanin" w:hAnsi="IRNazanin" w:eastAsia="IRNazanin"/>
          <w:color w:val="111111"/>
          <w:sz w:val="28"/>
          <w:sz w:val="28"/>
          <w:szCs w:val="28"/>
          <w:rtl w:val="true"/>
          <w:lang w:bidi="fa-IR"/>
        </w:rPr>
        <w:t>از اين گزارش مى‌توان محل تهيه بعضى از قطيفه‌ها را نيز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است كه قطيفه‌اى داشت</w:t>
      </w:r>
      <w:r>
        <w:rPr>
          <w:rFonts w:eastAsia="IRNazanin" w:cs="IRNazanin"/>
          <w:color w:val="111111"/>
          <w:sz w:val="28"/>
          <w:szCs w:val="28"/>
          <w:rtl w:val="true"/>
          <w:lang w:bidi="fa-IR"/>
        </w:rPr>
        <w:t xml:space="preserve">. </w:t>
      </w:r>
      <w:r>
        <w:rPr>
          <w:rStyle w:val="FootnoteAnchor"/>
          <w:rtl w:val="true"/>
        </w:rPr>
        <w:footnoteReference w:id="1964"/>
      </w:r>
      <w:r>
        <w:rPr>
          <w:rFonts w:ascii="IRNazanin" w:hAnsi="IRNazanin" w:eastAsia="IRNazanin"/>
          <w:color w:val="111111"/>
          <w:sz w:val="28"/>
          <w:sz w:val="28"/>
          <w:szCs w:val="28"/>
          <w:rtl w:val="true"/>
          <w:lang w:bidi="fa-IR"/>
        </w:rPr>
        <w:t xml:space="preserve">در باره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است كه پس از شهادتش شخصى به نام قيس، قطيفه او را دزديد و به قيس قطيفه مشهور شد</w:t>
      </w:r>
      <w:r>
        <w:rPr>
          <w:rFonts w:eastAsia="IRNazanin" w:cs="IRNazanin"/>
          <w:color w:val="111111"/>
          <w:sz w:val="28"/>
          <w:szCs w:val="28"/>
          <w:rtl w:val="true"/>
          <w:lang w:bidi="fa-IR"/>
        </w:rPr>
        <w:t xml:space="preserve">. </w:t>
      </w:r>
      <w:r>
        <w:rPr>
          <w:rStyle w:val="FootnoteAnchor"/>
          <w:rtl w:val="true"/>
        </w:rPr>
        <w:footnoteReference w:id="1965"/>
      </w:r>
    </w:p>
    <w:p>
      <w:pPr>
        <w:pStyle w:val="Heading6"/>
        <w:numPr>
          <w:ilvl w:val="5"/>
          <w:numId w:val="1"/>
        </w:numPr>
        <w:rPr/>
      </w:pPr>
      <w:bookmarkStart w:id="2217" w:name="__RefHeading___Toc3586301_3650668749"/>
      <w:bookmarkStart w:id="2218" w:name="_Toc947"/>
      <w:bookmarkEnd w:id="2217"/>
      <w:r>
        <w:rPr>
          <w:rtl w:val="true"/>
        </w:rPr>
        <w:t xml:space="preserve">بيست و نهم </w:t>
      </w:r>
      <w:r>
        <w:rPr>
          <w:rtl w:val="true"/>
        </w:rPr>
        <w:t xml:space="preserve">- </w:t>
      </w:r>
      <w:r>
        <w:rPr>
          <w:rtl w:val="true"/>
        </w:rPr>
        <w:t>قَميص</w:t>
      </w:r>
      <w:bookmarkEnd w:id="2218"/>
    </w:p>
    <w:p>
      <w:pPr>
        <w:pStyle w:val="Heading6"/>
        <w:numPr>
          <w:ilvl w:val="5"/>
          <w:numId w:val="1"/>
        </w:numPr>
        <w:rPr/>
      </w:pPr>
      <w:bookmarkStart w:id="2219" w:name="__RefHeading___Toc3586303_3650668749"/>
      <w:bookmarkStart w:id="2220" w:name="_Toc948"/>
      <w:bookmarkEnd w:id="2219"/>
      <w:r>
        <w:rPr>
          <w:rtl w:val="true"/>
        </w:rPr>
        <w:t>اشاره</w:t>
      </w:r>
      <w:bookmarkEnd w:id="2220"/>
    </w:p>
    <w:p>
      <w:pPr>
        <w:pStyle w:val="BookText"/>
        <w:rPr/>
      </w:pPr>
      <w:r>
        <w:rPr>
          <w:rFonts w:ascii="IRNazanin" w:hAnsi="IRNazanin" w:eastAsia="IRNazanin"/>
          <w:color w:val="111111"/>
          <w:sz w:val="28"/>
          <w:sz w:val="28"/>
          <w:szCs w:val="28"/>
          <w:rtl w:val="true"/>
          <w:lang w:bidi="fa-IR"/>
        </w:rPr>
        <w:t xml:space="preserve">به معناى پيراهن است و در قرآن چند مرتبه در داستان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به‌كار رفته است</w:t>
      </w:r>
      <w:r>
        <w:rPr>
          <w:rFonts w:eastAsia="IRNazanin" w:cs="IRNazanin"/>
          <w:color w:val="111111"/>
          <w:sz w:val="28"/>
          <w:szCs w:val="28"/>
          <w:rtl w:val="true"/>
          <w:lang w:bidi="fa-IR"/>
        </w:rPr>
        <w:t xml:space="preserve">. </w:t>
      </w:r>
      <w:r>
        <w:rPr>
          <w:rStyle w:val="FootnoteAnchor"/>
          <w:rtl w:val="true"/>
        </w:rPr>
        <w:footnoteReference w:id="1966"/>
      </w:r>
      <w:r>
        <w:rPr>
          <w:rFonts w:ascii="Amiri" w:hAnsi="Amiri" w:eastAsia="Amiri" w:cs="Amiri"/>
          <w:color w:val="111111"/>
          <w:sz w:val="28"/>
          <w:sz w:val="28"/>
          <w:szCs w:val="28"/>
          <w:rtl w:val="true"/>
          <w:lang w:bidi="ar-SA"/>
        </w:rPr>
        <w:t>عرب‌ها از زمان‌هاى بسيار دور اين لباس را مى‌شناختند و از آن استفاده نموده و احياناً در اشعار خود از آن ياد مى‌كردند</w:t>
      </w:r>
      <w:r>
        <w:rPr>
          <w:rFonts w:eastAsia="Amiri" w:cs="Amiri" w:ascii="Amiri" w:hAnsi="Amiri"/>
          <w:color w:val="111111"/>
          <w:sz w:val="28"/>
          <w:szCs w:val="28"/>
          <w:rtl w:val="true"/>
          <w:lang w:bidi="ar-SA"/>
        </w:rPr>
        <w:t xml:space="preserve">. </w:t>
      </w:r>
      <w:r>
        <w:rPr>
          <w:rStyle w:val="FootnoteAnchor"/>
          <w:rtl w:val="true"/>
        </w:rPr>
        <w:footnoteReference w:id="1967"/>
      </w:r>
      <w:r>
        <w:rPr>
          <w:rFonts w:ascii="IRNazanin" w:hAnsi="IRNazanin" w:eastAsia="IRNazanin"/>
          <w:color w:val="111111"/>
          <w:sz w:val="28"/>
          <w:sz w:val="28"/>
          <w:szCs w:val="28"/>
          <w:rtl w:val="true"/>
          <w:lang w:bidi="fa-IR"/>
        </w:rPr>
        <w:t xml:space="preserve">همچنين از اين لباس در زمان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استفاده مى‌شد و يكى از لباس‌هاى محبوب نزد آن حضرت بود</w:t>
      </w:r>
      <w:r>
        <w:rPr>
          <w:rFonts w:eastAsia="IRNazanin" w:cs="IRNazanin"/>
          <w:color w:val="111111"/>
          <w:sz w:val="28"/>
          <w:szCs w:val="28"/>
          <w:rtl w:val="true"/>
          <w:lang w:bidi="fa-IR"/>
        </w:rPr>
        <w:t xml:space="preserve">. </w:t>
      </w:r>
      <w:r>
        <w:rPr>
          <w:rStyle w:val="FootnoteAnchor"/>
          <w:rtl w:val="true"/>
        </w:rPr>
        <w:footnoteReference w:id="1968"/>
      </w:r>
    </w:p>
    <w:p>
      <w:pPr>
        <w:pStyle w:val="BookText"/>
        <w:rPr/>
      </w:pPr>
      <w:r>
        <w:rPr>
          <w:rFonts w:ascii="IRNazanin" w:hAnsi="IRNazanin" w:eastAsia="IRNazanin"/>
          <w:color w:val="111111"/>
          <w:sz w:val="28"/>
          <w:sz w:val="28"/>
          <w:szCs w:val="28"/>
          <w:rtl w:val="true"/>
          <w:lang w:bidi="fa-IR"/>
        </w:rPr>
        <w:t xml:space="preserve">قَميص‌هاى عربى از چند تكه پارچه دوخته مى‌شد و در بالاى آن گريبانى تعبيه مى‌كردند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در بعضى موارد در جلوى آن دگمه‌هايى نصب مى‌كردند كه به وسيله آنها قَميص باز و بسته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قميص دو آستين داشت كه گاهى كوتاه و گاهى بلند تهيه مى‌شد، اما معمولاً تا سر انگشتان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پوشيدن آن بدين‌گونه بود كه آن را روى اِزار مى‌پوشيدند نه آنكه قسمت پايين آن را در درون اِزار قرار دهند</w:t>
      </w:r>
      <w:r>
        <w:rPr>
          <w:rFonts w:eastAsia="IRNazanin" w:cs="IRNazanin"/>
          <w:color w:val="111111"/>
          <w:sz w:val="28"/>
          <w:szCs w:val="28"/>
          <w:rtl w:val="true"/>
          <w:lang w:bidi="fa-IR"/>
        </w:rPr>
        <w:t xml:space="preserve">. </w:t>
      </w:r>
      <w:r>
        <w:rPr>
          <w:rStyle w:val="FootnoteAnchor"/>
          <w:rtl w:val="true"/>
        </w:rPr>
        <w:footnoteReference w:id="1969"/>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 كه هرگاه مى‌خواست قَميصى بخرد، آن را مى‌پوشيد و دستان خود را در آستين‌هايش قرار مى‌داد و مقدارى از</w:t>
      </w:r>
      <w:bookmarkStart w:id="2221" w:name="pg1964_19983"/>
    </w:p>
    <w:p>
      <w:pPr>
        <w:pStyle w:val="BookText"/>
        <w:rPr/>
      </w:pPr>
      <w:bookmarkEnd w:id="2221"/>
      <w:r>
        <w:rPr>
          <w:rFonts w:ascii="IRNazanin" w:hAnsi="IRNazanin" w:eastAsia="IRNazanin"/>
          <w:color w:val="111111"/>
          <w:sz w:val="28"/>
          <w:sz w:val="28"/>
          <w:szCs w:val="28"/>
          <w:rtl w:val="true"/>
          <w:lang w:bidi="fa-IR"/>
        </w:rPr>
        <w:t>آستين را كه از سر انگشتان او بيرون مى‌زد، كوتاه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بعضى نقل‌ها آمده است كه مقدارى را كه از مچ دست بلندتر بود، كوتاه مى‌كرد</w:t>
      </w:r>
      <w:r>
        <w:rPr>
          <w:rFonts w:eastAsia="IRNazanin" w:cs="IRNazanin"/>
          <w:color w:val="111111"/>
          <w:sz w:val="28"/>
          <w:szCs w:val="28"/>
          <w:rtl w:val="true"/>
          <w:lang w:bidi="fa-IR"/>
        </w:rPr>
        <w:t xml:space="preserve">. </w:t>
      </w:r>
      <w:r>
        <w:rPr>
          <w:rStyle w:val="FootnoteAnchor"/>
          <w:rtl w:val="true"/>
        </w:rPr>
        <w:footnoteReference w:id="1970"/>
      </w:r>
    </w:p>
    <w:p>
      <w:pPr>
        <w:pStyle w:val="BookText"/>
        <w:rPr/>
      </w:pPr>
      <w:r>
        <w:rPr>
          <w:rFonts w:ascii="IRNazanin" w:hAnsi="IRNazanin" w:eastAsia="IRNazanin"/>
          <w:color w:val="111111"/>
          <w:sz w:val="28"/>
          <w:sz w:val="28"/>
          <w:szCs w:val="28"/>
          <w:rtl w:val="true"/>
          <w:lang w:bidi="fa-IR"/>
        </w:rPr>
        <w:t>از اين روايات چنين بر مى‌آيد كه در آن زمان، قَميص‌هايى با آستين‌هاى دراز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قَميص از اجناس مختلفى، همانند پنبه و كرباس يا خزّ تهيه مى‌شد </w:t>
      </w:r>
      <w:r>
        <w:rPr>
          <w:rStyle w:val="FootnoteAnchor"/>
          <w:rtl w:val="true"/>
        </w:rPr>
        <w:footnoteReference w:id="1971"/>
      </w:r>
      <w:r>
        <w:rPr>
          <w:rFonts w:ascii="IRNazanin" w:hAnsi="IRNazanin" w:eastAsia="IRNazanin"/>
          <w:color w:val="111111"/>
          <w:sz w:val="28"/>
          <w:sz w:val="28"/>
          <w:szCs w:val="28"/>
          <w:rtl w:val="true"/>
          <w:lang w:bidi="fa-IR"/>
        </w:rPr>
        <w:t xml:space="preserve">چنان‌كه در روايتى وارد شده است كه قَميص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كرباس</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972"/>
      </w:r>
      <w:r>
        <w:rPr>
          <w:rFonts w:ascii="IRNazanin" w:hAnsi="IRNazanin" w:eastAsia="IRNazanin"/>
          <w:color w:val="111111"/>
          <w:sz w:val="28"/>
          <w:sz w:val="28"/>
          <w:szCs w:val="28"/>
          <w:rtl w:val="true"/>
          <w:lang w:bidi="fa-IR"/>
        </w:rPr>
        <w:t xml:space="preserve">همچنين در نقلى تاريخى، جنس قَميص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عاشورا خزّ گفته‌اند</w:t>
      </w:r>
      <w:r>
        <w:rPr>
          <w:rFonts w:eastAsia="IRNazanin" w:cs="IRNazanin"/>
          <w:color w:val="111111"/>
          <w:sz w:val="28"/>
          <w:szCs w:val="28"/>
          <w:rtl w:val="true"/>
          <w:lang w:bidi="fa-IR"/>
        </w:rPr>
        <w:t xml:space="preserve">. </w:t>
      </w:r>
      <w:r>
        <w:rPr>
          <w:rStyle w:val="FootnoteAnchor"/>
          <w:rtl w:val="true"/>
        </w:rPr>
        <w:footnoteReference w:id="1973"/>
      </w:r>
      <w:r>
        <w:rPr>
          <w:rFonts w:ascii="IRNazanin" w:hAnsi="IRNazanin" w:eastAsia="IRNazanin"/>
          <w:color w:val="111111"/>
          <w:sz w:val="28"/>
          <w:sz w:val="28"/>
          <w:szCs w:val="28"/>
          <w:rtl w:val="true"/>
          <w:lang w:bidi="fa-IR"/>
        </w:rPr>
        <w:t xml:space="preserve">گفتنى است كه اين نوع لباس به مردان اختصاص نداشت، چنان‌كه در ليست جهيزيه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قَميصى با قيمت هفت درهم ياد شده است</w:t>
      </w:r>
      <w:r>
        <w:rPr>
          <w:rFonts w:eastAsia="IRNazanin" w:cs="IRNazanin"/>
          <w:color w:val="111111"/>
          <w:sz w:val="28"/>
          <w:szCs w:val="28"/>
          <w:rtl w:val="true"/>
          <w:lang w:bidi="fa-IR"/>
        </w:rPr>
        <w:t xml:space="preserve">. </w:t>
      </w:r>
      <w:r>
        <w:rPr>
          <w:rStyle w:val="FootnoteAnchor"/>
          <w:rtl w:val="true"/>
        </w:rPr>
        <w:footnoteReference w:id="1974"/>
      </w:r>
    </w:p>
    <w:p>
      <w:pPr>
        <w:pStyle w:val="BookText"/>
        <w:rPr/>
      </w:pPr>
      <w:r>
        <w:rPr>
          <w:rFonts w:ascii="IRNazanin" w:hAnsi="IRNazanin" w:eastAsia="IRNazanin"/>
          <w:color w:val="111111"/>
          <w:sz w:val="28"/>
          <w:sz w:val="28"/>
          <w:szCs w:val="28"/>
          <w:rtl w:val="true"/>
          <w:lang w:bidi="fa-IR"/>
        </w:rPr>
        <w:t xml:space="preserve">اما در باره اندازه قميس در روايتى چنين آمده است كه پيراهن حضرت‌على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قوزك پا بوده است</w:t>
      </w:r>
      <w:r>
        <w:rPr>
          <w:rFonts w:eastAsia="IRNazanin" w:cs="IRNazanin"/>
          <w:color w:val="111111"/>
          <w:sz w:val="28"/>
          <w:szCs w:val="28"/>
          <w:rtl w:val="true"/>
          <w:lang w:bidi="fa-IR"/>
        </w:rPr>
        <w:t xml:space="preserve">. </w:t>
      </w:r>
      <w:r>
        <w:rPr>
          <w:rStyle w:val="FootnoteAnchor"/>
          <w:rtl w:val="true"/>
        </w:rPr>
        <w:footnoteReference w:id="1975"/>
      </w:r>
      <w:r>
        <w:rPr>
          <w:rFonts w:ascii="IRNazanin" w:hAnsi="IRNazanin" w:eastAsia="IRNazanin"/>
          <w:color w:val="111111"/>
          <w:sz w:val="28"/>
          <w:sz w:val="28"/>
          <w:szCs w:val="28"/>
          <w:rtl w:val="true"/>
          <w:lang w:bidi="fa-IR"/>
        </w:rPr>
        <w:t>در روايتى ديگرى نيز اندازه آن تا نصف زانو دانسته شده است</w:t>
      </w:r>
      <w:r>
        <w:rPr>
          <w:rFonts w:eastAsia="IRNazanin" w:cs="IRNazanin"/>
          <w:color w:val="111111"/>
          <w:sz w:val="28"/>
          <w:szCs w:val="28"/>
          <w:rtl w:val="true"/>
          <w:lang w:bidi="fa-IR"/>
        </w:rPr>
        <w:t xml:space="preserve">. </w:t>
      </w:r>
      <w:r>
        <w:rPr>
          <w:rStyle w:val="FootnoteAnchor"/>
          <w:rtl w:val="true"/>
        </w:rPr>
        <w:footnoteReference w:id="1976"/>
      </w:r>
      <w:r>
        <w:rPr>
          <w:rFonts w:ascii="Amiri" w:hAnsi="Amiri" w:eastAsia="Amiri" w:cs="Amiri"/>
          <w:color w:val="111111"/>
          <w:sz w:val="28"/>
          <w:sz w:val="28"/>
          <w:szCs w:val="28"/>
          <w:rtl w:val="true"/>
          <w:lang w:bidi="ar-SA"/>
        </w:rPr>
        <w:t>اندازه قَميص عُمر را نيز همين‌طور ذكر كرده‌اند</w:t>
      </w:r>
      <w:r>
        <w:rPr>
          <w:rFonts w:eastAsia="Amiri" w:cs="Amiri" w:ascii="Amiri" w:hAnsi="Amiri"/>
          <w:color w:val="111111"/>
          <w:sz w:val="28"/>
          <w:szCs w:val="28"/>
          <w:rtl w:val="true"/>
          <w:lang w:bidi="ar-SA"/>
        </w:rPr>
        <w:t xml:space="preserve">. </w:t>
      </w:r>
      <w:r>
        <w:rPr>
          <w:rStyle w:val="FootnoteAnchor"/>
          <w:rtl w:val="true"/>
        </w:rPr>
        <w:footnoteReference w:id="1977"/>
      </w:r>
    </w:p>
    <w:p>
      <w:pPr>
        <w:pStyle w:val="BookText"/>
        <w:rPr/>
      </w:pPr>
      <w:r>
        <w:rPr>
          <w:rFonts w:ascii="Amiri" w:hAnsi="Amiri" w:eastAsia="Amiri" w:cs="Amiri"/>
          <w:color w:val="111111"/>
          <w:sz w:val="28"/>
          <w:sz w:val="28"/>
          <w:szCs w:val="28"/>
          <w:rtl w:val="true"/>
          <w:lang w:bidi="ar-SA"/>
        </w:rPr>
        <w:t>در نقل‌هاى تاريخى انواع مختلفى براى قَميص ذكر شده است كه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22" w:name="__RefHeading___Toc3586305_3650668749"/>
      <w:bookmarkStart w:id="2223" w:name="_Toc949"/>
      <w:bookmarkEnd w:id="2222"/>
      <w:r>
        <w:rPr>
          <w:rtl w:val="true"/>
        </w:rPr>
        <w:t>قميص اَنْبِجاني</w:t>
      </w:r>
      <w:bookmarkEnd w:id="2223"/>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نوع قَميص در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كه گفته‌اند آن حضرت دو قَميص اَنبجانى و سَنْبَلانى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درهم خريد</w:t>
      </w:r>
      <w:r>
        <w:rPr>
          <w:rFonts w:eastAsia="IRNazanin" w:cs="IRNazanin"/>
          <w:color w:val="111111"/>
          <w:sz w:val="28"/>
          <w:szCs w:val="28"/>
          <w:rtl w:val="true"/>
          <w:lang w:bidi="fa-IR"/>
        </w:rPr>
        <w:t xml:space="preserve">. </w:t>
      </w:r>
      <w:r>
        <w:rPr>
          <w:rStyle w:val="FootnoteAnchor"/>
          <w:rtl w:val="true"/>
        </w:rPr>
        <w:footnoteReference w:id="1978"/>
      </w:r>
      <w:r>
        <w:rPr>
          <w:rFonts w:ascii="Amiri" w:hAnsi="Amiri" w:eastAsia="Amiri" w:cs="Amiri"/>
          <w:color w:val="111111"/>
          <w:sz w:val="28"/>
          <w:sz w:val="28"/>
          <w:szCs w:val="28"/>
          <w:rtl w:val="true"/>
          <w:lang w:bidi="ar-SA"/>
        </w:rPr>
        <w:t xml:space="preserve">اين قميص را منسوب به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مكانى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دانسته‌اند</w:t>
      </w:r>
      <w:r>
        <w:rPr>
          <w:rFonts w:eastAsia="Amiri" w:cs="Amiri" w:ascii="Amiri" w:hAnsi="Amiri"/>
          <w:color w:val="111111"/>
          <w:sz w:val="28"/>
          <w:szCs w:val="28"/>
          <w:rtl w:val="true"/>
          <w:lang w:bidi="ar-SA"/>
        </w:rPr>
        <w:t xml:space="preserve">. </w:t>
      </w:r>
      <w:r>
        <w:rPr>
          <w:rStyle w:val="FootnoteAnchor"/>
          <w:rtl w:val="true"/>
        </w:rPr>
        <w:footnoteReference w:id="1979"/>
      </w:r>
      <w:r>
        <w:rPr>
          <w:rFonts w:ascii="IRNazanin" w:hAnsi="IRNazanin" w:eastAsia="IRNazanin"/>
          <w:color w:val="111111"/>
          <w:sz w:val="28"/>
          <w:sz w:val="28"/>
          <w:szCs w:val="28"/>
          <w:rtl w:val="true"/>
          <w:lang w:bidi="fa-IR"/>
        </w:rPr>
        <w:t xml:space="preserve">البته انبجانى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w:t>
      </w:r>
      <w:bookmarkStart w:id="2224" w:name="pg1964_19984"/>
    </w:p>
    <w:p>
      <w:pPr>
        <w:pStyle w:val="BookText"/>
        <w:rPr/>
      </w:pPr>
      <w:bookmarkEnd w:id="2224"/>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نوعى پوشش كه از پشم تهيه شده و بدون حاشيه بود و ريشه و كرك داشت و بسيار درشت بافت و از ارزان‌ترين و پست‌ترين لباس‌ها بود نيز اطلاق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نوع آن در زمان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مى‌شد و خود حضرت هم مى‌پوشيد</w:t>
      </w:r>
      <w:r>
        <w:rPr>
          <w:rFonts w:eastAsia="IRNazanin" w:cs="IRNazanin"/>
          <w:color w:val="111111"/>
          <w:sz w:val="28"/>
          <w:szCs w:val="28"/>
          <w:rtl w:val="true"/>
          <w:lang w:bidi="fa-IR"/>
        </w:rPr>
        <w:t xml:space="preserve">. </w:t>
      </w:r>
      <w:r>
        <w:rPr>
          <w:rStyle w:val="FootnoteAnchor"/>
          <w:rtl w:val="true"/>
        </w:rPr>
        <w:footnoteReference w:id="1980"/>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25" w:name="__RefHeading___Toc3586307_3650668749"/>
      <w:bookmarkStart w:id="2226" w:name="_Toc950"/>
      <w:bookmarkEnd w:id="2225"/>
      <w:r>
        <w:rPr>
          <w:rtl w:val="true"/>
        </w:rPr>
        <w:t>قَميص سُنْبُلاني</w:t>
      </w:r>
      <w:bookmarkEnd w:id="2226"/>
    </w:p>
    <w:p>
      <w:pPr>
        <w:pStyle w:val="BookText"/>
        <w:rPr/>
      </w:pPr>
      <w:r>
        <w:rPr>
          <w:rFonts w:ascii="IRNazanin" w:hAnsi="IRNazanin" w:eastAsia="IRNazanin"/>
          <w:color w:val="111111"/>
          <w:sz w:val="28"/>
          <w:sz w:val="28"/>
          <w:szCs w:val="28"/>
          <w:rtl w:val="true"/>
          <w:lang w:bidi="fa-IR"/>
        </w:rPr>
        <w:t xml:space="preserve">نام اين نوع قميص نيز در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آن حضرت قَميص سنبلانى داشت كه تا نصف زانوهايش مى‌رسيد</w:t>
      </w:r>
      <w:r>
        <w:rPr>
          <w:rFonts w:eastAsia="IRNazanin" w:cs="IRNazanin"/>
          <w:color w:val="111111"/>
          <w:sz w:val="28"/>
          <w:szCs w:val="28"/>
          <w:rtl w:val="true"/>
          <w:lang w:bidi="fa-IR"/>
        </w:rPr>
        <w:t xml:space="preserve">. </w:t>
      </w:r>
      <w:r>
        <w:rPr>
          <w:rStyle w:val="FootnoteAnchor"/>
          <w:rtl w:val="true"/>
        </w:rPr>
        <w:footnoteReference w:id="1981"/>
      </w:r>
      <w:r>
        <w:rPr>
          <w:rFonts w:ascii="IRNazanin" w:hAnsi="IRNazanin" w:eastAsia="IRNazanin"/>
          <w:color w:val="111111"/>
          <w:sz w:val="28"/>
          <w:sz w:val="28"/>
          <w:szCs w:val="28"/>
          <w:rtl w:val="true"/>
          <w:lang w:bidi="fa-IR"/>
        </w:rPr>
        <w:t>استفاده از اين نوع قَميص توسط سلمان نيز گزارش شده است</w:t>
      </w:r>
      <w:r>
        <w:rPr>
          <w:rFonts w:eastAsia="IRNazanin" w:cs="IRNazanin"/>
          <w:color w:val="111111"/>
          <w:sz w:val="28"/>
          <w:szCs w:val="28"/>
          <w:rtl w:val="true"/>
          <w:lang w:bidi="fa-IR"/>
        </w:rPr>
        <w:t xml:space="preserve">. </w:t>
      </w:r>
      <w:r>
        <w:rPr>
          <w:rStyle w:val="FootnoteAnchor"/>
          <w:rtl w:val="true"/>
        </w:rPr>
        <w:footnoteReference w:id="1982"/>
      </w:r>
      <w:r>
        <w:rPr>
          <w:rFonts w:ascii="Amiri" w:hAnsi="Amiri" w:eastAsia="Amiri" w:cs="Amiri"/>
          <w:color w:val="111111"/>
          <w:sz w:val="28"/>
          <w:sz w:val="28"/>
          <w:szCs w:val="28"/>
          <w:rtl w:val="true"/>
          <w:lang w:bidi="ar-SA"/>
        </w:rPr>
        <w:t>خاطرنشان مى‌شود كه سُنبلان در كتاب‌هاى جغرافيايى نام يكى از دهات اصفهان و نيز يكى از شهرهاى روم ذكر شده است</w:t>
      </w:r>
      <w:r>
        <w:rPr>
          <w:rFonts w:eastAsia="Amiri" w:cs="Amiri" w:ascii="Amiri" w:hAnsi="Amiri"/>
          <w:color w:val="111111"/>
          <w:sz w:val="28"/>
          <w:szCs w:val="28"/>
          <w:rtl w:val="true"/>
          <w:lang w:bidi="ar-SA"/>
        </w:rPr>
        <w:t xml:space="preserve">. </w:t>
      </w:r>
      <w:r>
        <w:rPr>
          <w:rStyle w:val="FootnoteAnchor"/>
          <w:rtl w:val="true"/>
        </w:rPr>
        <w:footnoteReference w:id="1983"/>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27" w:name="__RefHeading___Toc3586309_3650668749"/>
      <w:bookmarkStart w:id="2228" w:name="_Toc951"/>
      <w:bookmarkEnd w:id="2227"/>
      <w:r>
        <w:rPr>
          <w:rtl w:val="true"/>
        </w:rPr>
        <w:t>قَميص سُحُولي</w:t>
      </w:r>
      <w:bookmarkEnd w:id="2228"/>
    </w:p>
    <w:p>
      <w:pPr>
        <w:pStyle w:val="BookText"/>
        <w:rPr/>
      </w:pPr>
      <w:r>
        <w:rPr>
          <w:rFonts w:ascii="Amiri" w:hAnsi="Amiri" w:eastAsia="Amiri" w:cs="Amiri"/>
          <w:color w:val="111111"/>
          <w:sz w:val="28"/>
          <w:sz w:val="28"/>
          <w:szCs w:val="28"/>
          <w:rtl w:val="true"/>
          <w:lang w:bidi="ar-SA"/>
        </w:rPr>
        <w:t>اين قَميص در روستايى در يمن كه سُحُول نام داشته، تهيه مى‌شده است</w:t>
      </w:r>
      <w:r>
        <w:rPr>
          <w:rFonts w:eastAsia="Amiri" w:cs="Amiri" w:ascii="Amiri" w:hAnsi="Amiri"/>
          <w:color w:val="111111"/>
          <w:sz w:val="28"/>
          <w:szCs w:val="28"/>
          <w:rtl w:val="true"/>
          <w:lang w:bidi="ar-SA"/>
        </w:rPr>
        <w:t xml:space="preserve">. </w:t>
      </w:r>
      <w:r>
        <w:rPr>
          <w:rStyle w:val="FootnoteAnchor"/>
          <w:rtl w:val="true"/>
        </w:rPr>
        <w:footnoteReference w:id="1984"/>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نوع قَميص استفاده مى‌كرد</w:t>
      </w:r>
      <w:r>
        <w:rPr>
          <w:rFonts w:eastAsia="IRNazanin" w:cs="IRNazanin"/>
          <w:color w:val="111111"/>
          <w:sz w:val="28"/>
          <w:szCs w:val="28"/>
          <w:rtl w:val="true"/>
          <w:lang w:bidi="fa-IR"/>
        </w:rPr>
        <w:t xml:space="preserve">. </w:t>
      </w:r>
      <w:r>
        <w:rPr>
          <w:rStyle w:val="FootnoteAnchor"/>
          <w:rtl w:val="true"/>
        </w:rPr>
        <w:footnoteReference w:id="1985"/>
      </w:r>
      <w:r>
        <w:rPr>
          <w:rFonts w:ascii="IRNazanin" w:hAnsi="IRNazanin" w:eastAsia="IRNazanin"/>
          <w:color w:val="111111"/>
          <w:sz w:val="28"/>
          <w:sz w:val="28"/>
          <w:szCs w:val="28"/>
          <w:rtl w:val="true"/>
          <w:lang w:bidi="fa-IR"/>
        </w:rPr>
        <w:t xml:space="preserve">گفتنى است كه سُحولى به معناى هر نوع لباس يمنى تهيه شده از پنبه سفيد نيز آمده است </w:t>
      </w:r>
      <w:r>
        <w:rPr>
          <w:rStyle w:val="FootnoteAnchor"/>
          <w:rtl w:val="true"/>
        </w:rPr>
        <w:footnoteReference w:id="1986"/>
      </w:r>
      <w:r>
        <w:rPr>
          <w:rFonts w:ascii="IRNazanin" w:hAnsi="IRNazanin" w:eastAsia="IRNazanin"/>
          <w:color w:val="111111"/>
          <w:sz w:val="28"/>
          <w:sz w:val="28"/>
          <w:szCs w:val="28"/>
          <w:rtl w:val="true"/>
          <w:lang w:bidi="fa-IR"/>
        </w:rPr>
        <w:t>كه در اين صورت به قَميص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معنا در زمان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كاربرد داشته است</w:t>
      </w:r>
      <w:r>
        <w:rPr>
          <w:rFonts w:eastAsia="IRNazanin" w:cs="IRNazanin"/>
          <w:color w:val="111111"/>
          <w:sz w:val="28"/>
          <w:szCs w:val="28"/>
          <w:rtl w:val="true"/>
          <w:lang w:bidi="fa-IR"/>
        </w:rPr>
        <w:t xml:space="preserve">. </w:t>
      </w:r>
      <w:r>
        <w:rPr>
          <w:rStyle w:val="FootnoteAnchor"/>
          <w:rtl w:val="true"/>
        </w:rPr>
        <w:footnoteReference w:id="1987"/>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9" w:name="pg1964_19985"/>
    </w:p>
    <w:p>
      <w:pPr>
        <w:pStyle w:val="Heading6"/>
        <w:numPr>
          <w:ilvl w:val="5"/>
          <w:numId w:val="1"/>
        </w:numPr>
        <w:rPr/>
      </w:pPr>
      <w:bookmarkStart w:id="2230" w:name="__RefHeading___Toc3586311_3650668749"/>
      <w:bookmarkStart w:id="2231" w:name="_Toc952"/>
      <w:bookmarkEnd w:id="2229"/>
      <w:bookmarkEnd w:id="2230"/>
      <w:r>
        <w:rPr>
          <w:rtl w:val="true"/>
        </w:rPr>
        <w:t>قَميص صُحاري</w:t>
      </w:r>
      <w:bookmarkEnd w:id="2231"/>
    </w:p>
    <w:p>
      <w:pPr>
        <w:pStyle w:val="BookText"/>
        <w:rPr/>
      </w:pPr>
      <w:r>
        <w:rPr>
          <w:rFonts w:ascii="IRNazanin" w:hAnsi="IRNazanin" w:eastAsia="IRNazanin"/>
          <w:color w:val="111111"/>
          <w:sz w:val="28"/>
          <w:sz w:val="28"/>
          <w:szCs w:val="28"/>
          <w:rtl w:val="true"/>
          <w:lang w:bidi="fa-IR"/>
        </w:rPr>
        <w:t>صُحار نام روستايى از روستاهاى عُمّان بود كه در آن قَميص و نيز انواع ديگر لباس به عمل مى‌آمد</w:t>
      </w:r>
      <w:r>
        <w:rPr>
          <w:rFonts w:eastAsia="IRNazanin" w:cs="IRNazanin"/>
          <w:color w:val="111111"/>
          <w:sz w:val="28"/>
          <w:szCs w:val="28"/>
          <w:rtl w:val="true"/>
          <w:lang w:bidi="fa-IR"/>
        </w:rPr>
        <w:t xml:space="preserve">. </w:t>
      </w:r>
      <w:r>
        <w:rPr>
          <w:rStyle w:val="FootnoteAnchor"/>
          <w:rtl w:val="true"/>
        </w:rPr>
        <w:footnoteReference w:id="1988"/>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قَميص صُحارى نيز داشت</w:t>
      </w:r>
      <w:r>
        <w:rPr>
          <w:rFonts w:eastAsia="IRNazanin" w:cs="IRNazanin"/>
          <w:color w:val="111111"/>
          <w:sz w:val="28"/>
          <w:szCs w:val="28"/>
          <w:rtl w:val="true"/>
          <w:lang w:bidi="fa-IR"/>
        </w:rPr>
        <w:t xml:space="preserve">. </w:t>
      </w:r>
      <w:r>
        <w:rPr>
          <w:rStyle w:val="FootnoteAnchor"/>
          <w:rtl w:val="true"/>
        </w:rPr>
        <w:footnoteReference w:id="1989"/>
      </w:r>
    </w:p>
    <w:p>
      <w:pPr>
        <w:pStyle w:val="BookText"/>
        <w:rPr/>
      </w:pPr>
      <w:r>
        <w:rPr>
          <w:rFonts w:ascii="IRNazanin" w:hAnsi="IRNazanin" w:eastAsia="IRNazanin"/>
          <w:color w:val="111111"/>
          <w:sz w:val="28"/>
          <w:sz w:val="28"/>
          <w:szCs w:val="28"/>
          <w:rtl w:val="true"/>
          <w:lang w:bidi="fa-IR"/>
        </w:rPr>
        <w:t>همچنين گفته شده است كه آن حضرت را در دو لباس صُحارى كفن كردند</w:t>
      </w:r>
      <w:r>
        <w:rPr>
          <w:rFonts w:eastAsia="IRNazanin" w:cs="IRNazanin"/>
          <w:color w:val="111111"/>
          <w:sz w:val="28"/>
          <w:szCs w:val="28"/>
          <w:rtl w:val="true"/>
          <w:lang w:bidi="fa-IR"/>
        </w:rPr>
        <w:t xml:space="preserve">. </w:t>
      </w:r>
      <w:r>
        <w:rPr>
          <w:rStyle w:val="FootnoteAnchor"/>
          <w:rtl w:val="true"/>
        </w:rPr>
        <w:footnoteReference w:id="1990"/>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32" w:name="__RefHeading___Toc3586313_3650668749"/>
      <w:bookmarkStart w:id="2233" w:name="_Toc953"/>
      <w:bookmarkEnd w:id="2232"/>
      <w:r>
        <w:rPr>
          <w:rtl w:val="true"/>
        </w:rPr>
        <w:t>قَميص زابي</w:t>
      </w:r>
      <w:bookmarkEnd w:id="2233"/>
    </w:p>
    <w:p>
      <w:pPr>
        <w:pStyle w:val="BookText"/>
        <w:rPr/>
      </w:pPr>
      <w:r>
        <w:rPr>
          <w:rFonts w:ascii="Amiri" w:hAnsi="Amiri" w:eastAsia="Amiri" w:cs="Amiri"/>
          <w:color w:val="111111"/>
          <w:sz w:val="28"/>
          <w:sz w:val="28"/>
          <w:szCs w:val="28"/>
          <w:rtl w:val="true"/>
          <w:lang w:bidi="ar-SA"/>
        </w:rPr>
        <w:t xml:space="preserve">از اين نوع قَميص در زمان حكومت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كوفه ياد شده است</w:t>
      </w:r>
      <w:r>
        <w:rPr>
          <w:rFonts w:eastAsia="Amiri" w:cs="Amiri" w:ascii="Amiri" w:hAnsi="Amiri"/>
          <w:color w:val="111111"/>
          <w:sz w:val="28"/>
          <w:szCs w:val="28"/>
          <w:rtl w:val="true"/>
          <w:lang w:bidi="ar-SA"/>
        </w:rPr>
        <w:t xml:space="preserve">. </w:t>
      </w:r>
      <w:r>
        <w:rPr>
          <w:rStyle w:val="FootnoteAnchor"/>
          <w:rtl w:val="true"/>
        </w:rPr>
        <w:footnoteReference w:id="1991"/>
      </w:r>
      <w:r>
        <w:rPr>
          <w:rFonts w:ascii="Amiri" w:hAnsi="Amiri" w:eastAsia="Amiri" w:cs="Amiri"/>
          <w:color w:val="111111"/>
          <w:sz w:val="28"/>
          <w:sz w:val="28"/>
          <w:szCs w:val="28"/>
          <w:rtl w:val="true"/>
          <w:lang w:bidi="ar-SA"/>
        </w:rPr>
        <w:t>قميص زابى، به نظر مى‌رسد كه منسوب به محل تهيه آن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كتاب‌هاى جغرافيايى نام مناطق متعددى دانسته شده است</w:t>
      </w:r>
      <w:r>
        <w:rPr>
          <w:rFonts w:eastAsia="Amiri" w:cs="Amiri" w:ascii="Amiri" w:hAnsi="Amiri"/>
          <w:color w:val="111111"/>
          <w:sz w:val="28"/>
          <w:szCs w:val="28"/>
          <w:rtl w:val="true"/>
          <w:lang w:bidi="ar-SA"/>
        </w:rPr>
        <w:t xml:space="preserve">. </w:t>
      </w:r>
      <w:r>
        <w:rPr>
          <w:rStyle w:val="FootnoteAnchor"/>
          <w:rtl w:val="true"/>
        </w:rPr>
        <w:footnoteReference w:id="1992"/>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34" w:name="__RefHeading___Toc3586315_3650668749"/>
      <w:bookmarkStart w:id="2235" w:name="_Toc954"/>
      <w:bookmarkEnd w:id="2234"/>
      <w:r>
        <w:rPr>
          <w:rtl w:val="true"/>
        </w:rPr>
        <w:t>قَميص هَرَوي</w:t>
      </w:r>
      <w:bookmarkEnd w:id="2235"/>
    </w:p>
    <w:p>
      <w:pPr>
        <w:pStyle w:val="BookText"/>
        <w:rPr/>
      </w:pPr>
      <w:r>
        <w:rPr>
          <w:rFonts w:ascii="IRNazanin" w:hAnsi="IRNazanin" w:eastAsia="IRNazanin"/>
          <w:color w:val="111111"/>
          <w:sz w:val="28"/>
          <w:sz w:val="28"/>
          <w:szCs w:val="28"/>
          <w:rtl w:val="true"/>
          <w:lang w:bidi="fa-IR"/>
        </w:rPr>
        <w:t>اين نوع قَميص منسوب به شهر هرات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ابراهيم اشتر، سردار لشكر سپاه مختار در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گفته شده است كه قَميص هِروى زرد رنگى پوشيده بود</w:t>
      </w:r>
      <w:r>
        <w:rPr>
          <w:rFonts w:eastAsia="IRNazanin" w:cs="IRNazanin"/>
          <w:color w:val="111111"/>
          <w:sz w:val="28"/>
          <w:szCs w:val="28"/>
          <w:rtl w:val="true"/>
          <w:lang w:bidi="fa-IR"/>
        </w:rPr>
        <w:t xml:space="preserve">. </w:t>
      </w:r>
      <w:r>
        <w:rPr>
          <w:rStyle w:val="FootnoteAnchor"/>
          <w:rtl w:val="true"/>
        </w:rPr>
        <w:footnoteReference w:id="1993"/>
      </w:r>
    </w:p>
    <w:p>
      <w:pPr>
        <w:pStyle w:val="Heading6"/>
        <w:numPr>
          <w:ilvl w:val="5"/>
          <w:numId w:val="1"/>
        </w:numPr>
        <w:rPr/>
      </w:pPr>
      <w:bookmarkStart w:id="2236" w:name="__RefHeading___Toc3586317_3650668749"/>
      <w:bookmarkStart w:id="2237" w:name="_Toc955"/>
      <w:bookmarkEnd w:id="2236"/>
      <w:r>
        <w:rPr>
          <w:rtl w:val="true"/>
        </w:rPr>
        <w:t xml:space="preserve">سى‌ام </w:t>
      </w:r>
      <w:r>
        <w:rPr>
          <w:rtl w:val="true"/>
        </w:rPr>
        <w:t xml:space="preserve">- </w:t>
      </w:r>
      <w:r>
        <w:rPr>
          <w:rtl w:val="true"/>
        </w:rPr>
        <w:t xml:space="preserve">كِساء </w:t>
      </w:r>
      <w:r>
        <w:rPr>
          <w:rtl w:val="true"/>
        </w:rPr>
        <w:t>(</w:t>
      </w:r>
      <w:r>
        <w:rPr>
          <w:rtl w:val="true"/>
        </w:rPr>
        <w:t>كِسْوَه</w:t>
      </w:r>
      <w:r>
        <w:rPr>
          <w:rtl w:val="true"/>
        </w:rPr>
        <w:t>)</w:t>
      </w:r>
      <w:bookmarkEnd w:id="2237"/>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معناى عام به هر لباسى گفته مى‌شد، اما در معناى خاص، به پارچه‌اى ضخيم و تهيه شده از پشم گفته مى‌شد كه به خود مى‌پيچيدند</w:t>
      </w:r>
      <w:r>
        <w:rPr>
          <w:rFonts w:eastAsia="IRNazanin" w:cs="IRNazanin"/>
          <w:color w:val="111111"/>
          <w:sz w:val="28"/>
          <w:szCs w:val="28"/>
          <w:rtl w:val="true"/>
          <w:lang w:bidi="fa-IR"/>
        </w:rPr>
        <w:t xml:space="preserve">. </w:t>
      </w:r>
      <w:r>
        <w:rPr>
          <w:rStyle w:val="FootnoteAnchor"/>
          <w:rtl w:val="true"/>
        </w:rPr>
        <w:footnoteReference w:id="1994"/>
      </w:r>
      <w:r>
        <w:rPr>
          <w:rFonts w:ascii="Amiri" w:hAnsi="Amiri" w:eastAsia="Amiri" w:cs="Amiri"/>
          <w:color w:val="111111"/>
          <w:sz w:val="28"/>
          <w:sz w:val="28"/>
          <w:szCs w:val="28"/>
          <w:rtl w:val="true"/>
          <w:lang w:bidi="ar-SA"/>
        </w:rPr>
        <w:t>به همين معناى خاص در حديث شريف كساء به‌كار رفته است</w:t>
      </w:r>
      <w:r>
        <w:rPr>
          <w:rFonts w:eastAsia="Amiri" w:cs="Amiri" w:ascii="Amiri" w:hAnsi="Amiri"/>
          <w:color w:val="111111"/>
          <w:sz w:val="28"/>
          <w:szCs w:val="28"/>
          <w:rtl w:val="true"/>
          <w:lang w:bidi="ar-SA"/>
        </w:rPr>
        <w:t xml:space="preserve">. </w:t>
      </w:r>
      <w:r>
        <w:rPr>
          <w:rStyle w:val="FootnoteAnchor"/>
          <w:rtl w:val="true"/>
        </w:rPr>
        <w:footnoteReference w:id="1995"/>
      </w:r>
      <w:bookmarkStart w:id="2238" w:name="pg1964_19986"/>
    </w:p>
    <w:p>
      <w:pPr>
        <w:pStyle w:val="Heading6"/>
        <w:numPr>
          <w:ilvl w:val="5"/>
          <w:numId w:val="1"/>
        </w:numPr>
        <w:rPr/>
      </w:pPr>
      <w:bookmarkStart w:id="2239" w:name="__RefHeading___Toc3586319_3650668749"/>
      <w:bookmarkStart w:id="2240" w:name="_Toc956"/>
      <w:bookmarkEnd w:id="2238"/>
      <w:bookmarkEnd w:id="2239"/>
      <w:r>
        <w:rPr>
          <w:rtl w:val="true"/>
        </w:rPr>
        <w:t xml:space="preserve">سى و يكم </w:t>
      </w:r>
      <w:r>
        <w:rPr>
          <w:rtl w:val="true"/>
        </w:rPr>
        <w:t xml:space="preserve">- </w:t>
      </w:r>
      <w:r>
        <w:rPr>
          <w:rtl w:val="true"/>
        </w:rPr>
        <w:t>مُسْتَقَه</w:t>
      </w:r>
      <w:bookmarkEnd w:id="2240"/>
    </w:p>
    <w:p>
      <w:pPr>
        <w:pStyle w:val="BookText"/>
        <w:rPr/>
      </w:pPr>
      <w:r>
        <w:rPr>
          <w:rFonts w:ascii="IRNazanin" w:hAnsi="IRNazanin" w:eastAsia="IRNazanin"/>
          <w:color w:val="111111"/>
          <w:sz w:val="28"/>
          <w:sz w:val="28"/>
          <w:szCs w:val="28"/>
          <w:rtl w:val="true"/>
          <w:lang w:bidi="fa-IR"/>
        </w:rPr>
        <w:t xml:space="preserve">از لغت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آن پوستين‌هايى با آستين‌هاى بلند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لباس براى مردم جاهليت شناخته شده بود</w:t>
      </w:r>
      <w:r>
        <w:rPr>
          <w:rFonts w:eastAsia="IRNazanin" w:cs="IRNazanin"/>
          <w:color w:val="111111"/>
          <w:sz w:val="28"/>
          <w:szCs w:val="28"/>
          <w:rtl w:val="true"/>
          <w:lang w:bidi="fa-IR"/>
        </w:rPr>
        <w:t xml:space="preserve">. </w:t>
      </w:r>
      <w:r>
        <w:rPr>
          <w:rStyle w:val="FootnoteAnchor"/>
          <w:rtl w:val="true"/>
        </w:rPr>
        <w:footnoteReference w:id="1996"/>
      </w:r>
      <w:r>
        <w:rPr>
          <w:rFonts w:ascii="IRNazanin" w:hAnsi="IRNazanin" w:eastAsia="IRNazanin"/>
          <w:color w:val="111111"/>
          <w:sz w:val="28"/>
          <w:sz w:val="28"/>
          <w:szCs w:val="28"/>
          <w:rtl w:val="true"/>
          <w:lang w:bidi="fa-IR"/>
        </w:rPr>
        <w:t>همچنين پوشيدن اين</w:t>
      </w:r>
    </w:p>
    <w:p>
      <w:pPr>
        <w:pStyle w:val="BookText"/>
        <w:rPr/>
      </w:pPr>
      <w:r>
        <w:rPr>
          <w:rFonts w:ascii="IRNazanin" w:hAnsi="IRNazanin" w:eastAsia="IRNazanin"/>
          <w:color w:val="111111"/>
          <w:sz w:val="28"/>
          <w:sz w:val="28"/>
          <w:szCs w:val="28"/>
          <w:rtl w:val="true"/>
          <w:lang w:bidi="fa-IR"/>
        </w:rPr>
        <w:t xml:space="preserve">نوع پوستين‌ها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نسبت داده شده است</w:t>
      </w:r>
      <w:r>
        <w:rPr>
          <w:rFonts w:eastAsia="IRNazanin" w:cs="IRNazanin"/>
          <w:color w:val="111111"/>
          <w:sz w:val="28"/>
          <w:szCs w:val="28"/>
          <w:rtl w:val="true"/>
          <w:lang w:bidi="fa-IR"/>
        </w:rPr>
        <w:t xml:space="preserve">. </w:t>
      </w:r>
      <w:r>
        <w:rPr>
          <w:rStyle w:val="FootnoteAnchor"/>
          <w:rtl w:val="true"/>
        </w:rPr>
        <w:footnoteReference w:id="1997"/>
      </w:r>
      <w:r>
        <w:rPr>
          <w:rFonts w:ascii="Amiri" w:hAnsi="Amiri" w:eastAsia="Amiri" w:cs="Amiri"/>
          <w:color w:val="111111"/>
          <w:sz w:val="28"/>
          <w:sz w:val="28"/>
          <w:szCs w:val="28"/>
          <w:rtl w:val="true"/>
          <w:lang w:bidi="ar-SA"/>
        </w:rPr>
        <w:t>بعدها اين نوع لباس در ميان اعراب رواج يافت</w:t>
      </w:r>
      <w:r>
        <w:rPr>
          <w:rFonts w:eastAsia="Amiri" w:cs="Amiri" w:ascii="Amiri" w:hAnsi="Amiri"/>
          <w:color w:val="111111"/>
          <w:sz w:val="28"/>
          <w:szCs w:val="28"/>
          <w:rtl w:val="true"/>
          <w:lang w:bidi="ar-SA"/>
        </w:rPr>
        <w:t xml:space="preserve">. </w:t>
      </w:r>
      <w:r>
        <w:rPr>
          <w:rStyle w:val="FootnoteAnchor"/>
          <w:rtl w:val="true"/>
        </w:rPr>
        <w:footnoteReference w:id="1998"/>
      </w:r>
    </w:p>
    <w:p>
      <w:pPr>
        <w:pStyle w:val="Heading6"/>
        <w:numPr>
          <w:ilvl w:val="5"/>
          <w:numId w:val="1"/>
        </w:numPr>
        <w:rPr/>
      </w:pPr>
      <w:bookmarkStart w:id="2241" w:name="__RefHeading___Toc3586321_3650668749"/>
      <w:bookmarkStart w:id="2242" w:name="_Toc957"/>
      <w:bookmarkEnd w:id="2241"/>
      <w:r>
        <w:rPr>
          <w:rtl w:val="true"/>
        </w:rPr>
        <w:t xml:space="preserve">سى و دوم </w:t>
      </w:r>
      <w:r>
        <w:rPr>
          <w:rtl w:val="true"/>
        </w:rPr>
        <w:t xml:space="preserve">- </w:t>
      </w:r>
      <w:r>
        <w:rPr>
          <w:rtl w:val="true"/>
        </w:rPr>
        <w:t>مِسْح</w:t>
      </w:r>
      <w:bookmarkEnd w:id="2242"/>
    </w:p>
    <w:p>
      <w:pPr>
        <w:pStyle w:val="BookText"/>
        <w:rPr/>
      </w:pPr>
      <w:r>
        <w:rPr>
          <w:rFonts w:ascii="IRNazanin" w:hAnsi="IRNazanin" w:eastAsia="IRNazanin"/>
          <w:color w:val="111111"/>
          <w:sz w:val="28"/>
          <w:sz w:val="28"/>
          <w:szCs w:val="28"/>
          <w:rtl w:val="true"/>
          <w:lang w:bidi="fa-IR"/>
        </w:rPr>
        <w:t xml:space="preserve">به معناى پوششى بود كه از مو تهيه مى‌شد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Style w:val="FootnoteAnchor"/>
          <w:rtl w:val="true"/>
        </w:rPr>
        <w:footnoteReference w:id="1999"/>
      </w:r>
      <w:r>
        <w:rPr>
          <w:rFonts w:ascii="IRNazanin" w:hAnsi="IRNazanin" w:eastAsia="IRNazanin"/>
          <w:color w:val="111111"/>
          <w:sz w:val="28"/>
          <w:sz w:val="28"/>
          <w:szCs w:val="28"/>
          <w:rtl w:val="true"/>
          <w:lang w:bidi="fa-IR"/>
        </w:rPr>
        <w:t>بعضى آن را لباس خشن سياه رنگى دانسته‌اند كه معمولاً از موى بز تهيه مى‌شد و راهبان و صوفيان مى‌پوشيدند</w:t>
      </w:r>
      <w:r>
        <w:rPr>
          <w:rFonts w:eastAsia="IRNazanin" w:cs="IRNazanin"/>
          <w:color w:val="111111"/>
          <w:sz w:val="28"/>
          <w:szCs w:val="28"/>
          <w:rtl w:val="true"/>
          <w:lang w:bidi="fa-IR"/>
        </w:rPr>
        <w:t xml:space="preserve">. </w:t>
      </w:r>
      <w:r>
        <w:rPr>
          <w:rStyle w:val="FootnoteAnchor"/>
          <w:rtl w:val="true"/>
        </w:rPr>
        <w:footnoteReference w:id="2000"/>
      </w:r>
      <w:r>
        <w:rPr>
          <w:rFonts w:ascii="IRNazanin" w:hAnsi="IRNazanin" w:eastAsia="IRNazanin"/>
          <w:color w:val="111111"/>
          <w:sz w:val="28"/>
          <w:sz w:val="28"/>
          <w:szCs w:val="28"/>
          <w:rtl w:val="true"/>
          <w:lang w:bidi="fa-IR"/>
        </w:rPr>
        <w:t>در بعضى نوشته‌ها نيز آن را لباسى كه شكل و دوختى نامناسب داشته است، دانسته و گفته‌اند كه معمولاً غلامان آن را مى‌پوشيدند</w:t>
      </w:r>
      <w:r>
        <w:rPr>
          <w:rFonts w:eastAsia="IRNazanin" w:cs="IRNazanin"/>
          <w:color w:val="111111"/>
          <w:sz w:val="28"/>
          <w:szCs w:val="28"/>
          <w:rtl w:val="true"/>
          <w:lang w:bidi="fa-IR"/>
        </w:rPr>
        <w:t xml:space="preserve">. </w:t>
      </w:r>
      <w:r>
        <w:rPr>
          <w:rStyle w:val="FootnoteAnchor"/>
          <w:rtl w:val="true"/>
        </w:rPr>
        <w:footnoteReference w:id="2001"/>
      </w:r>
    </w:p>
    <w:p>
      <w:pPr>
        <w:pStyle w:val="Heading6"/>
        <w:numPr>
          <w:ilvl w:val="5"/>
          <w:numId w:val="1"/>
        </w:numPr>
        <w:rPr/>
      </w:pPr>
      <w:bookmarkStart w:id="2243" w:name="__RefHeading___Toc3586323_3650668749"/>
      <w:bookmarkStart w:id="2244" w:name="_Toc958"/>
      <w:bookmarkEnd w:id="2243"/>
      <w:r>
        <w:rPr>
          <w:rtl w:val="true"/>
        </w:rPr>
        <w:t xml:space="preserve">سى و سوم </w:t>
      </w:r>
      <w:r>
        <w:rPr>
          <w:rtl w:val="true"/>
        </w:rPr>
        <w:t xml:space="preserve">- </w:t>
      </w:r>
      <w:r>
        <w:rPr>
          <w:rtl w:val="true"/>
        </w:rPr>
        <w:t xml:space="preserve">مِطْرَف </w:t>
      </w:r>
      <w:r>
        <w:rPr>
          <w:rtl w:val="true"/>
        </w:rPr>
        <w:t>(</w:t>
      </w:r>
      <w:r>
        <w:rPr>
          <w:rtl w:val="true"/>
        </w:rPr>
        <w:t>مُطْرَف</w:t>
      </w:r>
      <w:r>
        <w:rPr>
          <w:rtl w:val="true"/>
        </w:rPr>
        <w:t>)</w:t>
      </w:r>
      <w:bookmarkEnd w:id="2244"/>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مطرف به معناى لباسى ندوخته و مربع شكل و تهيه شده از خزّ گفته مى‌شد كه در دو طرف آن، دو نشان گذاشته بودند</w:t>
      </w:r>
      <w:r>
        <w:rPr>
          <w:rFonts w:eastAsia="IRNazanin" w:cs="IRNazanin"/>
          <w:color w:val="111111"/>
          <w:sz w:val="28"/>
          <w:szCs w:val="28"/>
          <w:rtl w:val="true"/>
          <w:lang w:bidi="fa-IR"/>
        </w:rPr>
        <w:t xml:space="preserve">. </w:t>
      </w:r>
      <w:r>
        <w:rPr>
          <w:rStyle w:val="FootnoteAnchor"/>
          <w:rtl w:val="true"/>
        </w:rPr>
        <w:footnoteReference w:id="2002"/>
      </w:r>
      <w:r>
        <w:rPr>
          <w:rFonts w:ascii="IRNazanin" w:hAnsi="IRNazanin" w:eastAsia="IRNazanin"/>
          <w:color w:val="111111"/>
          <w:sz w:val="28"/>
          <w:sz w:val="28"/>
          <w:szCs w:val="28"/>
          <w:rtl w:val="true"/>
          <w:lang w:bidi="fa-IR"/>
        </w:rPr>
        <w:t xml:space="preserve">پوشيدن اين نوع لباس به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2003"/>
      </w:r>
      <w:r>
        <w:rPr>
          <w:rFonts w:ascii="Amiri" w:hAnsi="Amiri" w:eastAsia="Amiri" w:cs="Amiri"/>
          <w:color w:val="111111"/>
          <w:sz w:val="28"/>
          <w:sz w:val="28"/>
          <w:szCs w:val="28"/>
          <w:rtl w:val="true"/>
          <w:lang w:bidi="ar-SA"/>
        </w:rPr>
        <w:t xml:space="preserve">و نيز زياد بن ابيه </w:t>
      </w:r>
      <w:r>
        <w:rPr>
          <w:rStyle w:val="FootnoteAnchor"/>
          <w:rtl w:val="true"/>
        </w:rPr>
        <w:footnoteReference w:id="2004"/>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bookmarkStart w:id="2245" w:name="pg1964_19987"/>
    </w:p>
    <w:p>
      <w:pPr>
        <w:pStyle w:val="Heading6"/>
        <w:numPr>
          <w:ilvl w:val="5"/>
          <w:numId w:val="1"/>
        </w:numPr>
        <w:rPr/>
      </w:pPr>
      <w:bookmarkStart w:id="2246" w:name="__RefHeading___Toc3586325_3650668749"/>
      <w:bookmarkStart w:id="2247" w:name="_Toc959"/>
      <w:bookmarkEnd w:id="2245"/>
      <w:bookmarkEnd w:id="2246"/>
      <w:r>
        <w:rPr>
          <w:rtl w:val="true"/>
        </w:rPr>
        <w:t xml:space="preserve">سى و چهارم </w:t>
      </w:r>
      <w:r>
        <w:rPr>
          <w:rtl w:val="true"/>
        </w:rPr>
        <w:t xml:space="preserve">- </w:t>
      </w:r>
      <w:r>
        <w:rPr>
          <w:rtl w:val="true"/>
        </w:rPr>
        <w:t>مُقَطَّعَه</w:t>
      </w:r>
      <w:bookmarkEnd w:id="2247"/>
    </w:p>
    <w:p>
      <w:pPr>
        <w:pStyle w:val="BookText"/>
        <w:rPr/>
      </w:pPr>
      <w:r>
        <w:rPr>
          <w:rFonts w:ascii="IRNazanin" w:hAnsi="IRNazanin" w:eastAsia="IRNazanin"/>
          <w:color w:val="111111"/>
          <w:sz w:val="28"/>
          <w:sz w:val="28"/>
          <w:szCs w:val="28"/>
          <w:rtl w:val="true"/>
          <w:lang w:bidi="fa-IR"/>
        </w:rPr>
        <w:t>به بُردهاى نگارين و رنگارنگ گفته مى‌شد</w:t>
      </w:r>
      <w:r>
        <w:rPr>
          <w:rFonts w:eastAsia="IRNazanin" w:cs="IRNazanin"/>
          <w:color w:val="111111"/>
          <w:sz w:val="28"/>
          <w:szCs w:val="28"/>
          <w:rtl w:val="true"/>
          <w:lang w:bidi="fa-IR"/>
        </w:rPr>
        <w:t xml:space="preserve">. </w:t>
      </w:r>
      <w:r>
        <w:rPr>
          <w:rStyle w:val="FootnoteAnchor"/>
          <w:rtl w:val="true"/>
        </w:rPr>
        <w:footnoteReference w:id="2005"/>
      </w:r>
      <w:r>
        <w:rPr>
          <w:rFonts w:ascii="Amiri" w:hAnsi="Amiri" w:eastAsia="Amiri" w:cs="Amiri"/>
          <w:color w:val="111111"/>
          <w:sz w:val="28"/>
          <w:sz w:val="28"/>
          <w:szCs w:val="28"/>
          <w:rtl w:val="true"/>
          <w:lang w:bidi="ar-SA"/>
        </w:rPr>
        <w:t>اين نوع لباس در زمان نفوذ</w:t>
      </w:r>
    </w:p>
    <w:p>
      <w:pPr>
        <w:pStyle w:val="BookText"/>
        <w:rPr/>
      </w:pPr>
      <w:r>
        <w:rPr>
          <w:rFonts w:ascii="Amiri" w:hAnsi="Amiri" w:eastAsia="Amiri" w:cs="Amiri"/>
          <w:color w:val="111111"/>
          <w:sz w:val="28"/>
          <w:sz w:val="28"/>
          <w:szCs w:val="28"/>
          <w:rtl w:val="true"/>
          <w:lang w:bidi="ar-SA"/>
        </w:rPr>
        <w:t>تجمّلات در ميان اعراب رواج يافت</w:t>
      </w:r>
      <w:r>
        <w:rPr>
          <w:rFonts w:eastAsia="Amiri" w:cs="Amiri" w:ascii="Amiri" w:hAnsi="Amiri"/>
          <w:color w:val="111111"/>
          <w:sz w:val="28"/>
          <w:szCs w:val="28"/>
          <w:rtl w:val="true"/>
          <w:lang w:bidi="ar-SA"/>
        </w:rPr>
        <w:t xml:space="preserve">. </w:t>
      </w:r>
      <w:r>
        <w:rPr>
          <w:rStyle w:val="FootnoteAnchor"/>
          <w:rtl w:val="true"/>
        </w:rPr>
        <w:footnoteReference w:id="2006"/>
      </w:r>
      <w:r>
        <w:rPr>
          <w:rFonts w:ascii="IRNazanin" w:hAnsi="IRNazanin" w:eastAsia="IRNazanin"/>
          <w:color w:val="111111"/>
          <w:sz w:val="28"/>
          <w:sz w:val="28"/>
          <w:szCs w:val="28"/>
          <w:rtl w:val="true"/>
          <w:lang w:bidi="fa-IR"/>
        </w:rPr>
        <w:t>در باره عبيدالله بن زياد نقل شده است كه مقطعه‌اى از مقطعات يمن پوشيده بود</w:t>
      </w:r>
      <w:r>
        <w:rPr>
          <w:rFonts w:eastAsia="IRNazanin" w:cs="IRNazanin"/>
          <w:color w:val="111111"/>
          <w:sz w:val="28"/>
          <w:szCs w:val="28"/>
          <w:rtl w:val="true"/>
          <w:lang w:bidi="fa-IR"/>
        </w:rPr>
        <w:t xml:space="preserve">. </w:t>
      </w:r>
      <w:r>
        <w:rPr>
          <w:rStyle w:val="FootnoteAnchor"/>
          <w:rtl w:val="true"/>
        </w:rPr>
        <w:footnoteReference w:id="2007"/>
      </w:r>
    </w:p>
    <w:p>
      <w:pPr>
        <w:pStyle w:val="Heading6"/>
        <w:numPr>
          <w:ilvl w:val="5"/>
          <w:numId w:val="1"/>
        </w:numPr>
        <w:rPr/>
      </w:pPr>
      <w:bookmarkStart w:id="2248" w:name="__RefHeading___Toc3586327_3650668749"/>
      <w:bookmarkStart w:id="2249" w:name="_Toc960"/>
      <w:bookmarkEnd w:id="2248"/>
      <w:r>
        <w:rPr>
          <w:rtl w:val="true"/>
        </w:rPr>
        <w:t xml:space="preserve">سى و پنجم </w:t>
      </w:r>
      <w:r>
        <w:rPr>
          <w:rtl w:val="true"/>
        </w:rPr>
        <w:t xml:space="preserve">- </w:t>
      </w:r>
      <w:r>
        <w:rPr>
          <w:rtl w:val="true"/>
        </w:rPr>
        <w:t>مُلاءَه</w:t>
      </w:r>
      <w:bookmarkEnd w:id="2249"/>
    </w:p>
    <w:p>
      <w:pPr>
        <w:pStyle w:val="BookText"/>
        <w:rPr/>
      </w:pPr>
      <w:r>
        <w:rPr>
          <w:rFonts w:ascii="Amiri" w:hAnsi="Amiri" w:eastAsia="Amiri" w:cs="Amiri"/>
          <w:color w:val="111111"/>
          <w:sz w:val="28"/>
          <w:sz w:val="28"/>
          <w:szCs w:val="28"/>
          <w:rtl w:val="true"/>
          <w:lang w:bidi="ar-SA"/>
        </w:rPr>
        <w:t xml:space="preserve">در لغت به همان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Style w:val="FootnoteAnchor"/>
          <w:rtl w:val="true"/>
        </w:rPr>
        <w:footnoteReference w:id="2008"/>
      </w:r>
      <w:r>
        <w:rPr>
          <w:rFonts w:ascii="IRNazanin" w:hAnsi="IRNazanin" w:eastAsia="IRNazanin"/>
          <w:color w:val="111111"/>
          <w:sz w:val="28"/>
          <w:sz w:val="28"/>
          <w:szCs w:val="28"/>
          <w:rtl w:val="true"/>
          <w:lang w:bidi="fa-IR"/>
        </w:rPr>
        <w:t>بعضى آن را اين‌چنين تعريف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نوع روپوش سفيد و آبى كه فقط مردان مى‌پوشند</w:t>
      </w:r>
      <w:r>
        <w:rPr>
          <w:rFonts w:eastAsia="IRNazanin" w:cs="IRNazanin"/>
          <w:color w:val="111111"/>
          <w:sz w:val="28"/>
          <w:szCs w:val="28"/>
          <w:rtl w:val="true"/>
          <w:lang w:bidi="fa-IR"/>
        </w:rPr>
        <w:t xml:space="preserve">» . </w:t>
      </w:r>
      <w:r>
        <w:rPr>
          <w:rStyle w:val="FootnoteAnchor"/>
          <w:rtl w:val="true"/>
        </w:rPr>
        <w:footnoteReference w:id="2009"/>
      </w:r>
      <w:r>
        <w:rPr>
          <w:rFonts w:ascii="Amiri" w:hAnsi="Amiri" w:eastAsia="Amiri" w:cs="Amiri"/>
          <w:color w:val="111111"/>
          <w:sz w:val="28"/>
          <w:sz w:val="28"/>
          <w:szCs w:val="28"/>
          <w:rtl w:val="true"/>
          <w:lang w:bidi="ar-SA"/>
        </w:rPr>
        <w:t>البته اين تعريف با توجه به مصاديق آن در قرن‌هاى متأخر تهيه شده است</w:t>
      </w:r>
      <w:r>
        <w:rPr>
          <w:rFonts w:eastAsia="Amiri" w:cs="Amiri" w:ascii="Amiri" w:hAnsi="Amiri"/>
          <w:color w:val="111111"/>
          <w:sz w:val="28"/>
          <w:szCs w:val="28"/>
          <w:rtl w:val="true"/>
          <w:lang w:bidi="ar-SA"/>
        </w:rPr>
        <w:t>.</w:t>
      </w:r>
    </w:p>
    <w:p>
      <w:pPr>
        <w:pStyle w:val="Heading6"/>
        <w:numPr>
          <w:ilvl w:val="5"/>
          <w:numId w:val="1"/>
        </w:numPr>
        <w:rPr/>
      </w:pPr>
      <w:bookmarkStart w:id="2250" w:name="__RefHeading___Toc3586329_3650668749"/>
      <w:bookmarkStart w:id="2251" w:name="_Toc961"/>
      <w:bookmarkEnd w:id="2250"/>
      <w:r>
        <w:rPr>
          <w:rtl w:val="true"/>
        </w:rPr>
        <w:t xml:space="preserve">سى و ششم </w:t>
      </w:r>
      <w:r>
        <w:rPr>
          <w:rtl w:val="true"/>
        </w:rPr>
        <w:t xml:space="preserve">- </w:t>
      </w:r>
      <w:r>
        <w:rPr>
          <w:rtl w:val="true"/>
        </w:rPr>
        <w:t>مِلحَفَه</w:t>
      </w:r>
      <w:bookmarkEnd w:id="2251"/>
    </w:p>
    <w:p>
      <w:pPr>
        <w:pStyle w:val="BookText"/>
        <w:rPr/>
      </w:pPr>
      <w:r>
        <w:rPr>
          <w:rFonts w:ascii="IRNazanin" w:hAnsi="IRNazanin" w:eastAsia="IRNazanin"/>
          <w:color w:val="111111"/>
          <w:sz w:val="28"/>
          <w:sz w:val="28"/>
          <w:szCs w:val="28"/>
          <w:rtl w:val="true"/>
          <w:lang w:bidi="fa-IR"/>
        </w:rPr>
        <w:t xml:space="preserve">به هر لباسى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همه لباس‌ها پوشيده مى‌شد و از بُرد يا از نوع ديگر بود، گفته مى‌شد</w:t>
      </w:r>
      <w:r>
        <w:rPr>
          <w:rFonts w:eastAsia="IRNazanin" w:cs="IRNazanin"/>
          <w:color w:val="111111"/>
          <w:sz w:val="28"/>
          <w:szCs w:val="28"/>
          <w:rtl w:val="true"/>
          <w:lang w:bidi="fa-IR"/>
        </w:rPr>
        <w:t xml:space="preserve">. </w:t>
      </w:r>
      <w:r>
        <w:rPr>
          <w:rStyle w:val="FootnoteAnchor"/>
          <w:rtl w:val="true"/>
        </w:rPr>
        <w:footnoteReference w:id="2010"/>
      </w:r>
      <w:r>
        <w:rPr>
          <w:rFonts w:ascii="Amiri" w:hAnsi="Amiri" w:eastAsia="Amiri" w:cs="Amiri"/>
          <w:color w:val="111111"/>
          <w:sz w:val="28"/>
          <w:sz w:val="28"/>
          <w:szCs w:val="28"/>
          <w:rtl w:val="true"/>
          <w:lang w:bidi="ar-SA"/>
        </w:rPr>
        <w:t xml:space="preserve">درباره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خرماى خريدارى شده را در ملحفه خود حمل مى‌كرد</w:t>
      </w:r>
      <w:r>
        <w:rPr>
          <w:rFonts w:eastAsia="Amiri" w:cs="Amiri" w:ascii="Amiri" w:hAnsi="Amiri"/>
          <w:color w:val="111111"/>
          <w:sz w:val="28"/>
          <w:szCs w:val="28"/>
          <w:rtl w:val="true"/>
          <w:lang w:bidi="ar-SA"/>
        </w:rPr>
        <w:t xml:space="preserve">. </w:t>
      </w:r>
      <w:r>
        <w:rPr>
          <w:rStyle w:val="FootnoteAnchor"/>
          <w:rtl w:val="true"/>
        </w:rPr>
        <w:footnoteReference w:id="20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مِلْحَفَةٌ مُوَرَسّه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ملحفه بود كه پارچه آن را با گياه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زرد يا قرمز ملوّن ساخته بودند</w:t>
      </w:r>
      <w:r>
        <w:rPr>
          <w:rFonts w:eastAsia="IRNazanin" w:cs="IRNazanin"/>
          <w:color w:val="111111"/>
          <w:sz w:val="28"/>
          <w:szCs w:val="28"/>
          <w:rtl w:val="true"/>
          <w:lang w:bidi="fa-IR"/>
        </w:rPr>
        <w:t xml:space="preserve">. </w:t>
      </w:r>
      <w:r>
        <w:rPr>
          <w:rStyle w:val="FootnoteAnchor"/>
          <w:rtl w:val="true"/>
        </w:rPr>
        <w:footnoteReference w:id="2012"/>
      </w:r>
    </w:p>
    <w:p>
      <w:pPr>
        <w:pStyle w:val="Heading6"/>
        <w:numPr>
          <w:ilvl w:val="5"/>
          <w:numId w:val="1"/>
        </w:numPr>
        <w:rPr/>
      </w:pPr>
      <w:bookmarkStart w:id="2252" w:name="__RefHeading___Toc3586331_3650668749"/>
      <w:bookmarkStart w:id="2253" w:name="_Toc962"/>
      <w:bookmarkEnd w:id="2252"/>
      <w:r>
        <w:rPr>
          <w:rtl w:val="true"/>
        </w:rPr>
        <w:t xml:space="preserve">سى و هفتم </w:t>
      </w:r>
      <w:r>
        <w:rPr>
          <w:rtl w:val="true"/>
        </w:rPr>
        <w:t xml:space="preserve">- </w:t>
      </w:r>
      <w:r>
        <w:rPr>
          <w:rtl w:val="true"/>
        </w:rPr>
        <w:t>نَمِرَه</w:t>
      </w:r>
      <w:bookmarkEnd w:id="2253"/>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بُرده‌اى گفته مى‌شد كه راه راه بود و از پشم به عمل مى‌آمد</w:t>
      </w:r>
      <w:r>
        <w:rPr>
          <w:rFonts w:eastAsia="IRNazanin" w:cs="IRNazanin"/>
          <w:color w:val="111111"/>
          <w:sz w:val="28"/>
          <w:szCs w:val="28"/>
          <w:rtl w:val="true"/>
          <w:lang w:bidi="fa-IR"/>
        </w:rPr>
        <w:t xml:space="preserve">. </w:t>
      </w:r>
      <w:r>
        <w:rPr>
          <w:rStyle w:val="FootnoteAnchor"/>
          <w:rtl w:val="true"/>
        </w:rPr>
        <w:footnoteReference w:id="2013"/>
      </w:r>
      <w:r>
        <w:rPr>
          <w:rFonts w:ascii="Amiri" w:hAnsi="Amiri" w:eastAsia="Amiri" w:cs="Amiri"/>
          <w:color w:val="111111"/>
          <w:sz w:val="28"/>
          <w:sz w:val="28"/>
          <w:szCs w:val="28"/>
          <w:rtl w:val="true"/>
          <w:lang w:bidi="ar-SA"/>
        </w:rPr>
        <w:t>اين لباس در جاهليت نيز شناخته شده بود</w:t>
      </w:r>
      <w:r>
        <w:rPr>
          <w:rFonts w:eastAsia="Amiri" w:cs="Amiri" w:ascii="Amiri" w:hAnsi="Amiri"/>
          <w:color w:val="111111"/>
          <w:sz w:val="28"/>
          <w:szCs w:val="28"/>
          <w:rtl w:val="true"/>
          <w:lang w:bidi="ar-SA"/>
        </w:rPr>
        <w:t xml:space="preserve">. </w:t>
      </w:r>
      <w:r>
        <w:rPr>
          <w:rStyle w:val="FootnoteAnchor"/>
          <w:rtl w:val="true"/>
        </w:rPr>
        <w:footnoteReference w:id="2014"/>
      </w:r>
      <w:r>
        <w:rPr>
          <w:rFonts w:ascii="IRNazanin" w:hAnsi="IRNazanin" w:eastAsia="IRNazanin"/>
          <w:color w:val="111111"/>
          <w:sz w:val="28"/>
          <w:sz w:val="28"/>
          <w:szCs w:val="28"/>
          <w:rtl w:val="true"/>
          <w:lang w:bidi="fa-IR"/>
        </w:rPr>
        <w:t xml:space="preserve">پوشيدن اين نوع لباس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نسبت داده شده است</w:t>
      </w:r>
      <w:r>
        <w:rPr>
          <w:rFonts w:eastAsia="IRNazanin" w:cs="IRNazanin"/>
          <w:color w:val="111111"/>
          <w:sz w:val="28"/>
          <w:szCs w:val="28"/>
          <w:rtl w:val="true"/>
          <w:lang w:bidi="fa-IR"/>
        </w:rPr>
        <w:t xml:space="preserve">. </w:t>
      </w:r>
      <w:r>
        <w:rPr>
          <w:rStyle w:val="FootnoteAnchor"/>
          <w:rtl w:val="true"/>
        </w:rPr>
        <w:footnoteReference w:id="2015"/>
      </w:r>
      <w:bookmarkStart w:id="2254" w:name="pg1964_19988"/>
    </w:p>
    <w:p>
      <w:pPr>
        <w:pStyle w:val="Heading6"/>
        <w:numPr>
          <w:ilvl w:val="5"/>
          <w:numId w:val="1"/>
        </w:numPr>
        <w:rPr/>
      </w:pPr>
      <w:bookmarkStart w:id="2255" w:name="__RefHeading___Toc3586333_3650668749"/>
      <w:bookmarkStart w:id="2256" w:name="_Toc963"/>
      <w:bookmarkEnd w:id="2254"/>
      <w:bookmarkEnd w:id="2255"/>
      <w:r>
        <w:rPr>
          <w:rtl w:val="true"/>
        </w:rPr>
        <w:t xml:space="preserve">سى و هشتم </w:t>
      </w:r>
      <w:r>
        <w:rPr>
          <w:rtl w:val="true"/>
        </w:rPr>
        <w:t xml:space="preserve">- </w:t>
      </w:r>
      <w:r>
        <w:rPr>
          <w:rtl w:val="true"/>
        </w:rPr>
        <w:t>يَلْمَق</w:t>
      </w:r>
      <w:bookmarkEnd w:id="2256"/>
    </w:p>
    <w:p>
      <w:pPr>
        <w:pStyle w:val="BookText"/>
        <w:rPr/>
      </w:pPr>
      <w:r>
        <w:rPr>
          <w:rFonts w:ascii="Amiri" w:hAnsi="Amiri" w:eastAsia="Amiri" w:cs="Amiri"/>
          <w:color w:val="111111"/>
          <w:sz w:val="28"/>
          <w:sz w:val="28"/>
          <w:szCs w:val="28"/>
          <w:rtl w:val="true"/>
          <w:lang w:bidi="ar-SA"/>
        </w:rPr>
        <w:t>كلمه‌اى فارسى و به معناى قَباست</w:t>
      </w:r>
      <w:r>
        <w:rPr>
          <w:rFonts w:eastAsia="Amiri" w:cs="Amiri" w:ascii="Amiri" w:hAnsi="Amiri"/>
          <w:color w:val="111111"/>
          <w:sz w:val="28"/>
          <w:szCs w:val="28"/>
          <w:rtl w:val="true"/>
          <w:lang w:bidi="ar-SA"/>
        </w:rPr>
        <w:t xml:space="preserve">. </w:t>
      </w:r>
      <w:r>
        <w:rPr>
          <w:rStyle w:val="FootnoteAnchor"/>
          <w:rtl w:val="true"/>
        </w:rPr>
        <w:footnoteReference w:id="2016"/>
      </w:r>
      <w:r>
        <w:rPr>
          <w:rFonts w:ascii="IRNazanin" w:hAnsi="IRNazanin" w:eastAsia="IRNazanin"/>
          <w:color w:val="111111"/>
          <w:sz w:val="28"/>
          <w:sz w:val="28"/>
          <w:szCs w:val="28"/>
          <w:rtl w:val="true"/>
          <w:lang w:bidi="fa-IR"/>
        </w:rPr>
        <w:t>بعضى آن را به معناى قباى نَوپَر ترجمه كرده‌اند</w:t>
      </w:r>
      <w:r>
        <w:rPr>
          <w:rFonts w:eastAsia="IRNazanin" w:cs="IRNazanin"/>
          <w:color w:val="111111"/>
          <w:sz w:val="28"/>
          <w:szCs w:val="28"/>
          <w:rtl w:val="true"/>
          <w:lang w:bidi="fa-IR"/>
        </w:rPr>
        <w:t xml:space="preserve">. </w:t>
      </w:r>
      <w:r>
        <w:rPr>
          <w:rStyle w:val="FootnoteAnchor"/>
          <w:rtl w:val="true"/>
        </w:rPr>
        <w:footnoteReference w:id="2017"/>
      </w:r>
      <w:r>
        <w:rPr>
          <w:rFonts w:ascii="IRNazanin" w:hAnsi="IRNazanin" w:eastAsia="IRNazanin"/>
          <w:color w:val="111111"/>
          <w:sz w:val="28"/>
          <w:sz w:val="28"/>
          <w:szCs w:val="28"/>
          <w:rtl w:val="true"/>
          <w:lang w:bidi="fa-IR"/>
        </w:rPr>
        <w:t xml:space="preserve">فَرزدق پس از ملاقات 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شعرى كه در توصيف آن حضرت مى‌سرايد يكى از لباس‌هاى ايشان را يلْمَق ذكر مى‌كند</w:t>
      </w:r>
      <w:r>
        <w:rPr>
          <w:rFonts w:eastAsia="IRNazanin" w:cs="IRNazanin"/>
          <w:color w:val="111111"/>
          <w:sz w:val="28"/>
          <w:szCs w:val="28"/>
          <w:rtl w:val="true"/>
          <w:lang w:bidi="fa-IR"/>
        </w:rPr>
        <w:t xml:space="preserve">. </w:t>
      </w:r>
      <w:r>
        <w:rPr>
          <w:rStyle w:val="FootnoteAnchor"/>
          <w:rtl w:val="true"/>
        </w:rPr>
        <w:footnoteReference w:id="2018"/>
      </w:r>
    </w:p>
    <w:p>
      <w:pPr>
        <w:pStyle w:val="Heading5"/>
        <w:numPr>
          <w:ilvl w:val="4"/>
          <w:numId w:val="1"/>
        </w:numPr>
        <w:rPr/>
      </w:pPr>
      <w:bookmarkStart w:id="2257" w:name="__RefHeading___Toc3586335_3650668749"/>
      <w:bookmarkStart w:id="2258" w:name="_Toc964"/>
      <w:bookmarkEnd w:id="2257"/>
      <w:r>
        <w:rPr>
          <w:rtl w:val="true"/>
        </w:rPr>
        <w:t xml:space="preserve">سه </w:t>
      </w:r>
      <w:r>
        <w:rPr>
          <w:rtl w:val="true"/>
        </w:rPr>
        <w:t xml:space="preserve">- </w:t>
      </w:r>
      <w:r>
        <w:rPr>
          <w:rtl w:val="true"/>
        </w:rPr>
        <w:t>پوشش پايين بدن</w:t>
      </w:r>
      <w:bookmarkEnd w:id="2258"/>
    </w:p>
    <w:p>
      <w:pPr>
        <w:pStyle w:val="Heading6"/>
        <w:numPr>
          <w:ilvl w:val="5"/>
          <w:numId w:val="1"/>
        </w:numPr>
        <w:rPr/>
      </w:pPr>
      <w:bookmarkStart w:id="2259" w:name="__RefHeading___Toc3586337_3650668749"/>
      <w:bookmarkStart w:id="2260" w:name="_Toc965"/>
      <w:bookmarkEnd w:id="2259"/>
      <w:r>
        <w:rPr>
          <w:rtl w:val="true"/>
        </w:rPr>
        <w:t>اشاره</w:t>
      </w:r>
      <w:bookmarkEnd w:id="2260"/>
    </w:p>
    <w:p>
      <w:pPr>
        <w:pStyle w:val="BookText"/>
        <w:rPr/>
      </w:pPr>
      <w:r>
        <w:rPr>
          <w:rFonts w:ascii="IRNazanin" w:hAnsi="IRNazanin" w:eastAsia="IRNazanin"/>
          <w:color w:val="111111"/>
          <w:sz w:val="28"/>
          <w:sz w:val="28"/>
          <w:szCs w:val="28"/>
          <w:rtl w:val="true"/>
          <w:lang w:bidi="fa-IR"/>
        </w:rPr>
        <w:t>منظور از پوشش پايين بدن لباس‌هايى است كه براى پوشاندن كمر تا روى پاها از آنها 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كفش و جوراب را نيز در اين قسمت ذكر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بعضى از انواع ذكر شده در قسمت قبل در پوشش پايين بدن نيز 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لباس‌هايى كه اختصاصاً در پوشش پايين بدن به‌كار مى‌رفت، عبارت بود از</w:t>
      </w:r>
      <w:r>
        <w:rPr>
          <w:rFonts w:eastAsia="IRNazanin" w:cs="IRNazanin"/>
          <w:color w:val="111111"/>
          <w:sz w:val="28"/>
          <w:szCs w:val="28"/>
          <w:rtl w:val="true"/>
          <w:lang w:bidi="fa-IR"/>
        </w:rPr>
        <w:t>:</w:t>
      </w:r>
    </w:p>
    <w:p>
      <w:pPr>
        <w:pStyle w:val="Heading6"/>
        <w:numPr>
          <w:ilvl w:val="5"/>
          <w:numId w:val="1"/>
        </w:numPr>
        <w:rPr/>
      </w:pPr>
      <w:bookmarkStart w:id="2261" w:name="__RefHeading___Toc3586339_3650668749"/>
      <w:bookmarkStart w:id="2262" w:name="_Toc966"/>
      <w:bookmarkEnd w:id="2261"/>
      <w:r>
        <w:rPr>
          <w:rtl w:val="true"/>
        </w:rPr>
        <w:t xml:space="preserve">يكم </w:t>
      </w:r>
      <w:r>
        <w:rPr>
          <w:rtl w:val="true"/>
        </w:rPr>
        <w:t xml:space="preserve">- </w:t>
      </w:r>
      <w:r>
        <w:rPr>
          <w:rtl w:val="true"/>
        </w:rPr>
        <w:t xml:space="preserve">اِزار </w:t>
      </w:r>
      <w:r>
        <w:rPr>
          <w:rtl w:val="true"/>
        </w:rPr>
        <w:t>(</w:t>
      </w:r>
      <w:r>
        <w:rPr>
          <w:rtl w:val="true"/>
        </w:rPr>
        <w:t>مِئزَر</w:t>
      </w:r>
      <w:r>
        <w:rPr>
          <w:rtl w:val="true"/>
        </w:rPr>
        <w:t>)</w:t>
      </w:r>
      <w:bookmarkEnd w:id="2262"/>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نوع پارچه ندوخته و يك‌دست كه در پوشش قسمت پايين بدن مورد استفاده قرار مى‌گرفت،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كه بالاى بدن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اِزار و 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 و رداء، حداقل پوشش معمولى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يك معنا آمده است </w:t>
      </w:r>
      <w:r>
        <w:rPr>
          <w:rStyle w:val="FootnoteAnchor"/>
          <w:rtl w:val="true"/>
        </w:rPr>
        <w:footnoteReference w:id="2019"/>
      </w:r>
      <w:r>
        <w:rPr>
          <w:rFonts w:ascii="Amiri" w:hAnsi="Amiri" w:eastAsia="Amiri" w:cs="Amiri"/>
          <w:color w:val="111111"/>
          <w:sz w:val="28"/>
          <w:sz w:val="28"/>
          <w:szCs w:val="28"/>
          <w:rtl w:val="true"/>
          <w:lang w:bidi="ar-SA"/>
        </w:rPr>
        <w:t>، اما بعضى از مستشرقان اصرار بر تفاوت اين دو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مئزر را به نوعى زيرشلوارى كوتاه ترجمه كرده‌اند</w:t>
      </w:r>
      <w:r>
        <w:rPr>
          <w:rFonts w:eastAsia="Amiri" w:cs="Amiri" w:ascii="Amiri" w:hAnsi="Amiri"/>
          <w:color w:val="111111"/>
          <w:sz w:val="28"/>
          <w:szCs w:val="28"/>
          <w:rtl w:val="true"/>
          <w:lang w:bidi="ar-SA"/>
        </w:rPr>
        <w:t xml:space="preserve">. </w:t>
      </w:r>
      <w:r>
        <w:rPr>
          <w:rStyle w:val="FootnoteAnchor"/>
          <w:rtl w:val="true"/>
        </w:rPr>
        <w:footnoteReference w:id="2020"/>
      </w:r>
      <w:r>
        <w:rPr>
          <w:rFonts w:ascii="IRNazanin" w:hAnsi="IRNazanin" w:eastAsia="IRNazanin"/>
          <w:color w:val="111111"/>
          <w:sz w:val="28"/>
          <w:sz w:val="28"/>
          <w:szCs w:val="28"/>
          <w:rtl w:val="true"/>
          <w:lang w:bidi="fa-IR"/>
        </w:rPr>
        <w:t>در فارسى اِزار را به معناى لُنگ ترجمه نموده‌اند</w:t>
      </w:r>
      <w:r>
        <w:rPr>
          <w:rFonts w:eastAsia="IRNazanin" w:cs="IRNazanin"/>
          <w:color w:val="111111"/>
          <w:sz w:val="28"/>
          <w:szCs w:val="28"/>
          <w:rtl w:val="true"/>
          <w:lang w:bidi="fa-IR"/>
        </w:rPr>
        <w:t xml:space="preserve">. </w:t>
      </w:r>
      <w:r>
        <w:rPr>
          <w:rStyle w:val="FootnoteAnchor"/>
          <w:rtl w:val="true"/>
        </w:rPr>
        <w:footnoteReference w:id="2021"/>
      </w:r>
      <w:bookmarkStart w:id="2263" w:name="pg1964_19989"/>
    </w:p>
    <w:p>
      <w:pPr>
        <w:pStyle w:val="BookText"/>
        <w:rPr/>
      </w:pPr>
      <w:bookmarkEnd w:id="2263"/>
      <w:r>
        <w:rPr>
          <w:rFonts w:ascii="IRNazanin" w:hAnsi="IRNazanin" w:eastAsia="IRNazanin"/>
          <w:color w:val="111111"/>
          <w:sz w:val="28"/>
          <w:sz w:val="28"/>
          <w:szCs w:val="28"/>
          <w:rtl w:val="true"/>
          <w:lang w:bidi="fa-IR"/>
        </w:rPr>
        <w:t xml:space="preserve">از اِزار در عصر جاهليت و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سخن به ميان آمده است</w:t>
      </w:r>
      <w:r>
        <w:rPr>
          <w:rFonts w:eastAsia="IRNazanin" w:cs="IRNazanin"/>
          <w:color w:val="111111"/>
          <w:sz w:val="28"/>
          <w:szCs w:val="28"/>
          <w:rtl w:val="true"/>
          <w:lang w:bidi="fa-IR"/>
        </w:rPr>
        <w:t xml:space="preserve">. </w:t>
      </w:r>
      <w:r>
        <w:rPr>
          <w:rStyle w:val="FootnoteAnchor"/>
          <w:rtl w:val="true"/>
        </w:rPr>
        <w:footnoteReference w:id="2022"/>
      </w:r>
      <w:r>
        <w:rPr>
          <w:rFonts w:ascii="Amiri" w:hAnsi="Amiri" w:eastAsia="Amiri" w:cs="Amiri"/>
          <w:color w:val="111111"/>
          <w:sz w:val="28"/>
          <w:sz w:val="28"/>
          <w:szCs w:val="28"/>
          <w:rtl w:val="true"/>
          <w:lang w:bidi="ar-SA"/>
        </w:rPr>
        <w:t>زنان نيز از آن استفاده مى‌كردند</w:t>
      </w:r>
      <w:r>
        <w:rPr>
          <w:rFonts w:eastAsia="Amiri" w:cs="Amiri" w:ascii="Amiri" w:hAnsi="Amiri"/>
          <w:color w:val="111111"/>
          <w:sz w:val="28"/>
          <w:szCs w:val="28"/>
          <w:rtl w:val="true"/>
          <w:lang w:bidi="ar-SA"/>
        </w:rPr>
        <w:t xml:space="preserve">. </w:t>
      </w:r>
      <w:r>
        <w:rPr>
          <w:rStyle w:val="FootnoteAnchor"/>
          <w:rtl w:val="true"/>
        </w:rPr>
        <w:footnoteReference w:id="2023"/>
      </w:r>
      <w:r>
        <w:rPr>
          <w:rFonts w:ascii="IRNazanin" w:hAnsi="IRNazanin" w:eastAsia="IRNazanin"/>
          <w:color w:val="111111"/>
          <w:sz w:val="28"/>
          <w:sz w:val="28"/>
          <w:szCs w:val="28"/>
          <w:rtl w:val="true"/>
          <w:lang w:bidi="fa-IR"/>
        </w:rPr>
        <w:t xml:space="preserve">از بعضى روايات منقول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2024"/>
      </w:r>
      <w:r>
        <w:rPr>
          <w:rFonts w:ascii="IRNazanin" w:hAnsi="IRNazanin" w:eastAsia="IRNazanin"/>
          <w:color w:val="111111"/>
          <w:sz w:val="28"/>
          <w:sz w:val="28"/>
          <w:szCs w:val="28"/>
          <w:rtl w:val="true"/>
          <w:lang w:bidi="fa-IR"/>
        </w:rPr>
        <w:t>چنين استفاده مى‌شود كه بلند گرفتن اِزار به‌گونه‌اى كه هنگام راه رفتن به روى زمين كشيده شود، عملى رايج از سوى متكبران بود كه ايشان اين عمل را مذموم شمرده و از آن نهى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عمل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اِشْبال 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اِرخاء 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كردن 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2025"/>
      </w:r>
      <w:r>
        <w:rPr>
          <w:rFonts w:ascii="IRNazanin" w:hAnsi="IRNazanin" w:eastAsia="IRNazanin"/>
          <w:color w:val="111111"/>
          <w:sz w:val="28"/>
          <w:sz w:val="28"/>
          <w:szCs w:val="28"/>
          <w:rtl w:val="true"/>
          <w:lang w:bidi="fa-IR"/>
        </w:rPr>
        <w:t xml:space="preserve">حد معمولى اِزار در روايات، بالاى قوزك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شده است</w:t>
      </w:r>
      <w:r>
        <w:rPr>
          <w:rFonts w:eastAsia="IRNazanin" w:cs="IRNazanin"/>
          <w:color w:val="111111"/>
          <w:sz w:val="28"/>
          <w:szCs w:val="28"/>
          <w:rtl w:val="true"/>
          <w:lang w:bidi="fa-IR"/>
        </w:rPr>
        <w:t xml:space="preserve">. </w:t>
      </w:r>
      <w:r>
        <w:rPr>
          <w:rStyle w:val="FootnoteAnchor"/>
          <w:rtl w:val="true"/>
        </w:rPr>
        <w:footnoteReference w:id="2026"/>
      </w:r>
    </w:p>
    <w:p>
      <w:pPr>
        <w:pStyle w:val="BookText"/>
        <w:rPr/>
      </w:pPr>
      <w:r>
        <w:rPr>
          <w:rFonts w:ascii="IRNazanin" w:hAnsi="IRNazanin" w:eastAsia="IRNazanin"/>
          <w:color w:val="111111"/>
          <w:sz w:val="28"/>
          <w:sz w:val="28"/>
          <w:szCs w:val="28"/>
          <w:rtl w:val="true"/>
          <w:lang w:bidi="fa-IR"/>
        </w:rPr>
        <w:t xml:space="preserve">در مقابل عمل اِشبال و اِرخاء،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تَشْمير 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عمل بالا زدن اِزار تا نصف ساق پا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از اين شيوه در جنگ‌ها براى راحت‌تر بودن كرّ و فرّ استفاده مى‌كردند</w:t>
      </w:r>
      <w:r>
        <w:rPr>
          <w:rFonts w:eastAsia="IRNazanin" w:cs="IRNazanin"/>
          <w:color w:val="111111"/>
          <w:sz w:val="28"/>
          <w:szCs w:val="28"/>
          <w:rtl w:val="true"/>
          <w:lang w:bidi="fa-IR"/>
        </w:rPr>
        <w:t xml:space="preserve">. </w:t>
      </w:r>
      <w:r>
        <w:rPr>
          <w:rStyle w:val="FootnoteAnchor"/>
          <w:rtl w:val="true"/>
        </w:rPr>
        <w:footnoteReference w:id="2027"/>
      </w:r>
      <w:r>
        <w:rPr>
          <w:rFonts w:ascii="IRNazanin" w:hAnsi="IRNazanin" w:eastAsia="IRNazanin"/>
          <w:color w:val="111111"/>
          <w:sz w:val="28"/>
          <w:sz w:val="28"/>
          <w:szCs w:val="28"/>
          <w:rtl w:val="true"/>
          <w:lang w:bidi="fa-IR"/>
        </w:rPr>
        <w:t xml:space="preserve">از پوشيدن اِزار توسط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2028"/>
      </w:r>
      <w:r>
        <w:rPr>
          <w:rFonts w:ascii="Amiri" w:hAnsi="Amiri" w:eastAsia="Amiri" w:cs="Amiri"/>
          <w:color w:val="111111"/>
          <w:sz w:val="28"/>
          <w:sz w:val="28"/>
          <w:szCs w:val="28"/>
          <w:rtl w:val="true"/>
          <w:lang w:bidi="ar-SA"/>
        </w:rPr>
        <w:t xml:space="preserve">و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 عاشورا </w:t>
      </w:r>
      <w:r>
        <w:rPr>
          <w:rStyle w:val="FootnoteAnchor"/>
          <w:rtl w:val="true"/>
        </w:rPr>
        <w:footnoteReference w:id="2029"/>
      </w:r>
      <w:r>
        <w:rPr>
          <w:rFonts w:ascii="Amiri" w:hAnsi="Amiri" w:eastAsia="Amiri" w:cs="Amiri"/>
          <w:color w:val="111111"/>
          <w:sz w:val="28"/>
          <w:sz w:val="28"/>
          <w:szCs w:val="28"/>
          <w:rtl w:val="true"/>
          <w:lang w:bidi="ar-SA"/>
        </w:rPr>
        <w:t>نيز در روايات تاريخى ياد شده است</w:t>
      </w:r>
      <w:r>
        <w:rPr>
          <w:rFonts w:eastAsia="Amiri" w:cs="Amiri" w:ascii="Amiri" w:hAnsi="Amiri"/>
          <w:color w:val="111111"/>
          <w:sz w:val="28"/>
          <w:szCs w:val="28"/>
          <w:rtl w:val="true"/>
          <w:lang w:bidi="ar-SA"/>
        </w:rPr>
        <w:t>.</w:t>
      </w:r>
    </w:p>
    <w:p>
      <w:pPr>
        <w:pStyle w:val="Heading6"/>
        <w:numPr>
          <w:ilvl w:val="5"/>
          <w:numId w:val="1"/>
        </w:numPr>
        <w:rPr/>
      </w:pPr>
      <w:bookmarkStart w:id="2264" w:name="__RefHeading___Toc3586341_3650668749"/>
      <w:bookmarkStart w:id="2265" w:name="_Toc967"/>
      <w:bookmarkEnd w:id="2264"/>
      <w:r>
        <w:rPr>
          <w:rtl w:val="true"/>
        </w:rPr>
        <w:t xml:space="preserve">دوم </w:t>
      </w:r>
      <w:r>
        <w:rPr>
          <w:rtl w:val="true"/>
        </w:rPr>
        <w:t xml:space="preserve">- </w:t>
      </w:r>
      <w:r>
        <w:rPr>
          <w:rtl w:val="true"/>
        </w:rPr>
        <w:t>تُبّان</w:t>
      </w:r>
      <w:bookmarkEnd w:id="2265"/>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است كه به عربى راه يافته و در كتاب‌هاى لغت عرب به شلوار كوچكى كه يك وجب اندازه داشت و عورت را مى‌پوشاند معنا شده است</w:t>
      </w:r>
      <w:r>
        <w:rPr>
          <w:rFonts w:eastAsia="IRNazanin" w:cs="IRNazanin"/>
          <w:color w:val="111111"/>
          <w:sz w:val="28"/>
          <w:szCs w:val="28"/>
          <w:rtl w:val="true"/>
          <w:lang w:bidi="fa-IR"/>
        </w:rPr>
        <w:t xml:space="preserve">. </w:t>
      </w:r>
      <w:r>
        <w:rPr>
          <w:rStyle w:val="FootnoteAnchor"/>
          <w:rtl w:val="true"/>
        </w:rPr>
        <w:footnoteReference w:id="2030"/>
      </w:r>
      <w:r>
        <w:rPr>
          <w:rFonts w:ascii="Amiri" w:hAnsi="Amiri" w:eastAsia="Amiri" w:cs="Amiri"/>
          <w:color w:val="111111"/>
          <w:sz w:val="28"/>
          <w:sz w:val="28"/>
          <w:szCs w:val="28"/>
          <w:rtl w:val="true"/>
          <w:lang w:bidi="ar-SA"/>
        </w:rPr>
        <w:t xml:space="preserve">در اين صورت، معادل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Style w:val="FootnoteAnchor"/>
          <w:rtl w:val="true"/>
        </w:rPr>
        <w:footnoteReference w:id="2031"/>
      </w:r>
      <w:r>
        <w:rPr>
          <w:rFonts w:ascii="IRNazanin" w:hAnsi="IRNazanin" w:eastAsia="IRNazanin"/>
          <w:color w:val="111111"/>
          <w:sz w:val="28"/>
          <w:sz w:val="28"/>
          <w:szCs w:val="28"/>
          <w:rtl w:val="true"/>
          <w:lang w:bidi="fa-IR"/>
        </w:rPr>
        <w:t xml:space="preserve">شاهد آن اين است كه گفته‌اند اين نوع پوشش معمولاً مورد استفاده ملوانان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مى‌گرفت </w:t>
      </w:r>
      <w:r>
        <w:rPr>
          <w:rStyle w:val="FootnoteAnchor"/>
          <w:rtl w:val="true"/>
        </w:rPr>
        <w:footnoteReference w:id="2032"/>
      </w:r>
      <w:r>
        <w:rPr>
          <w:rFonts w:ascii="IRNazanin" w:hAnsi="IRNazanin" w:eastAsia="IRNazanin"/>
          <w:color w:val="111111"/>
          <w:sz w:val="28"/>
          <w:sz w:val="28"/>
          <w:szCs w:val="28"/>
          <w:rtl w:val="true"/>
          <w:lang w:bidi="fa-IR"/>
        </w:rPr>
        <w:t>و به سبب احتياج به شنا از آن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نوع پوشش احياناً در زمان</w:t>
      </w:r>
      <w:bookmarkStart w:id="2266" w:name="pg1964_19990"/>
    </w:p>
    <w:p>
      <w:pPr>
        <w:pStyle w:val="BookText"/>
        <w:rPr/>
      </w:pPr>
      <w:bookmarkEnd w:id="2266"/>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استفاده مى‌شده است، چنان‌كه در روايتى از اهل‌سنت چنين آمده است كه عمار با تُبّان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نيز چنين آمده است كه عُمر مردى را ديد كه با پيراهن و تُبّان نماز مى‌خواند</w:t>
      </w:r>
      <w:r>
        <w:rPr>
          <w:rFonts w:eastAsia="IRNazanin" w:cs="IRNazanin"/>
          <w:color w:val="111111"/>
          <w:sz w:val="28"/>
          <w:szCs w:val="28"/>
          <w:rtl w:val="true"/>
          <w:lang w:bidi="fa-IR"/>
        </w:rPr>
        <w:t xml:space="preserve">. </w:t>
      </w:r>
      <w:r>
        <w:rPr>
          <w:rStyle w:val="FootnoteAnchor"/>
          <w:rtl w:val="true"/>
        </w:rPr>
        <w:footnoteReference w:id="2033"/>
      </w:r>
    </w:p>
    <w:p>
      <w:pPr>
        <w:pStyle w:val="BookText"/>
        <w:rPr/>
      </w:pPr>
      <w:r>
        <w:rPr>
          <w:rFonts w:ascii="IRNazanin" w:hAnsi="IRNazanin" w:eastAsia="IRNazanin"/>
          <w:color w:val="111111"/>
          <w:sz w:val="28"/>
          <w:sz w:val="28"/>
          <w:szCs w:val="28"/>
          <w:rtl w:val="true"/>
          <w:lang w:bidi="fa-IR"/>
        </w:rPr>
        <w:t xml:space="preserve">ذيل حوادث عاشورا چنين آمده است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پوششى خواست كه در زير همه لباس‌هايش بپوشد و به گونه‌اى باشد كه دشمن پس از شهادتش در آن ميلى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اصحاب تُبّان را به او پيشنهاد كردند، اما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اينكه تُبّان لباس مذلّت و خوارى است و براى من سزاوار نيست كه آن را پپوشم، اين پيشنهاد را رد كرد</w:t>
      </w:r>
      <w:r>
        <w:rPr>
          <w:rFonts w:eastAsia="IRNazanin" w:cs="IRNazanin"/>
          <w:color w:val="111111"/>
          <w:sz w:val="28"/>
          <w:szCs w:val="28"/>
          <w:rtl w:val="true"/>
          <w:lang w:bidi="fa-IR"/>
        </w:rPr>
        <w:t xml:space="preserve">. </w:t>
      </w:r>
      <w:r>
        <w:rPr>
          <w:rStyle w:val="FootnoteAnchor"/>
          <w:rtl w:val="true"/>
        </w:rPr>
        <w:footnoteReference w:id="2034"/>
      </w:r>
    </w:p>
    <w:p>
      <w:pPr>
        <w:pStyle w:val="Heading6"/>
        <w:numPr>
          <w:ilvl w:val="5"/>
          <w:numId w:val="1"/>
        </w:numPr>
        <w:rPr/>
      </w:pPr>
      <w:bookmarkStart w:id="2267" w:name="__RefHeading___Toc3586343_3650668749"/>
      <w:bookmarkStart w:id="2268" w:name="_Toc968"/>
      <w:bookmarkEnd w:id="2267"/>
      <w:r>
        <w:rPr>
          <w:rtl w:val="true"/>
        </w:rPr>
        <w:t xml:space="preserve">سوم </w:t>
      </w:r>
      <w:r>
        <w:rPr>
          <w:rtl w:val="true"/>
        </w:rPr>
        <w:t xml:space="preserve">- </w:t>
      </w:r>
      <w:r>
        <w:rPr>
          <w:rtl w:val="true"/>
        </w:rPr>
        <w:t>دِقْرارَه</w:t>
      </w:r>
      <w:bookmarkEnd w:id="2268"/>
    </w:p>
    <w:p>
      <w:pPr>
        <w:pStyle w:val="BookText"/>
        <w:rPr/>
      </w:pPr>
      <w:r>
        <w:rPr>
          <w:rFonts w:ascii="IRNazanin" w:hAnsi="IRNazanin" w:eastAsia="IRNazanin"/>
          <w:color w:val="111111"/>
          <w:sz w:val="28"/>
          <w:sz w:val="28"/>
          <w:szCs w:val="28"/>
          <w:rtl w:val="true"/>
          <w:lang w:bidi="fa-IR"/>
        </w:rPr>
        <w:t>به نظر مى‌رسد دقراره، معادل تُبّان در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لغت در شعرهاى عرب نيز به‌كار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لغت آن را به شلوارهاى كوچك بدون ساق و نيز تبّان ترجمه كرده‌اند</w:t>
      </w:r>
      <w:r>
        <w:rPr>
          <w:rFonts w:eastAsia="IRNazanin" w:cs="IRNazanin"/>
          <w:color w:val="111111"/>
          <w:sz w:val="28"/>
          <w:szCs w:val="28"/>
          <w:rtl w:val="true"/>
          <w:lang w:bidi="fa-IR"/>
        </w:rPr>
        <w:t xml:space="preserve">. </w:t>
      </w:r>
      <w:r>
        <w:rPr>
          <w:rStyle w:val="FootnoteAnchor"/>
          <w:rtl w:val="true"/>
        </w:rPr>
        <w:footnoteReference w:id="2035"/>
      </w:r>
    </w:p>
    <w:p>
      <w:pPr>
        <w:pStyle w:val="Heading6"/>
        <w:numPr>
          <w:ilvl w:val="5"/>
          <w:numId w:val="1"/>
        </w:numPr>
        <w:rPr/>
      </w:pPr>
      <w:bookmarkStart w:id="2269" w:name="__RefHeading___Toc3586345_3650668749"/>
      <w:bookmarkStart w:id="2270" w:name="_Toc969"/>
      <w:bookmarkEnd w:id="2269"/>
      <w:r>
        <w:rPr>
          <w:rtl w:val="true"/>
        </w:rPr>
        <w:t xml:space="preserve">چهارم </w:t>
      </w:r>
      <w:r>
        <w:rPr>
          <w:rtl w:val="true"/>
        </w:rPr>
        <w:t xml:space="preserve">- </w:t>
      </w:r>
      <w:r>
        <w:rPr>
          <w:rtl w:val="true"/>
        </w:rPr>
        <w:t>سَراويل</w:t>
      </w:r>
      <w:bookmarkEnd w:id="2270"/>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هميشه در عربى به صورت جمع به‌كار رفته، اما معناى آن مفرد است</w:t>
      </w:r>
      <w:r>
        <w:rPr>
          <w:rFonts w:eastAsia="Amiri" w:cs="Amiri" w:ascii="Amiri" w:hAnsi="Amiri"/>
          <w:color w:val="111111"/>
          <w:sz w:val="28"/>
          <w:szCs w:val="28"/>
          <w:rtl w:val="true"/>
          <w:lang w:bidi="ar-SA"/>
        </w:rPr>
        <w:t xml:space="preserve">. </w:t>
      </w:r>
      <w:r>
        <w:rPr>
          <w:rStyle w:val="FootnoteAnchor"/>
          <w:rtl w:val="true"/>
        </w:rPr>
        <w:footnoteReference w:id="2036"/>
      </w:r>
      <w:r>
        <w:rPr>
          <w:rFonts w:ascii="Amiri" w:hAnsi="Amiri" w:eastAsia="Amiri" w:cs="Amiri"/>
          <w:color w:val="111111"/>
          <w:sz w:val="28"/>
          <w:sz w:val="28"/>
          <w:szCs w:val="28"/>
          <w:rtl w:val="true"/>
          <w:lang w:bidi="ar-SA"/>
        </w:rPr>
        <w:t xml:space="preserve">اين كلمه، كلمه‌اى فارسى و به معناى شلوار است و در عربى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شده است</w:t>
      </w:r>
      <w:r>
        <w:rPr>
          <w:rFonts w:eastAsia="Amiri" w:cs="Amiri" w:ascii="Amiri" w:hAnsi="Amiri"/>
          <w:color w:val="111111"/>
          <w:sz w:val="28"/>
          <w:szCs w:val="28"/>
          <w:rtl w:val="true"/>
          <w:lang w:bidi="ar-SA"/>
        </w:rPr>
        <w:t xml:space="preserve">. </w:t>
      </w:r>
      <w:r>
        <w:rPr>
          <w:rStyle w:val="FootnoteAnchor"/>
          <w:rtl w:val="true"/>
        </w:rPr>
        <w:footnoteReference w:id="2037"/>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نوشته‌ها سروال چنين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سروال عبارت بود از پارچه‌هاى دوخته شده كه به جاى اِزار براى پوشش قسمت پايين بدن، از شكم به</w:t>
      </w:r>
      <w:bookmarkStart w:id="2271" w:name="pg1964_19991"/>
    </w:p>
    <w:p>
      <w:pPr>
        <w:pStyle w:val="BookText"/>
        <w:rPr/>
      </w:pPr>
      <w:bookmarkEnd w:id="2271"/>
      <w:r>
        <w:rPr>
          <w:rFonts w:ascii="IRNazanin" w:hAnsi="IRNazanin" w:eastAsia="IRNazanin"/>
          <w:color w:val="111111"/>
          <w:sz w:val="28"/>
          <w:sz w:val="28"/>
          <w:szCs w:val="28"/>
          <w:rtl w:val="true"/>
          <w:lang w:bidi="fa-IR"/>
        </w:rPr>
        <w:t xml:space="preserve">پايين، مورد استفاده قرار مى‌گرفت و دو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كه گاهى تا روى قوزك پا مى‌رسيد و با طنابى محكم مى‌شد</w:t>
      </w:r>
      <w:r>
        <w:rPr>
          <w:rFonts w:eastAsia="IRNazanin" w:cs="IRNazanin"/>
          <w:color w:val="111111"/>
          <w:sz w:val="28"/>
          <w:szCs w:val="28"/>
          <w:rtl w:val="true"/>
          <w:lang w:bidi="fa-IR"/>
        </w:rPr>
        <w:t xml:space="preserve">. </w:t>
      </w:r>
      <w:r>
        <w:rPr>
          <w:rStyle w:val="FootnoteAnchor"/>
          <w:rtl w:val="true"/>
        </w:rPr>
        <w:footnoteReference w:id="2038"/>
      </w:r>
    </w:p>
    <w:p>
      <w:pPr>
        <w:pStyle w:val="BookText"/>
        <w:rPr/>
      </w:pPr>
      <w:r>
        <w:rPr>
          <w:rFonts w:ascii="IRNazanin" w:hAnsi="IRNazanin" w:eastAsia="IRNazanin"/>
          <w:color w:val="111111"/>
          <w:sz w:val="28"/>
          <w:sz w:val="28"/>
          <w:szCs w:val="28"/>
          <w:rtl w:val="true"/>
          <w:lang w:bidi="fa-IR"/>
        </w:rPr>
        <w:t>عرب‌ها قبل از برخورد با ايرانيان شناختى از آن نداشتند، اما هنگامى كه با ايرانيان برخورد نموده و ملاحظه كردند كه اين نوع لباس به خوبى عورت و پايين‌تر از آن را مى‌پوشاند، ميل فراوانى به استفاده از آن پيدا كردند و بالاخره اين لباس پس از آنكه لباس مخصوص ايرانيان و اهل ذمّه بود، در ميان اعراب رواج يافت</w:t>
      </w:r>
      <w:r>
        <w:rPr>
          <w:rFonts w:eastAsia="IRNazanin" w:cs="IRNazanin"/>
          <w:color w:val="111111"/>
          <w:sz w:val="28"/>
          <w:szCs w:val="28"/>
          <w:rtl w:val="true"/>
          <w:lang w:bidi="fa-IR"/>
        </w:rPr>
        <w:t xml:space="preserve">. </w:t>
      </w:r>
      <w:r>
        <w:rPr>
          <w:rStyle w:val="FootnoteAnchor"/>
          <w:rtl w:val="true"/>
        </w:rPr>
        <w:footnoteReference w:id="2039"/>
      </w:r>
    </w:p>
    <w:p>
      <w:pPr>
        <w:pStyle w:val="BookText"/>
        <w:rPr/>
      </w:pPr>
      <w:r>
        <w:rPr>
          <w:rFonts w:ascii="IRNazanin" w:hAnsi="IRNazanin" w:eastAsia="IRNazanin"/>
          <w:color w:val="111111"/>
          <w:sz w:val="28"/>
          <w:sz w:val="28"/>
          <w:szCs w:val="28"/>
          <w:rtl w:val="true"/>
          <w:lang w:bidi="fa-IR"/>
        </w:rPr>
        <w:t xml:space="preserve">در گزارش‌هاى مربوط به حادثه كربلا چنين آمده است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رنگى يمنى پوشيد و قبل از پوشيدن، آن را پاره‌پاره كرد تا كسى به آن رغبت نكند، اما پس از شهادت آن حضرت، دشمن، حتى آن را نيز غارت كرد</w:t>
      </w:r>
      <w:r>
        <w:rPr>
          <w:rFonts w:eastAsia="IRNazanin" w:cs="IRNazanin"/>
          <w:color w:val="111111"/>
          <w:sz w:val="28"/>
          <w:szCs w:val="28"/>
          <w:rtl w:val="true"/>
          <w:lang w:bidi="fa-IR"/>
        </w:rPr>
        <w:t xml:space="preserve">. </w:t>
      </w:r>
      <w:r>
        <w:rPr>
          <w:rStyle w:val="FootnoteAnchor"/>
          <w:rtl w:val="true"/>
        </w:rPr>
        <w:footnoteReference w:id="2040"/>
      </w:r>
    </w:p>
    <w:p>
      <w:pPr>
        <w:pStyle w:val="Heading6"/>
        <w:numPr>
          <w:ilvl w:val="5"/>
          <w:numId w:val="1"/>
        </w:numPr>
        <w:rPr/>
      </w:pPr>
      <w:bookmarkStart w:id="2272" w:name="__RefHeading___Toc3586347_3650668749"/>
      <w:bookmarkStart w:id="2273" w:name="_Toc970"/>
      <w:bookmarkEnd w:id="2272"/>
      <w:r>
        <w:rPr>
          <w:rtl w:val="true"/>
        </w:rPr>
        <w:t xml:space="preserve">پنجم </w:t>
      </w:r>
      <w:r>
        <w:rPr>
          <w:rtl w:val="true"/>
        </w:rPr>
        <w:t xml:space="preserve">- </w:t>
      </w:r>
      <w:r>
        <w:rPr>
          <w:rtl w:val="true"/>
        </w:rPr>
        <w:t>فُوطَه</w:t>
      </w:r>
      <w:bookmarkEnd w:id="2273"/>
    </w:p>
    <w:p>
      <w:pPr>
        <w:pStyle w:val="BookText"/>
        <w:rPr/>
      </w:pPr>
      <w:r>
        <w:rPr>
          <w:rFonts w:ascii="IRNazanin" w:hAnsi="IRNazanin" w:eastAsia="IRNazanin"/>
          <w:color w:val="111111"/>
          <w:sz w:val="28"/>
          <w:sz w:val="28"/>
          <w:szCs w:val="28"/>
          <w:rtl w:val="true"/>
          <w:lang w:bidi="fa-IR"/>
        </w:rPr>
        <w:t xml:space="preserve">در بعضى از كتاب‌هاى لغت عربى به نوعى مِئزر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و درشت‌باف گفته شده كه از پشم بافته و از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مى‌شد</w:t>
      </w:r>
      <w:r>
        <w:rPr>
          <w:rFonts w:eastAsia="IRNazanin" w:cs="IRNazanin"/>
          <w:color w:val="111111"/>
          <w:sz w:val="28"/>
          <w:szCs w:val="28"/>
          <w:rtl w:val="true"/>
          <w:lang w:bidi="fa-IR"/>
        </w:rPr>
        <w:t xml:space="preserve">. </w:t>
      </w:r>
      <w:r>
        <w:rPr>
          <w:rStyle w:val="FootnoteAnchor"/>
          <w:rtl w:val="true"/>
        </w:rPr>
        <w:footnoteReference w:id="2041"/>
      </w:r>
      <w:r>
        <w:rPr>
          <w:rFonts w:ascii="IRNazanin" w:hAnsi="IRNazanin" w:eastAsia="IRNazanin"/>
          <w:color w:val="111111"/>
          <w:sz w:val="28"/>
          <w:sz w:val="28"/>
          <w:szCs w:val="28"/>
          <w:rtl w:val="true"/>
          <w:lang w:bidi="fa-IR"/>
        </w:rPr>
        <w:t>در بعضى نوشته‌ها نيز اين نوع پوشش به عنوان پوشش مخصوص هندى‌ها معرفى شده است</w:t>
      </w:r>
      <w:r>
        <w:rPr>
          <w:rFonts w:eastAsia="IRNazanin" w:cs="IRNazanin"/>
          <w:color w:val="111111"/>
          <w:sz w:val="28"/>
          <w:szCs w:val="28"/>
          <w:rtl w:val="true"/>
          <w:lang w:bidi="fa-IR"/>
        </w:rPr>
        <w:t xml:space="preserve">. </w:t>
      </w:r>
      <w:r>
        <w:rPr>
          <w:rStyle w:val="FootnoteAnchor"/>
          <w:rtl w:val="true"/>
        </w:rPr>
        <w:footnoteReference w:id="2042"/>
      </w:r>
      <w:r>
        <w:rPr>
          <w:rFonts w:ascii="IRNazanin" w:hAnsi="IRNazanin" w:eastAsia="IRNazanin"/>
          <w:color w:val="111111"/>
          <w:sz w:val="28"/>
          <w:sz w:val="28"/>
          <w:szCs w:val="28"/>
          <w:rtl w:val="true"/>
          <w:lang w:bidi="fa-IR"/>
        </w:rPr>
        <w:t>در بعضى ديگر نيز آن را به نوعى پارچه هندى و لُنگ ترجمه كرده‌اند</w:t>
      </w:r>
      <w:r>
        <w:rPr>
          <w:rFonts w:eastAsia="IRNazanin" w:cs="IRNazanin"/>
          <w:color w:val="111111"/>
          <w:sz w:val="28"/>
          <w:szCs w:val="28"/>
          <w:rtl w:val="true"/>
          <w:lang w:bidi="fa-IR"/>
        </w:rPr>
        <w:t xml:space="preserve">. </w:t>
      </w:r>
      <w:r>
        <w:rPr>
          <w:rStyle w:val="FootnoteAnchor"/>
          <w:rtl w:val="true"/>
        </w:rPr>
        <w:footnoteReference w:id="2043"/>
      </w:r>
      <w:r>
        <w:rPr>
          <w:rFonts w:ascii="IRNazanin" w:hAnsi="IRNazanin" w:eastAsia="IRNazanin"/>
          <w:color w:val="111111"/>
          <w:sz w:val="28"/>
          <w:sz w:val="28"/>
          <w:szCs w:val="28"/>
          <w:rtl w:val="true"/>
          <w:lang w:bidi="fa-IR"/>
        </w:rPr>
        <w:t>گفتنى است روايتى تاريخى كه مؤيد استفاده اين نوع پوشش در زمان مورد بحث باشد، يافت نشد</w:t>
      </w:r>
      <w:r>
        <w:rPr>
          <w:rFonts w:eastAsia="IRNazanin" w:cs="IRNazanin"/>
          <w:color w:val="111111"/>
          <w:sz w:val="28"/>
          <w:szCs w:val="28"/>
          <w:rtl w:val="true"/>
          <w:lang w:bidi="fa-IR"/>
        </w:rPr>
        <w:t>.</w:t>
      </w:r>
    </w:p>
    <w:p>
      <w:pPr>
        <w:pStyle w:val="Heading6"/>
        <w:numPr>
          <w:ilvl w:val="5"/>
          <w:numId w:val="1"/>
        </w:numPr>
        <w:rPr/>
      </w:pPr>
      <w:bookmarkStart w:id="2274" w:name="__RefHeading___Toc3586349_3650668749"/>
      <w:bookmarkStart w:id="2275" w:name="_Toc971"/>
      <w:bookmarkEnd w:id="2274"/>
      <w:r>
        <w:rPr>
          <w:rtl w:val="true"/>
        </w:rPr>
        <w:t xml:space="preserve">ششم </w:t>
      </w:r>
      <w:r>
        <w:rPr>
          <w:rtl w:val="true"/>
        </w:rPr>
        <w:t xml:space="preserve">- </w:t>
      </w:r>
      <w:r>
        <w:rPr>
          <w:rtl w:val="true"/>
        </w:rPr>
        <w:t>مِرْط</w:t>
      </w:r>
      <w:bookmarkEnd w:id="2275"/>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قطعه پارچه‌اى ندوخته و يك‌دست بود كه از خزّ و پشم يا كتان به عمل مى‌آمد و زنان از آن به عنوان اِزار و پوشاندن پايين بدن خود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نوع پوشش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سخن به ميان آمده است</w:t>
      </w:r>
      <w:r>
        <w:rPr>
          <w:rFonts w:eastAsia="IRNazanin" w:cs="IRNazanin"/>
          <w:color w:val="111111"/>
          <w:sz w:val="28"/>
          <w:szCs w:val="28"/>
          <w:rtl w:val="true"/>
          <w:lang w:bidi="fa-IR"/>
        </w:rPr>
        <w:t xml:space="preserve">. </w:t>
      </w:r>
      <w:r>
        <w:rPr>
          <w:rStyle w:val="FootnoteAnchor"/>
          <w:rtl w:val="true"/>
        </w:rPr>
        <w:footnoteReference w:id="2044"/>
      </w:r>
      <w:bookmarkStart w:id="2276" w:name="pg1964_19992"/>
    </w:p>
    <w:p>
      <w:pPr>
        <w:pStyle w:val="Heading6"/>
        <w:numPr>
          <w:ilvl w:val="5"/>
          <w:numId w:val="1"/>
        </w:numPr>
        <w:rPr/>
      </w:pPr>
      <w:bookmarkStart w:id="2277" w:name="__RefHeading___Toc3586351_3650668749"/>
      <w:bookmarkStart w:id="2278" w:name="_Toc972"/>
      <w:bookmarkEnd w:id="2276"/>
      <w:bookmarkEnd w:id="2277"/>
      <w:r>
        <w:rPr>
          <w:rtl w:val="true"/>
        </w:rPr>
        <w:t xml:space="preserve">هفتم </w:t>
      </w:r>
      <w:r>
        <w:rPr>
          <w:rtl w:val="true"/>
        </w:rPr>
        <w:t xml:space="preserve">- </w:t>
      </w:r>
      <w:r>
        <w:rPr>
          <w:rtl w:val="true"/>
        </w:rPr>
        <w:t>مِنْطَق، مِنْطَقَه، نِطاق</w:t>
      </w:r>
      <w:bookmarkEnd w:id="2278"/>
    </w:p>
    <w:p>
      <w:pPr>
        <w:pStyle w:val="BookText"/>
        <w:rPr/>
      </w:pPr>
      <w:r>
        <w:rPr>
          <w:rFonts w:ascii="IRNazanin" w:hAnsi="IRNazanin" w:eastAsia="IRNazanin"/>
          <w:color w:val="111111"/>
          <w:sz w:val="28"/>
          <w:sz w:val="28"/>
          <w:szCs w:val="28"/>
          <w:rtl w:val="true"/>
          <w:lang w:bidi="fa-IR"/>
        </w:rPr>
        <w:t>به نظر مى‌رسد هر سه لغت به يك معنا باشد و آن چيزى بوده است كه به وسيله آن كمر خود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نيز از اين نوع پوشش استفاده مى‌كردند، چنان‌كه به اسماء، خواهر عايشه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ذاتالنِّطاقَين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دو 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 زيرا دو نطاق مى‌بست</w:t>
      </w:r>
      <w:r>
        <w:rPr>
          <w:rFonts w:eastAsia="IRNazanin" w:cs="IRNazanin"/>
          <w:color w:val="111111"/>
          <w:sz w:val="28"/>
          <w:szCs w:val="28"/>
          <w:rtl w:val="true"/>
          <w:lang w:bidi="fa-IR"/>
        </w:rPr>
        <w:t xml:space="preserve">. </w:t>
      </w:r>
      <w:r>
        <w:rPr>
          <w:rStyle w:val="FootnoteAnchor"/>
          <w:rtl w:val="true"/>
        </w:rPr>
        <w:footnoteReference w:id="2045"/>
      </w:r>
    </w:p>
    <w:p>
      <w:pPr>
        <w:pStyle w:val="Heading5"/>
        <w:numPr>
          <w:ilvl w:val="4"/>
          <w:numId w:val="1"/>
        </w:numPr>
        <w:rPr/>
      </w:pPr>
      <w:bookmarkStart w:id="2279" w:name="__RefHeading___Toc3586353_3650668749"/>
      <w:bookmarkStart w:id="2280" w:name="_Toc973"/>
      <w:bookmarkEnd w:id="2279"/>
      <w:r>
        <w:rPr>
          <w:rtl w:val="true"/>
        </w:rPr>
        <w:t xml:space="preserve">چهار </w:t>
      </w:r>
      <w:r>
        <w:rPr>
          <w:rtl w:val="true"/>
        </w:rPr>
        <w:t xml:space="preserve">- </w:t>
      </w:r>
      <w:r>
        <w:rPr>
          <w:rtl w:val="true"/>
        </w:rPr>
        <w:t>پوشش كف پا</w:t>
      </w:r>
      <w:bookmarkEnd w:id="2280"/>
    </w:p>
    <w:p>
      <w:pPr>
        <w:pStyle w:val="Heading6"/>
        <w:numPr>
          <w:ilvl w:val="5"/>
          <w:numId w:val="1"/>
        </w:numPr>
        <w:rPr/>
      </w:pPr>
      <w:bookmarkStart w:id="2281" w:name="__RefHeading___Toc3586355_3650668749"/>
      <w:bookmarkStart w:id="2282" w:name="_Toc974"/>
      <w:bookmarkEnd w:id="2281"/>
      <w:r>
        <w:rPr>
          <w:rtl w:val="true"/>
        </w:rPr>
        <w:t xml:space="preserve">يكم </w:t>
      </w:r>
      <w:r>
        <w:rPr>
          <w:rtl w:val="true"/>
        </w:rPr>
        <w:t xml:space="preserve">- </w:t>
      </w:r>
      <w:r>
        <w:rPr>
          <w:rtl w:val="true"/>
        </w:rPr>
        <w:t>جَوْرَب</w:t>
      </w:r>
      <w:bookmarkEnd w:id="2282"/>
    </w:p>
    <w:p>
      <w:pPr>
        <w:pStyle w:val="BookText"/>
        <w:rPr/>
      </w:pPr>
      <w:r>
        <w:rPr>
          <w:rFonts w:ascii="IRNazanin" w:hAnsi="IRNazanin" w:eastAsia="IRNazanin"/>
          <w:color w:val="111111"/>
          <w:sz w:val="28"/>
          <w:sz w:val="28"/>
          <w:szCs w:val="28"/>
          <w:rtl w:val="true"/>
          <w:lang w:bidi="fa-IR"/>
        </w:rPr>
        <w:t>همان جوراب فارسى است، اما به نظر مى‌رسد عرب‌ها به پارچه‌اى مى‌گفتند كه دور پاها مى‌پيچيدند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جورب از قطعات بزرگ پارچه‌هاى پشمى تهيه مى‌شد</w:t>
      </w:r>
      <w:r>
        <w:rPr>
          <w:rFonts w:eastAsia="IRNazanin" w:cs="IRNazanin"/>
          <w:color w:val="111111"/>
          <w:sz w:val="28"/>
          <w:szCs w:val="28"/>
          <w:rtl w:val="true"/>
          <w:lang w:bidi="fa-IR"/>
        </w:rPr>
        <w:t xml:space="preserve">. </w:t>
      </w:r>
      <w:r>
        <w:rPr>
          <w:rStyle w:val="FootnoteAnchor"/>
          <w:rtl w:val="true"/>
        </w:rPr>
        <w:footnoteReference w:id="2046"/>
      </w:r>
      <w:r>
        <w:rPr>
          <w:rFonts w:ascii="IRNazanin" w:hAnsi="IRNazanin" w:eastAsia="IRNazanin"/>
          <w:color w:val="111111"/>
          <w:sz w:val="28"/>
          <w:sz w:val="28"/>
          <w:szCs w:val="28"/>
          <w:rtl w:val="true"/>
          <w:lang w:bidi="fa-IR"/>
        </w:rPr>
        <w:t xml:space="preserve">در روايات تاريخى چنين آمده است كه در جنگ عبيدالله بن زياد با اهل بخارا كه در سال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رخ داد، مسلمانان يك لِنگه جوراب نفيس و قيمتى به دست آوردند كه دويست هزار درهم قيمت‌گذارى شد</w:t>
      </w:r>
      <w:r>
        <w:rPr>
          <w:rFonts w:eastAsia="IRNazanin" w:cs="IRNazanin"/>
          <w:color w:val="111111"/>
          <w:sz w:val="28"/>
          <w:szCs w:val="28"/>
          <w:rtl w:val="true"/>
          <w:lang w:bidi="fa-IR"/>
        </w:rPr>
        <w:t xml:space="preserve">. </w:t>
      </w:r>
      <w:r>
        <w:rPr>
          <w:rStyle w:val="FootnoteAnchor"/>
          <w:rtl w:val="true"/>
        </w:rPr>
        <w:footnoteReference w:id="2047"/>
      </w:r>
    </w:p>
    <w:p>
      <w:pPr>
        <w:pStyle w:val="BookText"/>
        <w:rPr/>
      </w:pPr>
      <w:r>
        <w:rPr>
          <w:rFonts w:ascii="IRNazanin" w:hAnsi="IRNazanin" w:eastAsia="IRNazanin"/>
          <w:color w:val="111111"/>
          <w:sz w:val="28"/>
          <w:sz w:val="28"/>
          <w:szCs w:val="28"/>
          <w:rtl w:val="true"/>
          <w:lang w:bidi="fa-IR"/>
        </w:rPr>
        <w:t>گفتنى است كه از تعبير لِنگه جوراب مى‌توان به اين نتيجه رسيد كه ايرانيان در آن زمان همانند امروز، جوراب را مى‌پوشيدند نه آنكه مانند اعراب آن را به پاى خود بپيچند</w:t>
      </w:r>
      <w:r>
        <w:rPr>
          <w:rFonts w:eastAsia="IRNazanin" w:cs="IRNazanin"/>
          <w:color w:val="111111"/>
          <w:sz w:val="28"/>
          <w:szCs w:val="28"/>
          <w:rtl w:val="true"/>
          <w:lang w:bidi="fa-IR"/>
        </w:rPr>
        <w:t>.</w:t>
      </w:r>
    </w:p>
    <w:p>
      <w:pPr>
        <w:pStyle w:val="Heading6"/>
        <w:numPr>
          <w:ilvl w:val="5"/>
          <w:numId w:val="1"/>
        </w:numPr>
        <w:rPr/>
      </w:pPr>
      <w:bookmarkStart w:id="2283" w:name="__RefHeading___Toc3586357_3650668749"/>
      <w:bookmarkStart w:id="2284" w:name="_Toc975"/>
      <w:bookmarkEnd w:id="2283"/>
      <w:r>
        <w:rPr>
          <w:rtl w:val="true"/>
        </w:rPr>
        <w:t xml:space="preserve">دوم </w:t>
      </w:r>
      <w:r>
        <w:rPr>
          <w:rtl w:val="true"/>
        </w:rPr>
        <w:t xml:space="preserve">- </w:t>
      </w:r>
      <w:r>
        <w:rPr>
          <w:rtl w:val="true"/>
        </w:rPr>
        <w:t>حِذاء</w:t>
      </w:r>
      <w:bookmarkEnd w:id="2284"/>
    </w:p>
    <w:p>
      <w:pPr>
        <w:pStyle w:val="BookText"/>
        <w:rPr/>
      </w:pPr>
      <w:r>
        <w:rPr>
          <w:rFonts w:ascii="Amiri" w:hAnsi="Amiri" w:eastAsia="Amiri" w:cs="Amiri"/>
          <w:color w:val="111111"/>
          <w:sz w:val="28"/>
          <w:sz w:val="28"/>
          <w:szCs w:val="28"/>
          <w:rtl w:val="true"/>
          <w:lang w:bidi="ar-SA"/>
        </w:rPr>
        <w:t xml:space="preserve">همان نعل است كه به معناى نوعى كفش مى‌باشد </w:t>
      </w:r>
      <w:r>
        <w:rPr>
          <w:rStyle w:val="FootnoteAnchor"/>
          <w:rtl w:val="true"/>
        </w:rPr>
        <w:footnoteReference w:id="2048"/>
      </w:r>
      <w:r>
        <w:rPr>
          <w:rFonts w:ascii="Amiri" w:hAnsi="Amiri" w:eastAsia="Amiri" w:cs="Amiri"/>
          <w:color w:val="111111"/>
          <w:sz w:val="28"/>
          <w:sz w:val="28"/>
          <w:szCs w:val="28"/>
          <w:rtl w:val="true"/>
          <w:lang w:bidi="ar-SA"/>
        </w:rPr>
        <w:t>و حَذّاء به معناى كفّاش است</w:t>
      </w:r>
      <w:r>
        <w:rPr>
          <w:rFonts w:eastAsia="Amiri" w:cs="Amiri" w:ascii="Amiri" w:hAnsi="Amiri"/>
          <w:color w:val="111111"/>
          <w:sz w:val="28"/>
          <w:szCs w:val="28"/>
          <w:rtl w:val="true"/>
          <w:lang w:bidi="ar-SA"/>
        </w:rPr>
        <w:t>.</w:t>
      </w:r>
    </w:p>
    <w:p>
      <w:pPr>
        <w:pStyle w:val="Heading6"/>
        <w:numPr>
          <w:ilvl w:val="5"/>
          <w:numId w:val="1"/>
        </w:numPr>
        <w:rPr/>
      </w:pPr>
      <w:bookmarkStart w:id="2285" w:name="__RefHeading___Toc3586359_3650668749"/>
      <w:bookmarkStart w:id="2286" w:name="_Toc976"/>
      <w:bookmarkEnd w:id="2285"/>
      <w:r>
        <w:rPr>
          <w:rtl w:val="true"/>
        </w:rPr>
        <w:t xml:space="preserve">سوم </w:t>
      </w:r>
      <w:r>
        <w:rPr>
          <w:rtl w:val="true"/>
        </w:rPr>
        <w:t xml:space="preserve">- </w:t>
      </w:r>
      <w:r>
        <w:rPr>
          <w:rtl w:val="true"/>
        </w:rPr>
        <w:t>خُفّ</w:t>
      </w:r>
      <w:bookmarkEnd w:id="2286"/>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به قسمتى از كف پا كه روى زمين قرار مى‌گيرد گفته مى‌شود</w:t>
      </w:r>
      <w:r>
        <w:rPr>
          <w:rFonts w:eastAsia="IRNazanin" w:cs="IRNazanin"/>
          <w:color w:val="111111"/>
          <w:sz w:val="28"/>
          <w:szCs w:val="28"/>
          <w:rtl w:val="true"/>
          <w:lang w:bidi="fa-IR"/>
        </w:rPr>
        <w:t xml:space="preserve">. </w:t>
      </w:r>
      <w:r>
        <w:rPr>
          <w:rStyle w:val="FootnoteAnchor"/>
          <w:rtl w:val="true"/>
        </w:rPr>
        <w:footnoteReference w:id="2049"/>
      </w:r>
      <w:r>
        <w:rPr>
          <w:rFonts w:ascii="IRNazanin" w:hAnsi="IRNazanin" w:eastAsia="IRNazanin"/>
          <w:color w:val="111111"/>
          <w:sz w:val="28"/>
          <w:sz w:val="28"/>
          <w:szCs w:val="28"/>
          <w:rtl w:val="true"/>
          <w:lang w:bidi="fa-IR"/>
        </w:rPr>
        <w:t xml:space="preserve">اين لغت در عربى با لغت نعل تفاوت دارد؛ زيرا در حديثى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w:t>
      </w:r>
      <w:bookmarkStart w:id="2287" w:name="pg1964_19993"/>
    </w:p>
    <w:p>
      <w:pPr>
        <w:pStyle w:val="BookText"/>
        <w:rPr/>
      </w:pPr>
      <w:bookmarkEnd w:id="2287"/>
      <w:r>
        <w:rPr>
          <w:rFonts w:ascii="IRNazanin" w:hAnsi="IRNazanin" w:eastAsia="IRNazanin"/>
          <w:color w:val="111111"/>
          <w:sz w:val="28"/>
          <w:sz w:val="28"/>
          <w:szCs w:val="28"/>
          <w:rtl w:val="true"/>
          <w:lang w:bidi="fa-IR"/>
        </w:rPr>
        <w:t>كس نعلين نيافت، خُفّ بپوشد</w:t>
      </w:r>
      <w:r>
        <w:rPr>
          <w:rFonts w:eastAsia="IRNazanin" w:cs="IRNazanin"/>
          <w:color w:val="111111"/>
          <w:sz w:val="28"/>
          <w:szCs w:val="28"/>
          <w:rtl w:val="true"/>
          <w:lang w:bidi="fa-IR"/>
        </w:rPr>
        <w:t xml:space="preserve">» . </w:t>
      </w:r>
      <w:r>
        <w:rPr>
          <w:rStyle w:val="FootnoteAnchor"/>
          <w:rtl w:val="true"/>
        </w:rPr>
        <w:footnoteReference w:id="2050"/>
      </w:r>
      <w:r>
        <w:rPr>
          <w:rFonts w:ascii="IRNazanin" w:hAnsi="IRNazanin" w:eastAsia="IRNazanin"/>
          <w:color w:val="111111"/>
          <w:sz w:val="28"/>
          <w:sz w:val="28"/>
          <w:szCs w:val="28"/>
          <w:rtl w:val="true"/>
          <w:lang w:bidi="fa-IR"/>
        </w:rPr>
        <w:t xml:space="preserve">در باره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نقل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خُفّ مى‌پوشيد</w:t>
      </w:r>
      <w:r>
        <w:rPr>
          <w:rFonts w:eastAsia="IRNazanin" w:cs="IRNazanin"/>
          <w:color w:val="111111"/>
          <w:sz w:val="28"/>
          <w:szCs w:val="28"/>
          <w:rtl w:val="true"/>
          <w:lang w:bidi="fa-IR"/>
        </w:rPr>
        <w:t xml:space="preserve">. </w:t>
      </w:r>
      <w:r>
        <w:rPr>
          <w:rStyle w:val="FootnoteAnchor"/>
          <w:rtl w:val="true"/>
        </w:rPr>
        <w:footnoteReference w:id="2051"/>
      </w:r>
      <w:r>
        <w:rPr>
          <w:rFonts w:ascii="IRNazanin" w:hAnsi="IRNazanin" w:eastAsia="IRNazanin"/>
          <w:color w:val="111111"/>
          <w:sz w:val="28"/>
          <w:sz w:val="28"/>
          <w:szCs w:val="28"/>
          <w:rtl w:val="true"/>
          <w:lang w:bidi="fa-IR"/>
        </w:rPr>
        <w:t>اين بدان معناست كه در غير سفر، نعل مى‌پوشيد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برخى گزارش‌ها گاهى اعراب در تابستان نيز خُفّ مى‌پوشيدند و در مجالس رسمى حاضر مى‌شدند</w:t>
      </w:r>
      <w:r>
        <w:rPr>
          <w:rFonts w:eastAsia="IRNazanin" w:cs="IRNazanin"/>
          <w:color w:val="111111"/>
          <w:sz w:val="28"/>
          <w:szCs w:val="28"/>
          <w:rtl w:val="true"/>
          <w:lang w:bidi="fa-IR"/>
        </w:rPr>
        <w:t xml:space="preserve">. </w:t>
      </w:r>
      <w:r>
        <w:rPr>
          <w:rStyle w:val="FootnoteAnchor"/>
          <w:rtl w:val="true"/>
        </w:rPr>
        <w:footnoteReference w:id="2052"/>
      </w:r>
      <w:r>
        <w:rPr>
          <w:rFonts w:ascii="IRNazanin" w:hAnsi="IRNazanin" w:eastAsia="IRNazanin"/>
          <w:color w:val="111111"/>
          <w:sz w:val="28"/>
          <w:sz w:val="28"/>
          <w:szCs w:val="28"/>
          <w:rtl w:val="true"/>
          <w:lang w:bidi="fa-IR"/>
        </w:rPr>
        <w:t xml:space="preserve">اين عبارت مى‌رساند كه خُفّ به عنوان كفشى رسمى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برخلاف نعلين كه كفش غير رسمى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مى‌گرفت و پوشيدن آن در تابستان امرى غير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عبارتى ديگر چنين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ياران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خود را از پوشيدن خُفّ‌هاى قرمز و زرد باز مى‌داشتند و مى‌گفتند كه اين نوع پوشش، زينت آل‌فرعون بوده است</w:t>
      </w:r>
      <w:r>
        <w:rPr>
          <w:rFonts w:eastAsia="IRNazanin" w:cs="IRNazanin"/>
          <w:color w:val="111111"/>
          <w:sz w:val="28"/>
          <w:szCs w:val="28"/>
          <w:rtl w:val="true"/>
          <w:lang w:bidi="fa-IR"/>
        </w:rPr>
        <w:t xml:space="preserve">» . </w:t>
      </w:r>
      <w:r>
        <w:rPr>
          <w:rStyle w:val="FootnoteAnchor"/>
          <w:rtl w:val="true"/>
        </w:rPr>
        <w:footnoteReference w:id="2053"/>
      </w:r>
      <w:r>
        <w:rPr>
          <w:rFonts w:ascii="IRNazanin" w:hAnsi="IRNazanin" w:eastAsia="IRNazanin"/>
          <w:color w:val="111111"/>
          <w:sz w:val="28"/>
          <w:sz w:val="28"/>
          <w:szCs w:val="28"/>
          <w:rtl w:val="true"/>
          <w:lang w:bidi="fa-IR"/>
        </w:rPr>
        <w:t>در لغت چنين آمده است كه خف درازتر از نعل بود</w:t>
      </w:r>
      <w:r>
        <w:rPr>
          <w:rFonts w:eastAsia="IRNazanin" w:cs="IRNazanin"/>
          <w:color w:val="111111"/>
          <w:sz w:val="28"/>
          <w:szCs w:val="28"/>
          <w:rtl w:val="true"/>
          <w:lang w:bidi="fa-IR"/>
        </w:rPr>
        <w:t xml:space="preserve">. </w:t>
      </w:r>
      <w:r>
        <w:rPr>
          <w:rStyle w:val="FootnoteAnchor"/>
          <w:rtl w:val="true"/>
        </w:rPr>
        <w:footnoteReference w:id="2054"/>
      </w:r>
    </w:p>
    <w:p>
      <w:pPr>
        <w:pStyle w:val="BookText"/>
        <w:rPr/>
      </w:pPr>
      <w:r>
        <w:rPr>
          <w:rFonts w:ascii="IRNazanin" w:hAnsi="IRNazanin" w:eastAsia="IRNazanin"/>
          <w:color w:val="111111"/>
          <w:sz w:val="28"/>
          <w:sz w:val="28"/>
          <w:szCs w:val="28"/>
          <w:rtl w:val="true"/>
          <w:lang w:bidi="fa-IR"/>
        </w:rPr>
        <w:t xml:space="preserve">از همه اين موارد مى‌توان نتيجه گرفت كه ترجمه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055"/>
      </w:r>
      <w:r>
        <w:rPr>
          <w:rFonts w:ascii="IRNazanin" w:hAnsi="IRNazanin" w:eastAsia="IRNazanin"/>
          <w:color w:val="111111"/>
          <w:sz w:val="28"/>
          <w:sz w:val="28"/>
          <w:szCs w:val="28"/>
          <w:rtl w:val="true"/>
          <w:lang w:bidi="fa-IR"/>
        </w:rPr>
        <w:t xml:space="preserve">و به معناى پاافزارى است كه تا ساق پا و زير زانو را فرا مى‌گيرد و به آن چكمه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w:t>
      </w:r>
      <w:r>
        <w:rPr>
          <w:rFonts w:eastAsia="IRNazanin" w:cs="IRNazanin"/>
          <w:color w:val="111111"/>
          <w:sz w:val="28"/>
          <w:szCs w:val="28"/>
          <w:rtl w:val="true"/>
          <w:lang w:bidi="fa-IR"/>
        </w:rPr>
        <w:t xml:space="preserve">. </w:t>
      </w:r>
      <w:r>
        <w:rPr>
          <w:rStyle w:val="FootnoteAnchor"/>
          <w:rtl w:val="true"/>
        </w:rPr>
        <w:footnoteReference w:id="2056"/>
      </w:r>
      <w:r>
        <w:rPr>
          <w:rFonts w:ascii="IRNazanin" w:hAnsi="IRNazanin" w:eastAsia="IRNazanin"/>
          <w:color w:val="111111"/>
          <w:sz w:val="28"/>
          <w:sz w:val="28"/>
          <w:szCs w:val="28"/>
          <w:rtl w:val="true"/>
          <w:lang w:bidi="fa-IR"/>
        </w:rPr>
        <w:t xml:space="preserve">البته بعضى نويسندگان 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نوعى خُفّ دانسته‌اند</w:t>
      </w:r>
      <w:r>
        <w:rPr>
          <w:rFonts w:eastAsia="IRNazanin" w:cs="IRNazanin"/>
          <w:color w:val="111111"/>
          <w:sz w:val="28"/>
          <w:szCs w:val="28"/>
          <w:rtl w:val="true"/>
          <w:lang w:bidi="fa-IR"/>
        </w:rPr>
        <w:t xml:space="preserve">. </w:t>
      </w:r>
      <w:r>
        <w:rPr>
          <w:rStyle w:val="FootnoteAnchor"/>
          <w:rtl w:val="true"/>
        </w:rPr>
        <w:footnoteReference w:id="2057"/>
      </w:r>
    </w:p>
    <w:p>
      <w:pPr>
        <w:pStyle w:val="Heading6"/>
        <w:numPr>
          <w:ilvl w:val="5"/>
          <w:numId w:val="1"/>
        </w:numPr>
        <w:rPr/>
      </w:pPr>
      <w:bookmarkStart w:id="2288" w:name="__RefHeading___Toc3586361_3650668749"/>
      <w:bookmarkStart w:id="2289" w:name="_Toc977"/>
      <w:bookmarkEnd w:id="2288"/>
      <w:r>
        <w:rPr>
          <w:rtl w:val="true"/>
        </w:rPr>
        <w:t xml:space="preserve">چهارم </w:t>
      </w:r>
      <w:r>
        <w:rPr>
          <w:rtl w:val="true"/>
        </w:rPr>
        <w:t xml:space="preserve">- </w:t>
      </w:r>
      <w:r>
        <w:rPr>
          <w:rtl w:val="true"/>
        </w:rPr>
        <w:t>نَعل</w:t>
      </w:r>
      <w:bookmarkEnd w:id="2289"/>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نَعل را اين چنين تعريف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نعل همان كفش سندل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پوست خام شتر تهيه مى‌شد و به وسيله دوبند كه يكى از رو و وسط پا و ديگرى از وسط انگشت بزرگ و انگشت دوم مى‌گذرد، بسته مى‌شد</w:t>
      </w:r>
      <w:r>
        <w:rPr>
          <w:rFonts w:eastAsia="IRNazanin" w:cs="IRNazanin"/>
          <w:color w:val="111111"/>
          <w:sz w:val="28"/>
          <w:szCs w:val="28"/>
          <w:rtl w:val="true"/>
          <w:lang w:bidi="fa-IR"/>
        </w:rPr>
        <w:t xml:space="preserve">» . </w:t>
      </w:r>
      <w:r>
        <w:rPr>
          <w:rStyle w:val="FootnoteAnchor"/>
          <w:rtl w:val="true"/>
        </w:rPr>
        <w:footnoteReference w:id="2058"/>
      </w:r>
      <w:r>
        <w:rPr>
          <w:rFonts w:ascii="IRNazanin" w:hAnsi="IRNazanin" w:eastAsia="IRNazanin"/>
          <w:color w:val="111111"/>
          <w:sz w:val="28"/>
          <w:sz w:val="28"/>
          <w:szCs w:val="28"/>
          <w:rtl w:val="true"/>
          <w:lang w:bidi="fa-IR"/>
        </w:rPr>
        <w:t xml:space="preserve">در روايات شيعه نعلين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توصيف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نعلين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پاشنه‌دار</w:t>
      </w:r>
    </w:p>
    <w:p>
      <w:pPr>
        <w:pStyle w:val="BookText"/>
        <w:rPr/>
      </w:pPr>
      <w:r>
        <w:rPr>
          <w:rFonts w:ascii="IRNazanin" w:hAnsi="IRNazanin" w:eastAsia="IRNazanin"/>
          <w:color w:val="111111"/>
          <w:sz w:val="28"/>
          <w:sz w:val="28"/>
          <w:szCs w:val="28"/>
          <w:rtl w:val="true"/>
          <w:lang w:bidi="fa-IR"/>
        </w:rPr>
        <w:t>و ميان‌دار بود و روى آن از دو تسمه چرمى تشكيل شده بود و سرهايى نيز داشت</w:t>
      </w:r>
      <w:r>
        <w:rPr>
          <w:rFonts w:eastAsia="IRNazanin" w:cs="IRNazanin"/>
          <w:color w:val="111111"/>
          <w:sz w:val="28"/>
          <w:szCs w:val="28"/>
          <w:rtl w:val="true"/>
          <w:lang w:bidi="fa-IR"/>
        </w:rPr>
        <w:t xml:space="preserve">. </w:t>
      </w:r>
      <w:r>
        <w:rPr>
          <w:rStyle w:val="FootnoteAnchor"/>
          <w:rtl w:val="true"/>
        </w:rPr>
        <w:footnoteReference w:id="2059"/>
      </w:r>
      <w:r>
        <w:rPr>
          <w:rFonts w:ascii="IRNazanin" w:hAnsi="IRNazanin" w:eastAsia="IRNazanin"/>
          <w:color w:val="111111"/>
          <w:sz w:val="28"/>
          <w:sz w:val="28"/>
          <w:szCs w:val="28"/>
          <w:rtl w:val="true"/>
          <w:lang w:bidi="fa-IR"/>
        </w:rPr>
        <w:t xml:space="preserve">در بعضى ديگر از روايات، پوشيدن نوعى نعل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بدون مو بوده به آن حضرت نسبت داده شده است</w:t>
      </w:r>
      <w:r>
        <w:rPr>
          <w:rFonts w:eastAsia="IRNazanin" w:cs="IRNazanin"/>
          <w:color w:val="111111"/>
          <w:sz w:val="28"/>
          <w:szCs w:val="28"/>
          <w:rtl w:val="true"/>
          <w:lang w:bidi="fa-IR"/>
        </w:rPr>
        <w:t xml:space="preserve">. </w:t>
      </w:r>
      <w:r>
        <w:rPr>
          <w:rStyle w:val="FootnoteAnchor"/>
          <w:rtl w:val="true"/>
        </w:rPr>
        <w:footnoteReference w:id="2060"/>
      </w:r>
      <w:r>
        <w:rPr>
          <w:rFonts w:ascii="IRNazanin" w:hAnsi="IRNazanin" w:eastAsia="IRNazanin"/>
          <w:color w:val="111111"/>
          <w:sz w:val="28"/>
          <w:sz w:val="28"/>
          <w:szCs w:val="28"/>
          <w:rtl w:val="true"/>
          <w:lang w:bidi="fa-IR"/>
        </w:rPr>
        <w:t>در باره نعلين عُمر نيز چنين آمده است كه از پوست درخت خرما تهيه شده بود</w:t>
      </w:r>
      <w:r>
        <w:rPr>
          <w:rFonts w:eastAsia="IRNazanin" w:cs="IRNazanin"/>
          <w:color w:val="111111"/>
          <w:sz w:val="28"/>
          <w:szCs w:val="28"/>
          <w:rtl w:val="true"/>
          <w:lang w:bidi="fa-IR"/>
        </w:rPr>
        <w:t xml:space="preserve">. </w:t>
      </w:r>
      <w:r>
        <w:rPr>
          <w:rStyle w:val="FootnoteAnchor"/>
          <w:rtl w:val="true"/>
        </w:rPr>
        <w:footnoteReference w:id="2061"/>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تسمه‌هاى چرمى يا غير چرمى كه روى نعل بسته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حلقه‌هاى چرمى كه در اطراف نَعل تعبيه شده بود و شِسْع از آن مى‌گذشت،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2062"/>
      </w:r>
      <w:r>
        <w:rPr>
          <w:rFonts w:ascii="IRNazanin" w:hAnsi="IRNazanin" w:eastAsia="IRNazanin"/>
          <w:color w:val="111111"/>
          <w:sz w:val="28"/>
          <w:sz w:val="28"/>
          <w:szCs w:val="28"/>
          <w:rtl w:val="true"/>
          <w:lang w:bidi="fa-IR"/>
        </w:rPr>
        <w:t xml:space="preserve">ظاهراً مراد از سرهاى نعل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حلقه‌ها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شِسْع نعل به راحتى باز و بسته مى‌شد و از بعضى روايات كه مربوط به زمان‌هاى بعد مى‌باشد، چنين استفاده مى‌شود كه مردم شِسْع‌هاى اضافى را در آستين‌هاى خود نگهدارى مى‌كردند تا هنگام پاره‌شدن شِسْع اصلى، از آنها استفاده كنند</w:t>
      </w:r>
      <w:r>
        <w:rPr>
          <w:rFonts w:eastAsia="IRNazanin" w:cs="IRNazanin"/>
          <w:color w:val="111111"/>
          <w:sz w:val="28"/>
          <w:szCs w:val="28"/>
          <w:rtl w:val="true"/>
          <w:lang w:bidi="fa-IR"/>
        </w:rPr>
        <w:t xml:space="preserve">. </w:t>
      </w:r>
      <w:r>
        <w:rPr>
          <w:rStyle w:val="FootnoteAnchor"/>
          <w:rtl w:val="true"/>
        </w:rPr>
        <w:footnoteReference w:id="2063"/>
      </w:r>
      <w:r>
        <w:rPr>
          <w:rFonts w:ascii="Amiri" w:hAnsi="Amiri" w:eastAsia="Amiri" w:cs="Amiri"/>
          <w:color w:val="111111"/>
          <w:sz w:val="28"/>
          <w:sz w:val="28"/>
          <w:szCs w:val="28"/>
          <w:rtl w:val="true"/>
          <w:lang w:bidi="ar-SA"/>
        </w:rPr>
        <w:t>زنان نيز از نعل استفاده مى‌كردند</w:t>
      </w:r>
      <w:r>
        <w:rPr>
          <w:rFonts w:eastAsia="Amiri" w:cs="Amiri" w:ascii="Amiri" w:hAnsi="Amiri"/>
          <w:color w:val="111111"/>
          <w:sz w:val="28"/>
          <w:szCs w:val="28"/>
          <w:rtl w:val="true"/>
          <w:lang w:bidi="ar-SA"/>
        </w:rPr>
        <w:t xml:space="preserve">. </w:t>
      </w:r>
      <w:r>
        <w:rPr>
          <w:rStyle w:val="FootnoteAnchor"/>
          <w:rtl w:val="true"/>
        </w:rPr>
        <w:footnoteReference w:id="2064"/>
      </w:r>
      <w:r>
        <w:rPr>
          <w:rFonts w:ascii="IRNazanin" w:hAnsi="IRNazanin" w:eastAsia="IRNazanin"/>
          <w:color w:val="111111"/>
          <w:sz w:val="28"/>
          <w:sz w:val="28"/>
          <w:szCs w:val="28"/>
          <w:rtl w:val="true"/>
          <w:lang w:bidi="fa-IR"/>
        </w:rPr>
        <w:t xml:space="preserve">گفتنى است كه اين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مصاديق آن براى مردم جاهليت نيز شناخته شده بود</w:t>
      </w:r>
      <w:r>
        <w:rPr>
          <w:rFonts w:eastAsia="IRNazanin" w:cs="IRNazanin"/>
          <w:color w:val="111111"/>
          <w:sz w:val="28"/>
          <w:szCs w:val="28"/>
          <w:rtl w:val="true"/>
          <w:lang w:bidi="fa-IR"/>
        </w:rPr>
        <w:t xml:space="preserve">. </w:t>
      </w:r>
      <w:r>
        <w:rPr>
          <w:rStyle w:val="FootnoteAnchor"/>
          <w:rtl w:val="true"/>
        </w:rPr>
        <w:footnoteReference w:id="2065"/>
      </w:r>
      <w:bookmarkStart w:id="2290" w:name="pg1964_19995"/>
    </w:p>
    <w:p>
      <w:pPr>
        <w:pStyle w:val="Heading2"/>
        <w:numPr>
          <w:ilvl w:val="1"/>
          <w:numId w:val="1"/>
        </w:numPr>
        <w:rPr/>
      </w:pPr>
      <w:bookmarkStart w:id="2291" w:name="__RefHeading___Toc3586363_3650668749"/>
      <w:bookmarkStart w:id="2292" w:name="_Toc978"/>
      <w:bookmarkEnd w:id="2290"/>
      <w:bookmarkEnd w:id="2291"/>
      <w:r>
        <w:rPr>
          <w:rtl w:val="true"/>
        </w:rPr>
        <w:t>فصل هفتم</w:t>
      </w:r>
      <w:r>
        <w:rPr>
          <w:rtl w:val="true"/>
        </w:rPr>
        <w:t xml:space="preserve">: </w:t>
      </w:r>
      <w:r>
        <w:rPr>
          <w:rtl w:val="true"/>
        </w:rPr>
        <w:t>نوع تغذيه</w:t>
      </w:r>
      <w:bookmarkEnd w:id="229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93" w:name="__RefHeading___Toc3586365_3650668749"/>
      <w:bookmarkStart w:id="2294" w:name="_Toc979"/>
      <w:bookmarkEnd w:id="2293"/>
      <w:r>
        <w:rPr>
          <w:rtl w:val="true"/>
        </w:rPr>
        <w:t>اشاره</w:t>
      </w:r>
      <w:bookmarkStart w:id="2295" w:name="pg1964_19997"/>
      <w:bookmarkEnd w:id="2294"/>
    </w:p>
    <w:p>
      <w:pPr>
        <w:pStyle w:val="Heading3"/>
        <w:numPr>
          <w:ilvl w:val="2"/>
          <w:numId w:val="1"/>
        </w:numPr>
        <w:rPr/>
      </w:pPr>
      <w:bookmarkStart w:id="2296" w:name="__RefHeading___Toc3586367_3650668749"/>
      <w:bookmarkStart w:id="2297" w:name="_Toc980"/>
      <w:bookmarkEnd w:id="2295"/>
      <w:bookmarkEnd w:id="2296"/>
      <w:r>
        <w:rPr/>
        <w:t>١</w:t>
      </w:r>
      <w:r>
        <w:rPr>
          <w:rtl w:val="true"/>
        </w:rPr>
        <w:t xml:space="preserve">. </w:t>
      </w:r>
      <w:r>
        <w:rPr>
          <w:rtl w:val="true"/>
        </w:rPr>
        <w:t>غذاها</w:t>
      </w:r>
      <w:bookmarkEnd w:id="2297"/>
    </w:p>
    <w:p>
      <w:pPr>
        <w:pStyle w:val="Heading4"/>
        <w:numPr>
          <w:ilvl w:val="3"/>
          <w:numId w:val="1"/>
        </w:numPr>
        <w:rPr/>
      </w:pPr>
      <w:bookmarkStart w:id="2298" w:name="__RefHeading___Toc3586369_3650668749"/>
      <w:bookmarkStart w:id="2299" w:name="_Toc981"/>
      <w:bookmarkEnd w:id="2298"/>
      <w:r>
        <w:rPr>
          <w:rtl w:val="true"/>
        </w:rPr>
        <w:t>الف</w:t>
      </w:r>
      <w:r>
        <w:rPr>
          <w:rtl w:val="true"/>
        </w:rPr>
        <w:t xml:space="preserve">) </w:t>
      </w:r>
      <w:r>
        <w:rPr>
          <w:rtl w:val="true"/>
        </w:rPr>
        <w:t>تاريخچه‌اى از غذاى عرب</w:t>
      </w:r>
      <w:bookmarkEnd w:id="2299"/>
    </w:p>
    <w:p>
      <w:pPr>
        <w:pStyle w:val="BookText"/>
        <w:rPr/>
      </w:pPr>
      <w:r>
        <w:rPr>
          <w:rFonts w:ascii="IRNazanin" w:hAnsi="IRNazanin" w:eastAsia="IRNazanin"/>
          <w:color w:val="111111"/>
          <w:sz w:val="28"/>
          <w:sz w:val="28"/>
          <w:szCs w:val="28"/>
          <w:rtl w:val="true"/>
          <w:lang w:bidi="fa-IR"/>
        </w:rPr>
        <w:t>غذاهاى عرب قبل از ظهور اسلام در نهايت سادگى تهيه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موادى همانند گوشت كه بيشتر از شتر تهيه مى‌شد، شير كه آن نيز بيشتر از شتر به دست مى‌آمد و مشتقاتى، همچون كره، پنير و روغن داشت، خرما و بعضى از غلات، مواد اصلى غذاهاى عرب را تشكيل مى‌داد و با تركيبات ساده‌اى بر سر سفره آنها گذاشته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طبقه متوسط و ثروتمند از اين مواد غذايى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طبقه فقير كه بيشتر بيابان‌گرد و صحرانشين بودند، از ملخ، سوسمار، پوست پاره بريده شده از بينى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قورباغه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شاخ حيوانات به عنوان مواد غذايى استفاده مى‌نمودند</w:t>
      </w:r>
      <w:r>
        <w:rPr>
          <w:rFonts w:eastAsia="IRNazanin" w:cs="IRNazanin"/>
          <w:color w:val="111111"/>
          <w:sz w:val="28"/>
          <w:szCs w:val="28"/>
          <w:rtl w:val="true"/>
          <w:lang w:bidi="fa-IR"/>
        </w:rPr>
        <w:t xml:space="preserve">. </w:t>
      </w:r>
      <w:r>
        <w:rPr>
          <w:rStyle w:val="FootnoteAnchor"/>
          <w:rtl w:val="true"/>
        </w:rPr>
        <w:footnoteReference w:id="2066"/>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سادگى غذايى عرب با ظهور اسلام و در زمان‌هاى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ابوبكر و بخشى از دوران خلافت عمر نيز محفوظ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بخش‌هاى آينده قسمتى از اين سادگى را در غذاهاى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خلافت عُمر و طى كشورگشايى‌هاى اعراب كه به فتح امپراطورى بزرگ ايران و تصرف بخشى از امپراطورى بزرگ روم منجر شد، عرب‌ها با انواع غذاهاى تجمّلى و غير تجملى مردم سرزمين‌هاى فتح شده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آغاز برخورد با غذاهاى آنان و نيز</w:t>
      </w:r>
    </w:p>
    <w:p>
      <w:pPr>
        <w:pStyle w:val="BookText"/>
        <w:rPr/>
      </w:pPr>
      <w:r>
        <w:rPr>
          <w:rFonts w:ascii="IRNazanin" w:hAnsi="IRNazanin" w:eastAsia="IRNazanin"/>
          <w:color w:val="111111"/>
          <w:sz w:val="28"/>
          <w:sz w:val="28"/>
          <w:szCs w:val="28"/>
          <w:rtl w:val="true"/>
          <w:lang w:bidi="fa-IR"/>
        </w:rPr>
        <w:t>مواد غذايى مختلف، نيمه‌اى از سادگى خود را به نمايش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تاريخ چنين آمده است كه عرب‌ها در يكى از فتوحات خود، به مقدار فراوانى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يافتند و آن را نمك انگاشتند، پس غذايى پخته و مقدارى كافور در آن ريختند، اما غذا را بى‌نمك يافتند و تعجب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ناظر ماجرا بود و كافور و ارزش آن را به خوبى مى‌شناخت، پيش آمده و آن كافورها را با پيراهنى كهنه كه بيش از دو درهم ارزش نداشت، مبادله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جايى ديگر مقدارى فراوان نان نازك يافتند و آن را كاغذى تصور كردند كه مى‌توان روى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مكانى ديگر به برنج برخورد كردند و آن را غذايى مسموم انگاشتند</w:t>
      </w:r>
      <w:r>
        <w:rPr>
          <w:rFonts w:eastAsia="IRNazanin" w:cs="IRNazanin"/>
          <w:color w:val="111111"/>
          <w:sz w:val="28"/>
          <w:szCs w:val="28"/>
          <w:rtl w:val="true"/>
          <w:lang w:bidi="fa-IR"/>
        </w:rPr>
        <w:t xml:space="preserve">. </w:t>
      </w:r>
      <w:r>
        <w:rPr>
          <w:rStyle w:val="FootnoteAnchor"/>
          <w:rtl w:val="true"/>
        </w:rPr>
        <w:footnoteReference w:id="2067"/>
      </w:r>
    </w:p>
    <w:p>
      <w:pPr>
        <w:pStyle w:val="BookText"/>
        <w:rPr/>
      </w:pPr>
      <w:r>
        <w:rPr>
          <w:rFonts w:ascii="IRNazanin" w:hAnsi="IRNazanin" w:eastAsia="IRNazanin"/>
          <w:color w:val="111111"/>
          <w:sz w:val="28"/>
          <w:sz w:val="28"/>
          <w:szCs w:val="28"/>
          <w:rtl w:val="true"/>
          <w:lang w:bidi="fa-IR"/>
        </w:rPr>
        <w:t>اما با استقرار عرب‌ها در دو شهر كوفه و بصره و نيز ديگر شهرهاى فتح شده و كم‌رنگ‌تر شدن فتوحات، تنوعات غذايى عجم‌ها به‌سرعت در ميان عرب‌ها رايج شد و تقليد از ايرانيان در كوفه شيوع پيدا كرد و از انواع چاشنى‌ها در غذاهاى خود استفاده كردند و در مراسمى، همچون مراسم اعياد، عروسى، ختنه سوران‌ها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سراغ ايرانيان مى‌رفتند تا طرز تهيه انواع غذاها و نيز آداب و رسوم مربوط به آنها را فرا گيرند</w:t>
      </w:r>
      <w:r>
        <w:rPr>
          <w:rFonts w:eastAsia="IRNazanin" w:cs="IRNazanin"/>
          <w:color w:val="111111"/>
          <w:sz w:val="28"/>
          <w:szCs w:val="28"/>
          <w:rtl w:val="true"/>
          <w:lang w:bidi="fa-IR"/>
        </w:rPr>
        <w:t xml:space="preserve">. </w:t>
      </w:r>
      <w:r>
        <w:rPr>
          <w:rStyle w:val="FootnoteAnchor"/>
          <w:rtl w:val="true"/>
        </w:rPr>
        <w:footnoteReference w:id="2068"/>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پديده، به خصوص با به خلافت رسيدن عثمان در اواخر سال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شدت گرفت؛ زيرا عثمان برخلاف عمر و ابوبكر ذاتاً فردى تجمل‌گرا بود و در زندگى و خورد و خوراك خود مانند افراد مرفه 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سفره عثمان بعد از خلافت چنين آمده است كه هر شب نان تهيه شده از آرد سفيد، و بره‌هاى كوچك پخته شده بر سر سفره او مى‌نهادند، در حالى‌كه عُمر هيچ‌گاه از آرد سبوس گرفته شده نمى‌خورد و از گوشت گوسفندان پير استفاده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عثمان اولين حاكم اسلامى معرفى شده است كه آرد بدون سبوس مصرف مى‌كرد</w:t>
      </w:r>
      <w:r>
        <w:rPr>
          <w:rFonts w:eastAsia="IRNazanin" w:cs="IRNazanin"/>
          <w:color w:val="111111"/>
          <w:sz w:val="28"/>
          <w:szCs w:val="28"/>
          <w:rtl w:val="true"/>
          <w:lang w:bidi="fa-IR"/>
        </w:rPr>
        <w:t xml:space="preserve">. </w:t>
      </w:r>
      <w:r>
        <w:rPr>
          <w:rStyle w:val="FootnoteAnchor"/>
          <w:rtl w:val="true"/>
        </w:rPr>
        <w:footnoteReference w:id="2069"/>
      </w:r>
      <w:bookmarkStart w:id="2300" w:name="pg1964_19999"/>
    </w:p>
    <w:p>
      <w:pPr>
        <w:pStyle w:val="BookText"/>
        <w:rPr/>
      </w:pPr>
      <w:bookmarkEnd w:id="2300"/>
      <w:r>
        <w:rPr>
          <w:rFonts w:ascii="IRNazanin" w:hAnsi="IRNazanin" w:eastAsia="IRNazanin"/>
          <w:color w:val="111111"/>
          <w:sz w:val="28"/>
          <w:sz w:val="28"/>
          <w:szCs w:val="28"/>
          <w:rtl w:val="true"/>
          <w:lang w:bidi="fa-IR"/>
        </w:rPr>
        <w:t xml:space="preserve">پس از عثمان،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خود از غذاهاى ساده‌اى استفاده مى‌كرد كه به بخشى از آن اشاره خواهد شد، اما از نصوص تاريخى و روايى چنين برمى‌آيد كه تنوع غذايى در اين زمان رشد خود را كرده بود و مردم به غذاهاى غير ساده روى آورده بودند، به گونه‌اى كه رژيم غذايى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يك پديده خارق‌العاده به حساب مى‌آوردند و از آن تعجب مى‌كردند</w:t>
      </w:r>
      <w:r>
        <w:rPr>
          <w:rFonts w:eastAsia="IRNazanin" w:cs="IRNazanin"/>
          <w:color w:val="111111"/>
          <w:sz w:val="28"/>
          <w:szCs w:val="28"/>
          <w:rtl w:val="true"/>
          <w:lang w:bidi="fa-IR"/>
        </w:rPr>
        <w:t xml:space="preserve">. </w:t>
      </w:r>
      <w:r>
        <w:rPr>
          <w:rStyle w:val="FootnoteAnchor"/>
          <w:rtl w:val="true"/>
        </w:rPr>
        <w:footnoteReference w:id="2070"/>
      </w:r>
    </w:p>
    <w:p>
      <w:pPr>
        <w:pStyle w:val="BookText"/>
        <w:rPr/>
      </w:pPr>
      <w:r>
        <w:rPr>
          <w:rFonts w:ascii="IRNazanin" w:hAnsi="IRNazanin" w:eastAsia="IRNazanin"/>
          <w:color w:val="111111"/>
          <w:sz w:val="28"/>
          <w:sz w:val="28"/>
          <w:szCs w:val="28"/>
          <w:rtl w:val="true"/>
          <w:lang w:bidi="fa-IR"/>
        </w:rPr>
        <w:t xml:space="preserve">با روى كار آمدن بنى‌اميه كه سرسلسله آنها فردى پُرخور و شكم‌باره هم‌چون معاويه بود كه به شدت از تنوع غذايى ايرانيان تقليد مى‌كرد </w:t>
      </w:r>
      <w:r>
        <w:rPr>
          <w:rStyle w:val="FootnoteAnchor"/>
          <w:rtl w:val="true"/>
        </w:rPr>
        <w:footnoteReference w:id="2071"/>
      </w:r>
      <w:r>
        <w:rPr>
          <w:rFonts w:ascii="IRNazanin" w:hAnsi="IRNazanin" w:eastAsia="IRNazanin"/>
          <w:color w:val="111111"/>
          <w:sz w:val="28"/>
          <w:sz w:val="28"/>
          <w:szCs w:val="28"/>
          <w:rtl w:val="true"/>
          <w:lang w:bidi="fa-IR"/>
        </w:rPr>
        <w:t xml:space="preserve">، تنوع‌طلبى غذايى نيز بين مردم رشد فراوانى نمود و آثار اين پديده، به خصوص در كوفه كه ايرانيان بسيارى را در خود جاى داده بود، پديدار شد، به گونه‌اى كه زياد بن ابيه، حاكم كوفه و بصره در سال‌هاى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مردم كوفه را مردمى با انواع غذاها يا مردمى پرخور معرفى مى‌كند</w:t>
      </w:r>
      <w:r>
        <w:rPr>
          <w:rFonts w:eastAsia="IRNazanin" w:cs="IRNazanin"/>
          <w:color w:val="111111"/>
          <w:sz w:val="28"/>
          <w:szCs w:val="28"/>
          <w:rtl w:val="true"/>
          <w:lang w:bidi="fa-IR"/>
        </w:rPr>
        <w:t xml:space="preserve">. </w:t>
      </w:r>
      <w:r>
        <w:rPr>
          <w:rStyle w:val="FootnoteAnchor"/>
          <w:rtl w:val="true"/>
        </w:rPr>
        <w:footnoteReference w:id="2072"/>
      </w:r>
      <w:r>
        <w:rPr>
          <w:rFonts w:ascii="IRNazanin" w:hAnsi="IRNazanin" w:eastAsia="IRNazanin"/>
          <w:color w:val="111111"/>
          <w:sz w:val="28"/>
          <w:sz w:val="28"/>
          <w:szCs w:val="28"/>
          <w:rtl w:val="true"/>
          <w:lang w:bidi="fa-IR"/>
        </w:rPr>
        <w:t>در اين زمان مردم، حتى از ايرانيان نيز در تنوع غذايى سبقت گرفتند</w:t>
      </w:r>
      <w:r>
        <w:rPr>
          <w:rFonts w:eastAsia="IRNazanin" w:cs="IRNazanin"/>
          <w:color w:val="111111"/>
          <w:sz w:val="28"/>
          <w:szCs w:val="28"/>
          <w:rtl w:val="true"/>
          <w:lang w:bidi="fa-IR"/>
        </w:rPr>
        <w:t xml:space="preserve">. </w:t>
      </w:r>
      <w:r>
        <w:rPr>
          <w:rStyle w:val="FootnoteAnchor"/>
          <w:rtl w:val="true"/>
        </w:rPr>
        <w:footnoteReference w:id="2073"/>
      </w:r>
      <w:r>
        <w:rPr>
          <w:rFonts w:ascii="IRNazanin" w:hAnsi="IRNazanin" w:eastAsia="IRNazanin"/>
          <w:color w:val="111111"/>
          <w:sz w:val="28"/>
          <w:sz w:val="28"/>
          <w:szCs w:val="28"/>
          <w:rtl w:val="true"/>
          <w:lang w:bidi="fa-IR"/>
        </w:rPr>
        <w:t>گفتنى است كه عبيدالله بن زياد نيز در تاريخ به عنوان فرماندارى با سفره رنگارنگ كه در آن انواع مختلف غذاها موجود بوده معرفى شده است</w:t>
      </w:r>
      <w:r>
        <w:rPr>
          <w:rFonts w:eastAsia="IRNazanin" w:cs="IRNazanin"/>
          <w:color w:val="111111"/>
          <w:sz w:val="28"/>
          <w:szCs w:val="28"/>
          <w:rtl w:val="true"/>
          <w:lang w:bidi="fa-IR"/>
        </w:rPr>
        <w:t xml:space="preserve">. </w:t>
      </w:r>
      <w:r>
        <w:rPr>
          <w:rStyle w:val="FootnoteAnchor"/>
          <w:rtl w:val="true"/>
        </w:rPr>
        <w:footnoteReference w:id="2074"/>
      </w:r>
    </w:p>
    <w:p>
      <w:pPr>
        <w:pStyle w:val="Heading4"/>
        <w:numPr>
          <w:ilvl w:val="3"/>
          <w:numId w:val="1"/>
        </w:numPr>
        <w:rPr/>
      </w:pPr>
      <w:bookmarkStart w:id="2301" w:name="__RefHeading___Toc3586371_3650668749"/>
      <w:bookmarkStart w:id="2302" w:name="_Toc982"/>
      <w:bookmarkEnd w:id="2301"/>
      <w:r>
        <w:rPr>
          <w:rtl w:val="true"/>
        </w:rPr>
        <w:t>ب</w:t>
      </w:r>
      <w:r>
        <w:rPr>
          <w:rtl w:val="true"/>
        </w:rPr>
        <w:t xml:space="preserve">) </w:t>
      </w:r>
      <w:r>
        <w:rPr>
          <w:rtl w:val="true"/>
        </w:rPr>
        <w:t>وعده‌هاى غذايى عرب</w:t>
      </w:r>
      <w:bookmarkEnd w:id="2302"/>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روايات و نصوص تاريخى چنين بر مى‌آيد كه عرب‌ها در زمان مورد بحث بيش از دو وعده غذايى نداشتند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است</w:t>
      </w:r>
      <w:r>
        <w:rPr>
          <w:rFonts w:eastAsia="IRNazanin" w:cs="IRNazanin"/>
          <w:color w:val="111111"/>
          <w:sz w:val="28"/>
          <w:szCs w:val="28"/>
          <w:rtl w:val="true"/>
          <w:lang w:bidi="fa-IR"/>
        </w:rPr>
        <w:t xml:space="preserve">. </w:t>
      </w:r>
      <w:r>
        <w:rPr>
          <w:rStyle w:val="FootnoteAnchor"/>
          <w:rtl w:val="true"/>
        </w:rPr>
        <w:footnoteReference w:id="2075"/>
      </w:r>
      <w:r>
        <w:rPr>
          <w:rFonts w:ascii="Amiri" w:hAnsi="Amiri" w:eastAsia="Amiri" w:cs="Amiri"/>
          <w:color w:val="111111"/>
          <w:sz w:val="28"/>
          <w:sz w:val="28"/>
          <w:szCs w:val="28"/>
          <w:rtl w:val="true"/>
          <w:lang w:bidi="ar-SA"/>
        </w:rPr>
        <w:t xml:space="preserve">از بعضى آيات قرآن </w:t>
      </w:r>
      <w:r>
        <w:rPr>
          <w:rStyle w:val="FootnoteAnchor"/>
          <w:rtl w:val="true"/>
        </w:rPr>
        <w:footnoteReference w:id="2076"/>
      </w:r>
      <w:r>
        <w:rPr>
          <w:rFonts w:ascii="Amiri" w:hAnsi="Amiri" w:eastAsia="Amiri" w:cs="Amiri"/>
          <w:color w:val="111111"/>
          <w:sz w:val="28"/>
          <w:sz w:val="28"/>
          <w:szCs w:val="28"/>
          <w:rtl w:val="true"/>
          <w:lang w:bidi="ar-SA"/>
        </w:rPr>
        <w:t xml:space="preserve">طبق بعضى از تفاسير </w:t>
      </w:r>
      <w:r>
        <w:rPr>
          <w:rStyle w:val="FootnoteAnchor"/>
          <w:rtl w:val="true"/>
        </w:rPr>
        <w:footnoteReference w:id="2077"/>
      </w:r>
      <w:r>
        <w:rPr>
          <w:rFonts w:ascii="Amiri" w:hAnsi="Amiri" w:eastAsia="Amiri" w:cs="Amiri"/>
          <w:color w:val="111111"/>
          <w:sz w:val="28"/>
          <w:sz w:val="28"/>
          <w:szCs w:val="28"/>
          <w:rtl w:val="true"/>
          <w:lang w:bidi="ar-SA"/>
        </w:rPr>
        <w:t>نيز مى‌توان تأييدى بر اين مطلب آورد</w:t>
      </w:r>
      <w:r>
        <w:rPr>
          <w:rFonts w:eastAsia="Amiri" w:cs="Amiri" w:ascii="Amiri" w:hAnsi="Amiri"/>
          <w:color w:val="111111"/>
          <w:sz w:val="28"/>
          <w:szCs w:val="28"/>
          <w:rtl w:val="true"/>
          <w:lang w:bidi="ar-SA"/>
        </w:rPr>
        <w:t>.</w:t>
      </w:r>
      <w:bookmarkStart w:id="2303" w:name="pg1964_20000"/>
    </w:p>
    <w:p>
      <w:pPr>
        <w:pStyle w:val="BookText"/>
        <w:rPr/>
      </w:pPr>
      <w:bookmarkEnd w:id="2303"/>
      <w:r>
        <w:rPr>
          <w:rFonts w:ascii="IRNazanin" w:hAnsi="IRNazanin" w:eastAsia="IRNazanin"/>
          <w:color w:val="111111"/>
          <w:sz w:val="28"/>
          <w:sz w:val="28"/>
          <w:szCs w:val="28"/>
          <w:rtl w:val="true"/>
          <w:lang w:bidi="fa-IR"/>
        </w:rPr>
        <w:t xml:space="preserve">در بعضى از روايات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Style w:val="FootnoteAnchor"/>
          <w:rtl w:val="true"/>
        </w:rPr>
        <w:footnoteReference w:id="2078"/>
      </w:r>
      <w:r>
        <w:rPr>
          <w:rFonts w:ascii="Amiri" w:hAnsi="Amiri" w:eastAsia="Amiri" w:cs="Amiri"/>
          <w:color w:val="111111"/>
          <w:sz w:val="28"/>
          <w:sz w:val="28"/>
          <w:szCs w:val="28"/>
          <w:rtl w:val="true"/>
          <w:lang w:bidi="ar-SA"/>
        </w:rPr>
        <w:t xml:space="preserve">و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79"/>
      </w:r>
      <w:r>
        <w:rPr>
          <w:rFonts w:ascii="IRNazanin" w:hAnsi="IRNazanin" w:eastAsia="IRNazanin"/>
          <w:color w:val="111111"/>
          <w:sz w:val="28"/>
          <w:sz w:val="28"/>
          <w:szCs w:val="28"/>
          <w:rtl w:val="true"/>
          <w:lang w:bidi="fa-IR"/>
        </w:rPr>
        <w:t xml:space="preserve">اهميت فراوانى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و ترك آن را موجب وارد آمدن ضررهاى جسمانى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به زود صبحانه خوردن سفارش مى‌نمايد و آن را باعث باقى ماندن صحت جسم مى‌داند</w:t>
      </w:r>
      <w:r>
        <w:rPr>
          <w:rFonts w:eastAsia="IRNazanin" w:cs="IRNazanin"/>
          <w:color w:val="111111"/>
          <w:sz w:val="28"/>
          <w:szCs w:val="28"/>
          <w:rtl w:val="true"/>
          <w:lang w:bidi="fa-IR"/>
        </w:rPr>
        <w:t xml:space="preserve">. </w:t>
      </w:r>
      <w:r>
        <w:rPr>
          <w:rStyle w:val="FootnoteAnchor"/>
          <w:rtl w:val="true"/>
        </w:rPr>
        <w:footnoteReference w:id="2080"/>
      </w:r>
      <w:r>
        <w:rPr>
          <w:rFonts w:ascii="IRNazanin" w:hAnsi="IRNazanin" w:eastAsia="IRNazanin"/>
          <w:color w:val="111111"/>
          <w:sz w:val="28"/>
          <w:sz w:val="28"/>
          <w:szCs w:val="28"/>
          <w:rtl w:val="true"/>
          <w:lang w:bidi="fa-IR"/>
        </w:rPr>
        <w:t xml:space="preserve">در روايتى ديگر، هنگام شام انبيا را بعد از گذشت ثلث اول شب كه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مى‌داند </w:t>
      </w:r>
      <w:r>
        <w:rPr>
          <w:rStyle w:val="FootnoteAnchor"/>
          <w:rtl w:val="true"/>
        </w:rPr>
        <w:footnoteReference w:id="2081"/>
      </w:r>
      <w:r>
        <w:rPr>
          <w:rFonts w:ascii="IRNazanin" w:hAnsi="IRNazanin" w:eastAsia="IRNazanin"/>
          <w:color w:val="111111"/>
          <w:sz w:val="28"/>
          <w:sz w:val="28"/>
          <w:szCs w:val="28"/>
          <w:rtl w:val="true"/>
          <w:lang w:bidi="fa-IR"/>
        </w:rPr>
        <w:t>كه از آن سفارش به شام خوردن در اين زمان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جريان تاريخى در باره عمر كه گفته شده است دستور مى‌دهد براى تعيين مقدار رزق، سى نفر را دو وعده از قرار صبح و شام غذا بدهند تا مقدار خوراك هر فرد در ماه تعيين شود و حكومت آن را به مردم تحويل دهد </w:t>
      </w:r>
      <w:r>
        <w:rPr>
          <w:rStyle w:val="FootnoteAnchor"/>
          <w:rtl w:val="true"/>
        </w:rPr>
        <w:footnoteReference w:id="2082"/>
      </w:r>
      <w:r>
        <w:rPr>
          <w:rFonts w:ascii="Amiri" w:hAnsi="Amiri" w:eastAsia="Amiri" w:cs="Amiri"/>
          <w:color w:val="111111"/>
          <w:sz w:val="28"/>
          <w:sz w:val="28"/>
          <w:szCs w:val="28"/>
          <w:rtl w:val="true"/>
          <w:lang w:bidi="ar-SA"/>
        </w:rPr>
        <w:t>، نيز مى‌توان شاهدى بر تأييد اين مطلب دانست</w:t>
      </w:r>
      <w:r>
        <w:rPr>
          <w:rFonts w:eastAsia="Amiri" w:cs="Amiri" w:ascii="Amiri" w:hAnsi="Amiri"/>
          <w:color w:val="111111"/>
          <w:sz w:val="28"/>
          <w:szCs w:val="28"/>
          <w:rtl w:val="true"/>
          <w:lang w:bidi="ar-SA"/>
        </w:rPr>
        <w:t>.</w:t>
      </w:r>
    </w:p>
    <w:p>
      <w:pPr>
        <w:pStyle w:val="Heading4"/>
        <w:numPr>
          <w:ilvl w:val="3"/>
          <w:numId w:val="1"/>
        </w:numPr>
        <w:rPr/>
      </w:pPr>
      <w:bookmarkStart w:id="2304" w:name="__RefHeading___Toc3586373_3650668749"/>
      <w:bookmarkStart w:id="2305" w:name="_Toc983"/>
      <w:bookmarkEnd w:id="2304"/>
      <w:r>
        <w:rPr>
          <w:rtl w:val="true"/>
        </w:rPr>
        <w:t>ج</w:t>
      </w:r>
      <w:r>
        <w:rPr>
          <w:rtl w:val="true"/>
        </w:rPr>
        <w:t xml:space="preserve">) </w:t>
      </w:r>
      <w:r>
        <w:rPr>
          <w:rtl w:val="true"/>
        </w:rPr>
        <w:t>انواع غذاها</w:t>
      </w:r>
      <w:bookmarkEnd w:id="2305"/>
    </w:p>
    <w:p>
      <w:pPr>
        <w:pStyle w:val="Heading5"/>
        <w:numPr>
          <w:ilvl w:val="4"/>
          <w:numId w:val="1"/>
        </w:numPr>
        <w:rPr/>
      </w:pPr>
      <w:bookmarkStart w:id="2306" w:name="__RefHeading___Toc3586375_3650668749"/>
      <w:bookmarkStart w:id="2307" w:name="_Toc984"/>
      <w:bookmarkEnd w:id="2306"/>
      <w:r>
        <w:rPr>
          <w:rtl w:val="true"/>
        </w:rPr>
        <w:t>اشاره</w:t>
      </w:r>
      <w:bookmarkEnd w:id="2307"/>
    </w:p>
    <w:p>
      <w:pPr>
        <w:pStyle w:val="BookText"/>
        <w:rPr/>
      </w:pPr>
      <w:r>
        <w:rPr>
          <w:rFonts w:ascii="IRNazanin" w:hAnsi="IRNazanin" w:eastAsia="IRNazanin"/>
          <w:color w:val="111111"/>
          <w:sz w:val="28"/>
          <w:sz w:val="28"/>
          <w:szCs w:val="28"/>
          <w:rtl w:val="true"/>
          <w:lang w:bidi="fa-IR"/>
        </w:rPr>
        <w:t xml:space="preserve">انواع غذاهايى كه در زمان مورد بحث و بلكه قبل از آن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استفاده مى‌شد، عبارت است از</w:t>
      </w:r>
      <w:r>
        <w:rPr>
          <w:rFonts w:eastAsia="IRNazanin" w:cs="IRNazanin"/>
          <w:color w:val="111111"/>
          <w:sz w:val="28"/>
          <w:szCs w:val="28"/>
          <w:rtl w:val="true"/>
          <w:lang w:bidi="fa-IR"/>
        </w:rPr>
        <w:t>:</w:t>
      </w:r>
    </w:p>
    <w:p>
      <w:pPr>
        <w:pStyle w:val="Heading5"/>
        <w:numPr>
          <w:ilvl w:val="4"/>
          <w:numId w:val="1"/>
        </w:numPr>
        <w:rPr/>
      </w:pPr>
      <w:bookmarkStart w:id="2308" w:name="__RefHeading___Toc3586377_3650668749"/>
      <w:bookmarkStart w:id="2309" w:name="_Toc985"/>
      <w:bookmarkEnd w:id="2308"/>
      <w:r>
        <w:rPr>
          <w:rtl w:val="true"/>
        </w:rPr>
        <w:t xml:space="preserve">يك </w:t>
      </w:r>
      <w:r>
        <w:rPr>
          <w:rtl w:val="true"/>
        </w:rPr>
        <w:t xml:space="preserve">- </w:t>
      </w:r>
      <w:r>
        <w:rPr>
          <w:rtl w:val="true"/>
        </w:rPr>
        <w:t>غذاهاى بدون اسم خاص</w:t>
      </w:r>
      <w:bookmarkEnd w:id="2309"/>
    </w:p>
    <w:p>
      <w:pPr>
        <w:pStyle w:val="Heading6"/>
        <w:numPr>
          <w:ilvl w:val="5"/>
          <w:numId w:val="1"/>
        </w:numPr>
        <w:rPr/>
      </w:pPr>
      <w:bookmarkStart w:id="2310" w:name="__RefHeading___Toc3586379_3650668749"/>
      <w:bookmarkStart w:id="2311" w:name="_Toc986"/>
      <w:bookmarkEnd w:id="2310"/>
      <w:r>
        <w:rPr>
          <w:rtl w:val="true"/>
        </w:rPr>
        <w:t>اشاره</w:t>
      </w:r>
      <w:bookmarkEnd w:id="2311"/>
    </w:p>
    <w:p>
      <w:pPr>
        <w:pStyle w:val="BookText"/>
        <w:rPr/>
      </w:pPr>
      <w:r>
        <w:rPr>
          <w:rFonts w:ascii="IRNazanin" w:hAnsi="IRNazanin" w:eastAsia="IRNazanin"/>
          <w:color w:val="111111"/>
          <w:sz w:val="28"/>
          <w:sz w:val="28"/>
          <w:szCs w:val="28"/>
          <w:rtl w:val="true"/>
          <w:lang w:bidi="fa-IR"/>
        </w:rPr>
        <w:t>منظور از اين غذاها، غذاهايى است كه به محتواى آنها بدون آنكه اسمى خاص براى آن عنوان كرده باشند،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غذاها كه عمدتاً از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شده عبارت است از</w:t>
      </w:r>
      <w:r>
        <w:rPr>
          <w:rFonts w:eastAsia="IRNazanin" w:cs="IRNazanin"/>
          <w:color w:val="111111"/>
          <w:sz w:val="28"/>
          <w:szCs w:val="28"/>
          <w:rtl w:val="true"/>
          <w:lang w:bidi="fa-IR"/>
        </w:rPr>
        <w:t>:</w:t>
      </w:r>
    </w:p>
    <w:p>
      <w:pPr>
        <w:pStyle w:val="Heading6"/>
        <w:numPr>
          <w:ilvl w:val="5"/>
          <w:numId w:val="1"/>
        </w:numPr>
        <w:rPr/>
      </w:pPr>
      <w:bookmarkStart w:id="2312" w:name="__RefHeading___Toc3586381_3650668749"/>
      <w:bookmarkStart w:id="2313" w:name="_Toc987"/>
      <w:bookmarkEnd w:id="2312"/>
      <w:r>
        <w:rPr>
          <w:rtl w:val="true"/>
        </w:rPr>
        <w:t xml:space="preserve">اول </w:t>
      </w:r>
      <w:r>
        <w:rPr>
          <w:rtl w:val="true"/>
        </w:rPr>
        <w:t xml:space="preserve">- </w:t>
      </w:r>
      <w:r>
        <w:rPr>
          <w:rtl w:val="true"/>
        </w:rPr>
        <w:t xml:space="preserve">غذاهاى پيامبر اكرم </w:t>
      </w:r>
      <w:r>
        <w:rPr>
          <w:rtl w:val="true"/>
        </w:rPr>
        <w:t>(</w:t>
      </w:r>
      <w:r>
        <w:rPr>
          <w:rtl w:val="true"/>
        </w:rPr>
        <w:t>صلى الله عليه و آله</w:t>
      </w:r>
      <w:r>
        <w:rPr>
          <w:rtl w:val="true"/>
        </w:rPr>
        <w:t>)</w:t>
      </w:r>
      <w:bookmarkEnd w:id="2313"/>
    </w:p>
    <w:p>
      <w:pPr>
        <w:pStyle w:val="Heading6"/>
        <w:numPr>
          <w:ilvl w:val="5"/>
          <w:numId w:val="1"/>
        </w:numPr>
        <w:rPr/>
      </w:pPr>
      <w:bookmarkStart w:id="2314" w:name="__RefHeading___Toc3586383_3650668749"/>
      <w:bookmarkStart w:id="2315" w:name="_Toc988"/>
      <w:bookmarkEnd w:id="2314"/>
      <w:r>
        <w:rPr>
          <w:rtl w:val="true"/>
        </w:rPr>
        <w:t>اشاره</w:t>
      </w:r>
      <w:bookmarkEnd w:id="2315"/>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غذاهايى كه طبق روايات مختلف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مختلف مصرف مى‌نمود يا آن حضرت به آن سفارش مى‌كرد، از قرار زير مى‌باشد</w:t>
      </w:r>
      <w:r>
        <w:rPr>
          <w:rFonts w:eastAsia="IRNazanin" w:cs="IRNazanin"/>
          <w:color w:val="111111"/>
          <w:sz w:val="28"/>
          <w:szCs w:val="28"/>
          <w:rtl w:val="true"/>
          <w:lang w:bidi="fa-IR"/>
        </w:rPr>
        <w:t>:</w:t>
      </w:r>
      <w:bookmarkStart w:id="2316" w:name="pg1964_20001"/>
    </w:p>
    <w:p>
      <w:pPr>
        <w:pStyle w:val="BookText"/>
        <w:rPr/>
      </w:pPr>
      <w:bookmarkEnd w:id="2316"/>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17" w:name="__RefHeading___Toc3586385_3650668749"/>
      <w:bookmarkStart w:id="2318" w:name="_Toc989"/>
      <w:bookmarkEnd w:id="2317"/>
      <w:r>
        <w:rPr>
          <w:rtl w:val="true"/>
        </w:rPr>
        <w:t>نان و گوشت</w:t>
      </w:r>
      <w:bookmarkEnd w:id="2318"/>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روايتى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نان و گوشت براى شما آوردند، ابتدا نان را بخوريد تا از گرسنگى‌تان كاسته شود و آن‌گاه گوشت را ميل كنيد</w:t>
      </w:r>
      <w:r>
        <w:rPr>
          <w:rFonts w:eastAsia="IRNazanin" w:cs="IRNazanin"/>
          <w:color w:val="111111"/>
          <w:sz w:val="28"/>
          <w:szCs w:val="28"/>
          <w:rtl w:val="true"/>
          <w:lang w:bidi="fa-IR"/>
        </w:rPr>
        <w:t xml:space="preserve">» . </w:t>
      </w:r>
      <w:r>
        <w:rPr>
          <w:rStyle w:val="FootnoteAnchor"/>
          <w:rtl w:val="true"/>
        </w:rPr>
        <w:footnoteReference w:id="2083"/>
      </w:r>
      <w:r>
        <w:rPr>
          <w:rFonts w:ascii="IRNazanin" w:hAnsi="IRNazanin" w:eastAsia="IRNazanin"/>
          <w:color w:val="111111"/>
          <w:sz w:val="28"/>
          <w:sz w:val="28"/>
          <w:szCs w:val="28"/>
          <w:rtl w:val="true"/>
          <w:lang w:bidi="fa-IR"/>
        </w:rPr>
        <w:t xml:space="preserve">همچنين در روايت ديگرى چنين آمده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گوشت پخته شده و آب پز را با نان ميل مى‌فرمود و گاهى گوشت را به صورت كباب با نان تناول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روايت، دوست داشتن كتف و ذراع گوسفند به آن حضرت نسبت داده شده است</w:t>
      </w:r>
      <w:r>
        <w:rPr>
          <w:rFonts w:eastAsia="IRNazanin" w:cs="IRNazanin"/>
          <w:color w:val="111111"/>
          <w:sz w:val="28"/>
          <w:szCs w:val="28"/>
          <w:rtl w:val="true"/>
          <w:lang w:bidi="fa-IR"/>
        </w:rPr>
        <w:t xml:space="preserve">. </w:t>
      </w:r>
      <w:r>
        <w:rPr>
          <w:rStyle w:val="FootnoteAnchor"/>
          <w:rtl w:val="true"/>
        </w:rPr>
        <w:footnoteReference w:id="2084"/>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19" w:name="__RefHeading___Toc3586387_3650668749"/>
      <w:bookmarkStart w:id="2320" w:name="_Toc990"/>
      <w:bookmarkEnd w:id="2319"/>
      <w:r>
        <w:rPr>
          <w:rtl w:val="true"/>
        </w:rPr>
        <w:t>گوشت مرغ و پرندگان</w:t>
      </w:r>
      <w:bookmarkEnd w:id="2320"/>
    </w:p>
    <w:p>
      <w:pPr>
        <w:pStyle w:val="BookText"/>
        <w:rPr/>
      </w:pPr>
      <w:r>
        <w:rPr>
          <w:rFonts w:ascii="IRNazanin" w:hAnsi="IRNazanin" w:eastAsia="IRNazanin"/>
          <w:color w:val="111111"/>
          <w:sz w:val="28"/>
          <w:sz w:val="28"/>
          <w:szCs w:val="28"/>
          <w:rtl w:val="true"/>
          <w:lang w:bidi="fa-IR"/>
        </w:rPr>
        <w:t xml:space="preserve">تناول گوشت مرغ و پرندگانى كه صيد مى‌شوند،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Style w:val="FootnoteAnchor"/>
          <w:rtl w:val="true"/>
        </w:rPr>
        <w:footnoteReference w:id="2085"/>
      </w:r>
      <w:r>
        <w:rPr>
          <w:rFonts w:ascii="IRNazanin" w:hAnsi="IRNazanin" w:eastAsia="IRNazanin"/>
          <w:color w:val="111111"/>
          <w:sz w:val="28"/>
          <w:sz w:val="28"/>
          <w:szCs w:val="28"/>
          <w:rtl w:val="true"/>
          <w:lang w:bidi="fa-IR"/>
        </w:rPr>
        <w:t>البته آن حضرت خود به صيد پرندگان نمى‌پرداخت، بلكه ديگران براى ايشان صيد مى‌كردند</w:t>
      </w:r>
      <w:r>
        <w:rPr>
          <w:rFonts w:eastAsia="IRNazanin" w:cs="IRNazanin"/>
          <w:color w:val="111111"/>
          <w:sz w:val="28"/>
          <w:szCs w:val="28"/>
          <w:rtl w:val="true"/>
          <w:lang w:bidi="fa-IR"/>
        </w:rPr>
        <w:t xml:space="preserve">. </w:t>
      </w:r>
      <w:r>
        <w:rPr>
          <w:rStyle w:val="FootnoteAnchor"/>
          <w:rtl w:val="true"/>
        </w:rPr>
        <w:footnoteReference w:id="2086"/>
      </w:r>
      <w:r>
        <w:rPr>
          <w:rFonts w:ascii="IRNazanin" w:hAnsi="IRNazanin" w:eastAsia="IRNazanin"/>
          <w:color w:val="111111"/>
          <w:sz w:val="28"/>
          <w:sz w:val="28"/>
          <w:szCs w:val="28"/>
          <w:rtl w:val="true"/>
          <w:lang w:bidi="fa-IR"/>
        </w:rPr>
        <w:t>در حديثى ديگر، خوردن گوشت مرغ براى كمتر شدن غيظ و عصبانيت توصيه شده است</w:t>
      </w:r>
      <w:r>
        <w:rPr>
          <w:rFonts w:eastAsia="IRNazanin" w:cs="IRNazanin"/>
          <w:color w:val="111111"/>
          <w:sz w:val="28"/>
          <w:szCs w:val="28"/>
          <w:rtl w:val="true"/>
          <w:lang w:bidi="fa-IR"/>
        </w:rPr>
        <w:t xml:space="preserve">. </w:t>
      </w:r>
      <w:r>
        <w:rPr>
          <w:rStyle w:val="FootnoteAnchor"/>
          <w:rtl w:val="true"/>
        </w:rPr>
        <w:footnoteReference w:id="2087"/>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21" w:name="__RefHeading___Toc3586389_3650668749"/>
      <w:bookmarkStart w:id="2322" w:name="_Toc991"/>
      <w:bookmarkEnd w:id="2321"/>
      <w:r>
        <w:rPr>
          <w:rtl w:val="true"/>
        </w:rPr>
        <w:t>نان و سركه</w:t>
      </w:r>
      <w:bookmarkEnd w:id="2322"/>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سركه را خورشى خوب معرفى كرده است</w:t>
      </w:r>
      <w:r>
        <w:rPr>
          <w:rFonts w:eastAsia="IRNazanin" w:cs="IRNazanin"/>
          <w:color w:val="111111"/>
          <w:sz w:val="28"/>
          <w:szCs w:val="28"/>
          <w:rtl w:val="true"/>
          <w:lang w:bidi="fa-IR"/>
        </w:rPr>
        <w:t xml:space="preserve">. </w:t>
      </w:r>
      <w:r>
        <w:rPr>
          <w:rStyle w:val="FootnoteAnchor"/>
          <w:rtl w:val="true"/>
        </w:rPr>
        <w:footnoteReference w:id="2088"/>
      </w:r>
      <w:r>
        <w:rPr>
          <w:rFonts w:ascii="Amiri" w:hAnsi="Amiri" w:eastAsia="Amiri" w:cs="Amiri"/>
          <w:color w:val="111111"/>
          <w:sz w:val="28"/>
          <w:sz w:val="28"/>
          <w:szCs w:val="28"/>
          <w:rtl w:val="true"/>
          <w:lang w:bidi="ar-SA"/>
        </w:rPr>
        <w:t xml:space="preserve">محتواى اين روايت از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است</w:t>
      </w:r>
      <w:r>
        <w:rPr>
          <w:rFonts w:eastAsia="Amiri" w:cs="Amiri" w:ascii="Amiri" w:hAnsi="Amiri"/>
          <w:color w:val="111111"/>
          <w:sz w:val="28"/>
          <w:szCs w:val="28"/>
          <w:rtl w:val="true"/>
          <w:lang w:bidi="ar-SA"/>
        </w:rPr>
        <w:t xml:space="preserve">. </w:t>
      </w:r>
      <w:r>
        <w:rPr>
          <w:rStyle w:val="FootnoteAnchor"/>
          <w:rtl w:val="true"/>
        </w:rPr>
        <w:footnoteReference w:id="2089"/>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23" w:name="__RefHeading___Toc3586391_3650668749"/>
      <w:bookmarkStart w:id="2324" w:name="_Toc992"/>
      <w:bookmarkEnd w:id="2323"/>
      <w:r>
        <w:rPr>
          <w:rtl w:val="true"/>
        </w:rPr>
        <w:t>نان و روغن زيتون</w:t>
      </w:r>
      <w:bookmarkEnd w:id="2324"/>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روغن زيتون نيز از سوى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خورشى خوب معرفى شده است</w:t>
      </w:r>
      <w:r>
        <w:rPr>
          <w:rFonts w:eastAsia="IRNazanin" w:cs="IRNazanin"/>
          <w:color w:val="111111"/>
          <w:sz w:val="28"/>
          <w:szCs w:val="28"/>
          <w:rtl w:val="true"/>
          <w:lang w:bidi="fa-IR"/>
        </w:rPr>
        <w:t xml:space="preserve">. </w:t>
      </w:r>
      <w:r>
        <w:rPr>
          <w:rStyle w:val="FootnoteAnchor"/>
          <w:rtl w:val="true"/>
        </w:rPr>
        <w:footnoteReference w:id="2090"/>
      </w:r>
      <w:bookmarkStart w:id="2325" w:name="pg1964_20002"/>
    </w:p>
    <w:p>
      <w:pPr>
        <w:pStyle w:val="BookText"/>
        <w:rPr/>
      </w:pPr>
      <w:bookmarkEnd w:id="2325"/>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26" w:name="__RefHeading___Toc3586393_3650668749"/>
      <w:bookmarkStart w:id="2327" w:name="_Toc993"/>
      <w:bookmarkEnd w:id="2326"/>
      <w:r>
        <w:rPr>
          <w:rtl w:val="true"/>
        </w:rPr>
        <w:t xml:space="preserve">كره </w:t>
      </w:r>
      <w:r>
        <w:rPr>
          <w:rtl w:val="true"/>
        </w:rPr>
        <w:t>(</w:t>
      </w:r>
      <w:r>
        <w:rPr>
          <w:rtl w:val="true"/>
        </w:rPr>
        <w:t>زَبَد</w:t>
      </w:r>
      <w:r>
        <w:rPr>
          <w:rtl w:val="true"/>
        </w:rPr>
        <w:t>)</w:t>
      </w:r>
      <w:bookmarkEnd w:id="2327"/>
    </w:p>
    <w:p>
      <w:pPr>
        <w:pStyle w:val="BookText"/>
        <w:rPr/>
      </w:pPr>
      <w:r>
        <w:rPr>
          <w:rFonts w:ascii="IRNazanin" w:hAnsi="IRNazanin" w:eastAsia="IRNazanin"/>
          <w:color w:val="111111"/>
          <w:sz w:val="28"/>
          <w:sz w:val="28"/>
          <w:szCs w:val="28"/>
          <w:rtl w:val="true"/>
          <w:lang w:bidi="fa-IR"/>
        </w:rPr>
        <w:t>خوردن كره همراه با شير و خرما به پيامبر گرامى اسلام نسبت داده شده است</w:t>
      </w:r>
      <w:r>
        <w:rPr>
          <w:rFonts w:eastAsia="IRNazanin" w:cs="IRNazanin"/>
          <w:color w:val="111111"/>
          <w:sz w:val="28"/>
          <w:szCs w:val="28"/>
          <w:rtl w:val="true"/>
          <w:lang w:bidi="fa-IR"/>
        </w:rPr>
        <w:t xml:space="preserve">. </w:t>
      </w:r>
      <w:r>
        <w:rPr>
          <w:rStyle w:val="FootnoteAnchor"/>
          <w:rtl w:val="true"/>
        </w:rPr>
        <w:footnoteReference w:id="2091"/>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28" w:name="__RefHeading___Toc3586395_3650668749"/>
      <w:bookmarkStart w:id="2329" w:name="_Toc994"/>
      <w:bookmarkEnd w:id="2328"/>
      <w:r>
        <w:rPr>
          <w:rtl w:val="true"/>
        </w:rPr>
        <w:t>برنج</w:t>
      </w:r>
      <w:bookmarkEnd w:id="2329"/>
    </w:p>
    <w:p>
      <w:pPr>
        <w:pStyle w:val="BookText"/>
        <w:rPr/>
      </w:pPr>
      <w:r>
        <w:rPr>
          <w:rFonts w:ascii="IRNazanin" w:hAnsi="IRNazanin" w:eastAsia="IRNazanin"/>
          <w:color w:val="111111"/>
          <w:sz w:val="28"/>
          <w:sz w:val="28"/>
          <w:szCs w:val="28"/>
          <w:rtl w:val="true"/>
          <w:lang w:bidi="fa-IR"/>
        </w:rPr>
        <w:t xml:space="preserve">گفته شده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گوشت، برنج را بهترين غذا معرفى كرده است</w:t>
      </w:r>
      <w:r>
        <w:rPr>
          <w:rFonts w:eastAsia="IRNazanin" w:cs="IRNazanin"/>
          <w:color w:val="111111"/>
          <w:sz w:val="28"/>
          <w:szCs w:val="28"/>
          <w:rtl w:val="true"/>
          <w:lang w:bidi="fa-IR"/>
        </w:rPr>
        <w:t xml:space="preserve">. </w:t>
      </w:r>
      <w:r>
        <w:rPr>
          <w:rStyle w:val="FootnoteAnchor"/>
          <w:rtl w:val="true"/>
        </w:rPr>
        <w:footnoteReference w:id="2092"/>
      </w:r>
    </w:p>
    <w:p>
      <w:pPr>
        <w:pStyle w:val="Heading6"/>
        <w:numPr>
          <w:ilvl w:val="5"/>
          <w:numId w:val="1"/>
        </w:numPr>
        <w:rPr/>
      </w:pPr>
      <w:bookmarkStart w:id="2330" w:name="__RefHeading___Toc3586397_3650668749"/>
      <w:bookmarkStart w:id="2331" w:name="_Toc995"/>
      <w:bookmarkEnd w:id="2330"/>
      <w:r>
        <w:rPr>
          <w:rtl w:val="true"/>
        </w:rPr>
        <w:t xml:space="preserve">دوم </w:t>
      </w:r>
      <w:r>
        <w:rPr>
          <w:rtl w:val="true"/>
        </w:rPr>
        <w:t xml:space="preserve">- </w:t>
      </w:r>
      <w:r>
        <w:rPr>
          <w:rtl w:val="true"/>
        </w:rPr>
        <w:t xml:space="preserve">غذاهاى حضرت على </w:t>
      </w:r>
      <w:r>
        <w:rPr>
          <w:rtl w:val="true"/>
        </w:rPr>
        <w:t>(</w:t>
      </w:r>
      <w:r>
        <w:rPr>
          <w:rtl w:val="true"/>
        </w:rPr>
        <w:t>عليه السلام</w:t>
      </w:r>
      <w:r>
        <w:rPr>
          <w:rtl w:val="true"/>
        </w:rPr>
        <w:t>)</w:t>
      </w:r>
      <w:bookmarkEnd w:id="2331"/>
    </w:p>
    <w:p>
      <w:pPr>
        <w:pStyle w:val="Heading6"/>
        <w:numPr>
          <w:ilvl w:val="5"/>
          <w:numId w:val="1"/>
        </w:numPr>
        <w:rPr/>
      </w:pPr>
      <w:bookmarkStart w:id="2332" w:name="__RefHeading___Toc3586399_3650668749"/>
      <w:bookmarkStart w:id="2333" w:name="_Toc996"/>
      <w:bookmarkEnd w:id="2332"/>
      <w:r>
        <w:rPr>
          <w:rtl w:val="true"/>
        </w:rPr>
        <w:t>اشاره</w:t>
      </w:r>
      <w:bookmarkEnd w:id="2333"/>
    </w:p>
    <w:p>
      <w:pPr>
        <w:pStyle w:val="BookText"/>
        <w:rPr/>
      </w:pPr>
      <w:r>
        <w:rPr>
          <w:rFonts w:ascii="IRNazanin" w:hAnsi="IRNazanin" w:eastAsia="IRNazanin"/>
          <w:color w:val="111111"/>
          <w:sz w:val="28"/>
          <w:sz w:val="28"/>
          <w:szCs w:val="28"/>
          <w:rtl w:val="true"/>
          <w:lang w:bidi="fa-IR"/>
        </w:rPr>
        <w:t>در اين قسمت از تكرار غذاهاى پيشين كه به وسيله پيامبر گرامى اسلام نيز مصرف مى‌شد، خوددارى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غذاها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34" w:name="__RefHeading___Toc3586401_3650668749"/>
      <w:bookmarkStart w:id="2335" w:name="_Toc997"/>
      <w:bookmarkEnd w:id="2334"/>
      <w:r>
        <w:rPr>
          <w:rtl w:val="true"/>
        </w:rPr>
        <w:t>نان و شير</w:t>
      </w:r>
      <w:bookmarkEnd w:id="2335"/>
    </w:p>
    <w:p>
      <w:pPr>
        <w:pStyle w:val="BookText"/>
        <w:rPr/>
      </w:pPr>
      <w:r>
        <w:rPr>
          <w:rFonts w:ascii="Amiri" w:hAnsi="Amiri" w:eastAsia="Amiri" w:cs="Amiri"/>
          <w:color w:val="111111"/>
          <w:sz w:val="28"/>
          <w:sz w:val="28"/>
          <w:szCs w:val="28"/>
          <w:rtl w:val="true"/>
          <w:lang w:bidi="ar-SA"/>
        </w:rPr>
        <w:t xml:space="preserve">از ام‌كلثوم دختر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در شب ضربت خوردن آن حضرت براى افطارش نان جو و شير و نمك نرم شده برد كه حضرت نمك و شير را دو خورش دانست</w:t>
      </w:r>
      <w:r>
        <w:rPr>
          <w:rFonts w:eastAsia="Amiri" w:cs="Amiri" w:ascii="Amiri" w:hAnsi="Amiri"/>
          <w:color w:val="111111"/>
          <w:sz w:val="28"/>
          <w:szCs w:val="28"/>
          <w:rtl w:val="true"/>
          <w:lang w:bidi="ar-SA"/>
        </w:rPr>
        <w:t xml:space="preserve">. </w:t>
      </w:r>
      <w:r>
        <w:rPr>
          <w:rStyle w:val="FootnoteAnchor"/>
          <w:rtl w:val="true"/>
        </w:rPr>
        <w:footnoteReference w:id="2093"/>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36" w:name="__RefHeading___Toc3586403_3650668749"/>
      <w:bookmarkStart w:id="2337" w:name="_Toc998"/>
      <w:bookmarkEnd w:id="2336"/>
      <w:r>
        <w:rPr>
          <w:rtl w:val="true"/>
        </w:rPr>
        <w:t>نان و خرما</w:t>
      </w:r>
      <w:bookmarkEnd w:id="2337"/>
    </w:p>
    <w:p>
      <w:pPr>
        <w:pStyle w:val="BookText"/>
        <w:rPr/>
      </w:pPr>
      <w:r>
        <w:rPr>
          <w:rFonts w:ascii="Amiri" w:hAnsi="Amiri" w:eastAsia="Amiri" w:cs="Amiri"/>
          <w:color w:val="111111"/>
          <w:sz w:val="28"/>
          <w:sz w:val="28"/>
          <w:szCs w:val="28"/>
          <w:rtl w:val="true"/>
          <w:lang w:bidi="ar-SA"/>
        </w:rPr>
        <w:t>تناول اين غذا به صورت مكرر به آن حضرت نسبت داده شده است</w:t>
      </w:r>
      <w:r>
        <w:rPr>
          <w:rFonts w:eastAsia="Amiri" w:cs="Amiri" w:ascii="Amiri" w:hAnsi="Amiri"/>
          <w:color w:val="111111"/>
          <w:sz w:val="28"/>
          <w:szCs w:val="28"/>
          <w:rtl w:val="true"/>
          <w:lang w:bidi="ar-SA"/>
        </w:rPr>
        <w:t xml:space="preserve">. </w:t>
      </w:r>
      <w:r>
        <w:rPr>
          <w:rStyle w:val="FootnoteAnchor"/>
          <w:rtl w:val="true"/>
        </w:rPr>
        <w:footnoteReference w:id="2094"/>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38" w:name="__RefHeading___Toc3586405_3650668749"/>
      <w:bookmarkStart w:id="2339" w:name="_Toc999"/>
      <w:bookmarkEnd w:id="2338"/>
      <w:r>
        <w:rPr>
          <w:rtl w:val="true"/>
        </w:rPr>
        <w:t>نان و انگور</w:t>
      </w:r>
      <w:bookmarkEnd w:id="2339"/>
    </w:p>
    <w:p>
      <w:pPr>
        <w:pStyle w:val="BookText"/>
        <w:rPr/>
      </w:pPr>
      <w:r>
        <w:rPr>
          <w:rFonts w:ascii="IRNazanin" w:hAnsi="IRNazanin" w:eastAsia="IRNazanin"/>
          <w:color w:val="111111"/>
          <w:sz w:val="28"/>
          <w:sz w:val="28"/>
          <w:szCs w:val="28"/>
          <w:rtl w:val="true"/>
          <w:lang w:bidi="fa-IR"/>
        </w:rPr>
        <w:t xml:space="preserve">نان و انگور </w:t>
      </w:r>
      <w:r>
        <w:rPr>
          <w:rStyle w:val="FootnoteAnchor"/>
          <w:rtl w:val="true"/>
        </w:rPr>
        <w:footnoteReference w:id="2095"/>
      </w:r>
    </w:p>
    <w:p>
      <w:pPr>
        <w:pStyle w:val="Heading6"/>
        <w:numPr>
          <w:ilvl w:val="5"/>
          <w:numId w:val="1"/>
        </w:numPr>
        <w:rPr/>
      </w:pPr>
      <w:bookmarkStart w:id="2340" w:name="__RefHeading___Toc3586407_3650668749"/>
      <w:bookmarkStart w:id="2341" w:name="_Toc1000"/>
      <w:bookmarkEnd w:id="2340"/>
      <w:r>
        <w:rPr>
          <w:rtl w:val="true"/>
        </w:rPr>
        <w:t>نان و خربزه يا كدو</w:t>
      </w:r>
      <w:bookmarkEnd w:id="2341"/>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روايات لغت بطيخ آمده </w:t>
      </w:r>
      <w:r>
        <w:rPr>
          <w:rStyle w:val="FootnoteAnchor"/>
          <w:rtl w:val="true"/>
        </w:rPr>
        <w:footnoteReference w:id="2096"/>
      </w:r>
      <w:r>
        <w:rPr>
          <w:rFonts w:ascii="Amiri" w:hAnsi="Amiri" w:eastAsia="Amiri" w:cs="Amiri"/>
          <w:color w:val="111111"/>
          <w:sz w:val="28"/>
          <w:sz w:val="28"/>
          <w:szCs w:val="28"/>
          <w:rtl w:val="true"/>
          <w:lang w:bidi="ar-SA"/>
        </w:rPr>
        <w:t>كه به معناى خربزه و كدو ترجمه شده است</w:t>
      </w:r>
      <w:r>
        <w:rPr>
          <w:rFonts w:eastAsia="Amiri" w:cs="Amiri" w:ascii="Amiri" w:hAnsi="Amiri"/>
          <w:color w:val="111111"/>
          <w:sz w:val="28"/>
          <w:szCs w:val="28"/>
          <w:rtl w:val="true"/>
          <w:lang w:bidi="ar-SA"/>
        </w:rPr>
        <w:t>.</w:t>
      </w:r>
      <w:bookmarkStart w:id="2342" w:name="pg1964_20003"/>
    </w:p>
    <w:p>
      <w:pPr>
        <w:pStyle w:val="BookText"/>
        <w:rPr/>
      </w:pPr>
      <w:bookmarkEnd w:id="2342"/>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43" w:name="__RefHeading___Toc3586409_3650668749"/>
      <w:bookmarkStart w:id="2344" w:name="_Toc1001"/>
      <w:bookmarkEnd w:id="2343"/>
      <w:r>
        <w:rPr>
          <w:rtl w:val="true"/>
        </w:rPr>
        <w:t>گوشت و ذرت</w:t>
      </w:r>
      <w:bookmarkEnd w:id="2344"/>
    </w:p>
    <w:p>
      <w:pPr>
        <w:pStyle w:val="BookText"/>
        <w:rPr/>
      </w:pPr>
      <w:r>
        <w:rPr>
          <w:rFonts w:ascii="Amiri" w:hAnsi="Amiri" w:eastAsia="Amiri" w:cs="Amiri"/>
          <w:color w:val="111111"/>
          <w:sz w:val="28"/>
          <w:sz w:val="28"/>
          <w:szCs w:val="28"/>
          <w:rtl w:val="true"/>
          <w:lang w:bidi="ar-SA"/>
        </w:rPr>
        <w:t>نكته‌اى كه در اينجا بايد به آن توجه داشت اين است كه به علت نزديكى كوفه به فرات، يكى از غذاهاى اصلى مردم اين شهر را ماهى تشكيل مى‌داد كه در فصل اول و دوم به وجود بازار ماهى در كوفه و نيز انواع ماهى اشاره‌اى داشتيم</w:t>
      </w:r>
      <w:r>
        <w:rPr>
          <w:rFonts w:eastAsia="Amiri" w:cs="Amiri" w:ascii="Amiri" w:hAnsi="Amiri"/>
          <w:color w:val="111111"/>
          <w:sz w:val="28"/>
          <w:szCs w:val="28"/>
          <w:rtl w:val="true"/>
          <w:lang w:bidi="ar-SA"/>
        </w:rPr>
        <w:t xml:space="preserve">. </w:t>
      </w:r>
      <w:r>
        <w:rPr>
          <w:rStyle w:val="FootnoteAnchor"/>
          <w:rtl w:val="true"/>
        </w:rPr>
        <w:footnoteReference w:id="2097"/>
      </w:r>
    </w:p>
    <w:p>
      <w:pPr>
        <w:pStyle w:val="Heading5"/>
        <w:numPr>
          <w:ilvl w:val="4"/>
          <w:numId w:val="1"/>
        </w:numPr>
        <w:rPr/>
      </w:pPr>
      <w:bookmarkStart w:id="2345" w:name="__RefHeading___Toc3586411_3650668749"/>
      <w:bookmarkStart w:id="2346" w:name="_Toc1002"/>
      <w:bookmarkEnd w:id="2345"/>
      <w:r>
        <w:rPr>
          <w:rtl w:val="true"/>
        </w:rPr>
        <w:t xml:space="preserve">دو </w:t>
      </w:r>
      <w:r>
        <w:rPr>
          <w:rtl w:val="true"/>
        </w:rPr>
        <w:t xml:space="preserve">- </w:t>
      </w:r>
      <w:r>
        <w:rPr>
          <w:rtl w:val="true"/>
        </w:rPr>
        <w:t>غذاهايى با اسم خاص</w:t>
      </w:r>
      <w:bookmarkEnd w:id="2346"/>
    </w:p>
    <w:p>
      <w:pPr>
        <w:pStyle w:val="Heading6"/>
        <w:numPr>
          <w:ilvl w:val="5"/>
          <w:numId w:val="1"/>
        </w:numPr>
        <w:rPr/>
      </w:pPr>
      <w:bookmarkStart w:id="2347" w:name="__RefHeading___Toc3586413_3650668749"/>
      <w:bookmarkStart w:id="2348" w:name="_Toc1003"/>
      <w:bookmarkEnd w:id="2347"/>
      <w:r>
        <w:rPr>
          <w:rtl w:val="true"/>
        </w:rPr>
        <w:t>اشاره</w:t>
      </w:r>
      <w:bookmarkEnd w:id="2348"/>
    </w:p>
    <w:p>
      <w:pPr>
        <w:pStyle w:val="BookText"/>
        <w:rPr/>
      </w:pPr>
      <w:r>
        <w:rPr>
          <w:rFonts w:ascii="Amiri" w:hAnsi="Amiri" w:eastAsia="Amiri" w:cs="Amiri"/>
          <w:color w:val="111111"/>
          <w:sz w:val="28"/>
          <w:sz w:val="28"/>
          <w:szCs w:val="28"/>
          <w:rtl w:val="true"/>
          <w:lang w:bidi="ar-SA"/>
        </w:rPr>
        <w:t>غذاهاى مختلفى كه در زمان مورد بحث اسم خاص داشت و از منابع روايى و تاريخى مى‌توان به آنها دست يافت، طبق ترتيب حروف الفبا عبارت است از</w:t>
      </w:r>
      <w:r>
        <w:rPr>
          <w:rFonts w:eastAsia="Amiri" w:cs="Amiri" w:ascii="Amiri" w:hAnsi="Amiri"/>
          <w:color w:val="111111"/>
          <w:sz w:val="28"/>
          <w:szCs w:val="28"/>
          <w:rtl w:val="true"/>
          <w:lang w:bidi="ar-SA"/>
        </w:rPr>
        <w:t>:</w:t>
      </w:r>
    </w:p>
    <w:p>
      <w:pPr>
        <w:pStyle w:val="Heading6"/>
        <w:numPr>
          <w:ilvl w:val="5"/>
          <w:numId w:val="1"/>
        </w:numPr>
        <w:rPr/>
      </w:pPr>
      <w:bookmarkStart w:id="2349" w:name="__RefHeading___Toc3586415_3650668749"/>
      <w:bookmarkStart w:id="2350" w:name="_Toc1004"/>
      <w:bookmarkEnd w:id="2349"/>
      <w:r>
        <w:rPr>
          <w:rtl w:val="true"/>
        </w:rPr>
        <w:t xml:space="preserve">اول </w:t>
      </w:r>
      <w:r>
        <w:rPr>
          <w:rtl w:val="true"/>
        </w:rPr>
        <w:t xml:space="preserve">- </w:t>
      </w:r>
      <w:r>
        <w:rPr>
          <w:rtl w:val="true"/>
        </w:rPr>
        <w:t xml:space="preserve">بَكالَه </w:t>
      </w:r>
      <w:r>
        <w:rPr>
          <w:rtl w:val="true"/>
        </w:rPr>
        <w:t>(</w:t>
      </w:r>
      <w:r>
        <w:rPr>
          <w:rtl w:val="true"/>
        </w:rPr>
        <w:t>بَكيله</w:t>
      </w:r>
      <w:r>
        <w:rPr>
          <w:rtl w:val="true"/>
        </w:rPr>
        <w:t>)</w:t>
      </w:r>
      <w:bookmarkEnd w:id="2350"/>
    </w:p>
    <w:p>
      <w:pPr>
        <w:pStyle w:val="BookText"/>
        <w:rPr/>
      </w:pPr>
      <w:r>
        <w:rPr>
          <w:rFonts w:ascii="IRNazanin" w:hAnsi="IRNazanin" w:eastAsia="IRNazanin"/>
          <w:color w:val="111111"/>
          <w:sz w:val="28"/>
          <w:sz w:val="28"/>
          <w:szCs w:val="28"/>
          <w:rtl w:val="true"/>
          <w:lang w:bidi="fa-IR"/>
        </w:rPr>
        <w:t xml:space="preserve">نام غذايى بود كه از تركيب سَويق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قاووت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خرما، روغن و مقدارى كمى شير فراهم مى‌آمد بدون آنكه پخته شود</w:t>
      </w:r>
      <w:r>
        <w:rPr>
          <w:rFonts w:eastAsia="IRNazanin" w:cs="IRNazanin"/>
          <w:color w:val="111111"/>
          <w:sz w:val="28"/>
          <w:szCs w:val="28"/>
          <w:rtl w:val="true"/>
          <w:lang w:bidi="fa-IR"/>
        </w:rPr>
        <w:t xml:space="preserve">. </w:t>
      </w:r>
      <w:r>
        <w:rPr>
          <w:rStyle w:val="FootnoteAnchor"/>
          <w:rtl w:val="true"/>
        </w:rPr>
        <w:footnoteReference w:id="2098"/>
      </w:r>
      <w:r>
        <w:rPr>
          <w:rFonts w:ascii="Amiri" w:hAnsi="Amiri" w:eastAsia="Amiri" w:cs="Amiri"/>
          <w:color w:val="111111"/>
          <w:sz w:val="28"/>
          <w:sz w:val="28"/>
          <w:szCs w:val="28"/>
          <w:rtl w:val="true"/>
          <w:lang w:bidi="ar-SA"/>
        </w:rPr>
        <w:t>اين غذا نزد اعراب قبل از اسلام نيز شناخته شده بود</w:t>
      </w:r>
      <w:r>
        <w:rPr>
          <w:rFonts w:eastAsia="Amiri" w:cs="Amiri" w:ascii="Amiri" w:hAnsi="Amiri"/>
          <w:color w:val="111111"/>
          <w:sz w:val="28"/>
          <w:szCs w:val="28"/>
          <w:rtl w:val="true"/>
          <w:lang w:bidi="ar-SA"/>
        </w:rPr>
        <w:t xml:space="preserve">. </w:t>
      </w:r>
      <w:r>
        <w:rPr>
          <w:rStyle w:val="FootnoteAnchor"/>
          <w:rtl w:val="true"/>
        </w:rPr>
        <w:footnoteReference w:id="2099"/>
      </w:r>
    </w:p>
    <w:p>
      <w:pPr>
        <w:pStyle w:val="Heading6"/>
        <w:numPr>
          <w:ilvl w:val="5"/>
          <w:numId w:val="1"/>
        </w:numPr>
        <w:rPr/>
      </w:pPr>
      <w:bookmarkStart w:id="2351" w:name="__RefHeading___Toc3586417_3650668749"/>
      <w:bookmarkStart w:id="2352" w:name="_Toc1005"/>
      <w:bookmarkEnd w:id="2351"/>
      <w:r>
        <w:rPr>
          <w:rtl w:val="true"/>
        </w:rPr>
        <w:t xml:space="preserve">دوم </w:t>
      </w:r>
      <w:r>
        <w:rPr>
          <w:rtl w:val="true"/>
        </w:rPr>
        <w:t xml:space="preserve">- </w:t>
      </w:r>
      <w:r>
        <w:rPr>
          <w:rtl w:val="true"/>
        </w:rPr>
        <w:t xml:space="preserve">تلبينَه </w:t>
      </w:r>
      <w:r>
        <w:rPr>
          <w:rtl w:val="true"/>
        </w:rPr>
        <w:t>(</w:t>
      </w:r>
      <w:r>
        <w:rPr>
          <w:rtl w:val="true"/>
        </w:rPr>
        <w:t>تَلبين</w:t>
      </w:r>
      <w:r>
        <w:rPr>
          <w:rtl w:val="true"/>
        </w:rPr>
        <w:t>)</w:t>
      </w:r>
      <w:bookmarkEnd w:id="2352"/>
    </w:p>
    <w:p>
      <w:pPr>
        <w:pStyle w:val="BookText"/>
        <w:rPr/>
      </w:pPr>
      <w:r>
        <w:rPr>
          <w:rFonts w:ascii="IRNazanin" w:hAnsi="IRNazanin" w:eastAsia="IRNazanin"/>
          <w:color w:val="111111"/>
          <w:sz w:val="28"/>
          <w:sz w:val="28"/>
          <w:szCs w:val="28"/>
          <w:rtl w:val="true"/>
          <w:lang w:bidi="fa-IR"/>
        </w:rPr>
        <w:t xml:space="preserve">غذايى بود كه از آرد با سبوس و عسل تهيه مى‌شد و به سبب شباهت آن به 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سفيدى و لطافت، به آن تلبين يا تلبينه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2100"/>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غذا را بسيار دوست داشت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بنا بود چيزى از مرگ جلوگيرى كند، همين غذا مى‌باشد</w:t>
      </w:r>
      <w:r>
        <w:rPr>
          <w:rFonts w:eastAsia="IRNazanin" w:cs="IRNazanin"/>
          <w:color w:val="111111"/>
          <w:sz w:val="28"/>
          <w:szCs w:val="28"/>
          <w:rtl w:val="true"/>
          <w:lang w:bidi="fa-IR"/>
        </w:rPr>
        <w:t xml:space="preserve">» . </w:t>
      </w:r>
      <w:r>
        <w:rPr>
          <w:rStyle w:val="FootnoteAnchor"/>
          <w:rtl w:val="true"/>
        </w:rPr>
        <w:footnoteReference w:id="2101"/>
      </w:r>
    </w:p>
    <w:p>
      <w:pPr>
        <w:pStyle w:val="Heading6"/>
        <w:numPr>
          <w:ilvl w:val="5"/>
          <w:numId w:val="1"/>
        </w:numPr>
        <w:rPr/>
      </w:pPr>
      <w:bookmarkStart w:id="2353" w:name="__RefHeading___Toc3586419_3650668749"/>
      <w:bookmarkStart w:id="2354" w:name="_Toc1006"/>
      <w:bookmarkEnd w:id="2353"/>
      <w:r>
        <w:rPr>
          <w:rtl w:val="true"/>
        </w:rPr>
        <w:t xml:space="preserve">سوم </w:t>
      </w:r>
      <w:r>
        <w:rPr>
          <w:rtl w:val="true"/>
        </w:rPr>
        <w:t xml:space="preserve">- </w:t>
      </w:r>
      <w:r>
        <w:rPr>
          <w:rtl w:val="true"/>
        </w:rPr>
        <w:t>ثَريد</w:t>
      </w:r>
      <w:bookmarkEnd w:id="2354"/>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نان را در آب غذا خرد مى‌كردند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2102"/>
      </w:r>
      <w:r>
        <w:rPr>
          <w:rFonts w:ascii="IRNazanin" w:hAnsi="IRNazanin" w:eastAsia="IRNazanin"/>
          <w:color w:val="111111"/>
          <w:sz w:val="28"/>
          <w:sz w:val="28"/>
          <w:szCs w:val="28"/>
          <w:rtl w:val="true"/>
          <w:lang w:bidi="fa-IR"/>
        </w:rPr>
        <w:t xml:space="preserve">و در فارسى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ثريد ممكن بود از مواد مختلفى، همچون گوشت، روغن</w:t>
      </w:r>
      <w:bookmarkStart w:id="2355" w:name="pg1964_20004"/>
    </w:p>
    <w:p>
      <w:pPr>
        <w:pStyle w:val="BookText"/>
        <w:rPr/>
      </w:pPr>
      <w:bookmarkEnd w:id="2355"/>
      <w:r>
        <w:rPr>
          <w:rFonts w:ascii="IRNazanin" w:hAnsi="IRNazanin" w:eastAsia="IRNazanin"/>
          <w:color w:val="111111"/>
          <w:sz w:val="28"/>
          <w:sz w:val="28"/>
          <w:szCs w:val="28"/>
          <w:rtl w:val="true"/>
          <w:lang w:bidi="fa-IR"/>
        </w:rPr>
        <w:t xml:space="preserve">زيتون، خرما و حبوبات تهيه شود و گاهى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مى‌گفتند</w:t>
      </w:r>
      <w:r>
        <w:rPr>
          <w:rFonts w:eastAsia="IRNazanin" w:cs="IRNazanin"/>
          <w:color w:val="111111"/>
          <w:sz w:val="28"/>
          <w:szCs w:val="28"/>
          <w:rtl w:val="true"/>
          <w:lang w:bidi="fa-IR"/>
        </w:rPr>
        <w:t xml:space="preserve">. </w:t>
      </w:r>
      <w:r>
        <w:rPr>
          <w:rStyle w:val="FootnoteAnchor"/>
          <w:rtl w:val="true"/>
        </w:rPr>
        <w:footnoteReference w:id="2103"/>
      </w:r>
      <w:r>
        <w:rPr>
          <w:rFonts w:ascii="IRNazanin" w:hAnsi="IRNazanin" w:eastAsia="IRNazanin"/>
          <w:color w:val="111111"/>
          <w:sz w:val="28"/>
          <w:sz w:val="28"/>
          <w:szCs w:val="28"/>
          <w:rtl w:val="true"/>
          <w:lang w:bidi="fa-IR"/>
        </w:rPr>
        <w:t xml:space="preserve">اين غذا از سوى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عرب معرفى شده است</w:t>
      </w:r>
      <w:r>
        <w:rPr>
          <w:rFonts w:eastAsia="IRNazanin" w:cs="IRNazanin"/>
          <w:color w:val="111111"/>
          <w:sz w:val="28"/>
          <w:szCs w:val="28"/>
          <w:rtl w:val="true"/>
          <w:lang w:bidi="fa-IR"/>
        </w:rPr>
        <w:t xml:space="preserve">. </w:t>
      </w:r>
      <w:r>
        <w:rPr>
          <w:rStyle w:val="FootnoteAnchor"/>
          <w:rtl w:val="true"/>
        </w:rPr>
        <w:footnoteReference w:id="2104"/>
      </w:r>
      <w:r>
        <w:rPr>
          <w:rFonts w:ascii="IRNazanin" w:hAnsi="IRNazanin" w:eastAsia="IRNazanin"/>
          <w:color w:val="111111"/>
          <w:sz w:val="28"/>
          <w:sz w:val="28"/>
          <w:szCs w:val="28"/>
          <w:rtl w:val="true"/>
          <w:lang w:bidi="fa-IR"/>
        </w:rPr>
        <w:t xml:space="preserve">شب عروسى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ثريد از مردم پذيرايى كردند</w:t>
      </w:r>
      <w:r>
        <w:rPr>
          <w:rFonts w:eastAsia="IRNazanin" w:cs="IRNazanin"/>
          <w:color w:val="111111"/>
          <w:sz w:val="28"/>
          <w:szCs w:val="28"/>
          <w:rtl w:val="true"/>
          <w:lang w:bidi="fa-IR"/>
        </w:rPr>
        <w:t xml:space="preserve">. </w:t>
      </w:r>
      <w:r>
        <w:rPr>
          <w:rStyle w:val="FootnoteAnchor"/>
          <w:rtl w:val="true"/>
        </w:rPr>
        <w:footnoteReference w:id="2105"/>
      </w:r>
      <w:r>
        <w:rPr>
          <w:rFonts w:ascii="Amiri" w:hAnsi="Amiri" w:eastAsia="Amiri" w:cs="Amiri"/>
          <w:color w:val="111111"/>
          <w:sz w:val="28"/>
          <w:sz w:val="28"/>
          <w:szCs w:val="28"/>
          <w:rtl w:val="true"/>
          <w:lang w:bidi="ar-SA"/>
        </w:rPr>
        <w:t xml:space="preserve">تناول ثريد تهيه شده از نان و خرما و روغن زيتون به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 شده است</w:t>
      </w:r>
      <w:r>
        <w:rPr>
          <w:rFonts w:eastAsia="Amiri" w:cs="Amiri" w:ascii="Amiri" w:hAnsi="Amiri"/>
          <w:color w:val="111111"/>
          <w:sz w:val="28"/>
          <w:szCs w:val="28"/>
          <w:rtl w:val="true"/>
          <w:lang w:bidi="ar-SA"/>
        </w:rPr>
        <w:t xml:space="preserve">. </w:t>
      </w:r>
      <w:r>
        <w:rPr>
          <w:rStyle w:val="FootnoteAnchor"/>
          <w:rtl w:val="true"/>
        </w:rPr>
        <w:footnoteReference w:id="2106"/>
      </w:r>
    </w:p>
    <w:p>
      <w:pPr>
        <w:pStyle w:val="Heading6"/>
        <w:numPr>
          <w:ilvl w:val="5"/>
          <w:numId w:val="1"/>
        </w:numPr>
        <w:rPr/>
      </w:pPr>
      <w:bookmarkStart w:id="2356" w:name="__RefHeading___Toc3586421_3650668749"/>
      <w:bookmarkStart w:id="2357" w:name="_Toc1007"/>
      <w:bookmarkEnd w:id="2356"/>
      <w:r>
        <w:rPr>
          <w:rtl w:val="true"/>
        </w:rPr>
        <w:t xml:space="preserve">چهارم </w:t>
      </w:r>
      <w:r>
        <w:rPr>
          <w:rtl w:val="true"/>
        </w:rPr>
        <w:t xml:space="preserve">- </w:t>
      </w:r>
      <w:r>
        <w:rPr>
          <w:rtl w:val="true"/>
        </w:rPr>
        <w:t>حريره</w:t>
      </w:r>
      <w:bookmarkEnd w:id="2357"/>
    </w:p>
    <w:p>
      <w:pPr>
        <w:pStyle w:val="BookText"/>
        <w:rPr/>
      </w:pPr>
      <w:r>
        <w:rPr>
          <w:rFonts w:ascii="Amiri" w:hAnsi="Amiri" w:eastAsia="Amiri" w:cs="Amiri"/>
          <w:color w:val="111111"/>
          <w:sz w:val="28"/>
          <w:sz w:val="28"/>
          <w:szCs w:val="28"/>
          <w:rtl w:val="true"/>
          <w:lang w:bidi="ar-SA"/>
        </w:rPr>
        <w:t>حريره غذايى بود كه از آرد و شير و روغن تهيه مى‌شد</w:t>
      </w:r>
      <w:r>
        <w:rPr>
          <w:rFonts w:eastAsia="Amiri" w:cs="Amiri" w:ascii="Amiri" w:hAnsi="Amiri"/>
          <w:color w:val="111111"/>
          <w:sz w:val="28"/>
          <w:szCs w:val="28"/>
          <w:rtl w:val="true"/>
          <w:lang w:bidi="ar-SA"/>
        </w:rPr>
        <w:t xml:space="preserve">. </w:t>
      </w:r>
      <w:r>
        <w:rPr>
          <w:rStyle w:val="FootnoteAnchor"/>
          <w:rtl w:val="true"/>
        </w:rPr>
        <w:footnoteReference w:id="2107"/>
      </w:r>
      <w:r>
        <w:rPr>
          <w:rFonts w:ascii="IRNazanin" w:hAnsi="IRNazanin" w:eastAsia="IRNazanin"/>
          <w:color w:val="111111"/>
          <w:sz w:val="28"/>
          <w:sz w:val="28"/>
          <w:szCs w:val="28"/>
          <w:rtl w:val="true"/>
          <w:lang w:bidi="fa-IR"/>
        </w:rPr>
        <w:t xml:space="preserve">اين غذا در زمان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بود</w:t>
      </w:r>
      <w:r>
        <w:rPr>
          <w:rFonts w:eastAsia="IRNazanin" w:cs="IRNazanin"/>
          <w:color w:val="111111"/>
          <w:sz w:val="28"/>
          <w:szCs w:val="28"/>
          <w:rtl w:val="true"/>
          <w:lang w:bidi="fa-IR"/>
        </w:rPr>
        <w:t xml:space="preserve">. </w:t>
      </w:r>
      <w:r>
        <w:rPr>
          <w:rStyle w:val="FootnoteAnchor"/>
          <w:rtl w:val="true"/>
        </w:rPr>
        <w:footnoteReference w:id="2108"/>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حديث كساء با اين غذا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پذيرايى كرد</w:t>
      </w:r>
      <w:r>
        <w:rPr>
          <w:rFonts w:eastAsia="IRNazanin" w:cs="IRNazanin"/>
          <w:color w:val="111111"/>
          <w:sz w:val="28"/>
          <w:szCs w:val="28"/>
          <w:rtl w:val="true"/>
          <w:lang w:bidi="fa-IR"/>
        </w:rPr>
        <w:t xml:space="preserve">. </w:t>
      </w:r>
      <w:r>
        <w:rPr>
          <w:rStyle w:val="FootnoteAnchor"/>
          <w:rtl w:val="true"/>
        </w:rPr>
        <w:footnoteReference w:id="2109"/>
      </w:r>
      <w:r>
        <w:rPr>
          <w:rFonts w:ascii="IRNazanin" w:hAnsi="IRNazanin" w:eastAsia="IRNazanin"/>
          <w:color w:val="111111"/>
          <w:sz w:val="28"/>
          <w:sz w:val="28"/>
          <w:szCs w:val="28"/>
          <w:rtl w:val="true"/>
          <w:lang w:bidi="fa-IR"/>
        </w:rPr>
        <w:t xml:space="preserve">همچنين حضرت‌على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از بعضى از ميهمانان خود با اين غذا پذيرايى مى‌نمود</w:t>
      </w:r>
      <w:r>
        <w:rPr>
          <w:rFonts w:eastAsia="IRNazanin" w:cs="IRNazanin"/>
          <w:color w:val="111111"/>
          <w:sz w:val="28"/>
          <w:szCs w:val="28"/>
          <w:rtl w:val="true"/>
          <w:lang w:bidi="fa-IR"/>
        </w:rPr>
        <w:t xml:space="preserve">. </w:t>
      </w:r>
      <w:r>
        <w:rPr>
          <w:rStyle w:val="FootnoteAnchor"/>
          <w:rtl w:val="true"/>
        </w:rPr>
        <w:footnoteReference w:id="2110"/>
      </w:r>
    </w:p>
    <w:p>
      <w:pPr>
        <w:pStyle w:val="Heading6"/>
        <w:numPr>
          <w:ilvl w:val="5"/>
          <w:numId w:val="1"/>
        </w:numPr>
        <w:rPr/>
      </w:pPr>
      <w:bookmarkStart w:id="2358" w:name="__RefHeading___Toc3586423_3650668749"/>
      <w:bookmarkStart w:id="2359" w:name="_Toc1008"/>
      <w:bookmarkEnd w:id="2358"/>
      <w:r>
        <w:rPr>
          <w:rtl w:val="true"/>
        </w:rPr>
        <w:t xml:space="preserve">پنجم </w:t>
      </w:r>
      <w:r>
        <w:rPr>
          <w:rtl w:val="true"/>
        </w:rPr>
        <w:t xml:space="preserve">- </w:t>
      </w:r>
      <w:r>
        <w:rPr>
          <w:rtl w:val="true"/>
        </w:rPr>
        <w:t>حَساء</w:t>
      </w:r>
      <w:bookmarkEnd w:id="2359"/>
    </w:p>
    <w:p>
      <w:pPr>
        <w:pStyle w:val="BookText"/>
        <w:rPr/>
      </w:pPr>
      <w:r>
        <w:rPr>
          <w:rFonts w:ascii="IRNazanin" w:hAnsi="IRNazanin" w:eastAsia="IRNazanin"/>
          <w:color w:val="111111"/>
          <w:sz w:val="28"/>
          <w:sz w:val="28"/>
          <w:szCs w:val="28"/>
          <w:rtl w:val="true"/>
          <w:lang w:bidi="fa-IR"/>
        </w:rPr>
        <w:t>غذايى بود كه از آرد و آب و روغن به صورت پخته تهيه مى‌شد و رقيق بود و حالتى مانند شوربا داشت</w:t>
      </w:r>
      <w:r>
        <w:rPr>
          <w:rFonts w:eastAsia="IRNazanin" w:cs="IRNazanin"/>
          <w:color w:val="111111"/>
          <w:sz w:val="28"/>
          <w:szCs w:val="28"/>
          <w:rtl w:val="true"/>
          <w:lang w:bidi="fa-IR"/>
        </w:rPr>
        <w:t xml:space="preserve">. </w:t>
      </w:r>
      <w:r>
        <w:rPr>
          <w:rStyle w:val="FootnoteAnchor"/>
          <w:rtl w:val="true"/>
        </w:rPr>
        <w:footnoteReference w:id="2111"/>
      </w:r>
    </w:p>
    <w:p>
      <w:pPr>
        <w:pStyle w:val="Heading6"/>
        <w:numPr>
          <w:ilvl w:val="5"/>
          <w:numId w:val="1"/>
        </w:numPr>
        <w:rPr/>
      </w:pPr>
      <w:bookmarkStart w:id="2360" w:name="__RefHeading___Toc3586425_3650668749"/>
      <w:bookmarkStart w:id="2361" w:name="_Toc1009"/>
      <w:bookmarkEnd w:id="2360"/>
      <w:r>
        <w:rPr>
          <w:rtl w:val="true"/>
        </w:rPr>
        <w:t xml:space="preserve">ششم </w:t>
      </w:r>
      <w:r>
        <w:rPr>
          <w:rtl w:val="true"/>
        </w:rPr>
        <w:t xml:space="preserve">- </w:t>
      </w:r>
      <w:r>
        <w:rPr>
          <w:rtl w:val="true"/>
        </w:rPr>
        <w:t>حَيْس</w:t>
      </w:r>
      <w:bookmarkEnd w:id="2361"/>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غذايى بود مركب از خرماى بَرْنى، كشك و روغن كه هر سه را با هم مخلوط كرده و به شدت مى‌كوبيدند تا هسته‌هاى خرما يكى‌يكى بيرون افتد، آن‌گاه آن را صاف و هموار كرده و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اوقات</w:t>
      </w:r>
      <w:bookmarkStart w:id="2362" w:name="pg1964_20005"/>
    </w:p>
    <w:p>
      <w:pPr>
        <w:pStyle w:val="BookText"/>
        <w:rPr/>
      </w:pPr>
      <w:bookmarkEnd w:id="2362"/>
      <w:r>
        <w:rPr>
          <w:rFonts w:ascii="Amiri" w:hAnsi="Amiri" w:eastAsia="Amiri" w:cs="Amiri"/>
          <w:color w:val="111111"/>
          <w:sz w:val="28"/>
          <w:sz w:val="28"/>
          <w:szCs w:val="28"/>
          <w:rtl w:val="true"/>
          <w:lang w:bidi="ar-SA"/>
        </w:rPr>
        <w:t xml:space="preserve">سويق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قاووت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با آن مخلوط مى‌نمودند</w:t>
      </w:r>
      <w:r>
        <w:rPr>
          <w:rFonts w:eastAsia="Amiri" w:cs="Amiri" w:ascii="Amiri" w:hAnsi="Amiri"/>
          <w:color w:val="111111"/>
          <w:sz w:val="28"/>
          <w:szCs w:val="28"/>
          <w:rtl w:val="true"/>
          <w:lang w:bidi="ar-SA"/>
        </w:rPr>
        <w:t xml:space="preserve">. </w:t>
      </w:r>
      <w:r>
        <w:rPr>
          <w:rStyle w:val="FootnoteAnchor"/>
          <w:rtl w:val="true"/>
        </w:rPr>
        <w:footnoteReference w:id="2112"/>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ازدواج با بعضى از زنان خود، اين غذا را به عنوان وليمه به مردم داد</w:t>
      </w:r>
      <w:r>
        <w:rPr>
          <w:rFonts w:eastAsia="IRNazanin" w:cs="IRNazanin"/>
          <w:color w:val="111111"/>
          <w:sz w:val="28"/>
          <w:szCs w:val="28"/>
          <w:rtl w:val="true"/>
          <w:lang w:bidi="fa-IR"/>
        </w:rPr>
        <w:t xml:space="preserve">. </w:t>
      </w:r>
      <w:r>
        <w:rPr>
          <w:rStyle w:val="FootnoteAnchor"/>
          <w:rtl w:val="true"/>
        </w:rPr>
        <w:footnoteReference w:id="2113"/>
      </w:r>
      <w:r>
        <w:rPr>
          <w:rFonts w:ascii="IRNazanin" w:hAnsi="IRNazanin" w:eastAsia="IRNazanin"/>
          <w:color w:val="111111"/>
          <w:sz w:val="28"/>
          <w:sz w:val="28"/>
          <w:szCs w:val="28"/>
          <w:rtl w:val="true"/>
          <w:lang w:bidi="fa-IR"/>
        </w:rPr>
        <w:t>همچنين خود آن حضرت بارها از اين غذا ميل مى‌فرمود</w:t>
      </w:r>
      <w:r>
        <w:rPr>
          <w:rFonts w:eastAsia="IRNazanin" w:cs="IRNazanin"/>
          <w:color w:val="111111"/>
          <w:sz w:val="28"/>
          <w:szCs w:val="28"/>
          <w:rtl w:val="true"/>
          <w:lang w:bidi="fa-IR"/>
        </w:rPr>
        <w:t xml:space="preserve">. </w:t>
      </w:r>
      <w:r>
        <w:rPr>
          <w:rStyle w:val="FootnoteAnchor"/>
          <w:rtl w:val="true"/>
        </w:rPr>
        <w:footnoteReference w:id="2114"/>
      </w:r>
      <w:r>
        <w:rPr>
          <w:rFonts w:ascii="Amiri" w:hAnsi="Amiri" w:eastAsia="Amiri" w:cs="Amiri"/>
          <w:color w:val="111111"/>
          <w:sz w:val="28"/>
          <w:sz w:val="28"/>
          <w:szCs w:val="28"/>
          <w:rtl w:val="true"/>
          <w:lang w:bidi="ar-SA"/>
        </w:rPr>
        <w:t xml:space="preserve">در باره وليمه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نام اين غذا ذكر شده است</w:t>
      </w:r>
      <w:r>
        <w:rPr>
          <w:rFonts w:eastAsia="Amiri" w:cs="Amiri" w:ascii="Amiri" w:hAnsi="Amiri"/>
          <w:color w:val="111111"/>
          <w:sz w:val="28"/>
          <w:szCs w:val="28"/>
          <w:rtl w:val="true"/>
          <w:lang w:bidi="ar-SA"/>
        </w:rPr>
        <w:t>.</w:t>
      </w:r>
    </w:p>
    <w:p>
      <w:pPr>
        <w:pStyle w:val="Heading6"/>
        <w:numPr>
          <w:ilvl w:val="5"/>
          <w:numId w:val="1"/>
        </w:numPr>
        <w:rPr/>
      </w:pPr>
      <w:bookmarkStart w:id="2363" w:name="__RefHeading___Toc3586427_3650668749"/>
      <w:bookmarkStart w:id="2364" w:name="_Toc1010"/>
      <w:bookmarkEnd w:id="2363"/>
      <w:r>
        <w:rPr>
          <w:rtl w:val="true"/>
        </w:rPr>
        <w:t xml:space="preserve">هفتم </w:t>
      </w:r>
      <w:r>
        <w:rPr>
          <w:rtl w:val="true"/>
        </w:rPr>
        <w:t xml:space="preserve">- </w:t>
      </w:r>
      <w:r>
        <w:rPr>
          <w:rtl w:val="true"/>
        </w:rPr>
        <w:t>رَبيكَه</w:t>
      </w:r>
      <w:bookmarkEnd w:id="2364"/>
    </w:p>
    <w:p>
      <w:pPr>
        <w:pStyle w:val="BookText"/>
        <w:rPr/>
      </w:pPr>
      <w:r>
        <w:rPr>
          <w:rFonts w:ascii="Amiri" w:hAnsi="Amiri" w:eastAsia="Amiri" w:cs="Amiri"/>
          <w:color w:val="111111"/>
          <w:sz w:val="28"/>
          <w:sz w:val="28"/>
          <w:szCs w:val="28"/>
          <w:rtl w:val="true"/>
          <w:lang w:bidi="ar-SA"/>
        </w:rPr>
        <w:t>در باره اين غذا نظرات مختلفى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آن را مخلوطى از كشك و خرما و روغن مى‌دانند كه رقيق‌تر از حيس تهيه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شيره سفت را نيز از تركيبات آن مى‌دانند</w:t>
      </w:r>
      <w:r>
        <w:rPr>
          <w:rFonts w:eastAsia="Amiri" w:cs="Amiri" w:ascii="Amiri" w:hAnsi="Amiri"/>
          <w:color w:val="111111"/>
          <w:sz w:val="28"/>
          <w:szCs w:val="28"/>
          <w:rtl w:val="true"/>
          <w:lang w:bidi="ar-SA"/>
        </w:rPr>
        <w:t xml:space="preserve">. </w:t>
      </w:r>
      <w:r>
        <w:rPr>
          <w:rStyle w:val="FootnoteAnchor"/>
          <w:rtl w:val="true"/>
        </w:rPr>
        <w:footnoteReference w:id="2115"/>
      </w:r>
      <w:r>
        <w:rPr>
          <w:rFonts w:ascii="IRNazanin" w:hAnsi="IRNazanin" w:eastAsia="IRNazanin"/>
          <w:color w:val="111111"/>
          <w:sz w:val="28"/>
          <w:sz w:val="28"/>
          <w:szCs w:val="28"/>
          <w:rtl w:val="true"/>
          <w:lang w:bidi="fa-IR"/>
        </w:rPr>
        <w:t>برخى آن را غذايى مى‌دانند كه پس از مخلوط شدن خرما و گندم پخته مى‌شد</w:t>
      </w:r>
      <w:r>
        <w:rPr>
          <w:rFonts w:eastAsia="IRNazanin" w:cs="IRNazanin"/>
          <w:color w:val="111111"/>
          <w:sz w:val="28"/>
          <w:szCs w:val="28"/>
          <w:rtl w:val="true"/>
          <w:lang w:bidi="fa-IR"/>
        </w:rPr>
        <w:t xml:space="preserve">. </w:t>
      </w:r>
      <w:r>
        <w:rPr>
          <w:rStyle w:val="FootnoteAnchor"/>
          <w:rtl w:val="true"/>
        </w:rPr>
        <w:footnoteReference w:id="2116"/>
      </w:r>
      <w:r>
        <w:rPr>
          <w:rFonts w:ascii="IRNazanin" w:hAnsi="IRNazanin" w:eastAsia="IRNazanin"/>
          <w:color w:val="111111"/>
          <w:sz w:val="28"/>
          <w:sz w:val="28"/>
          <w:szCs w:val="28"/>
          <w:rtl w:val="true"/>
          <w:lang w:bidi="fa-IR"/>
        </w:rPr>
        <w:t>و برخى گفته‌اند كه گاهى بر اين طعام به عمل آمده، آب مى‌ريختند و به عنوان نوشيدنى از آن استفاده مى‌كردند</w:t>
      </w:r>
      <w:r>
        <w:rPr>
          <w:rFonts w:eastAsia="IRNazanin" w:cs="IRNazanin"/>
          <w:color w:val="111111"/>
          <w:sz w:val="28"/>
          <w:szCs w:val="28"/>
          <w:rtl w:val="true"/>
          <w:lang w:bidi="fa-IR"/>
        </w:rPr>
        <w:t xml:space="preserve">. </w:t>
      </w:r>
      <w:r>
        <w:rPr>
          <w:rStyle w:val="FootnoteAnchor"/>
          <w:rtl w:val="true"/>
        </w:rPr>
        <w:footnoteReference w:id="2117"/>
      </w:r>
      <w:r>
        <w:rPr>
          <w:rFonts w:ascii="IRNazanin" w:hAnsi="IRNazanin" w:eastAsia="IRNazanin"/>
          <w:color w:val="111111"/>
          <w:sz w:val="28"/>
          <w:sz w:val="28"/>
          <w:szCs w:val="28"/>
          <w:rtl w:val="true"/>
          <w:lang w:bidi="fa-IR"/>
        </w:rPr>
        <w:t xml:space="preserve">ابوطالب در اشعار خود كه خطاب به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از اين غذا ياد كرده است</w:t>
      </w:r>
      <w:r>
        <w:rPr>
          <w:rFonts w:eastAsia="IRNazanin" w:cs="IRNazanin"/>
          <w:color w:val="111111"/>
          <w:sz w:val="28"/>
          <w:szCs w:val="28"/>
          <w:rtl w:val="true"/>
          <w:lang w:bidi="fa-IR"/>
        </w:rPr>
        <w:t xml:space="preserve">. </w:t>
      </w:r>
      <w:r>
        <w:rPr>
          <w:rStyle w:val="FootnoteAnchor"/>
          <w:rtl w:val="true"/>
        </w:rPr>
        <w:footnoteReference w:id="2118"/>
      </w:r>
    </w:p>
    <w:p>
      <w:pPr>
        <w:pStyle w:val="Heading6"/>
        <w:numPr>
          <w:ilvl w:val="5"/>
          <w:numId w:val="1"/>
        </w:numPr>
        <w:rPr/>
      </w:pPr>
      <w:bookmarkStart w:id="2365" w:name="__RefHeading___Toc3586429_3650668749"/>
      <w:bookmarkStart w:id="2366" w:name="_Toc1011"/>
      <w:bookmarkEnd w:id="2365"/>
      <w:r>
        <w:rPr>
          <w:rtl w:val="true"/>
        </w:rPr>
        <w:t xml:space="preserve">هشتم </w:t>
      </w:r>
      <w:r>
        <w:rPr>
          <w:rtl w:val="true"/>
        </w:rPr>
        <w:t xml:space="preserve">- </w:t>
      </w:r>
      <w:r>
        <w:rPr>
          <w:rtl w:val="true"/>
        </w:rPr>
        <w:t>رَغيده</w:t>
      </w:r>
      <w:bookmarkEnd w:id="2366"/>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تهيه اين غذا ابتدا شير را مى‌جوشانيدند، سپس روى آن آرد مى‌پاشيدند، آن‌گاه آن را به هم مى‌زدند و پس از آماده شدن با ليسيدن آن را مى‌خوردند</w:t>
      </w:r>
      <w:r>
        <w:rPr>
          <w:rFonts w:eastAsia="IRNazanin" w:cs="IRNazanin"/>
          <w:color w:val="111111"/>
          <w:sz w:val="28"/>
          <w:szCs w:val="28"/>
          <w:rtl w:val="true"/>
          <w:lang w:bidi="fa-IR"/>
        </w:rPr>
        <w:t xml:space="preserve">. </w:t>
      </w:r>
      <w:r>
        <w:rPr>
          <w:rStyle w:val="FootnoteAnchor"/>
          <w:rtl w:val="true"/>
        </w:rPr>
        <w:footnoteReference w:id="2119"/>
      </w:r>
      <w:r>
        <w:rPr>
          <w:rFonts w:ascii="Amiri" w:hAnsi="Amiri" w:eastAsia="Amiri" w:cs="Amiri"/>
          <w:color w:val="111111"/>
          <w:sz w:val="28"/>
          <w:sz w:val="28"/>
          <w:szCs w:val="28"/>
          <w:rtl w:val="true"/>
          <w:lang w:bidi="ar-SA"/>
        </w:rPr>
        <w:t>اين نوع غذا در جاهليت نيز معمول بود</w:t>
      </w:r>
      <w:r>
        <w:rPr>
          <w:rFonts w:eastAsia="Amiri" w:cs="Amiri" w:ascii="Amiri" w:hAnsi="Amiri"/>
          <w:color w:val="111111"/>
          <w:sz w:val="28"/>
          <w:szCs w:val="28"/>
          <w:rtl w:val="true"/>
          <w:lang w:bidi="ar-SA"/>
        </w:rPr>
        <w:t xml:space="preserve">. </w:t>
      </w:r>
      <w:r>
        <w:rPr>
          <w:rStyle w:val="FootnoteAnchor"/>
          <w:rtl w:val="true"/>
        </w:rPr>
        <w:footnoteReference w:id="2120"/>
      </w:r>
      <w:bookmarkStart w:id="2367" w:name="pg1964_20006"/>
    </w:p>
    <w:p>
      <w:pPr>
        <w:pStyle w:val="Heading6"/>
        <w:numPr>
          <w:ilvl w:val="5"/>
          <w:numId w:val="1"/>
        </w:numPr>
        <w:rPr/>
      </w:pPr>
      <w:bookmarkStart w:id="2368" w:name="__RefHeading___Toc3586431_3650668749"/>
      <w:bookmarkStart w:id="2369" w:name="_Toc1012"/>
      <w:bookmarkEnd w:id="2367"/>
      <w:bookmarkEnd w:id="2368"/>
      <w:r>
        <w:rPr>
          <w:rtl w:val="true"/>
        </w:rPr>
        <w:t xml:space="preserve">نهم </w:t>
      </w:r>
      <w:r>
        <w:rPr>
          <w:rtl w:val="true"/>
        </w:rPr>
        <w:t xml:space="preserve">- </w:t>
      </w:r>
      <w:r>
        <w:rPr>
          <w:rtl w:val="true"/>
        </w:rPr>
        <w:t>رَهيده</w:t>
      </w:r>
      <w:bookmarkEnd w:id="2369"/>
    </w:p>
    <w:p>
      <w:pPr>
        <w:pStyle w:val="BookText"/>
        <w:rPr/>
      </w:pPr>
      <w:r>
        <w:rPr>
          <w:rFonts w:ascii="IRNazanin" w:hAnsi="IRNazanin" w:eastAsia="IRNazanin"/>
          <w:color w:val="111111"/>
          <w:sz w:val="28"/>
          <w:sz w:val="28"/>
          <w:szCs w:val="28"/>
          <w:rtl w:val="true"/>
          <w:lang w:bidi="fa-IR"/>
        </w:rPr>
        <w:t>تهيه اين نوع غذا عكس رغيده بود؛ بدين ترتيب كه شير را روى آرد گندم مى‌ريختند كه طبعاً آرد آن بيشتر بود</w:t>
      </w:r>
      <w:r>
        <w:rPr>
          <w:rFonts w:eastAsia="IRNazanin" w:cs="IRNazanin"/>
          <w:color w:val="111111"/>
          <w:sz w:val="28"/>
          <w:szCs w:val="28"/>
          <w:rtl w:val="true"/>
          <w:lang w:bidi="fa-IR"/>
        </w:rPr>
        <w:t xml:space="preserve">. </w:t>
      </w:r>
      <w:r>
        <w:rPr>
          <w:rStyle w:val="FootnoteAnchor"/>
          <w:rtl w:val="true"/>
        </w:rPr>
        <w:footnoteReference w:id="2121"/>
      </w:r>
      <w:r>
        <w:rPr>
          <w:rFonts w:ascii="Amiri" w:hAnsi="Amiri" w:eastAsia="Amiri" w:cs="Amiri"/>
          <w:color w:val="111111"/>
          <w:sz w:val="28"/>
          <w:sz w:val="28"/>
          <w:szCs w:val="28"/>
          <w:rtl w:val="true"/>
          <w:lang w:bidi="ar-SA"/>
        </w:rPr>
        <w:t>از اين نوع غذا در جاهليت استفاده مى‌شد</w:t>
      </w:r>
      <w:r>
        <w:rPr>
          <w:rFonts w:eastAsia="Amiri" w:cs="Amiri" w:ascii="Amiri" w:hAnsi="Amiri"/>
          <w:color w:val="111111"/>
          <w:sz w:val="28"/>
          <w:szCs w:val="28"/>
          <w:rtl w:val="true"/>
          <w:lang w:bidi="ar-SA"/>
        </w:rPr>
        <w:t xml:space="preserve">. </w:t>
      </w:r>
      <w:r>
        <w:rPr>
          <w:rStyle w:val="FootnoteAnchor"/>
          <w:rtl w:val="true"/>
        </w:rPr>
        <w:footnoteReference w:id="2122"/>
      </w:r>
    </w:p>
    <w:p>
      <w:pPr>
        <w:pStyle w:val="Heading6"/>
        <w:numPr>
          <w:ilvl w:val="5"/>
          <w:numId w:val="1"/>
        </w:numPr>
        <w:rPr/>
      </w:pPr>
      <w:bookmarkStart w:id="2370" w:name="__RefHeading___Toc3586433_3650668749"/>
      <w:bookmarkStart w:id="2371" w:name="_Toc1013"/>
      <w:bookmarkEnd w:id="2370"/>
      <w:r>
        <w:rPr>
          <w:rtl w:val="true"/>
        </w:rPr>
        <w:t xml:space="preserve">دهم </w:t>
      </w:r>
      <w:r>
        <w:rPr>
          <w:rtl w:val="true"/>
        </w:rPr>
        <w:t xml:space="preserve">- </w:t>
      </w:r>
      <w:r>
        <w:rPr>
          <w:rtl w:val="true"/>
        </w:rPr>
        <w:t>سَخينَه</w:t>
      </w:r>
      <w:bookmarkEnd w:id="2371"/>
    </w:p>
    <w:p>
      <w:pPr>
        <w:pStyle w:val="BookText"/>
        <w:rPr/>
      </w:pPr>
      <w:r>
        <w:rPr>
          <w:rFonts w:ascii="Amiri" w:hAnsi="Amiri" w:eastAsia="Amiri" w:cs="Amiri"/>
          <w:color w:val="111111"/>
          <w:sz w:val="28"/>
          <w:sz w:val="28"/>
          <w:szCs w:val="28"/>
          <w:rtl w:val="true"/>
          <w:lang w:bidi="ar-SA"/>
        </w:rPr>
        <w:t>نوعى شورباى به عمل آمده از آرد و روغن يا آرد و خرما بود كه از حساء غليظتر و از عصيده، رقيق‌تر بود</w:t>
      </w:r>
      <w:r>
        <w:rPr>
          <w:rFonts w:eastAsia="Amiri" w:cs="Amiri" w:ascii="Amiri" w:hAnsi="Amiri"/>
          <w:color w:val="111111"/>
          <w:sz w:val="28"/>
          <w:szCs w:val="28"/>
          <w:rtl w:val="true"/>
          <w:lang w:bidi="ar-SA"/>
        </w:rPr>
        <w:t xml:space="preserve">. </w:t>
      </w:r>
      <w:r>
        <w:rPr>
          <w:rStyle w:val="FootnoteAnchor"/>
          <w:rtl w:val="true"/>
        </w:rPr>
        <w:footnoteReference w:id="2123"/>
      </w:r>
      <w:r>
        <w:rPr>
          <w:rFonts w:ascii="Amiri" w:hAnsi="Amiri" w:eastAsia="Amiri" w:cs="Amiri"/>
          <w:color w:val="111111"/>
          <w:sz w:val="28"/>
          <w:sz w:val="28"/>
          <w:szCs w:val="28"/>
          <w:rtl w:val="true"/>
          <w:lang w:bidi="ar-SA"/>
        </w:rPr>
        <w:t>از اين غذا در جاهليت نيز استفاده مى‌شد</w:t>
      </w:r>
      <w:r>
        <w:rPr>
          <w:rFonts w:eastAsia="Amiri" w:cs="Amiri" w:ascii="Amiri" w:hAnsi="Amiri"/>
          <w:color w:val="111111"/>
          <w:sz w:val="28"/>
          <w:szCs w:val="28"/>
          <w:rtl w:val="true"/>
          <w:lang w:bidi="ar-SA"/>
        </w:rPr>
        <w:t xml:space="preserve">. </w:t>
      </w:r>
      <w:r>
        <w:rPr>
          <w:rStyle w:val="FootnoteAnchor"/>
          <w:rtl w:val="true"/>
        </w:rPr>
        <w:footnoteReference w:id="2124"/>
      </w:r>
      <w:r>
        <w:rPr>
          <w:rFonts w:ascii="IRNazanin" w:hAnsi="IRNazanin" w:eastAsia="IRNazanin"/>
          <w:color w:val="111111"/>
          <w:sz w:val="28"/>
          <w:sz w:val="28"/>
          <w:szCs w:val="28"/>
          <w:rtl w:val="true"/>
          <w:lang w:bidi="fa-IR"/>
        </w:rPr>
        <w:t>در جنگ صفين نيز از اين غذا ياد شده است</w:t>
      </w:r>
      <w:r>
        <w:rPr>
          <w:rFonts w:eastAsia="IRNazanin" w:cs="IRNazanin"/>
          <w:color w:val="111111"/>
          <w:sz w:val="28"/>
          <w:szCs w:val="28"/>
          <w:rtl w:val="true"/>
          <w:lang w:bidi="fa-IR"/>
        </w:rPr>
        <w:t xml:space="preserve">. </w:t>
      </w:r>
      <w:r>
        <w:rPr>
          <w:rStyle w:val="FootnoteAnchor"/>
          <w:rtl w:val="true"/>
        </w:rPr>
        <w:footnoteReference w:id="2125"/>
      </w:r>
    </w:p>
    <w:p>
      <w:pPr>
        <w:pStyle w:val="Heading6"/>
        <w:numPr>
          <w:ilvl w:val="5"/>
          <w:numId w:val="1"/>
        </w:numPr>
        <w:rPr/>
      </w:pPr>
      <w:bookmarkStart w:id="2372" w:name="__RefHeading___Toc3586435_3650668749"/>
      <w:bookmarkStart w:id="2373" w:name="_Toc1014"/>
      <w:bookmarkEnd w:id="2372"/>
      <w:r>
        <w:rPr>
          <w:rtl w:val="true"/>
        </w:rPr>
        <w:t xml:space="preserve">يازدهم </w:t>
      </w:r>
      <w:r>
        <w:rPr>
          <w:rtl w:val="true"/>
        </w:rPr>
        <w:t xml:space="preserve">- </w:t>
      </w:r>
      <w:r>
        <w:rPr>
          <w:rtl w:val="true"/>
        </w:rPr>
        <w:t>سِكْبْاج</w:t>
      </w:r>
      <w:bookmarkEnd w:id="2373"/>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لغت از كلمه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سركه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آش است، گرفته شده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 سركه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غذا آشى بود كه از سركه، گوشت، بلغور گندم و ميوه خشك تهيه مى‌شد</w:t>
      </w:r>
      <w:r>
        <w:rPr>
          <w:rFonts w:eastAsia="IRNazanin" w:cs="IRNazanin"/>
          <w:color w:val="111111"/>
          <w:sz w:val="28"/>
          <w:szCs w:val="28"/>
          <w:rtl w:val="true"/>
          <w:lang w:bidi="fa-IR"/>
        </w:rPr>
        <w:t xml:space="preserve">. </w:t>
      </w:r>
      <w:r>
        <w:rPr>
          <w:rStyle w:val="FootnoteAnchor"/>
          <w:rtl w:val="true"/>
        </w:rPr>
        <w:footnoteReference w:id="2126"/>
      </w:r>
      <w:r>
        <w:rPr>
          <w:rFonts w:ascii="Amiri" w:hAnsi="Amiri" w:eastAsia="Amiri" w:cs="Amiri"/>
          <w:color w:val="111111"/>
          <w:sz w:val="28"/>
          <w:sz w:val="28"/>
          <w:szCs w:val="28"/>
          <w:rtl w:val="true"/>
          <w:lang w:bidi="ar-SA"/>
        </w:rPr>
        <w:t xml:space="preserve">در روايات اين غذا به عنوان غذاى محبوب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شده است كه احتمالاً ساده‌تر تهيه مى‌شد و شايد منحصر به همان سركه و آرد بود</w:t>
      </w:r>
      <w:r>
        <w:rPr>
          <w:rFonts w:eastAsia="Amiri" w:cs="Amiri" w:ascii="Amiri" w:hAnsi="Amiri"/>
          <w:color w:val="111111"/>
          <w:sz w:val="28"/>
          <w:szCs w:val="28"/>
          <w:rtl w:val="true"/>
          <w:lang w:bidi="ar-SA"/>
        </w:rPr>
        <w:t xml:space="preserve">. </w:t>
      </w:r>
      <w:r>
        <w:rPr>
          <w:rStyle w:val="FootnoteAnchor"/>
          <w:rtl w:val="true"/>
        </w:rPr>
        <w:footnoteReference w:id="2127"/>
      </w:r>
      <w:r>
        <w:rPr>
          <w:rFonts w:ascii="IRNazanin" w:hAnsi="IRNazanin" w:eastAsia="IRNazanin"/>
          <w:color w:val="111111"/>
          <w:sz w:val="28"/>
          <w:sz w:val="28"/>
          <w:szCs w:val="28"/>
          <w:rtl w:val="true"/>
          <w:lang w:bidi="fa-IR"/>
        </w:rPr>
        <w:t xml:space="preserve">در بعضى از نوشته‌ها اين غذا، غذايى اشرافى معرفى شده است كه در آن آبگوشت و تكّه‌هاى پخته گوشت كبك مى‌ريختند و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و سرور آبگوشت‌ها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مى‌كردند</w:t>
      </w:r>
      <w:r>
        <w:rPr>
          <w:rFonts w:eastAsia="IRNazanin" w:cs="IRNazanin"/>
          <w:color w:val="111111"/>
          <w:sz w:val="28"/>
          <w:szCs w:val="28"/>
          <w:rtl w:val="true"/>
          <w:lang w:bidi="fa-IR"/>
        </w:rPr>
        <w:t xml:space="preserve">. </w:t>
      </w:r>
      <w:r>
        <w:rPr>
          <w:rStyle w:val="FootnoteAnchor"/>
          <w:rtl w:val="true"/>
        </w:rPr>
        <w:footnoteReference w:id="2128"/>
      </w:r>
      <w:bookmarkStart w:id="2374" w:name="pg1964_20007"/>
    </w:p>
    <w:p>
      <w:pPr>
        <w:pStyle w:val="Heading6"/>
        <w:numPr>
          <w:ilvl w:val="5"/>
          <w:numId w:val="1"/>
        </w:numPr>
        <w:rPr/>
      </w:pPr>
      <w:bookmarkStart w:id="2375" w:name="__RefHeading___Toc3586437_3650668749"/>
      <w:bookmarkStart w:id="2376" w:name="_Toc1015"/>
      <w:bookmarkEnd w:id="2374"/>
      <w:bookmarkEnd w:id="2375"/>
      <w:r>
        <w:rPr>
          <w:rtl w:val="true"/>
        </w:rPr>
        <w:t xml:space="preserve">دوازدهم </w:t>
      </w:r>
      <w:r>
        <w:rPr>
          <w:rtl w:val="true"/>
        </w:rPr>
        <w:t xml:space="preserve">- </w:t>
      </w:r>
      <w:r>
        <w:rPr>
          <w:rtl w:val="true"/>
        </w:rPr>
        <w:t>شِواء</w:t>
      </w:r>
      <w:bookmarkEnd w:id="2376"/>
    </w:p>
    <w:p>
      <w:pPr>
        <w:pStyle w:val="BookText"/>
        <w:rPr/>
      </w:pPr>
      <w:r>
        <w:rPr>
          <w:rFonts w:ascii="IRNazanin" w:hAnsi="IRNazanin" w:eastAsia="IRNazanin"/>
          <w:color w:val="111111"/>
          <w:sz w:val="28"/>
          <w:sz w:val="28"/>
          <w:szCs w:val="28"/>
          <w:rtl w:val="true"/>
          <w:lang w:bidi="fa-IR"/>
        </w:rPr>
        <w:t xml:space="preserve">شواء آن بود كه قطعه‌هاى گوشت را به وسيله آتش بريان كرده و مى‌خوردند و به اين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اين نوع غذا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Style w:val="FootnoteAnchor"/>
          <w:rtl w:val="true"/>
        </w:rPr>
        <w:footnoteReference w:id="2129"/>
      </w:r>
      <w:r>
        <w:rPr>
          <w:rFonts w:ascii="Amiri" w:hAnsi="Amiri" w:eastAsia="Amiri" w:cs="Amiri"/>
          <w:color w:val="111111"/>
          <w:sz w:val="28"/>
          <w:sz w:val="28"/>
          <w:szCs w:val="28"/>
          <w:rtl w:val="true"/>
          <w:lang w:bidi="ar-SA"/>
        </w:rPr>
        <w:t xml:space="preserve">و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30"/>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p>
    <w:p>
      <w:pPr>
        <w:pStyle w:val="Heading6"/>
        <w:numPr>
          <w:ilvl w:val="5"/>
          <w:numId w:val="1"/>
        </w:numPr>
        <w:rPr/>
      </w:pPr>
      <w:bookmarkStart w:id="2377" w:name="__RefHeading___Toc3586439_3650668749"/>
      <w:bookmarkStart w:id="2378" w:name="_Toc1016"/>
      <w:bookmarkEnd w:id="2377"/>
      <w:r>
        <w:rPr>
          <w:rtl w:val="true"/>
        </w:rPr>
        <w:t xml:space="preserve">سيزدهم </w:t>
      </w:r>
      <w:r>
        <w:rPr>
          <w:rtl w:val="true"/>
        </w:rPr>
        <w:t xml:space="preserve">- </w:t>
      </w:r>
      <w:r>
        <w:rPr>
          <w:rtl w:val="true"/>
        </w:rPr>
        <w:t>شُورباجَه</w:t>
      </w:r>
      <w:bookmarkEnd w:id="2378"/>
    </w:p>
    <w:p>
      <w:pPr>
        <w:pStyle w:val="BookText"/>
        <w:rPr/>
      </w:pPr>
      <w:r>
        <w:rPr>
          <w:rFonts w:ascii="IRNazanin" w:hAnsi="IRNazanin" w:eastAsia="IRNazanin"/>
          <w:color w:val="111111"/>
          <w:sz w:val="28"/>
          <w:sz w:val="28"/>
          <w:szCs w:val="28"/>
          <w:rtl w:val="true"/>
          <w:lang w:bidi="fa-IR"/>
        </w:rPr>
        <w:t>همان شورباى فارسى است كه معمولاً از برنج يا حبوبات و غلات ديگر و انواع سبزى پخته تهيه شود</w:t>
      </w:r>
      <w:r>
        <w:rPr>
          <w:rFonts w:eastAsia="IRNazanin" w:cs="IRNazanin"/>
          <w:color w:val="111111"/>
          <w:sz w:val="28"/>
          <w:szCs w:val="28"/>
          <w:rtl w:val="true"/>
          <w:lang w:bidi="fa-IR"/>
        </w:rPr>
        <w:t xml:space="preserve">. </w:t>
      </w:r>
      <w:r>
        <w:rPr>
          <w:rStyle w:val="FootnoteAnchor"/>
          <w:rtl w:val="true"/>
        </w:rPr>
        <w:footnoteReference w:id="2131"/>
      </w:r>
      <w:r>
        <w:rPr>
          <w:rFonts w:ascii="IRNazanin" w:hAnsi="IRNazanin" w:eastAsia="IRNazanin"/>
          <w:color w:val="111111"/>
          <w:sz w:val="28"/>
          <w:sz w:val="28"/>
          <w:szCs w:val="28"/>
          <w:rtl w:val="true"/>
          <w:lang w:bidi="fa-IR"/>
        </w:rPr>
        <w:t xml:space="preserve">در روايات چنين آمده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شورباجه با همين نام دوست داشت</w:t>
      </w:r>
      <w:r>
        <w:rPr>
          <w:rFonts w:eastAsia="IRNazanin" w:cs="IRNazanin"/>
          <w:color w:val="111111"/>
          <w:sz w:val="28"/>
          <w:szCs w:val="28"/>
          <w:rtl w:val="true"/>
          <w:lang w:bidi="fa-IR"/>
        </w:rPr>
        <w:t xml:space="preserve">. </w:t>
      </w:r>
      <w:r>
        <w:rPr>
          <w:rStyle w:val="FootnoteAnchor"/>
          <w:rtl w:val="true"/>
        </w:rPr>
        <w:footnoteReference w:id="2132"/>
      </w:r>
    </w:p>
    <w:p>
      <w:pPr>
        <w:pStyle w:val="Heading6"/>
        <w:numPr>
          <w:ilvl w:val="5"/>
          <w:numId w:val="1"/>
        </w:numPr>
        <w:rPr/>
      </w:pPr>
      <w:bookmarkStart w:id="2379" w:name="__RefHeading___Toc3586441_3650668749"/>
      <w:bookmarkStart w:id="2380" w:name="_Toc1017"/>
      <w:bookmarkEnd w:id="2379"/>
      <w:r>
        <w:rPr>
          <w:rtl w:val="true"/>
        </w:rPr>
        <w:t xml:space="preserve">چهاردهم </w:t>
      </w:r>
      <w:r>
        <w:rPr>
          <w:rtl w:val="true"/>
        </w:rPr>
        <w:t xml:space="preserve">- </w:t>
      </w:r>
      <w:r>
        <w:rPr>
          <w:rtl w:val="true"/>
        </w:rPr>
        <w:t xml:space="preserve">صَحْناء </w:t>
      </w:r>
      <w:r>
        <w:rPr>
          <w:rtl w:val="true"/>
        </w:rPr>
        <w:t>(</w:t>
      </w:r>
      <w:r>
        <w:rPr>
          <w:rtl w:val="true"/>
        </w:rPr>
        <w:t>صحناه</w:t>
      </w:r>
      <w:r>
        <w:rPr>
          <w:rtl w:val="true"/>
        </w:rPr>
        <w:t>)</w:t>
      </w:r>
      <w:bookmarkEnd w:id="2380"/>
    </w:p>
    <w:p>
      <w:pPr>
        <w:pStyle w:val="BookText"/>
        <w:rPr/>
      </w:pPr>
      <w:r>
        <w:rPr>
          <w:rFonts w:ascii="IRNazanin" w:hAnsi="IRNazanin" w:eastAsia="IRNazanin"/>
          <w:color w:val="111111"/>
          <w:sz w:val="28"/>
          <w:sz w:val="28"/>
          <w:szCs w:val="28"/>
          <w:rtl w:val="true"/>
          <w:lang w:bidi="fa-IR"/>
        </w:rPr>
        <w:t>هر دو كلمه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خورشى گفته مى‌شد كه از ماهى‌هاى كوچك به عمل مى‌آمد</w:t>
      </w:r>
      <w:r>
        <w:rPr>
          <w:rFonts w:eastAsia="IRNazanin" w:cs="IRNazanin"/>
          <w:color w:val="111111"/>
          <w:sz w:val="28"/>
          <w:szCs w:val="28"/>
          <w:rtl w:val="true"/>
          <w:lang w:bidi="fa-IR"/>
        </w:rPr>
        <w:t xml:space="preserve">. </w:t>
      </w:r>
      <w:r>
        <w:rPr>
          <w:rStyle w:val="FootnoteAnchor"/>
          <w:rtl w:val="true"/>
        </w:rPr>
        <w:footnoteReference w:id="2133"/>
      </w:r>
      <w:r>
        <w:rPr>
          <w:rFonts w:ascii="Amiri" w:hAnsi="Amiri" w:eastAsia="Amiri" w:cs="Amiri"/>
          <w:color w:val="111111"/>
          <w:sz w:val="28"/>
          <w:sz w:val="28"/>
          <w:szCs w:val="28"/>
          <w:rtl w:val="true"/>
          <w:lang w:bidi="ar-SA"/>
        </w:rPr>
        <w:t xml:space="preserve">و صحناه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 هم لغتى است فارسى، از ماهى نمك زده تهيه مى‌شد</w:t>
      </w:r>
      <w:r>
        <w:rPr>
          <w:rFonts w:eastAsia="Amiri" w:cs="Amiri" w:ascii="Amiri" w:hAnsi="Amiri"/>
          <w:color w:val="111111"/>
          <w:sz w:val="28"/>
          <w:szCs w:val="28"/>
          <w:rtl w:val="true"/>
          <w:lang w:bidi="ar-SA"/>
        </w:rPr>
        <w:t xml:space="preserve">. </w:t>
      </w:r>
      <w:r>
        <w:rPr>
          <w:rStyle w:val="FootnoteAnchor"/>
          <w:rtl w:val="true"/>
        </w:rPr>
        <w:footnoteReference w:id="2134"/>
      </w:r>
      <w:r>
        <w:rPr>
          <w:rFonts w:ascii="Amiri" w:hAnsi="Amiri" w:eastAsia="Amiri" w:cs="Amiri"/>
          <w:color w:val="111111"/>
          <w:sz w:val="28"/>
          <w:sz w:val="28"/>
          <w:szCs w:val="28"/>
          <w:rtl w:val="true"/>
          <w:lang w:bidi="ar-SA"/>
        </w:rPr>
        <w:t>از اين غذا در كوفه در دهه ششم هجرت ياد شده است</w:t>
      </w:r>
      <w:r>
        <w:rPr>
          <w:rFonts w:eastAsia="Amiri" w:cs="Amiri" w:ascii="Amiri" w:hAnsi="Amiri"/>
          <w:color w:val="111111"/>
          <w:sz w:val="28"/>
          <w:szCs w:val="28"/>
          <w:rtl w:val="true"/>
          <w:lang w:bidi="ar-SA"/>
        </w:rPr>
        <w:t xml:space="preserve">. </w:t>
      </w:r>
      <w:r>
        <w:rPr>
          <w:rStyle w:val="FootnoteAnchor"/>
          <w:rtl w:val="true"/>
        </w:rPr>
        <w:footnoteReference w:id="2135"/>
      </w:r>
    </w:p>
    <w:p>
      <w:pPr>
        <w:pStyle w:val="Heading6"/>
        <w:numPr>
          <w:ilvl w:val="5"/>
          <w:numId w:val="1"/>
        </w:numPr>
        <w:rPr/>
      </w:pPr>
      <w:bookmarkStart w:id="2381" w:name="__RefHeading___Toc3586443_3650668749"/>
      <w:bookmarkStart w:id="2382" w:name="_Toc1018"/>
      <w:bookmarkEnd w:id="2381"/>
      <w:r>
        <w:rPr>
          <w:rtl w:val="true"/>
        </w:rPr>
        <w:t xml:space="preserve">پانزدهم </w:t>
      </w:r>
      <w:r>
        <w:rPr>
          <w:rtl w:val="true"/>
        </w:rPr>
        <w:t xml:space="preserve">- </w:t>
      </w:r>
      <w:r>
        <w:rPr>
          <w:rtl w:val="true"/>
        </w:rPr>
        <w:t>طَفَيْشزل</w:t>
      </w:r>
      <w:bookmarkEnd w:id="2382"/>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نوعى شوربا بود كه يهوديان آن را تهيه مى‌كردند و براى مسلمانان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غذا در جنگ صفين ياد شده است</w:t>
      </w:r>
      <w:r>
        <w:rPr>
          <w:rFonts w:eastAsia="IRNazanin" w:cs="IRNazanin"/>
          <w:color w:val="111111"/>
          <w:sz w:val="28"/>
          <w:szCs w:val="28"/>
          <w:rtl w:val="true"/>
          <w:lang w:bidi="fa-IR"/>
        </w:rPr>
        <w:t xml:space="preserve">. </w:t>
      </w:r>
      <w:r>
        <w:rPr>
          <w:rStyle w:val="FootnoteAnchor"/>
          <w:rtl w:val="true"/>
        </w:rPr>
        <w:footnoteReference w:id="2136"/>
      </w:r>
      <w:bookmarkStart w:id="2383" w:name="pg1964_20008"/>
    </w:p>
    <w:p>
      <w:pPr>
        <w:pStyle w:val="Heading6"/>
        <w:numPr>
          <w:ilvl w:val="5"/>
          <w:numId w:val="1"/>
        </w:numPr>
        <w:rPr/>
      </w:pPr>
      <w:bookmarkStart w:id="2384" w:name="__RefHeading___Toc3586445_3650668749"/>
      <w:bookmarkStart w:id="2385" w:name="_Toc1019"/>
      <w:bookmarkEnd w:id="2383"/>
      <w:bookmarkEnd w:id="2384"/>
      <w:r>
        <w:rPr>
          <w:rtl w:val="true"/>
        </w:rPr>
        <w:t xml:space="preserve">شانزدهم </w:t>
      </w:r>
      <w:r>
        <w:rPr>
          <w:rtl w:val="true"/>
        </w:rPr>
        <w:t xml:space="preserve">- </w:t>
      </w:r>
      <w:r>
        <w:rPr>
          <w:rtl w:val="true"/>
        </w:rPr>
        <w:t>عَصيده</w:t>
      </w:r>
      <w:bookmarkEnd w:id="2385"/>
    </w:p>
    <w:p>
      <w:pPr>
        <w:pStyle w:val="BookText"/>
        <w:rPr/>
      </w:pPr>
      <w:r>
        <w:rPr>
          <w:rFonts w:ascii="IRNazanin" w:hAnsi="IRNazanin" w:eastAsia="IRNazanin"/>
          <w:color w:val="111111"/>
          <w:sz w:val="28"/>
          <w:sz w:val="28"/>
          <w:szCs w:val="28"/>
          <w:rtl w:val="true"/>
          <w:lang w:bidi="fa-IR"/>
        </w:rPr>
        <w:t>عصيده غذايى بود كه در آن آرد را با روغن مخلوط كرده و مى‌پختند</w:t>
      </w:r>
      <w:r>
        <w:rPr>
          <w:rFonts w:eastAsia="IRNazanin" w:cs="IRNazanin"/>
          <w:color w:val="111111"/>
          <w:sz w:val="28"/>
          <w:szCs w:val="28"/>
          <w:rtl w:val="true"/>
          <w:lang w:bidi="fa-IR"/>
        </w:rPr>
        <w:t xml:space="preserve">. </w:t>
      </w:r>
      <w:r>
        <w:rPr>
          <w:rStyle w:val="FootnoteAnchor"/>
          <w:rtl w:val="true"/>
        </w:rPr>
        <w:footnoteReference w:id="2137"/>
      </w:r>
      <w:r>
        <w:rPr>
          <w:rFonts w:ascii="IRNazanin" w:hAnsi="IRNazanin" w:eastAsia="IRNazanin"/>
          <w:color w:val="111111"/>
          <w:sz w:val="28"/>
          <w:sz w:val="28"/>
          <w:szCs w:val="28"/>
          <w:rtl w:val="true"/>
          <w:lang w:bidi="fa-IR"/>
        </w:rPr>
        <w:t xml:space="preserve">تناول اين غذا كه معمولاً از آرد جو تهيه مى‌شد،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Style w:val="FootnoteAnchor"/>
          <w:rtl w:val="true"/>
        </w:rPr>
        <w:footnoteReference w:id="2138"/>
      </w:r>
      <w:r>
        <w:rPr>
          <w:rFonts w:ascii="IRNazanin" w:hAnsi="IRNazanin" w:eastAsia="IRNazanin"/>
          <w:color w:val="111111"/>
          <w:sz w:val="28"/>
          <w:sz w:val="28"/>
          <w:szCs w:val="28"/>
          <w:rtl w:val="true"/>
          <w:lang w:bidi="fa-IR"/>
        </w:rPr>
        <w:t xml:space="preserve">همچنين در مواردى تهيه اين غذا به وسيله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آمده است، از جمله هنگام وقوع ماجراى اصحاب كساء و نزول آيه تطهير </w:t>
      </w:r>
      <w:r>
        <w:rPr>
          <w:rStyle w:val="FootnoteAnchor"/>
          <w:rtl w:val="true"/>
        </w:rPr>
        <w:footnoteReference w:id="2139"/>
      </w:r>
      <w:r>
        <w:rPr>
          <w:rFonts w:ascii="Amiri" w:hAnsi="Amiri" w:eastAsia="Amiri" w:cs="Amiri"/>
          <w:color w:val="111111"/>
          <w:sz w:val="28"/>
          <w:sz w:val="28"/>
          <w:szCs w:val="28"/>
          <w:rtl w:val="true"/>
          <w:lang w:bidi="ar-SA"/>
        </w:rPr>
        <w:t xml:space="preserve">و نيز در جريان نزول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اهل‌بيت</w:t>
      </w:r>
      <w:r>
        <w:rPr>
          <w:rFonts w:eastAsia="Amiri" w:cs="Amiri" w:ascii="Amiri" w:hAnsi="Amiri"/>
          <w:color w:val="111111"/>
          <w:sz w:val="28"/>
          <w:szCs w:val="28"/>
          <w:rtl w:val="true"/>
          <w:lang w:bidi="ar-SA"/>
        </w:rPr>
        <w:t xml:space="preserve">. </w:t>
      </w:r>
      <w:r>
        <w:rPr>
          <w:rStyle w:val="FootnoteAnchor"/>
          <w:rtl w:val="true"/>
        </w:rPr>
        <w:footnoteReference w:id="2140"/>
      </w:r>
    </w:p>
    <w:p>
      <w:pPr>
        <w:pStyle w:val="Heading6"/>
        <w:numPr>
          <w:ilvl w:val="5"/>
          <w:numId w:val="1"/>
        </w:numPr>
        <w:rPr/>
      </w:pPr>
      <w:bookmarkStart w:id="2386" w:name="__RefHeading___Toc3586447_3650668749"/>
      <w:bookmarkStart w:id="2387" w:name="_Toc1020"/>
      <w:bookmarkEnd w:id="2386"/>
      <w:r>
        <w:rPr>
          <w:rtl w:val="true"/>
        </w:rPr>
        <w:t xml:space="preserve">هفدهم </w:t>
      </w:r>
      <w:r>
        <w:rPr>
          <w:rtl w:val="true"/>
        </w:rPr>
        <w:t xml:space="preserve">- </w:t>
      </w:r>
      <w:r>
        <w:rPr>
          <w:rtl w:val="true"/>
        </w:rPr>
        <w:t>فَريقَه</w:t>
      </w:r>
      <w:bookmarkEnd w:id="2387"/>
    </w:p>
    <w:p>
      <w:pPr>
        <w:pStyle w:val="BookText"/>
        <w:rPr/>
      </w:pPr>
      <w:r>
        <w:rPr>
          <w:rFonts w:ascii="IRNazanin" w:hAnsi="IRNazanin" w:eastAsia="IRNazanin"/>
          <w:color w:val="111111"/>
          <w:sz w:val="28"/>
          <w:sz w:val="28"/>
          <w:szCs w:val="28"/>
          <w:rtl w:val="true"/>
          <w:lang w:bidi="fa-IR"/>
        </w:rPr>
        <w:t xml:space="preserve">غذايى بود مخلوط از گندم، خرما و شير كه براى زن تازه زاييده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مى‌كردند و از آن در احاديث ياد شده است</w:t>
      </w:r>
      <w:r>
        <w:rPr>
          <w:rFonts w:eastAsia="IRNazanin" w:cs="IRNazanin"/>
          <w:color w:val="111111"/>
          <w:sz w:val="28"/>
          <w:szCs w:val="28"/>
          <w:rtl w:val="true"/>
          <w:lang w:bidi="fa-IR"/>
        </w:rPr>
        <w:t xml:space="preserve">. </w:t>
      </w:r>
      <w:r>
        <w:rPr>
          <w:rStyle w:val="FootnoteAnchor"/>
          <w:rtl w:val="true"/>
        </w:rPr>
        <w:footnoteReference w:id="2141"/>
      </w:r>
    </w:p>
    <w:p>
      <w:pPr>
        <w:pStyle w:val="Heading6"/>
        <w:numPr>
          <w:ilvl w:val="5"/>
          <w:numId w:val="1"/>
        </w:numPr>
        <w:rPr/>
      </w:pPr>
      <w:bookmarkStart w:id="2388" w:name="__RefHeading___Toc3586449_3650668749"/>
      <w:bookmarkStart w:id="2389" w:name="_Toc1021"/>
      <w:bookmarkEnd w:id="2388"/>
      <w:r>
        <w:rPr>
          <w:rtl w:val="true"/>
        </w:rPr>
        <w:t xml:space="preserve">هجدهم </w:t>
      </w:r>
      <w:r>
        <w:rPr>
          <w:rtl w:val="true"/>
        </w:rPr>
        <w:t xml:space="preserve">- </w:t>
      </w:r>
      <w:r>
        <w:rPr>
          <w:rtl w:val="true"/>
        </w:rPr>
        <w:t>قَديد</w:t>
      </w:r>
      <w:bookmarkEnd w:id="2389"/>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نام غذايى به خصوص نيست، بلكه به تكه گوشت‌هايى گفته مى‌شد كه عرب‌ها براى جلوگيرى از فاسد شدنشان آنها را نمك سود كرده و به وسيله آفتاب خشك نموده و در مواقع احتياج از آن استفاده مى‌كردند</w:t>
      </w:r>
      <w:r>
        <w:rPr>
          <w:rFonts w:eastAsia="IRNazanin" w:cs="IRNazanin"/>
          <w:color w:val="111111"/>
          <w:sz w:val="28"/>
          <w:szCs w:val="28"/>
          <w:rtl w:val="true"/>
          <w:lang w:bidi="fa-IR"/>
        </w:rPr>
        <w:t xml:space="preserve">. </w:t>
      </w:r>
      <w:r>
        <w:rPr>
          <w:rStyle w:val="FootnoteAnchor"/>
          <w:rtl w:val="true"/>
        </w:rPr>
        <w:footnoteReference w:id="2142"/>
      </w:r>
      <w:r>
        <w:rPr>
          <w:rFonts w:ascii="IRNazanin" w:hAnsi="IRNazanin" w:eastAsia="IRNazanin"/>
          <w:color w:val="111111"/>
          <w:sz w:val="28"/>
          <w:sz w:val="28"/>
          <w:szCs w:val="28"/>
          <w:rtl w:val="true"/>
          <w:lang w:bidi="fa-IR"/>
        </w:rPr>
        <w:t xml:space="preserve">تناول اين نوع گوشت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Style w:val="FootnoteAnchor"/>
          <w:rtl w:val="true"/>
        </w:rPr>
        <w:footnoteReference w:id="2143"/>
      </w:r>
      <w:r>
        <w:rPr>
          <w:rFonts w:ascii="IRNazanin" w:hAnsi="IRNazanin" w:eastAsia="IRNazanin"/>
          <w:color w:val="111111"/>
          <w:sz w:val="28"/>
          <w:sz w:val="28"/>
          <w:szCs w:val="28"/>
          <w:rtl w:val="true"/>
          <w:lang w:bidi="fa-IR"/>
        </w:rPr>
        <w:t>نيز نقل شده است كه گاهى آن را تنها و گاهى با نان ميل فرمود</w:t>
      </w:r>
      <w:r>
        <w:rPr>
          <w:rFonts w:eastAsia="IRNazanin" w:cs="IRNazanin"/>
          <w:color w:val="111111"/>
          <w:sz w:val="28"/>
          <w:szCs w:val="28"/>
          <w:rtl w:val="true"/>
          <w:lang w:bidi="fa-IR"/>
        </w:rPr>
        <w:t xml:space="preserve">. </w:t>
      </w:r>
      <w:r>
        <w:rPr>
          <w:rStyle w:val="FootnoteAnchor"/>
          <w:rtl w:val="true"/>
        </w:rPr>
        <w:footnoteReference w:id="2144"/>
      </w:r>
      <w:bookmarkStart w:id="2390" w:name="pg1964_20009"/>
    </w:p>
    <w:p>
      <w:pPr>
        <w:pStyle w:val="Heading6"/>
        <w:numPr>
          <w:ilvl w:val="5"/>
          <w:numId w:val="1"/>
        </w:numPr>
        <w:rPr/>
      </w:pPr>
      <w:bookmarkStart w:id="2391" w:name="__RefHeading___Toc3586451_3650668749"/>
      <w:bookmarkStart w:id="2392" w:name="_Toc1022"/>
      <w:bookmarkEnd w:id="2390"/>
      <w:bookmarkEnd w:id="2391"/>
      <w:r>
        <w:rPr>
          <w:rtl w:val="true"/>
        </w:rPr>
        <w:t xml:space="preserve">نوزدهم </w:t>
      </w:r>
      <w:r>
        <w:rPr>
          <w:rtl w:val="true"/>
        </w:rPr>
        <w:t xml:space="preserve">- </w:t>
      </w:r>
      <w:r>
        <w:rPr>
          <w:rtl w:val="true"/>
        </w:rPr>
        <w:t>مَرَق</w:t>
      </w:r>
      <w:bookmarkEnd w:id="2392"/>
    </w:p>
    <w:p>
      <w:pPr>
        <w:pStyle w:val="BookText"/>
        <w:rPr/>
      </w:pP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145"/>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مى‌كند كه هرگاه غذايى پختى، مرق آن را زياد كن؛ زيرا آن خود نوعى گوشت است، و همسايه‌ها را پذيرايى كن كه اگر به گوشت آن نرسند، از آبگوشت نصيبى ببرند</w:t>
      </w:r>
      <w:r>
        <w:rPr>
          <w:rFonts w:eastAsia="IRNazanin" w:cs="IRNazanin"/>
          <w:color w:val="111111"/>
          <w:sz w:val="28"/>
          <w:szCs w:val="28"/>
          <w:rtl w:val="true"/>
          <w:lang w:bidi="fa-IR"/>
        </w:rPr>
        <w:t xml:space="preserve">. </w:t>
      </w:r>
      <w:r>
        <w:rPr>
          <w:rStyle w:val="FootnoteAnchor"/>
          <w:rtl w:val="true"/>
        </w:rPr>
        <w:footnoteReference w:id="2146"/>
      </w:r>
    </w:p>
    <w:p>
      <w:pPr>
        <w:pStyle w:val="Heading6"/>
        <w:numPr>
          <w:ilvl w:val="5"/>
          <w:numId w:val="1"/>
        </w:numPr>
        <w:rPr/>
      </w:pPr>
      <w:bookmarkStart w:id="2393" w:name="__RefHeading___Toc3586453_3650668749"/>
      <w:bookmarkStart w:id="2394" w:name="_Toc1023"/>
      <w:bookmarkEnd w:id="2393"/>
      <w:r>
        <w:rPr>
          <w:rtl w:val="true"/>
        </w:rPr>
        <w:t xml:space="preserve">بيستم </w:t>
      </w:r>
      <w:r>
        <w:rPr>
          <w:rtl w:val="true"/>
        </w:rPr>
        <w:t xml:space="preserve">- </w:t>
      </w:r>
      <w:r>
        <w:rPr>
          <w:rtl w:val="true"/>
        </w:rPr>
        <w:t>نارباجه</w:t>
      </w:r>
      <w:bookmarkEnd w:id="2394"/>
    </w:p>
    <w:p>
      <w:pPr>
        <w:pStyle w:val="BookText"/>
        <w:rPr/>
      </w:pPr>
      <w:r>
        <w:rPr>
          <w:rFonts w:ascii="IRNazanin" w:hAnsi="IRNazanin" w:eastAsia="IRNazanin"/>
          <w:color w:val="111111"/>
          <w:sz w:val="28"/>
          <w:sz w:val="28"/>
          <w:szCs w:val="28"/>
          <w:rtl w:val="true"/>
          <w:lang w:bidi="fa-IR"/>
        </w:rPr>
        <w:t xml:space="preserve">اين لغت از كلمه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معناى آش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معناى آش انار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اين غذا را با دانه‌هاى انار و كشمش تهيه مى‌كرد</w:t>
      </w:r>
      <w:r>
        <w:rPr>
          <w:rFonts w:eastAsia="IRNazanin" w:cs="IRNazanin"/>
          <w:color w:val="111111"/>
          <w:sz w:val="28"/>
          <w:szCs w:val="28"/>
          <w:rtl w:val="true"/>
          <w:lang w:bidi="fa-IR"/>
        </w:rPr>
        <w:t xml:space="preserve">. </w:t>
      </w:r>
      <w:r>
        <w:rPr>
          <w:rStyle w:val="FootnoteAnchor"/>
          <w:rtl w:val="true"/>
        </w:rPr>
        <w:footnoteReference w:id="2147"/>
      </w:r>
      <w:r>
        <w:rPr>
          <w:rFonts w:ascii="IRNazanin" w:hAnsi="IRNazanin" w:eastAsia="IRNazanin"/>
          <w:color w:val="111111"/>
          <w:sz w:val="28"/>
          <w:sz w:val="28"/>
          <w:szCs w:val="28"/>
          <w:rtl w:val="true"/>
          <w:lang w:bidi="fa-IR"/>
        </w:rPr>
        <w:t xml:space="preserve">اين غذا دوست‌داشتنى‌ترين غذا نزد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 xml:space="preserve">. </w:t>
      </w:r>
      <w:r>
        <w:rPr>
          <w:rStyle w:val="FootnoteAnchor"/>
          <w:rtl w:val="true"/>
        </w:rPr>
        <w:footnoteReference w:id="2148"/>
      </w:r>
    </w:p>
    <w:p>
      <w:pPr>
        <w:pStyle w:val="Heading6"/>
        <w:numPr>
          <w:ilvl w:val="5"/>
          <w:numId w:val="1"/>
        </w:numPr>
        <w:rPr/>
      </w:pPr>
      <w:bookmarkStart w:id="2395" w:name="__RefHeading___Toc3586455_3650668749"/>
      <w:bookmarkStart w:id="2396" w:name="_Toc1024"/>
      <w:bookmarkEnd w:id="2395"/>
      <w:r>
        <w:rPr>
          <w:rtl w:val="true"/>
        </w:rPr>
        <w:t xml:space="preserve">بيست و يكم </w:t>
      </w:r>
      <w:r>
        <w:rPr>
          <w:rtl w:val="true"/>
        </w:rPr>
        <w:t xml:space="preserve">- </w:t>
      </w:r>
      <w:r>
        <w:rPr>
          <w:rtl w:val="true"/>
        </w:rPr>
        <w:t>وَشيقَه</w:t>
      </w:r>
      <w:bookmarkEnd w:id="2396"/>
    </w:p>
    <w:p>
      <w:pPr>
        <w:pStyle w:val="BookText"/>
        <w:rPr/>
      </w:pPr>
      <w:r>
        <w:rPr>
          <w:rFonts w:ascii="IRNazanin" w:hAnsi="IRNazanin" w:eastAsia="IRNazanin"/>
          <w:color w:val="111111"/>
          <w:sz w:val="28"/>
          <w:sz w:val="28"/>
          <w:szCs w:val="28"/>
          <w:rtl w:val="true"/>
          <w:lang w:bidi="fa-IR"/>
        </w:rPr>
        <w:t>همانند قديد نام غذاى به خصوصى نيست، بلكه براى جلوگيرى از فاسد شدن گوشت، آن را روى آتش نيم‌پز كرده و براى سفرهاى خود نگه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نوع گوشت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ياد شده است</w:t>
      </w:r>
      <w:r>
        <w:rPr>
          <w:rFonts w:eastAsia="IRNazanin" w:cs="IRNazanin"/>
          <w:color w:val="111111"/>
          <w:sz w:val="28"/>
          <w:szCs w:val="28"/>
          <w:rtl w:val="true"/>
          <w:lang w:bidi="fa-IR"/>
        </w:rPr>
        <w:t xml:space="preserve">. </w:t>
      </w:r>
      <w:r>
        <w:rPr>
          <w:rStyle w:val="FootnoteAnchor"/>
          <w:rtl w:val="true"/>
        </w:rPr>
        <w:footnoteReference w:id="2149"/>
      </w:r>
    </w:p>
    <w:p>
      <w:pPr>
        <w:pStyle w:val="Heading6"/>
        <w:numPr>
          <w:ilvl w:val="5"/>
          <w:numId w:val="1"/>
        </w:numPr>
        <w:rPr/>
      </w:pPr>
      <w:bookmarkStart w:id="2397" w:name="__RefHeading___Toc3586457_3650668749"/>
      <w:bookmarkStart w:id="2398" w:name="_Toc1025"/>
      <w:bookmarkEnd w:id="2397"/>
      <w:r>
        <w:rPr>
          <w:rtl w:val="true"/>
        </w:rPr>
        <w:t xml:space="preserve">بيست و دوم </w:t>
      </w:r>
      <w:r>
        <w:rPr>
          <w:rtl w:val="true"/>
        </w:rPr>
        <w:t xml:space="preserve">- </w:t>
      </w:r>
      <w:r>
        <w:rPr>
          <w:rtl w:val="true"/>
        </w:rPr>
        <w:t>هَريسَه</w:t>
      </w:r>
      <w:bookmarkEnd w:id="2398"/>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غذايى بود كه از گوشت و گندم كوبيده شده در هاون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مى‌شد </w:t>
      </w:r>
      <w:r>
        <w:rPr>
          <w:rStyle w:val="FootnoteAnchor"/>
          <w:rtl w:val="true"/>
        </w:rPr>
        <w:footnoteReference w:id="2150"/>
      </w:r>
      <w:r>
        <w:rPr>
          <w:rFonts w:ascii="Amiri" w:hAnsi="Amiri" w:eastAsia="Amiri" w:cs="Amiri"/>
          <w:color w:val="111111"/>
          <w:sz w:val="28"/>
          <w:sz w:val="28"/>
          <w:szCs w:val="28"/>
          <w:rtl w:val="true"/>
          <w:lang w:bidi="ar-SA"/>
        </w:rPr>
        <w:t>، و اين همان حليم فارسى است</w:t>
      </w:r>
      <w:r>
        <w:rPr>
          <w:rFonts w:eastAsia="Amiri" w:cs="Amiri" w:ascii="Amiri" w:hAnsi="Amiri"/>
          <w:color w:val="111111"/>
          <w:sz w:val="28"/>
          <w:szCs w:val="28"/>
          <w:rtl w:val="true"/>
          <w:lang w:bidi="ar-SA"/>
        </w:rPr>
        <w:t xml:space="preserve">. </w:t>
      </w:r>
      <w:r>
        <w:rPr>
          <w:rStyle w:val="FootnoteAnchor"/>
          <w:rtl w:val="true"/>
        </w:rPr>
        <w:footnoteReference w:id="2151"/>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غذا بسيار ميل مى‌فرمود</w:t>
      </w:r>
      <w:r>
        <w:rPr>
          <w:rFonts w:eastAsia="IRNazanin" w:cs="IRNazanin"/>
          <w:color w:val="111111"/>
          <w:sz w:val="28"/>
          <w:szCs w:val="28"/>
          <w:rtl w:val="true"/>
          <w:lang w:bidi="fa-IR"/>
        </w:rPr>
        <w:t xml:space="preserve">. </w:t>
      </w:r>
      <w:r>
        <w:rPr>
          <w:rStyle w:val="FootnoteAnchor"/>
          <w:rtl w:val="true"/>
        </w:rPr>
        <w:footnoteReference w:id="2152"/>
      </w: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مردم را سفارش به خوردن آن مى‌كرد</w:t>
      </w:r>
      <w:r>
        <w:rPr>
          <w:rFonts w:eastAsia="Amiri" w:cs="Amiri" w:ascii="Amiri" w:hAnsi="Amiri"/>
          <w:color w:val="111111"/>
          <w:sz w:val="28"/>
          <w:szCs w:val="28"/>
          <w:rtl w:val="true"/>
          <w:lang w:bidi="ar-SA"/>
        </w:rPr>
        <w:t xml:space="preserve">. </w:t>
      </w:r>
      <w:r>
        <w:rPr>
          <w:rStyle w:val="FootnoteAnchor"/>
          <w:rtl w:val="true"/>
        </w:rPr>
        <w:footnoteReference w:id="2153"/>
      </w:r>
      <w:bookmarkStart w:id="2399" w:name="pg1964_20010"/>
    </w:p>
    <w:p>
      <w:pPr>
        <w:pStyle w:val="Heading4"/>
        <w:numPr>
          <w:ilvl w:val="3"/>
          <w:numId w:val="1"/>
        </w:numPr>
        <w:rPr/>
      </w:pPr>
      <w:bookmarkStart w:id="2400" w:name="__RefHeading___Toc3586459_3650668749"/>
      <w:bookmarkStart w:id="2401" w:name="_Toc1026"/>
      <w:bookmarkEnd w:id="2399"/>
      <w:bookmarkEnd w:id="2400"/>
      <w:r>
        <w:rPr>
          <w:rtl w:val="true"/>
        </w:rPr>
        <w:t>د</w:t>
      </w:r>
      <w:r>
        <w:rPr>
          <w:rtl w:val="true"/>
        </w:rPr>
        <w:t xml:space="preserve">) </w:t>
      </w:r>
      <w:r>
        <w:rPr>
          <w:rtl w:val="true"/>
        </w:rPr>
        <w:t xml:space="preserve">پيش غذا </w:t>
      </w:r>
      <w:r>
        <w:rPr>
          <w:rtl w:val="true"/>
        </w:rPr>
        <w:t>(</w:t>
      </w:r>
      <w:r>
        <w:rPr>
          <w:rtl w:val="true"/>
        </w:rPr>
        <w:t>دسر</w:t>
      </w:r>
      <w:r>
        <w:rPr>
          <w:rtl w:val="true"/>
        </w:rPr>
        <w:t>)</w:t>
      </w:r>
      <w:bookmarkEnd w:id="2401"/>
    </w:p>
    <w:p>
      <w:pPr>
        <w:pStyle w:val="BookText"/>
        <w:rPr/>
      </w:pPr>
      <w:r>
        <w:rPr>
          <w:rFonts w:ascii="IRNazanin" w:hAnsi="IRNazanin" w:eastAsia="IRNazanin"/>
          <w:color w:val="111111"/>
          <w:sz w:val="28"/>
          <w:sz w:val="28"/>
          <w:szCs w:val="28"/>
          <w:rtl w:val="true"/>
          <w:lang w:bidi="fa-IR"/>
        </w:rPr>
        <w:t xml:space="preserve">روايتى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در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بيشارِجات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انسان را بزرگ مى‌كند</w:t>
      </w:r>
      <w:r>
        <w:rPr>
          <w:rFonts w:eastAsia="IRNazanin" w:cs="IRNazanin"/>
          <w:color w:val="111111"/>
          <w:sz w:val="28"/>
          <w:szCs w:val="28"/>
          <w:rtl w:val="true"/>
          <w:lang w:bidi="fa-IR"/>
        </w:rPr>
        <w:t xml:space="preserve">. </w:t>
      </w:r>
      <w:r>
        <w:rPr>
          <w:rStyle w:val="FootnoteAnchor"/>
          <w:rtl w:val="true"/>
        </w:rPr>
        <w:footnoteReference w:id="2154"/>
      </w:r>
      <w:r>
        <w:rPr>
          <w:rFonts w:ascii="IRNazanin" w:hAnsi="IRNazanin" w:eastAsia="IRNazanin"/>
          <w:color w:val="111111"/>
          <w:sz w:val="28"/>
          <w:sz w:val="28"/>
          <w:szCs w:val="28"/>
          <w:rtl w:val="true"/>
          <w:lang w:bidi="fa-IR"/>
        </w:rPr>
        <w:t xml:space="preserve">در بيان معناى اين لغت چنين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بيشارجات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قيشارجات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جمع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خود دارد، همان لغت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عبارت بود از خوانچه و طبقى كه قبل از غذا براى ميهمان مى‌آوردند و در آن، انواع شيرينى‌ها و ديگر مواد اشتهاآور در كاسه‌هاى كوچكى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اين مورد به‌كار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عرب‌ها لغت الوان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مشتمل بودن اين پيش غذاها بر رنگ‌هاى مختلف، براى آن به‌كار بردند</w:t>
      </w:r>
      <w:r>
        <w:rPr>
          <w:rFonts w:eastAsia="IRNazanin" w:cs="IRNazanin"/>
          <w:color w:val="111111"/>
          <w:sz w:val="28"/>
          <w:szCs w:val="28"/>
          <w:rtl w:val="true"/>
          <w:lang w:bidi="fa-IR"/>
        </w:rPr>
        <w:t xml:space="preserve">. </w:t>
      </w:r>
      <w:r>
        <w:rPr>
          <w:rStyle w:val="FootnoteAnchor"/>
          <w:rtl w:val="true"/>
        </w:rPr>
        <w:footnoteReference w:id="2155"/>
      </w:r>
    </w:p>
    <w:p>
      <w:pPr>
        <w:pStyle w:val="Heading4"/>
        <w:numPr>
          <w:ilvl w:val="3"/>
          <w:numId w:val="1"/>
        </w:numPr>
        <w:rPr/>
      </w:pPr>
      <w:bookmarkStart w:id="2402" w:name="__RefHeading___Toc3586461_3650668749"/>
      <w:bookmarkStart w:id="2403" w:name="_Toc1027"/>
      <w:bookmarkEnd w:id="2402"/>
      <w:r>
        <w:rPr>
          <w:rtl w:val="true"/>
        </w:rPr>
        <w:t>ه</w:t>
      </w:r>
      <w:r>
        <w:rPr>
          <w:rtl w:val="true"/>
        </w:rPr>
        <w:t xml:space="preserve">) </w:t>
      </w:r>
      <w:r>
        <w:rPr>
          <w:rtl w:val="true"/>
        </w:rPr>
        <w:t>سبزيجات همراه غذا</w:t>
      </w:r>
      <w:bookmarkEnd w:id="2403"/>
    </w:p>
    <w:p>
      <w:pPr>
        <w:pStyle w:val="BookText"/>
        <w:rPr/>
      </w:pPr>
      <w:r>
        <w:rPr>
          <w:rFonts w:ascii="IRNazanin" w:hAnsi="IRNazanin" w:eastAsia="IRNazanin"/>
          <w:color w:val="111111"/>
          <w:sz w:val="28"/>
          <w:sz w:val="28"/>
          <w:szCs w:val="28"/>
          <w:rtl w:val="true"/>
          <w:lang w:bidi="fa-IR"/>
        </w:rPr>
        <w:t xml:space="preserve">خوردن سبزيجات همراه غذا در كوفه امرى معمول بود، چنان‌كه در روايتى آمده است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سر سفره خود، سبزيجات تناول مى‌كرد</w:t>
      </w:r>
      <w:r>
        <w:rPr>
          <w:rFonts w:eastAsia="IRNazanin" w:cs="IRNazanin"/>
          <w:color w:val="111111"/>
          <w:sz w:val="28"/>
          <w:szCs w:val="28"/>
          <w:rtl w:val="true"/>
          <w:lang w:bidi="fa-IR"/>
        </w:rPr>
        <w:t xml:space="preserve">. </w:t>
      </w:r>
      <w:r>
        <w:rPr>
          <w:rStyle w:val="FootnoteAnchor"/>
          <w:rtl w:val="true"/>
        </w:rPr>
        <w:footnoteReference w:id="2156"/>
      </w:r>
    </w:p>
    <w:p>
      <w:pPr>
        <w:pStyle w:val="Heading4"/>
        <w:numPr>
          <w:ilvl w:val="3"/>
          <w:numId w:val="1"/>
        </w:numPr>
        <w:rPr/>
      </w:pPr>
      <w:bookmarkStart w:id="2404" w:name="__RefHeading___Toc3586463_3650668749"/>
      <w:bookmarkStart w:id="2405" w:name="_Toc1028"/>
      <w:bookmarkEnd w:id="2404"/>
      <w:r>
        <w:rPr>
          <w:rtl w:val="true"/>
        </w:rPr>
        <w:t>و</w:t>
      </w:r>
      <w:r>
        <w:rPr>
          <w:rtl w:val="true"/>
        </w:rPr>
        <w:t xml:space="preserve">) </w:t>
      </w:r>
      <w:r>
        <w:rPr>
          <w:rtl w:val="true"/>
        </w:rPr>
        <w:t>سفره غذا</w:t>
      </w:r>
      <w:bookmarkEnd w:id="2405"/>
    </w:p>
    <w:p>
      <w:pPr>
        <w:pStyle w:val="Heading5"/>
        <w:numPr>
          <w:ilvl w:val="4"/>
          <w:numId w:val="1"/>
        </w:numPr>
        <w:rPr/>
      </w:pPr>
      <w:bookmarkStart w:id="2406" w:name="__RefHeading___Toc3586465_3650668749"/>
      <w:bookmarkStart w:id="2407" w:name="_Toc1029"/>
      <w:bookmarkEnd w:id="2406"/>
      <w:r>
        <w:rPr>
          <w:rtl w:val="true"/>
        </w:rPr>
        <w:t>اشاره</w:t>
      </w:r>
      <w:bookmarkEnd w:id="2407"/>
    </w:p>
    <w:p>
      <w:pPr>
        <w:pStyle w:val="BookText"/>
        <w:rPr/>
      </w:pPr>
      <w:r>
        <w:rPr>
          <w:rFonts w:ascii="IRNazanin" w:hAnsi="IRNazanin" w:eastAsia="IRNazanin"/>
          <w:color w:val="111111"/>
          <w:sz w:val="28"/>
          <w:sz w:val="28"/>
          <w:szCs w:val="28"/>
          <w:rtl w:val="true"/>
          <w:lang w:bidi="fa-IR"/>
        </w:rPr>
        <w:t>در باره سفره، يعنى ظرف يا پارچه‌اى كه غذا را روى آن مى‌خوردند، لغات زير به‌كار برده شده است</w:t>
      </w:r>
      <w:r>
        <w:rPr>
          <w:rFonts w:eastAsia="IRNazanin" w:cs="IRNazanin"/>
          <w:color w:val="111111"/>
          <w:sz w:val="28"/>
          <w:szCs w:val="28"/>
          <w:rtl w:val="true"/>
          <w:lang w:bidi="fa-IR"/>
        </w:rPr>
        <w:t>:</w:t>
      </w:r>
    </w:p>
    <w:p>
      <w:pPr>
        <w:pStyle w:val="Heading5"/>
        <w:numPr>
          <w:ilvl w:val="4"/>
          <w:numId w:val="1"/>
        </w:numPr>
        <w:rPr/>
      </w:pPr>
      <w:bookmarkStart w:id="2408" w:name="__RefHeading___Toc3586467_3650668749"/>
      <w:bookmarkStart w:id="2409" w:name="_Toc1030"/>
      <w:bookmarkEnd w:id="2408"/>
      <w:r>
        <w:rPr>
          <w:rtl w:val="true"/>
        </w:rPr>
        <w:t xml:space="preserve">يك </w:t>
      </w:r>
      <w:r>
        <w:rPr>
          <w:rtl w:val="true"/>
        </w:rPr>
        <w:t xml:space="preserve">- </w:t>
      </w:r>
      <w:r>
        <w:rPr>
          <w:rtl w:val="true"/>
        </w:rPr>
        <w:t>سُفْره</w:t>
      </w:r>
      <w:bookmarkEnd w:id="2409"/>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 در اصل به غذايى گفته مى‌شد كه مسافر آن را همراه خود براى صرف در سفر مى‌برد و آن را در پوستى دايره‌اى شكل قرار مى‌داد، آن‌گاه كم‌كم به جاى غذا به ظرف آن، يعنى همان پوست دايره‌اى شكل، سفره گفتند</w:t>
      </w:r>
      <w:r>
        <w:rPr>
          <w:rFonts w:eastAsia="IRNazanin" w:cs="IRNazanin"/>
          <w:color w:val="111111"/>
          <w:sz w:val="28"/>
          <w:szCs w:val="28"/>
          <w:rtl w:val="true"/>
          <w:lang w:bidi="fa-IR"/>
        </w:rPr>
        <w:t xml:space="preserve">. </w:t>
      </w:r>
      <w:r>
        <w:rPr>
          <w:rStyle w:val="FootnoteAnchor"/>
          <w:rtl w:val="true"/>
        </w:rPr>
        <w:footnoteReference w:id="2157"/>
      </w:r>
      <w:r>
        <w:rPr>
          <w:rFonts w:ascii="Amiri" w:hAnsi="Amiri" w:eastAsia="Amiri" w:cs="Amiri"/>
          <w:color w:val="111111"/>
          <w:sz w:val="28"/>
          <w:sz w:val="28"/>
          <w:szCs w:val="28"/>
          <w:rtl w:val="true"/>
          <w:lang w:bidi="ar-SA"/>
        </w:rPr>
        <w:t>در روايات ما نيز اين لغت براى ظرف غذا در سفر به‌كار رفته است</w:t>
      </w:r>
      <w:r>
        <w:rPr>
          <w:rFonts w:eastAsia="Amiri" w:cs="Amiri" w:ascii="Amiri" w:hAnsi="Amiri"/>
          <w:color w:val="111111"/>
          <w:sz w:val="28"/>
          <w:szCs w:val="28"/>
          <w:rtl w:val="true"/>
          <w:lang w:bidi="ar-SA"/>
        </w:rPr>
        <w:t xml:space="preserve">. </w:t>
      </w:r>
      <w:r>
        <w:rPr>
          <w:rStyle w:val="FootnoteAnchor"/>
          <w:rtl w:val="true"/>
        </w:rPr>
        <w:footnoteReference w:id="2158"/>
      </w:r>
      <w:bookmarkStart w:id="2410" w:name="pg1964_20011"/>
    </w:p>
    <w:p>
      <w:pPr>
        <w:pStyle w:val="Heading5"/>
        <w:numPr>
          <w:ilvl w:val="4"/>
          <w:numId w:val="1"/>
        </w:numPr>
        <w:rPr/>
      </w:pPr>
      <w:bookmarkStart w:id="2411" w:name="__RefHeading___Toc3586469_3650668749"/>
      <w:bookmarkStart w:id="2412" w:name="_Toc1031"/>
      <w:bookmarkEnd w:id="2410"/>
      <w:bookmarkEnd w:id="2411"/>
      <w:r>
        <w:rPr>
          <w:rtl w:val="true"/>
        </w:rPr>
        <w:t>دو</w:t>
      </w:r>
      <w:r>
        <w:rPr>
          <w:rtl w:val="true"/>
        </w:rPr>
        <w:t xml:space="preserve">- </w:t>
      </w:r>
      <w:r>
        <w:rPr>
          <w:rtl w:val="true"/>
        </w:rPr>
        <w:t xml:space="preserve">خُوان </w:t>
      </w:r>
      <w:r>
        <w:rPr>
          <w:rtl w:val="true"/>
        </w:rPr>
        <w:t>(</w:t>
      </w:r>
      <w:r>
        <w:rPr>
          <w:rtl w:val="true"/>
        </w:rPr>
        <w:t>خِوان</w:t>
      </w:r>
      <w:r>
        <w:rPr>
          <w:rtl w:val="true"/>
        </w:rPr>
        <w:t>)</w:t>
      </w:r>
      <w:bookmarkEnd w:id="2412"/>
    </w:p>
    <w:p>
      <w:pPr>
        <w:pStyle w:val="BookText"/>
        <w:rPr/>
      </w:pPr>
      <w:r>
        <w:rPr>
          <w:rFonts w:ascii="IRNazanin" w:hAnsi="IRNazanin" w:eastAsia="IRNazanin"/>
          <w:color w:val="111111"/>
          <w:sz w:val="28"/>
          <w:sz w:val="28"/>
          <w:szCs w:val="28"/>
          <w:rtl w:val="true"/>
          <w:lang w:bidi="fa-IR"/>
        </w:rPr>
        <w:t xml:space="preserve">اين كلمه همان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معناى طبق چوبى بزرگى مى‌باشد كه روى آن غذا مى‌گذاشتند و تناول مى‌كردند</w:t>
      </w:r>
      <w:r>
        <w:rPr>
          <w:rFonts w:eastAsia="IRNazanin" w:cs="IRNazanin"/>
          <w:color w:val="111111"/>
          <w:sz w:val="28"/>
          <w:szCs w:val="28"/>
          <w:rtl w:val="true"/>
          <w:lang w:bidi="fa-IR"/>
        </w:rPr>
        <w:t xml:space="preserve">. </w:t>
      </w:r>
      <w:r>
        <w:rPr>
          <w:rStyle w:val="FootnoteAnchor"/>
          <w:rtl w:val="true"/>
        </w:rPr>
        <w:footnoteReference w:id="2159"/>
      </w:r>
      <w:r>
        <w:rPr>
          <w:rFonts w:ascii="IRNazanin" w:hAnsi="IRNazanin" w:eastAsia="IRNazanin"/>
          <w:color w:val="111111"/>
          <w:sz w:val="28"/>
          <w:sz w:val="28"/>
          <w:szCs w:val="28"/>
          <w:rtl w:val="true"/>
          <w:lang w:bidi="fa-IR"/>
        </w:rPr>
        <w:t xml:space="preserve">در روايت چنين آمده است كه براى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فالودج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Style w:val="FootnoteAnchor"/>
          <w:rtl w:val="true"/>
        </w:rPr>
        <w:footnoteReference w:id="2160"/>
      </w:r>
      <w:r>
        <w:rPr>
          <w:rFonts w:ascii="IRNazanin" w:hAnsi="IRNazanin" w:eastAsia="IRNazanin"/>
          <w:color w:val="111111"/>
          <w:sz w:val="28"/>
          <w:sz w:val="28"/>
          <w:szCs w:val="28"/>
          <w:rtl w:val="true"/>
          <w:lang w:bidi="fa-IR"/>
        </w:rPr>
        <w:t>شايد بتوان از آن استفاده كرد كه معمولاً تنقلات را روى آن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طَسْت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شايد بتوان از آن چنين استفاده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طشت داشته است</w:t>
      </w:r>
      <w:r>
        <w:rPr>
          <w:rFonts w:eastAsia="IRNazanin" w:cs="IRNazanin"/>
          <w:color w:val="111111"/>
          <w:sz w:val="28"/>
          <w:szCs w:val="28"/>
          <w:rtl w:val="true"/>
          <w:lang w:bidi="fa-IR"/>
        </w:rPr>
        <w:t xml:space="preserve">. </w:t>
      </w:r>
      <w:r>
        <w:rPr>
          <w:rStyle w:val="FootnoteAnchor"/>
          <w:rtl w:val="true"/>
        </w:rPr>
        <w:footnoteReference w:id="2161"/>
      </w:r>
    </w:p>
    <w:p>
      <w:pPr>
        <w:pStyle w:val="Heading5"/>
        <w:numPr>
          <w:ilvl w:val="4"/>
          <w:numId w:val="1"/>
        </w:numPr>
        <w:rPr/>
      </w:pPr>
      <w:bookmarkStart w:id="2413" w:name="__RefHeading___Toc3586471_3650668749"/>
      <w:bookmarkStart w:id="2414" w:name="_Toc1032"/>
      <w:bookmarkEnd w:id="2413"/>
      <w:r>
        <w:rPr>
          <w:rtl w:val="true"/>
        </w:rPr>
        <w:t xml:space="preserve">سه </w:t>
      </w:r>
      <w:r>
        <w:rPr>
          <w:rtl w:val="true"/>
        </w:rPr>
        <w:t xml:space="preserve">- </w:t>
      </w:r>
      <w:r>
        <w:rPr>
          <w:rtl w:val="true"/>
        </w:rPr>
        <w:t>طَبَق</w:t>
      </w:r>
      <w:bookmarkEnd w:id="2414"/>
    </w:p>
    <w:p>
      <w:pPr>
        <w:pStyle w:val="BookText"/>
        <w:rPr/>
      </w:pPr>
      <w:r>
        <w:rPr>
          <w:rFonts w:ascii="IRNazanin" w:hAnsi="IRNazanin" w:eastAsia="IRNazanin"/>
          <w:color w:val="111111"/>
          <w:sz w:val="28"/>
          <w:sz w:val="28"/>
          <w:szCs w:val="28"/>
          <w:rtl w:val="true"/>
          <w:lang w:bidi="fa-IR"/>
        </w:rPr>
        <w:t xml:space="preserve">ظرف مدور و بزرگ چوبين بود كه روى آن غذا مى‌خوردند و تقريباً حالتى 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 xml:space="preserve">. </w:t>
      </w:r>
      <w:r>
        <w:rPr>
          <w:rStyle w:val="FootnoteAnchor"/>
          <w:rtl w:val="true"/>
        </w:rPr>
        <w:footnoteReference w:id="2162"/>
      </w:r>
      <w:r>
        <w:rPr>
          <w:rFonts w:ascii="Amiri" w:hAnsi="Amiri" w:eastAsia="Amiri" w:cs="Amiri"/>
          <w:color w:val="111111"/>
          <w:sz w:val="28"/>
          <w:sz w:val="28"/>
          <w:szCs w:val="28"/>
          <w:rtl w:val="true"/>
          <w:lang w:bidi="ar-SA"/>
        </w:rPr>
        <w:t xml:space="preserve">اين لغت در زمان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به‌كار رفته است</w:t>
      </w:r>
      <w:r>
        <w:rPr>
          <w:rFonts w:eastAsia="Amiri" w:cs="Amiri" w:ascii="Amiri" w:hAnsi="Amiri"/>
          <w:color w:val="111111"/>
          <w:sz w:val="28"/>
          <w:szCs w:val="28"/>
          <w:rtl w:val="true"/>
          <w:lang w:bidi="ar-SA"/>
        </w:rPr>
        <w:t xml:space="preserve">. </w:t>
      </w:r>
      <w:r>
        <w:rPr>
          <w:rStyle w:val="FootnoteAnchor"/>
          <w:rtl w:val="true"/>
        </w:rPr>
        <w:footnoteReference w:id="2163"/>
      </w:r>
    </w:p>
    <w:p>
      <w:pPr>
        <w:pStyle w:val="Heading5"/>
        <w:numPr>
          <w:ilvl w:val="4"/>
          <w:numId w:val="1"/>
        </w:numPr>
        <w:rPr/>
      </w:pPr>
      <w:bookmarkStart w:id="2415" w:name="__RefHeading___Toc3586473_3650668749"/>
      <w:bookmarkStart w:id="2416" w:name="_Toc1033"/>
      <w:bookmarkEnd w:id="2415"/>
      <w:r>
        <w:rPr>
          <w:rtl w:val="true"/>
        </w:rPr>
        <w:t xml:space="preserve">چهار </w:t>
      </w:r>
      <w:r>
        <w:rPr>
          <w:rtl w:val="true"/>
        </w:rPr>
        <w:t xml:space="preserve">- </w:t>
      </w:r>
      <w:r>
        <w:rPr>
          <w:rtl w:val="true"/>
        </w:rPr>
        <w:t>مائده</w:t>
      </w:r>
      <w:bookmarkEnd w:id="2416"/>
    </w:p>
    <w:p>
      <w:pPr>
        <w:pStyle w:val="BookText"/>
        <w:rPr/>
      </w:pPr>
      <w:r>
        <w:rPr>
          <w:rFonts w:ascii="IRNazanin" w:hAnsi="IRNazanin" w:eastAsia="IRNazanin"/>
          <w:color w:val="111111"/>
          <w:sz w:val="28"/>
          <w:sz w:val="28"/>
          <w:szCs w:val="28"/>
          <w:rtl w:val="true"/>
          <w:lang w:bidi="fa-IR"/>
        </w:rPr>
        <w:t>به سفره غذايى گفته مى‌شود كه در آن غذا آماده باشد</w:t>
      </w:r>
      <w:r>
        <w:rPr>
          <w:rFonts w:eastAsia="IRNazanin" w:cs="IRNazanin"/>
          <w:color w:val="111111"/>
          <w:sz w:val="28"/>
          <w:szCs w:val="28"/>
          <w:rtl w:val="true"/>
          <w:lang w:bidi="fa-IR"/>
        </w:rPr>
        <w:t xml:space="preserve">. </w:t>
      </w:r>
      <w:r>
        <w:rPr>
          <w:rStyle w:val="FootnoteAnchor"/>
          <w:rtl w:val="true"/>
        </w:rPr>
        <w:footnoteReference w:id="2164"/>
      </w:r>
      <w:r>
        <w:rPr>
          <w:rFonts w:ascii="Amiri" w:hAnsi="Amiri" w:eastAsia="Amiri" w:cs="Amiri"/>
          <w:color w:val="111111"/>
          <w:sz w:val="28"/>
          <w:sz w:val="28"/>
          <w:szCs w:val="28"/>
          <w:rtl w:val="true"/>
          <w:lang w:bidi="ar-SA"/>
        </w:rPr>
        <w:t xml:space="preserve">سوره‌اى در قرآن به همين نام موجود است كه در آن داستان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 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شده است</w:t>
      </w:r>
      <w:r>
        <w:rPr>
          <w:rFonts w:eastAsia="Amiri" w:cs="Amiri" w:ascii="Amiri" w:hAnsi="Amiri"/>
          <w:color w:val="111111"/>
          <w:sz w:val="28"/>
          <w:szCs w:val="28"/>
          <w:rtl w:val="true"/>
          <w:lang w:bidi="ar-SA"/>
        </w:rPr>
        <w:t xml:space="preserve">. </w:t>
      </w:r>
      <w:r>
        <w:rPr>
          <w:rStyle w:val="FootnoteAnchor"/>
          <w:rtl w:val="true"/>
        </w:rPr>
        <w:footnoteReference w:id="2165"/>
      </w:r>
    </w:p>
    <w:p>
      <w:pPr>
        <w:pStyle w:val="Heading5"/>
        <w:numPr>
          <w:ilvl w:val="4"/>
          <w:numId w:val="1"/>
        </w:numPr>
        <w:rPr/>
      </w:pPr>
      <w:bookmarkStart w:id="2417" w:name="__RefHeading___Toc3586475_3650668749"/>
      <w:bookmarkStart w:id="2418" w:name="_Toc1034"/>
      <w:bookmarkEnd w:id="2417"/>
      <w:r>
        <w:rPr>
          <w:rtl w:val="true"/>
        </w:rPr>
        <w:t xml:space="preserve">پنج </w:t>
      </w:r>
      <w:r>
        <w:rPr>
          <w:rtl w:val="true"/>
        </w:rPr>
        <w:t xml:space="preserve">- </w:t>
      </w:r>
      <w:r>
        <w:rPr>
          <w:rtl w:val="true"/>
        </w:rPr>
        <w:t xml:space="preserve">نَطْع </w:t>
      </w:r>
      <w:r>
        <w:rPr>
          <w:rtl w:val="true"/>
        </w:rPr>
        <w:t>(</w:t>
      </w:r>
      <w:r>
        <w:rPr>
          <w:rtl w:val="true"/>
        </w:rPr>
        <w:t>نَطَعْ، نِطْع، نِطَع</w:t>
      </w:r>
      <w:r>
        <w:rPr>
          <w:rtl w:val="true"/>
        </w:rPr>
        <w:t>)</w:t>
      </w:r>
      <w:bookmarkEnd w:id="2418"/>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گستردنى‌اى بود كه از پوست حيوانات تهيه مى‌شد</w:t>
      </w:r>
      <w:r>
        <w:rPr>
          <w:rFonts w:eastAsia="IRNazanin" w:cs="IRNazanin"/>
          <w:color w:val="111111"/>
          <w:sz w:val="28"/>
          <w:szCs w:val="28"/>
          <w:rtl w:val="true"/>
          <w:lang w:bidi="fa-IR"/>
        </w:rPr>
        <w:t xml:space="preserve">. </w:t>
      </w:r>
      <w:r>
        <w:rPr>
          <w:rStyle w:val="FootnoteAnchor"/>
          <w:rtl w:val="true"/>
        </w:rPr>
        <w:footnoteReference w:id="2166"/>
      </w:r>
      <w:r>
        <w:rPr>
          <w:rFonts w:ascii="IRNazanin" w:hAnsi="IRNazanin" w:eastAsia="IRNazanin"/>
          <w:color w:val="111111"/>
          <w:sz w:val="28"/>
          <w:sz w:val="28"/>
          <w:szCs w:val="28"/>
          <w:rtl w:val="true"/>
          <w:lang w:bidi="fa-IR"/>
        </w:rPr>
        <w:t>موارد كاربرد اين لفظ در روايات اين معنا را تداعى مى‌كند كه از آن در مواقع پرجمعيت استفاده مى‌كردند،</w:t>
      </w:r>
      <w:bookmarkStart w:id="2419" w:name="pg1964_20012"/>
    </w:p>
    <w:p>
      <w:pPr>
        <w:pStyle w:val="BookText"/>
        <w:rPr/>
      </w:pPr>
      <w:bookmarkEnd w:id="2419"/>
      <w:r>
        <w:rPr>
          <w:rFonts w:ascii="Amiri" w:hAnsi="Amiri" w:eastAsia="Amiri" w:cs="Amiri"/>
          <w:color w:val="111111"/>
          <w:sz w:val="28"/>
          <w:sz w:val="28"/>
          <w:szCs w:val="28"/>
          <w:rtl w:val="true"/>
          <w:lang w:bidi="ar-SA"/>
        </w:rPr>
        <w:t xml:space="preserve">مانند ميهمانى دادن جابر بن عبدالله انصارى </w:t>
      </w:r>
      <w:r>
        <w:rPr>
          <w:rStyle w:val="FootnoteAnchor"/>
          <w:rtl w:val="true"/>
        </w:rPr>
        <w:footnoteReference w:id="2167"/>
      </w:r>
      <w:r>
        <w:rPr>
          <w:rFonts w:ascii="Amiri" w:hAnsi="Amiri" w:eastAsia="Amiri" w:cs="Amiri"/>
          <w:color w:val="111111"/>
          <w:sz w:val="28"/>
          <w:sz w:val="28"/>
          <w:szCs w:val="28"/>
          <w:rtl w:val="true"/>
          <w:lang w:bidi="ar-SA"/>
        </w:rPr>
        <w:t xml:space="preserve">، وليمه عروسى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2168"/>
      </w:r>
      <w:r>
        <w:rPr>
          <w:rFonts w:ascii="Amiri" w:hAnsi="Amiri" w:eastAsia="Amiri" w:cs="Amiri"/>
          <w:color w:val="111111"/>
          <w:sz w:val="28"/>
          <w:sz w:val="28"/>
          <w:szCs w:val="28"/>
          <w:rtl w:val="true"/>
          <w:lang w:bidi="ar-SA"/>
        </w:rPr>
        <w:t>و غذا خوردن اصحاب در صلح حديبيه</w:t>
      </w:r>
      <w:r>
        <w:rPr>
          <w:rFonts w:eastAsia="Amiri" w:cs="Amiri" w:ascii="Amiri" w:hAnsi="Amiri"/>
          <w:color w:val="111111"/>
          <w:sz w:val="28"/>
          <w:szCs w:val="28"/>
          <w:rtl w:val="true"/>
          <w:lang w:bidi="ar-SA"/>
        </w:rPr>
        <w:t xml:space="preserve">. </w:t>
      </w:r>
      <w:r>
        <w:rPr>
          <w:rStyle w:val="FootnoteAnchor"/>
          <w:rtl w:val="true"/>
        </w:rPr>
        <w:footnoteReference w:id="2169"/>
      </w:r>
      <w:r>
        <w:rPr>
          <w:rFonts w:ascii="Amiri" w:hAnsi="Amiri" w:eastAsia="Amiri" w:cs="Amiri"/>
          <w:color w:val="111111"/>
          <w:sz w:val="28"/>
          <w:sz w:val="28"/>
          <w:szCs w:val="28"/>
          <w:rtl w:val="true"/>
          <w:lang w:bidi="ar-SA"/>
        </w:rPr>
        <w:t>البته در بعضى مواقع لغت جمع، مانند اَنْطاع و نُطُوع به‌كار رفته است كه بر تعدّد سفره‌ها در موارد ياد شده دلالت مى‌كند</w:t>
      </w:r>
      <w:r>
        <w:rPr>
          <w:rFonts w:eastAsia="Amiri" w:cs="Amiri" w:ascii="Amiri" w:hAnsi="Amiri"/>
          <w:color w:val="111111"/>
          <w:sz w:val="28"/>
          <w:szCs w:val="28"/>
          <w:rtl w:val="true"/>
          <w:lang w:bidi="ar-SA"/>
        </w:rPr>
        <w:t>.</w:t>
      </w:r>
    </w:p>
    <w:p>
      <w:pPr>
        <w:pStyle w:val="Heading3"/>
        <w:numPr>
          <w:ilvl w:val="2"/>
          <w:numId w:val="1"/>
        </w:numPr>
        <w:rPr/>
      </w:pPr>
      <w:bookmarkStart w:id="2420" w:name="__RefHeading___Toc3586477_3650668749"/>
      <w:bookmarkStart w:id="2421" w:name="_Toc1035"/>
      <w:bookmarkEnd w:id="2420"/>
      <w:r>
        <w:rPr/>
        <w:t>٢</w:t>
      </w:r>
      <w:r>
        <w:rPr>
          <w:rtl w:val="true"/>
        </w:rPr>
        <w:t xml:space="preserve">. </w:t>
      </w:r>
      <w:r>
        <w:rPr>
          <w:rtl w:val="true"/>
        </w:rPr>
        <w:t>نوشيدنى‌ها</w:t>
      </w:r>
      <w:bookmarkEnd w:id="2421"/>
    </w:p>
    <w:p>
      <w:pPr>
        <w:pStyle w:val="Heading4"/>
        <w:numPr>
          <w:ilvl w:val="3"/>
          <w:numId w:val="1"/>
        </w:numPr>
        <w:rPr/>
      </w:pPr>
      <w:bookmarkStart w:id="2422" w:name="__RefHeading___Toc3586479_3650668749"/>
      <w:bookmarkStart w:id="2423" w:name="_Toc1036"/>
      <w:bookmarkEnd w:id="2422"/>
      <w:r>
        <w:rPr>
          <w:rtl w:val="true"/>
        </w:rPr>
        <w:t>اشاره</w:t>
      </w:r>
      <w:bookmarkEnd w:id="2423"/>
    </w:p>
    <w:p>
      <w:pPr>
        <w:pStyle w:val="BookText"/>
        <w:rPr/>
      </w:pPr>
      <w:r>
        <w:rPr>
          <w:rFonts w:ascii="IRNazanin" w:hAnsi="IRNazanin" w:eastAsia="IRNazanin"/>
          <w:color w:val="111111"/>
          <w:sz w:val="28"/>
          <w:sz w:val="28"/>
          <w:szCs w:val="28"/>
          <w:rtl w:val="true"/>
          <w:lang w:bidi="fa-IR"/>
        </w:rPr>
        <w:t>در اينجا فقط از نوشيدنى‌هايى ياد مى‌شود كه اصالتاً مايع يا رقيق بود و به همان شكل نوشيده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انواع مختلف تنقلات كه احياناً به صورت مخلوط شده با آب و نوشيدنى مورد استفاده قرار مى‌گرفت، در بخش تنقلات معرفى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نوشيدنى‌ها را مى‌توان به دو بخش حلال و حرام تقسيم كرد</w:t>
      </w:r>
      <w:r>
        <w:rPr>
          <w:rFonts w:eastAsia="Amiri" w:cs="Amiri" w:ascii="Amiri" w:hAnsi="Amiri"/>
          <w:color w:val="111111"/>
          <w:sz w:val="28"/>
          <w:szCs w:val="28"/>
          <w:rtl w:val="true"/>
          <w:lang w:bidi="ar-SA"/>
        </w:rPr>
        <w:t>:</w:t>
      </w:r>
    </w:p>
    <w:p>
      <w:pPr>
        <w:pStyle w:val="Heading4"/>
        <w:numPr>
          <w:ilvl w:val="3"/>
          <w:numId w:val="1"/>
        </w:numPr>
        <w:rPr/>
      </w:pPr>
      <w:bookmarkStart w:id="2424" w:name="__RefHeading___Toc3586481_3650668749"/>
      <w:bookmarkStart w:id="2425" w:name="_Toc1037"/>
      <w:bookmarkEnd w:id="2424"/>
      <w:r>
        <w:rPr>
          <w:rtl w:val="true"/>
        </w:rPr>
        <w:t>الف</w:t>
      </w:r>
      <w:r>
        <w:rPr>
          <w:rtl w:val="true"/>
        </w:rPr>
        <w:t xml:space="preserve">) </w:t>
      </w:r>
      <w:r>
        <w:rPr>
          <w:rtl w:val="true"/>
        </w:rPr>
        <w:t>نوشيدنى‌هاى حلال</w:t>
      </w:r>
      <w:bookmarkEnd w:id="2425"/>
    </w:p>
    <w:p>
      <w:pPr>
        <w:pStyle w:val="Heading5"/>
        <w:numPr>
          <w:ilvl w:val="4"/>
          <w:numId w:val="1"/>
        </w:numPr>
        <w:rPr/>
      </w:pPr>
      <w:bookmarkStart w:id="2426" w:name="__RefHeading___Toc3586483_3650668749"/>
      <w:bookmarkStart w:id="2427" w:name="_Toc1038"/>
      <w:bookmarkEnd w:id="2426"/>
      <w:r>
        <w:rPr>
          <w:rtl w:val="true"/>
        </w:rPr>
        <w:t>اشاره</w:t>
      </w:r>
      <w:bookmarkEnd w:id="2427"/>
    </w:p>
    <w:p>
      <w:pPr>
        <w:pStyle w:val="BookText"/>
        <w:rPr/>
      </w:pPr>
      <w:r>
        <w:rPr>
          <w:rFonts w:ascii="Amiri" w:hAnsi="Amiri" w:eastAsia="Amiri" w:cs="Amiri"/>
          <w:color w:val="111111"/>
          <w:sz w:val="28"/>
          <w:sz w:val="28"/>
          <w:szCs w:val="28"/>
          <w:rtl w:val="true"/>
          <w:lang w:bidi="ar-SA"/>
        </w:rPr>
        <w:t>بعضى از نوشيدنى‌هاى زمان مورد بحث، عبارت است از</w:t>
      </w:r>
      <w:r>
        <w:rPr>
          <w:rFonts w:eastAsia="Amiri" w:cs="Amiri" w:ascii="Amiri" w:hAnsi="Amiri"/>
          <w:color w:val="111111"/>
          <w:sz w:val="28"/>
          <w:szCs w:val="28"/>
          <w:rtl w:val="true"/>
          <w:lang w:bidi="ar-SA"/>
        </w:rPr>
        <w:t>:</w:t>
      </w:r>
    </w:p>
    <w:p>
      <w:pPr>
        <w:pStyle w:val="Heading5"/>
        <w:numPr>
          <w:ilvl w:val="4"/>
          <w:numId w:val="1"/>
        </w:numPr>
        <w:rPr/>
      </w:pPr>
      <w:bookmarkStart w:id="2428" w:name="__RefHeading___Toc3586485_3650668749"/>
      <w:bookmarkStart w:id="2429" w:name="_Toc1039"/>
      <w:bookmarkEnd w:id="2428"/>
      <w:r>
        <w:rPr>
          <w:rtl w:val="true"/>
        </w:rPr>
        <w:t xml:space="preserve">يك </w:t>
      </w:r>
      <w:r>
        <w:rPr>
          <w:rtl w:val="true"/>
        </w:rPr>
        <w:t xml:space="preserve">- </w:t>
      </w:r>
      <w:r>
        <w:rPr>
          <w:rtl w:val="true"/>
        </w:rPr>
        <w:t>شير</w:t>
      </w:r>
      <w:bookmarkEnd w:id="2429"/>
    </w:p>
    <w:p>
      <w:pPr>
        <w:pStyle w:val="BookText"/>
        <w:rPr/>
      </w:pPr>
      <w:r>
        <w:rPr>
          <w:rFonts w:ascii="IRNazanin" w:hAnsi="IRNazanin" w:eastAsia="IRNazanin"/>
          <w:color w:val="111111"/>
          <w:sz w:val="28"/>
          <w:sz w:val="28"/>
          <w:szCs w:val="28"/>
          <w:rtl w:val="true"/>
          <w:lang w:bidi="fa-IR"/>
        </w:rPr>
        <w:t xml:space="preserve">در اين باره در روايت چنين آمده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نوشيدنى‌ها به شير علاقه داشت </w:t>
      </w:r>
      <w:r>
        <w:rPr>
          <w:rStyle w:val="FootnoteAnchor"/>
          <w:rtl w:val="true"/>
        </w:rPr>
        <w:footnoteReference w:id="2170"/>
      </w:r>
      <w:r>
        <w:rPr>
          <w:rFonts w:ascii="IRNazanin" w:hAnsi="IRNazanin" w:eastAsia="IRNazanin"/>
          <w:color w:val="111111"/>
          <w:sz w:val="28"/>
          <w:sz w:val="28"/>
          <w:szCs w:val="28"/>
          <w:rtl w:val="true"/>
          <w:lang w:bidi="fa-IR"/>
        </w:rPr>
        <w:t xml:space="preserve">و شير را اندك اندك با خرما ميل مى‌كرد و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بود</w:t>
      </w:r>
      <w:r>
        <w:rPr>
          <w:rFonts w:eastAsia="IRNazanin" w:cs="IRNazanin"/>
          <w:color w:val="111111"/>
          <w:sz w:val="28"/>
          <w:szCs w:val="28"/>
          <w:rtl w:val="true"/>
          <w:lang w:bidi="fa-IR"/>
        </w:rPr>
        <w:t xml:space="preserve">. </w:t>
      </w:r>
      <w:r>
        <w:rPr>
          <w:rStyle w:val="FootnoteAnchor"/>
          <w:rtl w:val="true"/>
        </w:rPr>
        <w:footnoteReference w:id="2171"/>
      </w:r>
    </w:p>
    <w:p>
      <w:pPr>
        <w:pStyle w:val="Heading5"/>
        <w:numPr>
          <w:ilvl w:val="4"/>
          <w:numId w:val="1"/>
        </w:numPr>
        <w:rPr/>
      </w:pPr>
      <w:bookmarkStart w:id="2430" w:name="__RefHeading___Toc3586487_3650668749"/>
      <w:bookmarkStart w:id="2431" w:name="_Toc1040"/>
      <w:bookmarkEnd w:id="2430"/>
      <w:r>
        <w:rPr>
          <w:rtl w:val="true"/>
        </w:rPr>
        <w:t xml:space="preserve">دو </w:t>
      </w:r>
      <w:r>
        <w:rPr>
          <w:rtl w:val="true"/>
        </w:rPr>
        <w:t xml:space="preserve">- </w:t>
      </w:r>
      <w:r>
        <w:rPr>
          <w:rtl w:val="true"/>
        </w:rPr>
        <w:t>عسل</w:t>
      </w:r>
      <w:bookmarkEnd w:id="2431"/>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روايات چنين آمده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عسل خوشش مى‌آمد</w:t>
      </w:r>
      <w:r>
        <w:rPr>
          <w:rFonts w:eastAsia="IRNazanin" w:cs="IRNazanin"/>
          <w:color w:val="111111"/>
          <w:sz w:val="28"/>
          <w:szCs w:val="28"/>
          <w:rtl w:val="true"/>
          <w:lang w:bidi="fa-IR"/>
        </w:rPr>
        <w:t xml:space="preserve">. </w:t>
      </w:r>
      <w:r>
        <w:rPr>
          <w:rStyle w:val="FootnoteAnchor"/>
          <w:rtl w:val="true"/>
        </w:rPr>
        <w:footnoteReference w:id="2172"/>
      </w:r>
      <w:r>
        <w:rPr>
          <w:rFonts w:ascii="IRNazanin" w:hAnsi="IRNazanin" w:eastAsia="IRNazanin"/>
          <w:color w:val="111111"/>
          <w:sz w:val="28"/>
          <w:sz w:val="28"/>
          <w:szCs w:val="28"/>
          <w:rtl w:val="true"/>
          <w:lang w:bidi="fa-IR"/>
        </w:rPr>
        <w:t>در بعضى از نصوص تاريخى چنين آمده است كه مردم زمان مورد بحث در بعضى مواقع، عسل را با آب مخلوط كرده و مى‌نوشيدند</w:t>
      </w:r>
      <w:r>
        <w:rPr>
          <w:rFonts w:eastAsia="IRNazanin" w:cs="IRNazanin"/>
          <w:color w:val="111111"/>
          <w:sz w:val="28"/>
          <w:szCs w:val="28"/>
          <w:rtl w:val="true"/>
          <w:lang w:bidi="fa-IR"/>
        </w:rPr>
        <w:t xml:space="preserve">. </w:t>
      </w:r>
      <w:r>
        <w:rPr>
          <w:rStyle w:val="FootnoteAnchor"/>
          <w:rtl w:val="true"/>
        </w:rPr>
        <w:footnoteReference w:id="2173"/>
      </w:r>
      <w:bookmarkStart w:id="2432" w:name="pg1964_20013"/>
    </w:p>
    <w:p>
      <w:pPr>
        <w:pStyle w:val="Heading5"/>
        <w:numPr>
          <w:ilvl w:val="4"/>
          <w:numId w:val="1"/>
        </w:numPr>
        <w:rPr/>
      </w:pPr>
      <w:bookmarkStart w:id="2433" w:name="__RefHeading___Toc3586489_3650668749"/>
      <w:bookmarkStart w:id="2434" w:name="_Toc1041"/>
      <w:bookmarkEnd w:id="2432"/>
      <w:bookmarkEnd w:id="2433"/>
      <w:r>
        <w:rPr>
          <w:rtl w:val="true"/>
        </w:rPr>
        <w:t xml:space="preserve">سه </w:t>
      </w:r>
      <w:r>
        <w:rPr>
          <w:rtl w:val="true"/>
        </w:rPr>
        <w:t xml:space="preserve">- </w:t>
      </w:r>
      <w:r>
        <w:rPr>
          <w:rtl w:val="true"/>
        </w:rPr>
        <w:t>شيره</w:t>
      </w:r>
      <w:bookmarkEnd w:id="2434"/>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شيره </w:t>
      </w:r>
      <w:r>
        <w:rPr>
          <w:rStyle w:val="FootnoteAnchor"/>
          <w:rtl w:val="true"/>
        </w:rPr>
        <w:footnoteReference w:id="2174"/>
      </w:r>
    </w:p>
    <w:p>
      <w:pPr>
        <w:pStyle w:val="Heading5"/>
        <w:numPr>
          <w:ilvl w:val="4"/>
          <w:numId w:val="1"/>
        </w:numPr>
        <w:rPr/>
      </w:pPr>
      <w:bookmarkStart w:id="2435" w:name="__RefHeading___Toc3586491_3650668749"/>
      <w:bookmarkStart w:id="2436" w:name="_Toc1042"/>
      <w:bookmarkEnd w:id="2435"/>
      <w:r>
        <w:rPr>
          <w:rtl w:val="true"/>
        </w:rPr>
        <w:t xml:space="preserve">چهار </w:t>
      </w:r>
      <w:r>
        <w:rPr>
          <w:rtl w:val="true"/>
        </w:rPr>
        <w:t xml:space="preserve">- </w:t>
      </w:r>
      <w:r>
        <w:rPr>
          <w:rtl w:val="true"/>
        </w:rPr>
        <w:t>انواع عصير و فشرده</w:t>
      </w:r>
      <w:bookmarkEnd w:id="2436"/>
    </w:p>
    <w:p>
      <w:pPr>
        <w:pStyle w:val="BookText"/>
        <w:rPr/>
      </w:pPr>
      <w:r>
        <w:rPr>
          <w:rFonts w:ascii="Amiri" w:hAnsi="Amiri" w:eastAsia="Amiri" w:cs="Amiri"/>
          <w:color w:val="111111"/>
          <w:sz w:val="28"/>
          <w:sz w:val="28"/>
          <w:szCs w:val="28"/>
          <w:rtl w:val="true"/>
          <w:lang w:bidi="ar-SA"/>
        </w:rPr>
        <w:t xml:space="preserve">در روايتى تاريخى از نوشيدن نوعى عصير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شريح قاضى ياد شده است </w:t>
      </w:r>
      <w:r>
        <w:rPr>
          <w:rStyle w:val="FootnoteAnchor"/>
          <w:rtl w:val="true"/>
        </w:rPr>
        <w:footnoteReference w:id="2175"/>
      </w:r>
      <w:r>
        <w:rPr>
          <w:rFonts w:ascii="IRNazanin" w:hAnsi="IRNazanin" w:eastAsia="IRNazanin"/>
          <w:color w:val="111111"/>
          <w:sz w:val="28"/>
          <w:sz w:val="28"/>
          <w:szCs w:val="28"/>
          <w:rtl w:val="true"/>
          <w:lang w:bidi="fa-IR"/>
        </w:rPr>
        <w:t xml:space="preserve">كه در لغت به معناى عصير انگورى، ترجمه شده كه دو سوم آن به وسيله پختن كم شده باشد </w:t>
      </w:r>
      <w:r>
        <w:rPr>
          <w:rStyle w:val="FootnoteAnchor"/>
          <w:rtl w:val="true"/>
        </w:rPr>
        <w:footnoteReference w:id="2176"/>
      </w:r>
      <w:r>
        <w:rPr>
          <w:rFonts w:ascii="IRNazanin" w:hAnsi="IRNazanin" w:eastAsia="IRNazanin"/>
          <w:color w:val="111111"/>
          <w:sz w:val="28"/>
          <w:sz w:val="28"/>
          <w:szCs w:val="28"/>
          <w:rtl w:val="true"/>
          <w:lang w:bidi="fa-IR"/>
        </w:rPr>
        <w:t xml:space="preserve">و در فارسى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پخته مى‌گويند</w:t>
      </w:r>
      <w:r>
        <w:rPr>
          <w:rFonts w:eastAsia="IRNazanin" w:cs="IRNazanin"/>
          <w:color w:val="111111"/>
          <w:sz w:val="28"/>
          <w:szCs w:val="28"/>
          <w:rtl w:val="true"/>
          <w:lang w:bidi="fa-IR"/>
        </w:rPr>
        <w:t xml:space="preserve">. </w:t>
      </w:r>
      <w:r>
        <w:rPr>
          <w:rStyle w:val="FootnoteAnchor"/>
          <w:rtl w:val="true"/>
        </w:rPr>
        <w:footnoteReference w:id="2177"/>
      </w:r>
    </w:p>
    <w:p>
      <w:pPr>
        <w:pStyle w:val="Heading4"/>
        <w:numPr>
          <w:ilvl w:val="3"/>
          <w:numId w:val="1"/>
        </w:numPr>
        <w:rPr/>
      </w:pPr>
      <w:bookmarkStart w:id="2437" w:name="__RefHeading___Toc3586493_3650668749"/>
      <w:bookmarkStart w:id="2438" w:name="_Toc1043"/>
      <w:bookmarkEnd w:id="2437"/>
      <w:r>
        <w:rPr>
          <w:rtl w:val="true"/>
        </w:rPr>
        <w:t>ب</w:t>
      </w:r>
      <w:r>
        <w:rPr>
          <w:rtl w:val="true"/>
        </w:rPr>
        <w:t xml:space="preserve">) </w:t>
      </w:r>
      <w:r>
        <w:rPr>
          <w:rtl w:val="true"/>
        </w:rPr>
        <w:t>نوشيدنى‌هاى حرام</w:t>
      </w:r>
      <w:bookmarkEnd w:id="2438"/>
    </w:p>
    <w:p>
      <w:pPr>
        <w:pStyle w:val="Heading5"/>
        <w:numPr>
          <w:ilvl w:val="4"/>
          <w:numId w:val="1"/>
        </w:numPr>
        <w:rPr/>
      </w:pPr>
      <w:bookmarkStart w:id="2439" w:name="__RefHeading___Toc3586495_3650668749"/>
      <w:bookmarkStart w:id="2440" w:name="_Toc1044"/>
      <w:bookmarkEnd w:id="2439"/>
      <w:r>
        <w:rPr>
          <w:rtl w:val="true"/>
        </w:rPr>
        <w:t>اشاره</w:t>
      </w:r>
      <w:bookmarkEnd w:id="2440"/>
    </w:p>
    <w:p>
      <w:pPr>
        <w:pStyle w:val="BookText"/>
        <w:rPr/>
      </w:pPr>
      <w:r>
        <w:rPr>
          <w:rFonts w:ascii="IRNazanin" w:hAnsi="IRNazanin" w:eastAsia="IRNazanin"/>
          <w:color w:val="111111"/>
          <w:sz w:val="28"/>
          <w:sz w:val="28"/>
          <w:szCs w:val="28"/>
          <w:rtl w:val="true"/>
          <w:lang w:bidi="fa-IR"/>
        </w:rPr>
        <w:t xml:space="preserve">در فصل اول، اين نكته را يادآور شديم كه در بعضى مواقع، برخى از جوانان كوفه از نوشيدنى‌هاى حرام مانند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حدّ شرب خمر در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مطلب را تأييد مى‌كند</w:t>
      </w:r>
      <w:r>
        <w:rPr>
          <w:rFonts w:eastAsia="IRNazanin" w:cs="IRNazanin"/>
          <w:color w:val="111111"/>
          <w:sz w:val="28"/>
          <w:szCs w:val="28"/>
          <w:rtl w:val="true"/>
          <w:lang w:bidi="fa-IR"/>
        </w:rPr>
        <w:t xml:space="preserve">. </w:t>
      </w:r>
      <w:r>
        <w:rPr>
          <w:rStyle w:val="FootnoteAnchor"/>
          <w:rtl w:val="true"/>
        </w:rPr>
        <w:footnoteReference w:id="2178"/>
      </w:r>
      <w:r>
        <w:rPr>
          <w:rFonts w:ascii="IRNazanin" w:hAnsi="IRNazanin" w:eastAsia="IRNazanin"/>
          <w:color w:val="111111"/>
          <w:sz w:val="28"/>
          <w:sz w:val="28"/>
          <w:szCs w:val="28"/>
          <w:rtl w:val="true"/>
          <w:lang w:bidi="fa-IR"/>
        </w:rPr>
        <w:t>همچنين وجود يهوديان و مسيحيان در كوفه نيز مى‌تواند به عنوان سازندگان شراب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شراب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شيعه و 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انواع ديگرى از شراب وجود داشته كه شيعه قائل به حرمت آنها بوده، اما در ميان اهل سنت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از قرار زير است</w:t>
      </w:r>
      <w:r>
        <w:rPr>
          <w:rFonts w:eastAsia="IRNazanin" w:cs="IRNazanin"/>
          <w:color w:val="111111"/>
          <w:sz w:val="28"/>
          <w:szCs w:val="28"/>
          <w:rtl w:val="true"/>
          <w:lang w:bidi="fa-IR"/>
        </w:rPr>
        <w:t>:</w:t>
      </w:r>
    </w:p>
    <w:p>
      <w:pPr>
        <w:pStyle w:val="Heading5"/>
        <w:numPr>
          <w:ilvl w:val="4"/>
          <w:numId w:val="1"/>
        </w:numPr>
        <w:rPr/>
      </w:pPr>
      <w:bookmarkStart w:id="2441" w:name="__RefHeading___Toc3586497_3650668749"/>
      <w:bookmarkStart w:id="2442" w:name="_Toc1045"/>
      <w:bookmarkEnd w:id="2441"/>
      <w:r>
        <w:rPr>
          <w:rtl w:val="true"/>
        </w:rPr>
        <w:t xml:space="preserve">يك </w:t>
      </w:r>
      <w:r>
        <w:rPr>
          <w:rtl w:val="true"/>
        </w:rPr>
        <w:t xml:space="preserve">- </w:t>
      </w:r>
      <w:r>
        <w:rPr>
          <w:rtl w:val="true"/>
        </w:rPr>
        <w:t>نَبيذ</w:t>
      </w:r>
      <w:bookmarkEnd w:id="2442"/>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نبيذ به معناى هر نوع شراب به عمل آمده از انگور، خرما، كشمش، عسل، گندم و جو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تهيه آن چنان بود كه مواد فوق را در ظرفى كه حاوى آب بود، مى‌ريختند تا پف كند و مست‌كننده شود</w:t>
      </w:r>
      <w:r>
        <w:rPr>
          <w:rFonts w:eastAsia="IRNazanin" w:cs="IRNazanin"/>
          <w:color w:val="111111"/>
          <w:sz w:val="28"/>
          <w:szCs w:val="28"/>
          <w:rtl w:val="true"/>
          <w:lang w:bidi="fa-IR"/>
        </w:rPr>
        <w:t xml:space="preserve">. </w:t>
      </w:r>
      <w:r>
        <w:rPr>
          <w:rStyle w:val="FootnoteAnchor"/>
          <w:rtl w:val="true"/>
        </w:rPr>
        <w:footnoteReference w:id="2179"/>
      </w:r>
      <w:r>
        <w:rPr>
          <w:rFonts w:ascii="Amiri" w:hAnsi="Amiri" w:eastAsia="Amiri" w:cs="Amiri"/>
          <w:color w:val="111111"/>
          <w:sz w:val="28"/>
          <w:sz w:val="28"/>
          <w:szCs w:val="28"/>
          <w:rtl w:val="true"/>
          <w:lang w:bidi="ar-SA"/>
        </w:rPr>
        <w:t>اما معناى مشهور نبيذ،</w:t>
      </w:r>
      <w:bookmarkStart w:id="2443" w:name="pg1964_20014"/>
    </w:p>
    <w:p>
      <w:pPr>
        <w:pStyle w:val="BookText"/>
        <w:rPr/>
      </w:pPr>
      <w:bookmarkEnd w:id="2443"/>
      <w:r>
        <w:rPr>
          <w:rFonts w:ascii="IRNazanin" w:hAnsi="IRNazanin" w:eastAsia="IRNazanin"/>
          <w:color w:val="111111"/>
          <w:sz w:val="28"/>
          <w:sz w:val="28"/>
          <w:szCs w:val="28"/>
          <w:rtl w:val="true"/>
          <w:lang w:bidi="fa-IR"/>
        </w:rPr>
        <w:t>شراب به عمل آمده از خرماست</w:t>
      </w:r>
      <w:r>
        <w:rPr>
          <w:rFonts w:eastAsia="IRNazanin" w:cs="IRNazanin"/>
          <w:color w:val="111111"/>
          <w:sz w:val="28"/>
          <w:szCs w:val="28"/>
          <w:rtl w:val="true"/>
          <w:lang w:bidi="fa-IR"/>
        </w:rPr>
        <w:t xml:space="preserve">. </w:t>
      </w:r>
      <w:r>
        <w:rPr>
          <w:rStyle w:val="FootnoteAnchor"/>
          <w:rtl w:val="true"/>
        </w:rPr>
        <w:footnoteReference w:id="2180"/>
      </w:r>
      <w:r>
        <w:rPr>
          <w:rFonts w:ascii="IRNazanin" w:hAnsi="IRNazanin" w:eastAsia="IRNazanin"/>
          <w:color w:val="111111"/>
          <w:sz w:val="28"/>
          <w:sz w:val="28"/>
          <w:szCs w:val="28"/>
          <w:rtl w:val="true"/>
          <w:lang w:bidi="fa-IR"/>
        </w:rPr>
        <w:t xml:space="preserve">در روايات شيعه چنين آمده است كه حضرت‌على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نوشنده نبيذ را نيز حدّ مى‌زد</w:t>
      </w:r>
      <w:r>
        <w:rPr>
          <w:rFonts w:eastAsia="IRNazanin" w:cs="IRNazanin"/>
          <w:color w:val="111111"/>
          <w:sz w:val="28"/>
          <w:szCs w:val="28"/>
          <w:rtl w:val="true"/>
          <w:lang w:bidi="fa-IR"/>
        </w:rPr>
        <w:t xml:space="preserve">. </w:t>
      </w:r>
      <w:r>
        <w:rPr>
          <w:rStyle w:val="FootnoteAnchor"/>
          <w:rtl w:val="true"/>
        </w:rPr>
        <w:footnoteReference w:id="2181"/>
      </w:r>
    </w:p>
    <w:p>
      <w:pPr>
        <w:pStyle w:val="Heading5"/>
        <w:numPr>
          <w:ilvl w:val="4"/>
          <w:numId w:val="1"/>
        </w:numPr>
        <w:rPr/>
      </w:pPr>
      <w:bookmarkStart w:id="2444" w:name="__RefHeading___Toc3586499_3650668749"/>
      <w:bookmarkStart w:id="2445" w:name="_Toc1046"/>
      <w:bookmarkEnd w:id="2444"/>
      <w:r>
        <w:rPr>
          <w:rtl w:val="true"/>
        </w:rPr>
        <w:t xml:space="preserve">دو </w:t>
      </w:r>
      <w:r>
        <w:rPr>
          <w:rtl w:val="true"/>
        </w:rPr>
        <w:t xml:space="preserve">- </w:t>
      </w:r>
      <w:r>
        <w:rPr>
          <w:rtl w:val="true"/>
        </w:rPr>
        <w:t xml:space="preserve">بِتْع </w:t>
      </w:r>
      <w:r>
        <w:rPr>
          <w:rtl w:val="true"/>
        </w:rPr>
        <w:t>(</w:t>
      </w:r>
      <w:r>
        <w:rPr>
          <w:rtl w:val="true"/>
        </w:rPr>
        <w:t>بِتَع</w:t>
      </w:r>
      <w:r>
        <w:rPr>
          <w:rtl w:val="true"/>
        </w:rPr>
        <w:t>)</w:t>
      </w:r>
      <w:bookmarkEnd w:id="2445"/>
    </w:p>
    <w:p>
      <w:pPr>
        <w:pStyle w:val="BookText"/>
        <w:rPr/>
      </w:pPr>
      <w:r>
        <w:rPr>
          <w:rFonts w:ascii="IRNazanin" w:hAnsi="IRNazanin" w:eastAsia="IRNazanin"/>
          <w:color w:val="111111"/>
          <w:sz w:val="28"/>
          <w:sz w:val="28"/>
          <w:szCs w:val="28"/>
          <w:rtl w:val="true"/>
          <w:lang w:bidi="fa-IR"/>
        </w:rPr>
        <w:t>به شراب تهيه شده از عسل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 كه حضرت آن را تحريم نمود</w:t>
      </w:r>
      <w:r>
        <w:rPr>
          <w:rFonts w:eastAsia="IRNazanin" w:cs="IRNazanin"/>
          <w:color w:val="111111"/>
          <w:sz w:val="28"/>
          <w:szCs w:val="28"/>
          <w:rtl w:val="true"/>
          <w:lang w:bidi="fa-IR"/>
        </w:rPr>
        <w:t xml:space="preserve">. </w:t>
      </w:r>
      <w:r>
        <w:rPr>
          <w:rStyle w:val="FootnoteAnchor"/>
          <w:rtl w:val="true"/>
        </w:rPr>
        <w:footnoteReference w:id="2182"/>
      </w:r>
      <w:r>
        <w:rPr>
          <w:rFonts w:ascii="IRNazanin" w:hAnsi="IRNazanin" w:eastAsia="IRNazanin"/>
          <w:color w:val="111111"/>
          <w:sz w:val="28"/>
          <w:sz w:val="28"/>
          <w:szCs w:val="28"/>
          <w:rtl w:val="true"/>
          <w:lang w:bidi="fa-IR"/>
        </w:rPr>
        <w:t>گفته مى‌شود، اين نوع شراب را اهل يمن مى‌ساختند</w:t>
      </w:r>
      <w:r>
        <w:rPr>
          <w:rFonts w:eastAsia="IRNazanin" w:cs="IRNazanin"/>
          <w:color w:val="111111"/>
          <w:sz w:val="28"/>
          <w:szCs w:val="28"/>
          <w:rtl w:val="true"/>
          <w:lang w:bidi="fa-IR"/>
        </w:rPr>
        <w:t xml:space="preserve">. </w:t>
      </w:r>
      <w:r>
        <w:rPr>
          <w:rStyle w:val="FootnoteAnchor"/>
          <w:rtl w:val="true"/>
        </w:rPr>
        <w:footnoteReference w:id="2183"/>
      </w:r>
    </w:p>
    <w:p>
      <w:pPr>
        <w:pStyle w:val="Heading5"/>
        <w:numPr>
          <w:ilvl w:val="4"/>
          <w:numId w:val="1"/>
        </w:numPr>
        <w:rPr/>
      </w:pPr>
      <w:bookmarkStart w:id="2446" w:name="__RefHeading___Toc3586501_3650668749"/>
      <w:bookmarkStart w:id="2447" w:name="_Toc1047"/>
      <w:bookmarkEnd w:id="2446"/>
      <w:r>
        <w:rPr>
          <w:rtl w:val="true"/>
        </w:rPr>
        <w:t xml:space="preserve">سه </w:t>
      </w:r>
      <w:r>
        <w:rPr>
          <w:rtl w:val="true"/>
        </w:rPr>
        <w:t xml:space="preserve">- </w:t>
      </w:r>
      <w:r>
        <w:rPr>
          <w:rtl w:val="true"/>
        </w:rPr>
        <w:t>فُقّاع</w:t>
      </w:r>
      <w:bookmarkEnd w:id="2447"/>
    </w:p>
    <w:p>
      <w:pPr>
        <w:pStyle w:val="BookText"/>
        <w:rPr/>
      </w:pPr>
      <w:r>
        <w:rPr>
          <w:rFonts w:ascii="Amiri" w:hAnsi="Amiri" w:eastAsia="Amiri" w:cs="Amiri"/>
          <w:color w:val="111111"/>
          <w:sz w:val="28"/>
          <w:sz w:val="28"/>
          <w:szCs w:val="28"/>
          <w:rtl w:val="true"/>
          <w:lang w:bidi="ar-SA"/>
        </w:rPr>
        <w:t xml:space="preserve">شرابى بود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مى‌شد</w:t>
      </w:r>
      <w:r>
        <w:rPr>
          <w:rFonts w:eastAsia="Amiri" w:cs="Amiri" w:ascii="Amiri" w:hAnsi="Amiri"/>
          <w:color w:val="111111"/>
          <w:sz w:val="28"/>
          <w:szCs w:val="28"/>
          <w:rtl w:val="true"/>
          <w:lang w:bidi="ar-SA"/>
        </w:rPr>
        <w:t xml:space="preserve">. </w:t>
      </w:r>
      <w:r>
        <w:rPr>
          <w:rStyle w:val="FootnoteAnchor"/>
          <w:rtl w:val="true"/>
        </w:rPr>
        <w:footnoteReference w:id="2184"/>
      </w:r>
      <w:r>
        <w:rPr>
          <w:rFonts w:ascii="IRNazanin" w:hAnsi="IRNazanin" w:eastAsia="IRNazanin"/>
          <w:color w:val="111111"/>
          <w:sz w:val="28"/>
          <w:sz w:val="28"/>
          <w:szCs w:val="28"/>
          <w:rtl w:val="true"/>
          <w:lang w:bidi="fa-IR"/>
        </w:rPr>
        <w:t xml:space="preserve">در بعضى روايات چنين آمده است كه هنگام ورود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سفره او فقّاع بوده است</w:t>
      </w:r>
      <w:r>
        <w:rPr>
          <w:rFonts w:eastAsia="IRNazanin" w:cs="IRNazanin"/>
          <w:color w:val="111111"/>
          <w:sz w:val="28"/>
          <w:szCs w:val="28"/>
          <w:rtl w:val="true"/>
          <w:lang w:bidi="fa-IR"/>
        </w:rPr>
        <w:t xml:space="preserve">. </w:t>
      </w:r>
      <w:r>
        <w:rPr>
          <w:rStyle w:val="FootnoteAnchor"/>
          <w:rtl w:val="true"/>
        </w:rPr>
        <w:footnoteReference w:id="2185"/>
      </w:r>
    </w:p>
    <w:p>
      <w:pPr>
        <w:pStyle w:val="Heading5"/>
        <w:numPr>
          <w:ilvl w:val="4"/>
          <w:numId w:val="1"/>
        </w:numPr>
        <w:rPr/>
      </w:pPr>
      <w:bookmarkStart w:id="2448" w:name="__RefHeading___Toc3586503_3650668749"/>
      <w:bookmarkStart w:id="2449" w:name="_Toc1048"/>
      <w:bookmarkEnd w:id="2448"/>
      <w:r>
        <w:rPr>
          <w:rtl w:val="true"/>
        </w:rPr>
        <w:t xml:space="preserve">چهار </w:t>
      </w:r>
      <w:r>
        <w:rPr>
          <w:rtl w:val="true"/>
        </w:rPr>
        <w:t xml:space="preserve">- </w:t>
      </w:r>
      <w:r>
        <w:rPr>
          <w:rtl w:val="true"/>
        </w:rPr>
        <w:t>مِرْز</w:t>
      </w:r>
      <w:bookmarkEnd w:id="2449"/>
    </w:p>
    <w:p>
      <w:pPr>
        <w:pStyle w:val="BookText"/>
        <w:rPr/>
      </w:pPr>
      <w:r>
        <w:rPr>
          <w:rFonts w:ascii="IRNazanin" w:hAnsi="IRNazanin" w:eastAsia="IRNazanin"/>
          <w:color w:val="111111"/>
          <w:sz w:val="28"/>
          <w:sz w:val="28"/>
          <w:szCs w:val="28"/>
          <w:rtl w:val="true"/>
          <w:lang w:bidi="fa-IR"/>
        </w:rPr>
        <w:t>به گفته ابوموسى اشعرى، اين شراب از ذرت به عمل مى‌آمد</w:t>
      </w:r>
      <w:r>
        <w:rPr>
          <w:rFonts w:eastAsia="IRNazanin" w:cs="IRNazanin"/>
          <w:color w:val="111111"/>
          <w:sz w:val="28"/>
          <w:szCs w:val="28"/>
          <w:rtl w:val="true"/>
          <w:lang w:bidi="fa-IR"/>
        </w:rPr>
        <w:t xml:space="preserve">. </w:t>
      </w:r>
      <w:r>
        <w:rPr>
          <w:rStyle w:val="FootnoteAnchor"/>
          <w:rtl w:val="true"/>
        </w:rPr>
        <w:footnoteReference w:id="2186"/>
      </w:r>
      <w:r>
        <w:rPr>
          <w:rFonts w:ascii="IRNazanin" w:hAnsi="IRNazanin" w:eastAsia="IRNazanin"/>
          <w:color w:val="111111"/>
          <w:sz w:val="28"/>
          <w:sz w:val="28"/>
          <w:szCs w:val="28"/>
          <w:rtl w:val="true"/>
          <w:lang w:bidi="fa-IR"/>
        </w:rPr>
        <w:t xml:space="preserve">البته به شراب‌هاى به عمل آمده از جو، گندم و غلات ديگر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2187"/>
      </w:r>
      <w:r>
        <w:rPr>
          <w:rFonts w:ascii="IRNazanin" w:hAnsi="IRNazanin" w:eastAsia="IRNazanin"/>
          <w:color w:val="111111"/>
          <w:sz w:val="28"/>
          <w:sz w:val="28"/>
          <w:szCs w:val="28"/>
          <w:rtl w:val="true"/>
          <w:lang w:bidi="fa-IR"/>
        </w:rPr>
        <w:t xml:space="preserve">تحريم اين نوشيدنى نيز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Style w:val="FootnoteAnchor"/>
          <w:rtl w:val="true"/>
        </w:rPr>
        <w:footnoteReference w:id="2188"/>
      </w:r>
    </w:p>
    <w:p>
      <w:pPr>
        <w:pStyle w:val="Heading5"/>
        <w:numPr>
          <w:ilvl w:val="4"/>
          <w:numId w:val="1"/>
        </w:numPr>
        <w:rPr/>
      </w:pPr>
      <w:bookmarkStart w:id="2450" w:name="__RefHeading___Toc3586505_3650668749"/>
      <w:bookmarkStart w:id="2451" w:name="_Toc1049"/>
      <w:bookmarkEnd w:id="2450"/>
      <w:r>
        <w:rPr>
          <w:rtl w:val="true"/>
        </w:rPr>
        <w:t xml:space="preserve">پنج </w:t>
      </w:r>
      <w:r>
        <w:rPr>
          <w:rtl w:val="true"/>
        </w:rPr>
        <w:t xml:space="preserve">- </w:t>
      </w:r>
      <w:r>
        <w:rPr>
          <w:rtl w:val="true"/>
        </w:rPr>
        <w:t>نقيع</w:t>
      </w:r>
      <w:bookmarkEnd w:id="2451"/>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شراب به عمل آمده از كشمش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تهيه اين نوع شراب، كشمش در آب مى‌گذاشتند و بدون آنكه از آتش استفاده شود، تهيه</w:t>
      </w:r>
      <w:bookmarkStart w:id="2452" w:name="pg1964_20015"/>
    </w:p>
    <w:p>
      <w:pPr>
        <w:pStyle w:val="BookText"/>
        <w:rPr/>
      </w:pPr>
      <w:bookmarkEnd w:id="2452"/>
      <w:r>
        <w:rPr>
          <w:rFonts w:ascii="IRNazanin" w:hAnsi="IRNazanin" w:eastAsia="IRNazanin"/>
          <w:color w:val="111111"/>
          <w:sz w:val="28"/>
          <w:sz w:val="28"/>
          <w:szCs w:val="28"/>
          <w:rtl w:val="true"/>
          <w:lang w:bidi="fa-IR"/>
        </w:rPr>
        <w:t>مى‌شد</w:t>
      </w:r>
      <w:r>
        <w:rPr>
          <w:rFonts w:eastAsia="IRNazanin" w:cs="IRNazanin"/>
          <w:color w:val="111111"/>
          <w:sz w:val="28"/>
          <w:szCs w:val="28"/>
          <w:rtl w:val="true"/>
          <w:lang w:bidi="fa-IR"/>
        </w:rPr>
        <w:t xml:space="preserve">. </w:t>
      </w:r>
      <w:r>
        <w:rPr>
          <w:rStyle w:val="FootnoteAnchor"/>
          <w:rtl w:val="true"/>
        </w:rPr>
        <w:footnoteReference w:id="2189"/>
      </w:r>
      <w:r>
        <w:rPr>
          <w:rFonts w:ascii="IRNazanin" w:hAnsi="IRNazanin" w:eastAsia="IRNazanin"/>
          <w:color w:val="111111"/>
          <w:sz w:val="28"/>
          <w:sz w:val="28"/>
          <w:szCs w:val="28"/>
          <w:rtl w:val="true"/>
          <w:lang w:bidi="fa-IR"/>
        </w:rPr>
        <w:t xml:space="preserve">اين شراب نيز از مواردى است كه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شده بود</w:t>
      </w:r>
      <w:r>
        <w:rPr>
          <w:rFonts w:eastAsia="IRNazanin" w:cs="IRNazanin"/>
          <w:color w:val="111111"/>
          <w:sz w:val="28"/>
          <w:szCs w:val="28"/>
          <w:rtl w:val="true"/>
          <w:lang w:bidi="fa-IR"/>
        </w:rPr>
        <w:t xml:space="preserve">. </w:t>
      </w:r>
      <w:r>
        <w:rPr>
          <w:rStyle w:val="FootnoteAnchor"/>
          <w:rtl w:val="true"/>
        </w:rPr>
        <w:footnoteReference w:id="2190"/>
      </w:r>
    </w:p>
    <w:p>
      <w:pPr>
        <w:pStyle w:val="Heading3"/>
        <w:numPr>
          <w:ilvl w:val="2"/>
          <w:numId w:val="1"/>
        </w:numPr>
        <w:rPr/>
      </w:pPr>
      <w:bookmarkStart w:id="2453" w:name="__RefHeading___Toc3586507_3650668749"/>
      <w:bookmarkStart w:id="2454" w:name="_Toc1050"/>
      <w:bookmarkEnd w:id="2453"/>
      <w:r>
        <w:rPr/>
        <w:t>٣</w:t>
      </w:r>
      <w:r>
        <w:rPr>
          <w:rtl w:val="true"/>
        </w:rPr>
        <w:t xml:space="preserve">. </w:t>
      </w:r>
      <w:r>
        <w:rPr>
          <w:rtl w:val="true"/>
        </w:rPr>
        <w:t>ميوه‌ها</w:t>
      </w:r>
      <w:bookmarkEnd w:id="2454"/>
    </w:p>
    <w:p>
      <w:pPr>
        <w:pStyle w:val="BookText"/>
        <w:rPr/>
      </w:pPr>
      <w:r>
        <w:rPr>
          <w:rFonts w:ascii="Amiri" w:hAnsi="Amiri" w:eastAsia="Amiri" w:cs="Amiri"/>
          <w:color w:val="111111"/>
          <w:sz w:val="28"/>
          <w:sz w:val="28"/>
          <w:szCs w:val="28"/>
          <w:rtl w:val="true"/>
          <w:lang w:bidi="ar-SA"/>
        </w:rPr>
        <w:t>انواع ميوه‌هاى مورد مصرف در شهر كوفه در زمان مورد بحث را در فصل اول، يادآور شديم، بنابراين، در اينجا نيازى به ذكر دوباره آنها نيست</w:t>
      </w:r>
      <w:r>
        <w:rPr>
          <w:rFonts w:eastAsia="Amiri" w:cs="Amiri" w:ascii="Amiri" w:hAnsi="Amiri"/>
          <w:color w:val="111111"/>
          <w:sz w:val="28"/>
          <w:szCs w:val="28"/>
          <w:rtl w:val="true"/>
          <w:lang w:bidi="ar-SA"/>
        </w:rPr>
        <w:t>.</w:t>
      </w:r>
    </w:p>
    <w:p>
      <w:pPr>
        <w:pStyle w:val="Heading3"/>
        <w:numPr>
          <w:ilvl w:val="2"/>
          <w:numId w:val="1"/>
        </w:numPr>
        <w:rPr/>
      </w:pPr>
      <w:bookmarkStart w:id="2455" w:name="__RefHeading___Toc3586509_3650668749"/>
      <w:bookmarkStart w:id="2456" w:name="_Toc1051"/>
      <w:bookmarkEnd w:id="2455"/>
      <w:r>
        <w:rPr/>
        <w:t>۴</w:t>
      </w:r>
      <w:r>
        <w:rPr>
          <w:rtl w:val="true"/>
        </w:rPr>
        <w:t xml:space="preserve">. </w:t>
      </w:r>
      <w:r>
        <w:rPr>
          <w:rtl w:val="true"/>
        </w:rPr>
        <w:t>تنقلات</w:t>
      </w:r>
      <w:bookmarkEnd w:id="2456"/>
    </w:p>
    <w:p>
      <w:pPr>
        <w:pStyle w:val="Heading4"/>
        <w:numPr>
          <w:ilvl w:val="3"/>
          <w:numId w:val="1"/>
        </w:numPr>
        <w:rPr/>
      </w:pPr>
      <w:bookmarkStart w:id="2457" w:name="__RefHeading___Toc3586511_3650668749"/>
      <w:bookmarkStart w:id="2458" w:name="_Toc1052"/>
      <w:bookmarkEnd w:id="2457"/>
      <w:r>
        <w:rPr>
          <w:rtl w:val="true"/>
        </w:rPr>
        <w:t>اشاره</w:t>
      </w:r>
      <w:bookmarkEnd w:id="2458"/>
    </w:p>
    <w:p>
      <w:pPr>
        <w:pStyle w:val="BookText"/>
        <w:rPr/>
      </w:pPr>
      <w:r>
        <w:rPr>
          <w:rFonts w:ascii="IRNazanin" w:hAnsi="IRNazanin" w:eastAsia="IRNazanin"/>
          <w:color w:val="111111"/>
          <w:sz w:val="28"/>
          <w:sz w:val="28"/>
          <w:szCs w:val="28"/>
          <w:rtl w:val="true"/>
          <w:lang w:bidi="fa-IR"/>
        </w:rPr>
        <w:t>در اينجا انواع شيرينى‌ها و ديگر خوردنى‌ها را كه به عنوان غذاى اصلى مصرف نمى‌شد تحت عنوان تنقلات ذكر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ممكن است اصل لغت تنقلات شامل آنها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خوردنى‌ها عبارت است از</w:t>
      </w:r>
      <w:r>
        <w:rPr>
          <w:rFonts w:eastAsia="IRNazanin" w:cs="IRNazanin"/>
          <w:color w:val="111111"/>
          <w:sz w:val="28"/>
          <w:szCs w:val="28"/>
          <w:rtl w:val="true"/>
          <w:lang w:bidi="fa-IR"/>
        </w:rPr>
        <w:t>:</w:t>
      </w:r>
    </w:p>
    <w:p>
      <w:pPr>
        <w:pStyle w:val="Heading4"/>
        <w:numPr>
          <w:ilvl w:val="3"/>
          <w:numId w:val="1"/>
        </w:numPr>
        <w:rPr/>
      </w:pPr>
      <w:bookmarkStart w:id="2459" w:name="__RefHeading___Toc3586513_3650668749"/>
      <w:bookmarkStart w:id="2460" w:name="_Toc1053"/>
      <w:bookmarkEnd w:id="2459"/>
      <w:r>
        <w:rPr>
          <w:rtl w:val="true"/>
        </w:rPr>
        <w:t>الف</w:t>
      </w:r>
      <w:r>
        <w:rPr>
          <w:rtl w:val="true"/>
        </w:rPr>
        <w:t xml:space="preserve">) </w:t>
      </w:r>
      <w:r>
        <w:rPr>
          <w:rtl w:val="true"/>
        </w:rPr>
        <w:t>جَوْزينَق</w:t>
      </w:r>
      <w:bookmarkEnd w:id="2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گردوست و ظاهراً جوزينق نوعى شيرينى بود كه گردو در آن سهم مهمى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خوردنى، در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Style w:val="FootnoteAnchor"/>
          <w:rtl w:val="true"/>
        </w:rPr>
        <w:footnoteReference w:id="2191"/>
      </w:r>
    </w:p>
    <w:p>
      <w:pPr>
        <w:pStyle w:val="Heading4"/>
        <w:numPr>
          <w:ilvl w:val="3"/>
          <w:numId w:val="1"/>
        </w:numPr>
        <w:rPr/>
      </w:pPr>
      <w:bookmarkStart w:id="2461" w:name="__RefHeading___Toc3586515_3650668749"/>
      <w:bookmarkStart w:id="2462" w:name="_Toc1054"/>
      <w:bookmarkEnd w:id="2461"/>
      <w:r>
        <w:rPr>
          <w:rtl w:val="true"/>
        </w:rPr>
        <w:t>ب</w:t>
      </w:r>
      <w:r>
        <w:rPr>
          <w:rtl w:val="true"/>
        </w:rPr>
        <w:t xml:space="preserve">) </w:t>
      </w:r>
      <w:r>
        <w:rPr>
          <w:rtl w:val="true"/>
        </w:rPr>
        <w:t>حَلواء</w:t>
      </w:r>
      <w:bookmarkEnd w:id="2462"/>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به هر خوردنى شيرين گفته شده است</w:t>
      </w:r>
      <w:r>
        <w:rPr>
          <w:rFonts w:eastAsia="IRNazanin" w:cs="IRNazanin"/>
          <w:color w:val="111111"/>
          <w:sz w:val="28"/>
          <w:szCs w:val="28"/>
          <w:rtl w:val="true"/>
          <w:lang w:bidi="fa-IR"/>
        </w:rPr>
        <w:t xml:space="preserve">. </w:t>
      </w:r>
      <w:r>
        <w:rPr>
          <w:rStyle w:val="FootnoteAnchor"/>
          <w:rtl w:val="true"/>
        </w:rPr>
        <w:footnoteReference w:id="2192"/>
      </w:r>
      <w:r>
        <w:rPr>
          <w:rFonts w:ascii="IRNazanin" w:hAnsi="IRNazanin" w:eastAsia="IRNazanin"/>
          <w:color w:val="111111"/>
          <w:sz w:val="28"/>
          <w:sz w:val="28"/>
          <w:szCs w:val="28"/>
          <w:rtl w:val="true"/>
          <w:lang w:bidi="fa-IR"/>
        </w:rPr>
        <w:t xml:space="preserve">در روايات چنين وارد شده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حلوا خوشش مى‌آمد</w:t>
      </w:r>
      <w:r>
        <w:rPr>
          <w:rFonts w:eastAsia="IRNazanin" w:cs="IRNazanin"/>
          <w:color w:val="111111"/>
          <w:sz w:val="28"/>
          <w:szCs w:val="28"/>
          <w:rtl w:val="true"/>
          <w:lang w:bidi="fa-IR"/>
        </w:rPr>
        <w:t xml:space="preserve">. </w:t>
      </w:r>
      <w:r>
        <w:rPr>
          <w:rStyle w:val="FootnoteAnchor"/>
          <w:rtl w:val="true"/>
        </w:rPr>
        <w:footnoteReference w:id="2193"/>
      </w:r>
      <w:r>
        <w:rPr>
          <w:rFonts w:ascii="Amiri" w:hAnsi="Amiri" w:eastAsia="Amiri" w:cs="Amiri"/>
          <w:color w:val="111111"/>
          <w:sz w:val="28"/>
          <w:sz w:val="28"/>
          <w:szCs w:val="28"/>
          <w:rtl w:val="true"/>
          <w:lang w:bidi="ar-SA"/>
        </w:rPr>
        <w:t>البته احتمالاً نوعى شيرينى خاص بود، زيرا در مقابل عسل به‌كار رفته كه خود شيرين است</w:t>
      </w:r>
      <w:r>
        <w:rPr>
          <w:rFonts w:eastAsia="Amiri" w:cs="Amiri" w:ascii="Amiri" w:hAnsi="Amiri"/>
          <w:color w:val="111111"/>
          <w:sz w:val="28"/>
          <w:szCs w:val="28"/>
          <w:rtl w:val="true"/>
          <w:lang w:bidi="ar-SA"/>
        </w:rPr>
        <w:t>.</w:t>
      </w:r>
      <w:bookmarkStart w:id="2463" w:name="pg1964_20016"/>
    </w:p>
    <w:p>
      <w:pPr>
        <w:pStyle w:val="Heading4"/>
        <w:numPr>
          <w:ilvl w:val="3"/>
          <w:numId w:val="1"/>
        </w:numPr>
        <w:rPr/>
      </w:pPr>
      <w:bookmarkStart w:id="2464" w:name="__RefHeading___Toc3586517_3650668749"/>
      <w:bookmarkStart w:id="2465" w:name="_Toc1055"/>
      <w:bookmarkEnd w:id="2463"/>
      <w:bookmarkEnd w:id="2464"/>
      <w:r>
        <w:rPr>
          <w:rtl w:val="true"/>
        </w:rPr>
        <w:t>ج</w:t>
      </w:r>
      <w:r>
        <w:rPr>
          <w:rtl w:val="true"/>
        </w:rPr>
        <w:t xml:space="preserve">) </w:t>
      </w:r>
      <w:r>
        <w:rPr>
          <w:rtl w:val="true"/>
        </w:rPr>
        <w:t>خَبيص</w:t>
      </w:r>
      <w:bookmarkEnd w:id="2465"/>
    </w:p>
    <w:p>
      <w:pPr>
        <w:pStyle w:val="BookText"/>
        <w:rPr/>
      </w:pPr>
      <w:r>
        <w:rPr>
          <w:rFonts w:ascii="IRNazanin" w:hAnsi="IRNazanin" w:eastAsia="IRNazanin"/>
          <w:color w:val="111111"/>
          <w:sz w:val="28"/>
          <w:sz w:val="28"/>
          <w:szCs w:val="28"/>
          <w:rtl w:val="true"/>
          <w:lang w:bidi="fa-IR"/>
        </w:rPr>
        <w:t xml:space="preserve">نوعى حلوا بود </w:t>
      </w:r>
      <w:r>
        <w:rPr>
          <w:rStyle w:val="FootnoteAnchor"/>
          <w:rtl w:val="true"/>
        </w:rPr>
        <w:footnoteReference w:id="2194"/>
      </w:r>
      <w:r>
        <w:rPr>
          <w:rFonts w:ascii="IRNazanin" w:hAnsi="IRNazanin" w:eastAsia="IRNazanin"/>
          <w:color w:val="111111"/>
          <w:sz w:val="28"/>
          <w:sz w:val="28"/>
          <w:szCs w:val="28"/>
          <w:rtl w:val="true"/>
          <w:lang w:bidi="fa-IR"/>
        </w:rPr>
        <w:t>كه بعضى طرز تهيه آن را 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معين، شيره جوشانده مى‌شود و در حال جوشش به همان مقدار آرد به آن افزوده مى‌گردد و آن‌قدر جوشش ادامه مى‌يابد تا بوى آن به مشام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گاهى مقدارى مواد شيرين، همانند عسل يا شكر به آن افزوده مى‌شود و شعله آتش را آرام‌تر مى‌كنند و آن را هم مى‌زنند تا مواد روغنى آن برطرف گردد</w:t>
      </w:r>
      <w:r>
        <w:rPr>
          <w:rFonts w:eastAsia="IRNazanin" w:cs="IRNazanin"/>
          <w:color w:val="111111"/>
          <w:sz w:val="28"/>
          <w:szCs w:val="28"/>
          <w:rtl w:val="true"/>
          <w:lang w:bidi="fa-IR"/>
        </w:rPr>
        <w:t xml:space="preserve">. </w:t>
      </w:r>
      <w:r>
        <w:rPr>
          <w:rStyle w:val="FootnoteAnchor"/>
          <w:rtl w:val="true"/>
        </w:rPr>
        <w:footnoteReference w:id="2195"/>
      </w:r>
      <w:r>
        <w:rPr>
          <w:rFonts w:ascii="Amiri" w:hAnsi="Amiri" w:eastAsia="Amiri" w:cs="Amiri"/>
          <w:color w:val="111111"/>
          <w:sz w:val="28"/>
          <w:sz w:val="28"/>
          <w:szCs w:val="28"/>
          <w:rtl w:val="true"/>
          <w:lang w:bidi="ar-SA"/>
        </w:rPr>
        <w:t xml:space="preserve">از اين نوع شيرينى در جريان وليمه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 xml:space="preserve">. </w:t>
      </w:r>
      <w:r>
        <w:rPr>
          <w:rStyle w:val="FootnoteAnchor"/>
          <w:rtl w:val="true"/>
        </w:rPr>
        <w:footnoteReference w:id="2196"/>
      </w:r>
    </w:p>
    <w:p>
      <w:pPr>
        <w:pStyle w:val="Heading4"/>
        <w:numPr>
          <w:ilvl w:val="3"/>
          <w:numId w:val="1"/>
        </w:numPr>
        <w:rPr/>
      </w:pPr>
      <w:bookmarkStart w:id="2466" w:name="__RefHeading___Toc3586519_3650668749"/>
      <w:bookmarkStart w:id="2467" w:name="_Toc1056"/>
      <w:bookmarkEnd w:id="2466"/>
      <w:r>
        <w:rPr>
          <w:rtl w:val="true"/>
        </w:rPr>
        <w:t>د</w:t>
      </w:r>
      <w:r>
        <w:rPr>
          <w:rtl w:val="true"/>
        </w:rPr>
        <w:t xml:space="preserve">) </w:t>
      </w:r>
      <w:r>
        <w:rPr>
          <w:rtl w:val="true"/>
        </w:rPr>
        <w:t>سَويق</w:t>
      </w:r>
      <w:bookmarkEnd w:id="2467"/>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به معناى چيزى آمده است كه از گندم و جو گرفته مى‌شود كه منظور آرد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سويق معنايى مرادف </w:t>
      </w:r>
      <w:r>
        <w:rPr>
          <w:rStyle w:val="FootnoteAnchor"/>
          <w:rtl w:val="true"/>
        </w:rPr>
        <w:footnoteReference w:id="2197"/>
      </w:r>
      <w:r>
        <w:rPr>
          <w:rFonts w:ascii="IRNazanin" w:hAnsi="IRNazanin" w:eastAsia="IRNazanin"/>
          <w:color w:val="111111"/>
          <w:sz w:val="28"/>
          <w:sz w:val="28"/>
          <w:szCs w:val="28"/>
          <w:rtl w:val="true"/>
          <w:lang w:bidi="fa-IR"/>
        </w:rPr>
        <w:t xml:space="preserve">قاووت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مراجعه به روايات در مى‌يابيم كه سويق معنايى عام دارد و آن را از روييدنى‌هايى، چون بادام </w:t>
      </w:r>
      <w:r>
        <w:rPr>
          <w:rStyle w:val="FootnoteAnchor"/>
          <w:rtl w:val="true"/>
        </w:rPr>
        <w:footnoteReference w:id="2198"/>
      </w:r>
      <w:r>
        <w:rPr>
          <w:rFonts w:ascii="IRNazanin" w:hAnsi="IRNazanin" w:eastAsia="IRNazanin"/>
          <w:color w:val="111111"/>
          <w:sz w:val="28"/>
          <w:sz w:val="28"/>
          <w:szCs w:val="28"/>
          <w:rtl w:val="true"/>
          <w:lang w:bidi="fa-IR"/>
        </w:rPr>
        <w:t xml:space="preserve">، جو </w:t>
      </w:r>
      <w:r>
        <w:rPr>
          <w:rStyle w:val="FootnoteAnchor"/>
          <w:rtl w:val="true"/>
        </w:rPr>
        <w:footnoteReference w:id="2199"/>
      </w:r>
      <w:r>
        <w:rPr>
          <w:rFonts w:ascii="IRNazanin" w:hAnsi="IRNazanin" w:eastAsia="IRNazanin"/>
          <w:color w:val="111111"/>
          <w:sz w:val="28"/>
          <w:sz w:val="28"/>
          <w:szCs w:val="28"/>
          <w:rtl w:val="true"/>
          <w:lang w:bidi="fa-IR"/>
        </w:rPr>
        <w:t xml:space="preserve">، عدس </w:t>
      </w:r>
      <w:r>
        <w:rPr>
          <w:rStyle w:val="FootnoteAnchor"/>
          <w:rtl w:val="true"/>
        </w:rPr>
        <w:footnoteReference w:id="2200"/>
      </w:r>
      <w:r>
        <w:rPr>
          <w:rFonts w:ascii="Amiri" w:hAnsi="Amiri" w:eastAsia="Amiri" w:cs="Amiri"/>
          <w:color w:val="111111"/>
          <w:sz w:val="28"/>
          <w:sz w:val="28"/>
          <w:szCs w:val="28"/>
          <w:rtl w:val="true"/>
          <w:lang w:bidi="ar-SA"/>
        </w:rPr>
        <w:t xml:space="preserve">و حتى سيب </w:t>
      </w:r>
      <w:r>
        <w:rPr>
          <w:rStyle w:val="FootnoteAnchor"/>
          <w:rtl w:val="true"/>
        </w:rPr>
        <w:footnoteReference w:id="2201"/>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نوعى شكر خوب در سويق بادام سخن به ميان آمده است </w:t>
      </w:r>
      <w:r>
        <w:rPr>
          <w:rStyle w:val="FootnoteAnchor"/>
          <w:rtl w:val="true"/>
        </w:rPr>
        <w:footnoteReference w:id="2202"/>
      </w:r>
      <w:r>
        <w:rPr>
          <w:rFonts w:ascii="IRNazanin" w:hAnsi="IRNazanin" w:eastAsia="IRNazanin"/>
          <w:color w:val="111111"/>
          <w:sz w:val="28"/>
          <w:sz w:val="28"/>
          <w:szCs w:val="28"/>
          <w:rtl w:val="true"/>
          <w:lang w:bidi="fa-IR"/>
        </w:rPr>
        <w:t>كه يكى از تركيبات آن را مشخص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گفتنه‌اند كه سويق از هفت چيز گرفته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مانندى است كه از تنه درخت خرما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انار،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البته عدس كه در روايات به‌كار رفته، از</w:t>
      </w:r>
      <w:bookmarkStart w:id="2468" w:name="pg1964_20017"/>
    </w:p>
    <w:p>
      <w:pPr>
        <w:pStyle w:val="BookText"/>
        <w:rPr/>
      </w:pPr>
      <w:bookmarkEnd w:id="2468"/>
      <w:r>
        <w:rPr>
          <w:rFonts w:ascii="IRNazanin" w:hAnsi="IRNazanin" w:eastAsia="IRNazanin"/>
          <w:color w:val="111111"/>
          <w:sz w:val="28"/>
          <w:sz w:val="28"/>
          <w:szCs w:val="28"/>
          <w:rtl w:val="true"/>
          <w:lang w:bidi="fa-IR"/>
        </w:rPr>
        <w:t>قلم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گفته‌اند كه سويق گندم و جو بيشتر مورد استفاده قرار مى‌گرفته است</w:t>
      </w:r>
      <w:r>
        <w:rPr>
          <w:rFonts w:eastAsia="IRNazanin" w:cs="IRNazanin"/>
          <w:color w:val="111111"/>
          <w:sz w:val="28"/>
          <w:szCs w:val="28"/>
          <w:rtl w:val="true"/>
          <w:lang w:bidi="fa-IR"/>
        </w:rPr>
        <w:t xml:space="preserve">. </w:t>
      </w:r>
      <w:r>
        <w:rPr>
          <w:rStyle w:val="FootnoteAnchor"/>
          <w:rtl w:val="true"/>
        </w:rPr>
        <w:footnoteReference w:id="2203"/>
      </w:r>
      <w:r>
        <w:rPr>
          <w:rFonts w:ascii="Amiri" w:hAnsi="Amiri" w:eastAsia="Amiri" w:cs="Amiri"/>
          <w:color w:val="111111"/>
          <w:sz w:val="28"/>
          <w:sz w:val="28"/>
          <w:szCs w:val="28"/>
          <w:rtl w:val="true"/>
          <w:lang w:bidi="ar-SA"/>
        </w:rPr>
        <w:t>بعضى از سويق‌ها، مانند سويق سيب، مصرف دارويى داشته است، نه مصرف خوراكى</w:t>
      </w:r>
      <w:r>
        <w:rPr>
          <w:rFonts w:eastAsia="Amiri" w:cs="Amiri" w:ascii="Amiri" w:hAnsi="Amiri"/>
          <w:color w:val="111111"/>
          <w:sz w:val="28"/>
          <w:szCs w:val="28"/>
          <w:rtl w:val="true"/>
          <w:lang w:bidi="ar-SA"/>
        </w:rPr>
        <w:t xml:space="preserve">. </w:t>
      </w:r>
      <w:r>
        <w:rPr>
          <w:rStyle w:val="FootnoteAnchor"/>
          <w:rtl w:val="true"/>
        </w:rPr>
        <w:footnoteReference w:id="2204"/>
      </w:r>
    </w:p>
    <w:p>
      <w:pPr>
        <w:pStyle w:val="BookText"/>
        <w:rPr/>
      </w:pPr>
      <w:r>
        <w:rPr>
          <w:rFonts w:ascii="IRNazanin" w:hAnsi="IRNazanin" w:eastAsia="IRNazanin"/>
          <w:color w:val="111111"/>
          <w:sz w:val="28"/>
          <w:sz w:val="28"/>
          <w:szCs w:val="28"/>
          <w:rtl w:val="true"/>
          <w:lang w:bidi="fa-IR"/>
        </w:rPr>
        <w:t>از روايات چنين بر مى‌آيد كه سويق به دو صورت مصرف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 صورت خشك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سويق 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و ديگرى به صورت خمير و مخلوط با آب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سويق مَلْتوت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و آن را مى‌نوشيدند</w:t>
      </w:r>
      <w:r>
        <w:rPr>
          <w:rFonts w:eastAsia="IRNazanin" w:cs="IRNazanin"/>
          <w:color w:val="111111"/>
          <w:sz w:val="28"/>
          <w:szCs w:val="28"/>
          <w:rtl w:val="true"/>
          <w:lang w:bidi="fa-IR"/>
        </w:rPr>
        <w:t xml:space="preserve">. </w:t>
      </w:r>
      <w:r>
        <w:rPr>
          <w:rStyle w:val="FootnoteAnchor"/>
          <w:rtl w:val="true"/>
        </w:rPr>
        <w:footnoteReference w:id="2205"/>
      </w:r>
      <w:r>
        <w:rPr>
          <w:rFonts w:ascii="IRNazanin" w:hAnsi="IRNazanin" w:eastAsia="IRNazanin"/>
          <w:color w:val="111111"/>
          <w:sz w:val="28"/>
          <w:sz w:val="28"/>
          <w:szCs w:val="28"/>
          <w:rtl w:val="true"/>
          <w:lang w:bidi="fa-IR"/>
        </w:rPr>
        <w:t xml:space="preserve">گفتنى است كه سويق در روايات به وسيله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تعريف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سويق خوب خوراكى است؛ زيرا اگر گرسنه باشم، گرسنگى‌ام را برطرف مى‌كند و اگر سير باشم، غذايم را هضم مى‌كند</w:t>
      </w:r>
      <w:r>
        <w:rPr>
          <w:rFonts w:eastAsia="IRNazanin" w:cs="IRNazanin"/>
          <w:color w:val="111111"/>
          <w:sz w:val="28"/>
          <w:szCs w:val="28"/>
          <w:rtl w:val="true"/>
          <w:lang w:bidi="fa-IR"/>
        </w:rPr>
        <w:t xml:space="preserve">» . </w:t>
      </w:r>
      <w:r>
        <w:rPr>
          <w:rStyle w:val="FootnoteAnchor"/>
          <w:rtl w:val="true"/>
        </w:rPr>
        <w:footnoteReference w:id="2206"/>
      </w:r>
      <w:r>
        <w:rPr>
          <w:rFonts w:ascii="Amiri" w:hAnsi="Amiri" w:eastAsia="Amiri" w:cs="Amiri"/>
          <w:color w:val="111111"/>
          <w:sz w:val="28"/>
          <w:sz w:val="28"/>
          <w:szCs w:val="28"/>
          <w:rtl w:val="true"/>
          <w:lang w:bidi="ar-SA"/>
        </w:rPr>
        <w:t>از اين روايت، دو نوع كاربرد براى سويق روشن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گفته شد مى‌توان نتيجه گرفت كه ترجمه سويق به قاووت صحيح نيست؛ زيرا به هيچ‌يك از انواع سويق قاووت گفته نمى‌شود، بنابراين بايد در پى معادلى براى آن در زبان فارسى بود</w:t>
      </w:r>
      <w:r>
        <w:rPr>
          <w:rFonts w:eastAsia="IRNazanin" w:cs="IRNazanin"/>
          <w:color w:val="111111"/>
          <w:sz w:val="28"/>
          <w:szCs w:val="28"/>
          <w:rtl w:val="true"/>
          <w:lang w:bidi="fa-IR"/>
        </w:rPr>
        <w:t>.</w:t>
      </w:r>
    </w:p>
    <w:p>
      <w:pPr>
        <w:pStyle w:val="Heading4"/>
        <w:numPr>
          <w:ilvl w:val="3"/>
          <w:numId w:val="1"/>
        </w:numPr>
        <w:rPr/>
      </w:pPr>
      <w:bookmarkStart w:id="2469" w:name="__RefHeading___Toc3586521_3650668749"/>
      <w:bookmarkStart w:id="2470" w:name="_Toc1057"/>
      <w:bookmarkEnd w:id="2469"/>
      <w:r>
        <w:rPr>
          <w:rtl w:val="true"/>
        </w:rPr>
        <w:t>ه</w:t>
      </w:r>
      <w:r>
        <w:rPr>
          <w:rtl w:val="true"/>
        </w:rPr>
        <w:t xml:space="preserve">) </w:t>
      </w:r>
      <w:r>
        <w:rPr>
          <w:rtl w:val="true"/>
        </w:rPr>
        <w:t xml:space="preserve">فالُوذَج </w:t>
      </w:r>
      <w:r>
        <w:rPr>
          <w:rtl w:val="true"/>
        </w:rPr>
        <w:t>(</w:t>
      </w:r>
      <w:r>
        <w:rPr>
          <w:rtl w:val="true"/>
        </w:rPr>
        <w:t>فالُوذ</w:t>
      </w:r>
      <w:r>
        <w:rPr>
          <w:rtl w:val="true"/>
        </w:rPr>
        <w:t>)</w:t>
      </w:r>
      <w:bookmarkEnd w:id="2470"/>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كتاب‌هاى لغت گفته شده فالوذج لغتى است كه از فارسى گرفته شده و به معناى نوعى شيرينى معرفى شده است</w:t>
      </w:r>
      <w:r>
        <w:rPr>
          <w:rFonts w:eastAsia="IRNazanin" w:cs="IRNazanin"/>
          <w:color w:val="111111"/>
          <w:sz w:val="28"/>
          <w:szCs w:val="28"/>
          <w:rtl w:val="true"/>
          <w:lang w:bidi="fa-IR"/>
        </w:rPr>
        <w:t xml:space="preserve">. </w:t>
      </w:r>
      <w:r>
        <w:rPr>
          <w:rStyle w:val="FootnoteAnchor"/>
          <w:rtl w:val="true"/>
        </w:rPr>
        <w:footnoteReference w:id="2207"/>
      </w:r>
      <w:r>
        <w:rPr>
          <w:rFonts w:ascii="IRNazanin" w:hAnsi="IRNazanin" w:eastAsia="IRNazanin"/>
          <w:color w:val="111111"/>
          <w:sz w:val="28"/>
          <w:sz w:val="28"/>
          <w:szCs w:val="28"/>
          <w:rtl w:val="true"/>
          <w:lang w:bidi="fa-IR"/>
        </w:rPr>
        <w:t xml:space="preserve">در فارسى به آن پالوده و در عربى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نيز مى‌گويند</w:t>
      </w:r>
      <w:r>
        <w:rPr>
          <w:rFonts w:eastAsia="IRNazanin" w:cs="IRNazanin"/>
          <w:color w:val="111111"/>
          <w:sz w:val="28"/>
          <w:szCs w:val="28"/>
          <w:rtl w:val="true"/>
          <w:lang w:bidi="fa-IR"/>
        </w:rPr>
        <w:t xml:space="preserve">. </w:t>
      </w:r>
      <w:r>
        <w:rPr>
          <w:rStyle w:val="FootnoteAnchor"/>
          <w:rtl w:val="true"/>
        </w:rPr>
        <w:footnoteReference w:id="2208"/>
      </w:r>
      <w:r>
        <w:rPr>
          <w:rFonts w:ascii="IRNazanin" w:hAnsi="IRNazanin" w:eastAsia="IRNazanin"/>
          <w:color w:val="111111"/>
          <w:sz w:val="28"/>
          <w:sz w:val="28"/>
          <w:szCs w:val="28"/>
          <w:rtl w:val="true"/>
          <w:lang w:bidi="fa-IR"/>
        </w:rPr>
        <w:t xml:space="preserve">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طرز تهيه آن را اين چنين براى آن حضرت تشريح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روغن و عسل در ظرف غذا مى‌ريزيم و آن را روى آتش مى‌گذاريم تا به جوش آيد، سپس مغز</w:t>
      </w:r>
      <w:bookmarkStart w:id="2471" w:name="pg1964_20018"/>
    </w:p>
    <w:p>
      <w:pPr>
        <w:pStyle w:val="BookText"/>
        <w:rPr/>
      </w:pPr>
      <w:bookmarkEnd w:id="2471"/>
      <w:r>
        <w:rPr>
          <w:rFonts w:ascii="IRNazanin" w:hAnsi="IRNazanin" w:eastAsia="IRNazanin"/>
          <w:color w:val="111111"/>
          <w:sz w:val="28"/>
          <w:sz w:val="28"/>
          <w:szCs w:val="28"/>
          <w:rtl w:val="true"/>
          <w:lang w:bidi="fa-IR"/>
        </w:rPr>
        <w:t>گندم را روى آن مى‌ريزيم و آن را هم مى‌زنيم تا پخته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خوردن آن، از آن خوشش آمد</w:t>
      </w:r>
      <w:r>
        <w:rPr>
          <w:rFonts w:eastAsia="IRNazanin" w:cs="IRNazanin"/>
          <w:color w:val="111111"/>
          <w:sz w:val="28"/>
          <w:szCs w:val="28"/>
          <w:rtl w:val="true"/>
          <w:lang w:bidi="fa-IR"/>
        </w:rPr>
        <w:t xml:space="preserve">. </w:t>
      </w:r>
      <w:r>
        <w:rPr>
          <w:rStyle w:val="FootnoteAnchor"/>
          <w:rtl w:val="true"/>
        </w:rPr>
        <w:footnoteReference w:id="2209"/>
      </w:r>
      <w:r>
        <w:rPr>
          <w:rFonts w:ascii="Amiri" w:hAnsi="Amiri" w:eastAsia="Amiri" w:cs="Amiri"/>
          <w:color w:val="111111"/>
          <w:sz w:val="28"/>
          <w:sz w:val="28"/>
          <w:szCs w:val="28"/>
          <w:rtl w:val="true"/>
          <w:lang w:bidi="ar-SA"/>
        </w:rPr>
        <w:t xml:space="preserve">از اين شيرينى در زمان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ياد شده است</w:t>
      </w:r>
      <w:r>
        <w:rPr>
          <w:rFonts w:eastAsia="Amiri" w:cs="Amiri" w:ascii="Amiri" w:hAnsi="Amiri"/>
          <w:color w:val="111111"/>
          <w:sz w:val="28"/>
          <w:szCs w:val="28"/>
          <w:rtl w:val="true"/>
          <w:lang w:bidi="ar-SA"/>
        </w:rPr>
        <w:t xml:space="preserve">. </w:t>
      </w:r>
      <w:r>
        <w:rPr>
          <w:rStyle w:val="FootnoteAnchor"/>
          <w:rtl w:val="true"/>
        </w:rPr>
        <w:footnoteReference w:id="2210"/>
      </w:r>
    </w:p>
    <w:p>
      <w:pPr>
        <w:pStyle w:val="Heading4"/>
        <w:numPr>
          <w:ilvl w:val="3"/>
          <w:numId w:val="1"/>
        </w:numPr>
        <w:rPr/>
      </w:pPr>
      <w:bookmarkStart w:id="2472" w:name="__RefHeading___Toc3586523_3650668749"/>
      <w:bookmarkStart w:id="2473" w:name="_Toc1058"/>
      <w:bookmarkEnd w:id="2472"/>
      <w:r>
        <w:rPr>
          <w:rtl w:val="true"/>
        </w:rPr>
        <w:t>و</w:t>
      </w:r>
      <w:r>
        <w:rPr>
          <w:rtl w:val="true"/>
        </w:rPr>
        <w:t xml:space="preserve">) </w:t>
      </w:r>
      <w:r>
        <w:rPr>
          <w:rtl w:val="true"/>
        </w:rPr>
        <w:t>لَوْزينَج</w:t>
      </w:r>
      <w:bookmarkEnd w:id="2473"/>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خوراكى نيز در كتاب‌هاى لغت به عنوان نوعى شيرينى معرفى شده است</w:t>
      </w:r>
      <w:r>
        <w:rPr>
          <w:rFonts w:eastAsia="Amiri" w:cs="Amiri" w:ascii="Amiri" w:hAnsi="Amiri"/>
          <w:color w:val="111111"/>
          <w:sz w:val="28"/>
          <w:szCs w:val="28"/>
          <w:rtl w:val="true"/>
          <w:lang w:bidi="ar-SA"/>
        </w:rPr>
        <w:t xml:space="preserve">. </w:t>
      </w:r>
      <w:r>
        <w:rPr>
          <w:rStyle w:val="FootnoteAnchor"/>
          <w:rtl w:val="true"/>
        </w:rPr>
        <w:footnoteReference w:id="2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بادام مى‌باشد و در اين شيرينى، بادام يا روغن آن نقشى به‌سزا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نيز يكى از مواد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Style w:val="FootnoteAnchor"/>
          <w:rtl w:val="true"/>
        </w:rPr>
        <w:footnoteReference w:id="2212"/>
      </w:r>
      <w:r>
        <w:rPr>
          <w:rFonts w:ascii="Amiri" w:hAnsi="Amiri" w:eastAsia="Amiri" w:cs="Amiri"/>
          <w:color w:val="111111"/>
          <w:sz w:val="28"/>
          <w:sz w:val="28"/>
          <w:szCs w:val="28"/>
          <w:rtl w:val="true"/>
          <w:lang w:bidi="ar-SA"/>
        </w:rPr>
        <w:t xml:space="preserve">از اين شيرينى در زمان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 xml:space="preserve">. </w:t>
      </w:r>
      <w:r>
        <w:rPr>
          <w:rStyle w:val="FootnoteAnchor"/>
          <w:rtl w:val="true"/>
        </w:rPr>
        <w:footnoteReference w:id="2213"/>
      </w:r>
      <w:bookmarkStart w:id="2474" w:name="pg1964_20019"/>
    </w:p>
    <w:p>
      <w:pPr>
        <w:pStyle w:val="Heading2"/>
        <w:numPr>
          <w:ilvl w:val="1"/>
          <w:numId w:val="1"/>
        </w:numPr>
        <w:rPr/>
      </w:pPr>
      <w:bookmarkStart w:id="2475" w:name="__RefHeading___Toc3586525_3650668749"/>
      <w:bookmarkStart w:id="2476" w:name="_Toc1059"/>
      <w:bookmarkEnd w:id="2474"/>
      <w:bookmarkEnd w:id="2475"/>
      <w:r>
        <w:rPr>
          <w:rtl w:val="true"/>
        </w:rPr>
        <w:t>فصل هشتم</w:t>
      </w:r>
      <w:r>
        <w:rPr>
          <w:rtl w:val="true"/>
        </w:rPr>
        <w:t xml:space="preserve">: </w:t>
      </w:r>
      <w:r>
        <w:rPr>
          <w:rtl w:val="true"/>
        </w:rPr>
        <w:t>نظام قضايى و انتظامى</w:t>
      </w:r>
      <w:bookmarkEnd w:id="2476"/>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77" w:name="__RefHeading___Toc3586527_3650668749"/>
      <w:bookmarkStart w:id="2478" w:name="_Toc1060"/>
      <w:bookmarkEnd w:id="2477"/>
      <w:r>
        <w:rPr>
          <w:rtl w:val="true"/>
        </w:rPr>
        <w:t>اشاره</w:t>
      </w:r>
      <w:bookmarkStart w:id="2479" w:name="pg1964_20021"/>
      <w:bookmarkEnd w:id="2478"/>
    </w:p>
    <w:p>
      <w:pPr>
        <w:pStyle w:val="Heading3"/>
        <w:numPr>
          <w:ilvl w:val="2"/>
          <w:numId w:val="1"/>
        </w:numPr>
        <w:rPr/>
      </w:pPr>
      <w:bookmarkStart w:id="2480" w:name="__RefHeading___Toc3586529_3650668749"/>
      <w:bookmarkStart w:id="2481" w:name="_Toc1061"/>
      <w:bookmarkEnd w:id="2479"/>
      <w:bookmarkEnd w:id="2480"/>
      <w:r>
        <w:rPr/>
        <w:t>١</w:t>
      </w:r>
      <w:r>
        <w:rPr>
          <w:rtl w:val="true"/>
        </w:rPr>
        <w:t xml:space="preserve">. </w:t>
      </w:r>
      <w:r>
        <w:rPr>
          <w:rtl w:val="true"/>
        </w:rPr>
        <w:t>قضا</w:t>
      </w:r>
      <w:bookmarkEnd w:id="2481"/>
    </w:p>
    <w:p>
      <w:pPr>
        <w:pStyle w:val="Heading4"/>
        <w:numPr>
          <w:ilvl w:val="3"/>
          <w:numId w:val="1"/>
        </w:numPr>
        <w:rPr/>
      </w:pPr>
      <w:bookmarkStart w:id="2482" w:name="__RefHeading___Toc3586531_3650668749"/>
      <w:bookmarkStart w:id="2483" w:name="_Toc1062"/>
      <w:bookmarkEnd w:id="2482"/>
      <w:r>
        <w:rPr>
          <w:rtl w:val="true"/>
        </w:rPr>
        <w:t>الف</w:t>
      </w:r>
      <w:r>
        <w:rPr>
          <w:rtl w:val="true"/>
        </w:rPr>
        <w:t xml:space="preserve">) </w:t>
      </w:r>
      <w:r>
        <w:rPr>
          <w:rtl w:val="true"/>
        </w:rPr>
        <w:t xml:space="preserve">قاضيان كوفه تا سال </w:t>
      </w:r>
      <w:r>
        <w:rPr/>
        <w:t>۶١</w:t>
      </w:r>
      <w:r>
        <w:rPr>
          <w:rtl w:val="true"/>
        </w:rPr>
        <w:t xml:space="preserve"> ه</w:t>
      </w:r>
      <w:r>
        <w:rPr>
          <w:rtl w:val="true"/>
        </w:rPr>
        <w:t xml:space="preserve">. </w:t>
      </w:r>
      <w:r>
        <w:rPr>
          <w:rtl w:val="true"/>
        </w:rPr>
        <w:t>ق</w:t>
      </w:r>
      <w:bookmarkEnd w:id="2483"/>
    </w:p>
    <w:p>
      <w:pPr>
        <w:pStyle w:val="Heading5"/>
        <w:numPr>
          <w:ilvl w:val="4"/>
          <w:numId w:val="1"/>
        </w:numPr>
        <w:rPr/>
      </w:pPr>
      <w:bookmarkStart w:id="2484" w:name="__RefHeading___Toc3586533_3650668749"/>
      <w:bookmarkStart w:id="2485" w:name="_Toc1063"/>
      <w:bookmarkEnd w:id="2484"/>
      <w:r>
        <w:rPr>
          <w:rtl w:val="true"/>
        </w:rPr>
        <w:t>اشاره</w:t>
      </w:r>
      <w:bookmarkEnd w:id="2485"/>
    </w:p>
    <w:p>
      <w:pPr>
        <w:pStyle w:val="BookText"/>
        <w:rPr/>
      </w:pPr>
      <w:r>
        <w:rPr>
          <w:rFonts w:ascii="IRNazanin" w:hAnsi="IRNazanin" w:eastAsia="IRNazanin"/>
          <w:color w:val="111111"/>
          <w:sz w:val="28"/>
          <w:sz w:val="28"/>
          <w:szCs w:val="28"/>
          <w:rtl w:val="true"/>
          <w:lang w:bidi="fa-IR"/>
        </w:rPr>
        <w:t xml:space="preserve">قاضيان كوفه پيش از تأسيس كوفه و زمان نقشه‌بردارى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بودند از</w:t>
      </w:r>
      <w:r>
        <w:rPr>
          <w:rFonts w:eastAsia="IRNazanin" w:cs="IRNazanin"/>
          <w:color w:val="111111"/>
          <w:sz w:val="28"/>
          <w:szCs w:val="28"/>
          <w:rtl w:val="true"/>
          <w:lang w:bidi="fa-IR"/>
        </w:rPr>
        <w:t>:</w:t>
      </w:r>
    </w:p>
    <w:p>
      <w:pPr>
        <w:pStyle w:val="Heading5"/>
        <w:numPr>
          <w:ilvl w:val="4"/>
          <w:numId w:val="1"/>
        </w:numPr>
        <w:rPr/>
      </w:pPr>
      <w:bookmarkStart w:id="2486" w:name="__RefHeading___Toc3586535_3650668749"/>
      <w:bookmarkStart w:id="2487" w:name="_Toc1064"/>
      <w:bookmarkEnd w:id="2486"/>
      <w:r>
        <w:rPr>
          <w:rtl w:val="true"/>
        </w:rPr>
        <w:t xml:space="preserve">يك </w:t>
      </w:r>
      <w:r>
        <w:rPr>
          <w:rtl w:val="true"/>
        </w:rPr>
        <w:t xml:space="preserve">- </w:t>
      </w:r>
      <w:r>
        <w:rPr>
          <w:rtl w:val="true"/>
        </w:rPr>
        <w:t>اولين قاضى</w:t>
      </w:r>
      <w:bookmarkEnd w:id="2487"/>
    </w:p>
    <w:p>
      <w:pPr>
        <w:pStyle w:val="Heading6"/>
        <w:numPr>
          <w:ilvl w:val="5"/>
          <w:numId w:val="1"/>
        </w:numPr>
        <w:rPr/>
      </w:pPr>
      <w:bookmarkStart w:id="2488" w:name="__RefHeading___Toc3586537_3650668749"/>
      <w:bookmarkStart w:id="2489" w:name="_Toc1065"/>
      <w:bookmarkEnd w:id="2488"/>
      <w:r>
        <w:rPr>
          <w:rtl w:val="true"/>
        </w:rPr>
        <w:t>اشاره</w:t>
      </w:r>
      <w:bookmarkEnd w:id="2489"/>
    </w:p>
    <w:p>
      <w:pPr>
        <w:pStyle w:val="BookText"/>
        <w:rPr/>
      </w:pPr>
      <w:r>
        <w:rPr>
          <w:rFonts w:ascii="Amiri" w:hAnsi="Amiri" w:eastAsia="Amiri" w:cs="Amiri"/>
          <w:color w:val="111111"/>
          <w:sz w:val="28"/>
          <w:sz w:val="28"/>
          <w:szCs w:val="28"/>
          <w:rtl w:val="true"/>
          <w:lang w:bidi="ar-SA"/>
        </w:rPr>
        <w:t>در مورد اولين قاضى كوفه اختلاف نظر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اسامى زير به عنوان اولين قاضى كوفه در منابع مختلف ذكر شده است</w:t>
      </w:r>
      <w:r>
        <w:rPr>
          <w:rFonts w:eastAsia="Amiri" w:cs="Amiri" w:ascii="Amiri" w:hAnsi="Amiri"/>
          <w:color w:val="111111"/>
          <w:sz w:val="28"/>
          <w:szCs w:val="28"/>
          <w:rtl w:val="true"/>
          <w:lang w:bidi="ar-SA"/>
        </w:rPr>
        <w:t>:</w:t>
      </w:r>
    </w:p>
    <w:p>
      <w:pPr>
        <w:pStyle w:val="Heading6"/>
        <w:numPr>
          <w:ilvl w:val="5"/>
          <w:numId w:val="1"/>
        </w:numPr>
        <w:rPr/>
      </w:pPr>
      <w:bookmarkStart w:id="2490" w:name="__RefHeading___Toc3586539_3650668749"/>
      <w:bookmarkStart w:id="2491" w:name="_Toc1066"/>
      <w:bookmarkEnd w:id="2490"/>
      <w:r>
        <w:rPr>
          <w:rtl w:val="true"/>
        </w:rPr>
        <w:t>الف</w:t>
      </w:r>
      <w:r>
        <w:rPr>
          <w:rtl w:val="true"/>
        </w:rPr>
        <w:t xml:space="preserve">) </w:t>
      </w:r>
      <w:r>
        <w:rPr>
          <w:rtl w:val="true"/>
        </w:rPr>
        <w:t>ابو مَرّة كِنْدي</w:t>
      </w:r>
      <w:bookmarkEnd w:id="2491"/>
    </w:p>
    <w:p>
      <w:pPr>
        <w:pStyle w:val="BookText"/>
        <w:rPr/>
      </w:pPr>
      <w:r>
        <w:rPr>
          <w:rFonts w:ascii="Amiri" w:hAnsi="Amiri" w:eastAsia="Amiri" w:cs="Amiri"/>
          <w:color w:val="111111"/>
          <w:sz w:val="28"/>
          <w:sz w:val="28"/>
          <w:szCs w:val="28"/>
          <w:rtl w:val="true"/>
          <w:lang w:bidi="ar-SA"/>
        </w:rPr>
        <w:t xml:space="preserve">طبرى ذيل حوادث سال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Style w:val="FootnoteAnchor"/>
          <w:rtl w:val="true"/>
        </w:rPr>
        <w:footnoteReference w:id="2214"/>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Style w:val="FootnoteAnchor"/>
          <w:rtl w:val="true"/>
        </w:rPr>
        <w:footnoteReference w:id="22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2216"/>
      </w:r>
      <w:r>
        <w:rPr>
          <w:rFonts w:ascii="Amiri" w:hAnsi="Amiri" w:eastAsia="Amiri" w:cs="Amiri"/>
          <w:color w:val="111111"/>
          <w:sz w:val="28"/>
          <w:sz w:val="28"/>
          <w:szCs w:val="28"/>
          <w:rtl w:val="true"/>
          <w:lang w:bidi="ar-SA"/>
        </w:rPr>
        <w:t>اين شخص را متولى قضاوت كوفه معرفى مى‌كند</w:t>
      </w:r>
      <w:r>
        <w:rPr>
          <w:rFonts w:eastAsia="Amiri" w:cs="Amiri" w:ascii="Amiri" w:hAnsi="Amiri"/>
          <w:color w:val="111111"/>
          <w:sz w:val="28"/>
          <w:szCs w:val="28"/>
          <w:rtl w:val="true"/>
          <w:lang w:bidi="ar-SA"/>
        </w:rPr>
        <w:t xml:space="preserve">. </w:t>
      </w:r>
      <w:r>
        <w:rPr>
          <w:rStyle w:val="FootnoteAnchor"/>
          <w:rtl w:val="true"/>
        </w:rPr>
        <w:footnoteReference w:id="2217"/>
      </w:r>
    </w:p>
    <w:p>
      <w:pPr>
        <w:pStyle w:val="Heading6"/>
        <w:numPr>
          <w:ilvl w:val="5"/>
          <w:numId w:val="1"/>
        </w:numPr>
        <w:rPr/>
      </w:pPr>
      <w:bookmarkStart w:id="2492" w:name="__RefHeading___Toc3586541_3650668749"/>
      <w:bookmarkStart w:id="2493" w:name="_Toc1067"/>
      <w:bookmarkEnd w:id="2492"/>
      <w:r>
        <w:rPr>
          <w:rtl w:val="true"/>
        </w:rPr>
        <w:t>ب</w:t>
      </w:r>
      <w:r>
        <w:rPr>
          <w:rtl w:val="true"/>
        </w:rPr>
        <w:t xml:space="preserve">) </w:t>
      </w:r>
      <w:r>
        <w:rPr>
          <w:rtl w:val="true"/>
        </w:rPr>
        <w:t xml:space="preserve">عُرْوَة بن جُعد </w:t>
      </w:r>
      <w:r>
        <w:rPr>
          <w:rtl w:val="true"/>
        </w:rPr>
        <w:t>(</w:t>
      </w:r>
      <w:r>
        <w:rPr>
          <w:rtl w:val="true"/>
        </w:rPr>
        <w:t>ابي‌الجُعد</w:t>
      </w:r>
      <w:r>
        <w:rPr>
          <w:rtl w:val="true"/>
        </w:rPr>
        <w:t xml:space="preserve">) </w:t>
      </w:r>
      <w:r>
        <w:rPr>
          <w:rtl w:val="true"/>
        </w:rPr>
        <w:t>بارقي</w:t>
      </w:r>
      <w:bookmarkEnd w:id="2493"/>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همان است كه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اجازه از طرف آن حضرت معامله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فضولى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معامله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صفقه بارقى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 xml:space="preserve">. </w:t>
      </w:r>
      <w:r>
        <w:rPr>
          <w:rStyle w:val="FootnoteAnchor"/>
          <w:rtl w:val="true"/>
        </w:rPr>
        <w:footnoteReference w:id="2218"/>
      </w:r>
      <w:bookmarkStart w:id="2494" w:name="pg1964_20022"/>
    </w:p>
    <w:p>
      <w:pPr>
        <w:pStyle w:val="Heading6"/>
        <w:numPr>
          <w:ilvl w:val="5"/>
          <w:numId w:val="1"/>
        </w:numPr>
        <w:rPr/>
      </w:pPr>
      <w:bookmarkStart w:id="2495" w:name="__RefHeading___Toc3586543_3650668749"/>
      <w:bookmarkStart w:id="2496" w:name="_Toc1068"/>
      <w:bookmarkEnd w:id="2494"/>
      <w:bookmarkEnd w:id="2495"/>
      <w:r>
        <w:rPr>
          <w:rtl w:val="true"/>
        </w:rPr>
        <w:t>ج</w:t>
      </w:r>
      <w:r>
        <w:rPr>
          <w:rtl w:val="true"/>
        </w:rPr>
        <w:t xml:space="preserve">) </w:t>
      </w:r>
      <w:r>
        <w:rPr>
          <w:rtl w:val="true"/>
        </w:rPr>
        <w:t>سَلْمان بن رَبيعه باهلي</w:t>
      </w:r>
      <w:bookmarkEnd w:id="2496"/>
    </w:p>
    <w:p>
      <w:pPr>
        <w:pStyle w:val="BookText"/>
        <w:rPr/>
      </w:pPr>
      <w:r>
        <w:rPr>
          <w:rFonts w:ascii="IRNazanin" w:hAnsi="IRNazanin" w:eastAsia="IRNazanin"/>
          <w:color w:val="111111"/>
          <w:sz w:val="28"/>
          <w:sz w:val="28"/>
          <w:szCs w:val="28"/>
          <w:rtl w:val="true"/>
          <w:lang w:bidi="fa-IR"/>
        </w:rPr>
        <w:t>گفته شده است او از سوى عُمر در جنگ قادسيه براى رسيدگى به اختلافات افراد سپاه تعيين شد و چهل روز يا پنجاه روز كسى براى قضاوت سراغ او نرفت</w:t>
      </w:r>
      <w:r>
        <w:rPr>
          <w:rFonts w:eastAsia="IRNazanin" w:cs="IRNazanin"/>
          <w:color w:val="111111"/>
          <w:sz w:val="28"/>
          <w:szCs w:val="28"/>
          <w:rtl w:val="true"/>
          <w:lang w:bidi="fa-IR"/>
        </w:rPr>
        <w:t xml:space="preserve">. </w:t>
      </w:r>
      <w:r>
        <w:rPr>
          <w:rStyle w:val="FootnoteAnchor"/>
          <w:rtl w:val="true"/>
        </w:rPr>
        <w:footnoteReference w:id="2219"/>
      </w:r>
    </w:p>
    <w:p>
      <w:pPr>
        <w:pStyle w:val="Heading6"/>
        <w:numPr>
          <w:ilvl w:val="5"/>
          <w:numId w:val="1"/>
        </w:numPr>
        <w:rPr/>
      </w:pPr>
      <w:bookmarkStart w:id="2497" w:name="__RefHeading___Toc3586545_3650668749"/>
      <w:bookmarkStart w:id="2498" w:name="_Toc1069"/>
      <w:bookmarkEnd w:id="2497"/>
      <w:r>
        <w:rPr>
          <w:rtl w:val="true"/>
        </w:rPr>
        <w:t>د</w:t>
      </w:r>
      <w:r>
        <w:rPr>
          <w:rtl w:val="true"/>
        </w:rPr>
        <w:t xml:space="preserve">) </w:t>
      </w:r>
      <w:r>
        <w:rPr>
          <w:rtl w:val="true"/>
        </w:rPr>
        <w:t>جَبْر بن قَشْعَمْ كِنْدي</w:t>
      </w:r>
      <w:bookmarkEnd w:id="2498"/>
    </w:p>
    <w:p>
      <w:pPr>
        <w:pStyle w:val="BookText"/>
        <w:rPr/>
      </w:pPr>
      <w:r>
        <w:rPr>
          <w:rFonts w:ascii="Amiri" w:hAnsi="Amiri" w:eastAsia="Amiri" w:cs="Amiri"/>
          <w:color w:val="111111"/>
          <w:sz w:val="28"/>
          <w:sz w:val="28"/>
          <w:szCs w:val="28"/>
          <w:rtl w:val="true"/>
          <w:lang w:bidi="ar-SA"/>
        </w:rPr>
        <w:t>از او نيز به عنوان قاضى لشكر در فتح قادسيه ياد شده است</w:t>
      </w:r>
      <w:r>
        <w:rPr>
          <w:rFonts w:eastAsia="Amiri" w:cs="Amiri" w:ascii="Amiri" w:hAnsi="Amiri"/>
          <w:color w:val="111111"/>
          <w:sz w:val="28"/>
          <w:szCs w:val="28"/>
          <w:rtl w:val="true"/>
          <w:lang w:bidi="ar-SA"/>
        </w:rPr>
        <w:t xml:space="preserve">. </w:t>
      </w:r>
      <w:r>
        <w:rPr>
          <w:rStyle w:val="FootnoteAnchor"/>
          <w:rtl w:val="true"/>
        </w:rPr>
        <w:footnoteReference w:id="2220"/>
      </w:r>
    </w:p>
    <w:p>
      <w:pPr>
        <w:pStyle w:val="Heading6"/>
        <w:numPr>
          <w:ilvl w:val="5"/>
          <w:numId w:val="1"/>
        </w:numPr>
        <w:rPr/>
      </w:pPr>
      <w:bookmarkStart w:id="2499" w:name="__RefHeading___Toc3586547_3650668749"/>
      <w:bookmarkStart w:id="2500" w:name="_Toc1070"/>
      <w:bookmarkEnd w:id="2499"/>
      <w:r>
        <w:rPr>
          <w:rtl w:val="true"/>
        </w:rPr>
        <w:t>ه</w:t>
      </w:r>
      <w:r>
        <w:rPr>
          <w:rtl w:val="true"/>
        </w:rPr>
        <w:t xml:space="preserve">) </w:t>
      </w:r>
      <w:r>
        <w:rPr>
          <w:rtl w:val="true"/>
        </w:rPr>
        <w:t>عبدالله بن مسعود</w:t>
      </w:r>
      <w:bookmarkEnd w:id="2500"/>
    </w:p>
    <w:p>
      <w:pPr>
        <w:pStyle w:val="BookText"/>
        <w:rPr/>
      </w:pPr>
      <w:r>
        <w:rPr>
          <w:rFonts w:ascii="IRNazanin" w:hAnsi="IRNazanin" w:eastAsia="IRNazanin"/>
          <w:color w:val="111111"/>
          <w:sz w:val="28"/>
          <w:sz w:val="28"/>
          <w:szCs w:val="28"/>
          <w:rtl w:val="true"/>
          <w:lang w:bidi="fa-IR"/>
        </w:rPr>
        <w:t xml:space="preserve">البته اگر بپذيريم كه ابن‌مسعود براى اولين بار همراه عمّار در سال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سوى عُمر به كوفه گسيل شد</w:t>
      </w:r>
      <w:r>
        <w:rPr>
          <w:rFonts w:eastAsia="IRNazanin" w:cs="IRNazanin"/>
          <w:color w:val="111111"/>
          <w:sz w:val="28"/>
          <w:szCs w:val="28"/>
          <w:rtl w:val="true"/>
          <w:lang w:bidi="fa-IR"/>
        </w:rPr>
        <w:t xml:space="preserve">. </w:t>
      </w:r>
      <w:r>
        <w:rPr>
          <w:rStyle w:val="FootnoteAnchor"/>
          <w:rtl w:val="true"/>
        </w:rPr>
        <w:footnoteReference w:id="2221"/>
      </w:r>
      <w:r>
        <w:rPr>
          <w:rFonts w:ascii="Amiri" w:hAnsi="Amiri" w:eastAsia="Amiri" w:cs="Amiri"/>
          <w:color w:val="111111"/>
          <w:sz w:val="28"/>
          <w:sz w:val="28"/>
          <w:szCs w:val="28"/>
          <w:rtl w:val="true"/>
          <w:lang w:bidi="ar-SA"/>
        </w:rPr>
        <w:t>بنابراين نمى‌توانيم او را اولين قاضى كوفه بدانيم</w:t>
      </w:r>
      <w:r>
        <w:rPr>
          <w:rFonts w:eastAsia="Amiri" w:cs="Amiri" w:ascii="Amiri" w:hAnsi="Amiri"/>
          <w:color w:val="111111"/>
          <w:sz w:val="28"/>
          <w:szCs w:val="28"/>
          <w:rtl w:val="true"/>
          <w:lang w:bidi="ar-SA"/>
        </w:rPr>
        <w:t xml:space="preserve">. </w:t>
      </w:r>
      <w:r>
        <w:rPr>
          <w:rStyle w:val="FootnoteAnchor"/>
          <w:rtl w:val="true"/>
        </w:rPr>
        <w:footnoteReference w:id="2222"/>
      </w:r>
    </w:p>
    <w:p>
      <w:pPr>
        <w:pStyle w:val="Heading6"/>
        <w:numPr>
          <w:ilvl w:val="5"/>
          <w:numId w:val="1"/>
        </w:numPr>
        <w:rPr/>
      </w:pPr>
      <w:bookmarkStart w:id="2501" w:name="__RefHeading___Toc3586549_3650668749"/>
      <w:bookmarkStart w:id="2502" w:name="_Toc1071"/>
      <w:bookmarkEnd w:id="2501"/>
      <w:r>
        <w:rPr>
          <w:rtl w:val="true"/>
        </w:rPr>
        <w:t>و</w:t>
      </w:r>
      <w:r>
        <w:rPr>
          <w:rtl w:val="true"/>
        </w:rPr>
        <w:t xml:space="preserve">) </w:t>
      </w:r>
      <w:r>
        <w:rPr>
          <w:rtl w:val="true"/>
        </w:rPr>
        <w:t>ابوموسى اشعري</w:t>
      </w:r>
      <w:bookmarkEnd w:id="2502"/>
    </w:p>
    <w:p>
      <w:pPr>
        <w:pStyle w:val="BookText"/>
        <w:rPr/>
      </w:pPr>
      <w:r>
        <w:rPr>
          <w:rFonts w:ascii="Amiri" w:hAnsi="Amiri" w:eastAsia="Amiri" w:cs="Amiri"/>
          <w:color w:val="111111"/>
          <w:sz w:val="28"/>
          <w:sz w:val="28"/>
          <w:szCs w:val="28"/>
          <w:rtl w:val="true"/>
          <w:lang w:bidi="ar-SA"/>
        </w:rPr>
        <w:t>از منابع اوليه دليلى بر قضاوت ابوموسى اشعرى در كوفه نيافتيم</w:t>
      </w:r>
      <w:r>
        <w:rPr>
          <w:rFonts w:eastAsia="Amiri" w:cs="Amiri" w:ascii="Amiri" w:hAnsi="Amiri"/>
          <w:color w:val="111111"/>
          <w:sz w:val="28"/>
          <w:szCs w:val="28"/>
          <w:rtl w:val="true"/>
          <w:lang w:bidi="ar-SA"/>
        </w:rPr>
        <w:t xml:space="preserve">. </w:t>
      </w:r>
      <w:r>
        <w:rPr>
          <w:rStyle w:val="FootnoteAnchor"/>
          <w:rtl w:val="true"/>
        </w:rPr>
        <w:footnoteReference w:id="2223"/>
      </w:r>
    </w:p>
    <w:p>
      <w:pPr>
        <w:pStyle w:val="Heading5"/>
        <w:numPr>
          <w:ilvl w:val="4"/>
          <w:numId w:val="1"/>
        </w:numPr>
        <w:rPr/>
      </w:pPr>
      <w:bookmarkStart w:id="2503" w:name="__RefHeading___Toc3586551_3650668749"/>
      <w:bookmarkStart w:id="2504" w:name="_Toc1072"/>
      <w:bookmarkEnd w:id="2503"/>
      <w:r>
        <w:rPr>
          <w:rtl w:val="true"/>
        </w:rPr>
        <w:t xml:space="preserve">دو </w:t>
      </w:r>
      <w:r>
        <w:rPr>
          <w:rtl w:val="true"/>
        </w:rPr>
        <w:t xml:space="preserve">- </w:t>
      </w:r>
      <w:r>
        <w:rPr>
          <w:rtl w:val="true"/>
        </w:rPr>
        <w:t xml:space="preserve">شُرَيْح بن حارث </w:t>
      </w:r>
      <w:r>
        <w:rPr>
          <w:rtl w:val="true"/>
        </w:rPr>
        <w:t>(</w:t>
      </w:r>
      <w:r>
        <w:rPr>
          <w:rtl w:val="true"/>
        </w:rPr>
        <w:t>حَرَث يا عبدالله يا شراحيل يا هاني</w:t>
      </w:r>
      <w:r>
        <w:rPr>
          <w:rtl w:val="true"/>
        </w:rPr>
        <w:t xml:space="preserve">) </w:t>
      </w:r>
      <w:r>
        <w:rPr>
          <w:rtl w:val="true"/>
        </w:rPr>
        <w:t>كِندي</w:t>
      </w:r>
      <w:bookmarkEnd w:id="2504"/>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بيش از نيم قرن قضاوت كوفه را به عهده داشت </w:t>
      </w:r>
      <w:r>
        <w:rPr>
          <w:rStyle w:val="FootnoteAnchor"/>
          <w:rtl w:val="true"/>
        </w:rPr>
        <w:footnoteReference w:id="2224"/>
      </w:r>
      <w:r>
        <w:rPr>
          <w:rFonts w:ascii="IRNazanin" w:hAnsi="IRNazanin" w:eastAsia="IRNazanin"/>
          <w:color w:val="111111"/>
          <w:sz w:val="28"/>
          <w:sz w:val="28"/>
          <w:szCs w:val="28"/>
          <w:rtl w:val="true"/>
          <w:lang w:bidi="fa-IR"/>
        </w:rPr>
        <w:t>و ازاين‌رو عنوان قضاى كوفه با نام او عجين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اصالتاً از ايرانيانى بود كه پادشاه ايران آنها را براى جنگ با حبشيان به يمن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تأسيس كوفه، شريح به آن شهر نقل مكان نمود</w:t>
      </w:r>
      <w:r>
        <w:rPr>
          <w:rFonts w:eastAsia="IRNazanin" w:cs="IRNazanin"/>
          <w:color w:val="111111"/>
          <w:sz w:val="28"/>
          <w:szCs w:val="28"/>
          <w:rtl w:val="true"/>
          <w:lang w:bidi="fa-IR"/>
        </w:rPr>
        <w:t xml:space="preserve">. </w:t>
      </w:r>
      <w:r>
        <w:rPr>
          <w:rStyle w:val="FootnoteAnchor"/>
          <w:rtl w:val="true"/>
        </w:rPr>
        <w:footnoteReference w:id="2225"/>
      </w:r>
      <w:r>
        <w:rPr>
          <w:rFonts w:ascii="Amiri" w:hAnsi="Amiri" w:eastAsia="Amiri" w:cs="Amiri"/>
          <w:color w:val="111111"/>
          <w:sz w:val="28"/>
          <w:sz w:val="28"/>
          <w:szCs w:val="28"/>
          <w:rtl w:val="true"/>
          <w:lang w:bidi="ar-SA"/>
        </w:rPr>
        <w:t>از او در منابع به عنوان فردى شاعر ياد شده است</w:t>
      </w:r>
      <w:r>
        <w:rPr>
          <w:rFonts w:eastAsia="Amiri" w:cs="Amiri" w:ascii="Amiri" w:hAnsi="Amiri"/>
          <w:color w:val="111111"/>
          <w:sz w:val="28"/>
          <w:szCs w:val="28"/>
          <w:rtl w:val="true"/>
          <w:lang w:bidi="ar-SA"/>
        </w:rPr>
        <w:t xml:space="preserve">. </w:t>
      </w:r>
      <w:r>
        <w:rPr>
          <w:rStyle w:val="FootnoteAnchor"/>
          <w:rtl w:val="true"/>
        </w:rPr>
        <w:footnoteReference w:id="2226"/>
      </w:r>
      <w:r>
        <w:rPr>
          <w:rFonts w:ascii="IRNazanin" w:hAnsi="IRNazanin" w:eastAsia="IRNazanin"/>
          <w:color w:val="111111"/>
          <w:sz w:val="28"/>
          <w:sz w:val="28"/>
          <w:szCs w:val="28"/>
          <w:rtl w:val="true"/>
          <w:lang w:bidi="fa-IR"/>
        </w:rPr>
        <w:t>در باره علت</w:t>
      </w:r>
    </w:p>
    <w:p>
      <w:pPr>
        <w:pStyle w:val="BookText"/>
        <w:rPr/>
      </w:pPr>
      <w:r>
        <w:rPr>
          <w:rFonts w:ascii="IRNazanin" w:hAnsi="IRNazanin" w:eastAsia="IRNazanin"/>
          <w:color w:val="111111"/>
          <w:sz w:val="28"/>
          <w:sz w:val="28"/>
          <w:szCs w:val="28"/>
          <w:rtl w:val="true"/>
          <w:lang w:bidi="fa-IR"/>
        </w:rPr>
        <w:t xml:space="preserve">نصب او چنين آمده است كه او در مدينه بين عُمر و شخصى ديگر قضاوتى نمود </w:t>
      </w:r>
      <w:r>
        <w:rPr>
          <w:rStyle w:val="FootnoteAnchor"/>
          <w:rtl w:val="true"/>
        </w:rPr>
        <w:footnoteReference w:id="2227"/>
      </w:r>
      <w:r>
        <w:rPr>
          <w:rFonts w:ascii="Amiri" w:hAnsi="Amiri" w:eastAsia="Amiri" w:cs="Amiri"/>
          <w:color w:val="111111"/>
          <w:sz w:val="28"/>
          <w:sz w:val="28"/>
          <w:szCs w:val="28"/>
          <w:rtl w:val="true"/>
          <w:lang w:bidi="ar-SA"/>
        </w:rPr>
        <w:t>و عمر از قضاوت او خوشش آمد و او را نامزد قضاى كوفه كرد</w:t>
      </w:r>
      <w:r>
        <w:rPr>
          <w:rFonts w:eastAsia="Amiri" w:cs="Amiri" w:ascii="Amiri" w:hAnsi="Amiri"/>
          <w:color w:val="111111"/>
          <w:sz w:val="28"/>
          <w:szCs w:val="28"/>
          <w:rtl w:val="true"/>
          <w:lang w:bidi="ar-SA"/>
        </w:rPr>
        <w:t xml:space="preserve">. </w:t>
      </w:r>
      <w:r>
        <w:rPr>
          <w:rStyle w:val="FootnoteAnchor"/>
          <w:rtl w:val="true"/>
        </w:rPr>
        <w:footnoteReference w:id="2228"/>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طبرى ابتداى قضاوت او را در كوفه سال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ذكر مى‌كند</w:t>
      </w:r>
      <w:r>
        <w:rPr>
          <w:rFonts w:eastAsia="Amiri" w:cs="Amiri" w:ascii="Amiri" w:hAnsi="Amiri"/>
          <w:color w:val="111111"/>
          <w:sz w:val="28"/>
          <w:szCs w:val="28"/>
          <w:rtl w:val="true"/>
          <w:lang w:bidi="ar-SA"/>
        </w:rPr>
        <w:t>.</w:t>
      </w:r>
      <w:r>
        <w:rPr>
          <w:rStyle w:val="FootnoteAnchor"/>
          <w:rtl w:val="true"/>
        </w:rPr>
        <w:footnoteReference w:id="2229"/>
      </w:r>
      <w:r>
        <w:rPr>
          <w:rFonts w:ascii="IRNazanin" w:hAnsi="IRNazanin" w:eastAsia="IRNazanin"/>
          <w:color w:val="111111"/>
          <w:sz w:val="28"/>
          <w:sz w:val="28"/>
          <w:szCs w:val="28"/>
          <w:rtl w:val="true"/>
          <w:lang w:bidi="fa-IR"/>
        </w:rPr>
        <w:t xml:space="preserve">اما اگر بخواهيم او را بعد از ابن‌مسعود، قاضى بدانيم </w:t>
      </w:r>
      <w:r>
        <w:rPr>
          <w:rStyle w:val="FootnoteAnchor"/>
          <w:rtl w:val="true"/>
        </w:rPr>
        <w:footnoteReference w:id="2230"/>
      </w:r>
      <w:r>
        <w:rPr>
          <w:rFonts w:ascii="IRNazanin" w:hAnsi="IRNazanin" w:eastAsia="IRNazanin"/>
          <w:color w:val="111111"/>
          <w:sz w:val="28"/>
          <w:sz w:val="28"/>
          <w:szCs w:val="28"/>
          <w:rtl w:val="true"/>
          <w:lang w:bidi="fa-IR"/>
        </w:rPr>
        <w:t xml:space="preserve">بايد آن را در سال‌هاى پس از سال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نصب تا يك سال قبل از مرگ خود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2231"/>
      </w:r>
      <w:r>
        <w:rPr>
          <w:rFonts w:ascii="Amiri" w:hAnsi="Amiri" w:eastAsia="Amiri" w:cs="Amiri"/>
          <w:color w:val="111111"/>
          <w:sz w:val="28"/>
          <w:sz w:val="28"/>
          <w:szCs w:val="28"/>
          <w:rtl w:val="true"/>
          <w:lang w:bidi="ar-SA"/>
        </w:rPr>
        <w:t xml:space="preserve">اين سِمت را به عهده داشت كه تنها در سال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يعنى زمان تسلّط ابن‌زبير بر بخش‌هاى بسيارى از مملكت اسلامى </w:t>
      </w:r>
      <w:r>
        <w:rPr>
          <w:rStyle w:val="FootnoteAnchor"/>
          <w:rtl w:val="true"/>
        </w:rPr>
        <w:footnoteReference w:id="2232"/>
      </w:r>
      <w:r>
        <w:rPr>
          <w:rFonts w:ascii="Amiri" w:hAnsi="Amiri" w:eastAsia="Amiri" w:cs="Amiri"/>
          <w:color w:val="111111"/>
          <w:sz w:val="28"/>
          <w:sz w:val="28"/>
          <w:szCs w:val="28"/>
          <w:rtl w:val="true"/>
          <w:lang w:bidi="ar-SA"/>
        </w:rPr>
        <w:t xml:space="preserve">و نيز يك‌سال در زمان حكومت زياد در كوفه </w:t>
      </w:r>
      <w:r>
        <w:rPr>
          <w:rStyle w:val="FootnoteAnchor"/>
          <w:rtl w:val="true"/>
        </w:rPr>
        <w:footnoteReference w:id="2233"/>
      </w:r>
      <w:r>
        <w:rPr>
          <w:rFonts w:ascii="IRNazanin" w:hAnsi="IRNazanin" w:eastAsia="IRNazanin"/>
          <w:color w:val="111111"/>
          <w:sz w:val="28"/>
          <w:sz w:val="28"/>
          <w:szCs w:val="28"/>
          <w:rtl w:val="true"/>
          <w:lang w:bidi="fa-IR"/>
        </w:rPr>
        <w:t>متولى اين منصب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در تمام دوران خلافت آن حضرت در كوفه اين سمت را از سوى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قضاوت او بين آن حضرت و بين يهودى‌اى كه زره آن حضرت را بعد از جنگ صفين برداشته بود، معروف است</w:t>
      </w:r>
      <w:r>
        <w:rPr>
          <w:rFonts w:eastAsia="IRNazanin" w:cs="IRNazanin"/>
          <w:color w:val="111111"/>
          <w:sz w:val="28"/>
          <w:szCs w:val="28"/>
          <w:rtl w:val="true"/>
          <w:lang w:bidi="fa-IR"/>
        </w:rPr>
        <w:t xml:space="preserve">. </w:t>
      </w:r>
      <w:r>
        <w:rPr>
          <w:rStyle w:val="FootnoteAnchor"/>
          <w:rtl w:val="true"/>
        </w:rPr>
        <w:footnoteReference w:id="2234"/>
      </w:r>
      <w:r>
        <w:rPr>
          <w:rFonts w:ascii="IRNazanin" w:hAnsi="IRNazanin" w:eastAsia="IRNazanin"/>
          <w:color w:val="111111"/>
          <w:sz w:val="28"/>
          <w:sz w:val="28"/>
          <w:szCs w:val="28"/>
          <w:rtl w:val="true"/>
          <w:lang w:bidi="fa-IR"/>
        </w:rPr>
        <w:t xml:space="preserve">در اين مورد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اشتباهاتش را به او گوشزد مى‌نمايد</w:t>
      </w:r>
      <w:r>
        <w:rPr>
          <w:rFonts w:eastAsia="IRNazanin" w:cs="IRNazanin"/>
          <w:color w:val="111111"/>
          <w:sz w:val="28"/>
          <w:szCs w:val="28"/>
          <w:rtl w:val="true"/>
          <w:lang w:bidi="fa-IR"/>
        </w:rPr>
        <w:t xml:space="preserve">. </w:t>
      </w:r>
      <w:r>
        <w:rPr>
          <w:rStyle w:val="FootnoteAnchor"/>
          <w:rtl w:val="true"/>
        </w:rPr>
        <w:footnoteReference w:id="2235"/>
      </w:r>
      <w:r>
        <w:rPr>
          <w:rFonts w:ascii="Amiri" w:hAnsi="Amiri" w:eastAsia="Amiri" w:cs="Amiri"/>
          <w:color w:val="111111"/>
          <w:sz w:val="28"/>
          <w:sz w:val="28"/>
          <w:szCs w:val="28"/>
          <w:rtl w:val="true"/>
          <w:lang w:bidi="ar-SA"/>
        </w:rPr>
        <w:t xml:space="preserve">او در زمان عبيدالله بن زياد در سال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نيز اين سمت را به عهده داشت كه داستان او در خاموش‌كردن شورش طرف‌داران هانى مشهور است</w:t>
      </w:r>
      <w:r>
        <w:rPr>
          <w:rFonts w:eastAsia="Amiri" w:cs="Amiri" w:ascii="Amiri" w:hAnsi="Amiri"/>
          <w:color w:val="111111"/>
          <w:sz w:val="28"/>
          <w:szCs w:val="28"/>
          <w:rtl w:val="true"/>
          <w:lang w:bidi="ar-SA"/>
        </w:rPr>
        <w:t xml:space="preserve">. </w:t>
      </w:r>
      <w:r>
        <w:rPr>
          <w:rStyle w:val="FootnoteAnchor"/>
          <w:rtl w:val="true"/>
        </w:rPr>
        <w:footnoteReference w:id="2236"/>
      </w:r>
      <w:r>
        <w:rPr>
          <w:rFonts w:ascii="IRNazanin" w:hAnsi="IRNazanin" w:eastAsia="IRNazanin"/>
          <w:color w:val="111111"/>
          <w:sz w:val="28"/>
          <w:sz w:val="28"/>
          <w:szCs w:val="28"/>
          <w:rtl w:val="true"/>
          <w:lang w:bidi="fa-IR"/>
        </w:rPr>
        <w:t xml:space="preserve">او يكى از معمرين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عمر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كه عُمر او را بين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ذكر كرده‌اند</w:t>
      </w:r>
      <w:r>
        <w:rPr>
          <w:rFonts w:eastAsia="IRNazanin" w:cs="IRNazanin"/>
          <w:color w:val="111111"/>
          <w:sz w:val="28"/>
          <w:szCs w:val="28"/>
          <w:rtl w:val="true"/>
          <w:lang w:bidi="fa-IR"/>
        </w:rPr>
        <w:t xml:space="preserve">. </w:t>
      </w:r>
      <w:r>
        <w:rPr>
          <w:rStyle w:val="FootnoteAnchor"/>
          <w:rtl w:val="true"/>
        </w:rPr>
        <w:footnoteReference w:id="2237"/>
      </w:r>
      <w:r>
        <w:rPr>
          <w:rFonts w:ascii="IRNazanin" w:hAnsi="IRNazanin" w:eastAsia="IRNazanin"/>
          <w:color w:val="111111"/>
          <w:sz w:val="28"/>
          <w:sz w:val="28"/>
          <w:szCs w:val="28"/>
          <w:rtl w:val="true"/>
          <w:lang w:bidi="fa-IR"/>
        </w:rPr>
        <w:t xml:space="preserve">گفتنى است كه فتوايى از او در باره جواز جنگ 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معرفى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خارجى در منابع اوليه وجود ندارد</w:t>
      </w:r>
      <w:r>
        <w:rPr>
          <w:rFonts w:eastAsia="IRNazanin" w:cs="IRNazanin"/>
          <w:color w:val="111111"/>
          <w:sz w:val="28"/>
          <w:szCs w:val="28"/>
          <w:rtl w:val="true"/>
          <w:lang w:bidi="fa-IR"/>
        </w:rPr>
        <w:t xml:space="preserve">. </w:t>
      </w:r>
      <w:r>
        <w:rPr>
          <w:rStyle w:val="FootnoteAnchor"/>
          <w:rtl w:val="true"/>
        </w:rPr>
        <w:footnoteReference w:id="2238"/>
      </w:r>
      <w:bookmarkStart w:id="2505" w:name="pg1964_20024"/>
    </w:p>
    <w:p>
      <w:pPr>
        <w:pStyle w:val="Heading5"/>
        <w:numPr>
          <w:ilvl w:val="4"/>
          <w:numId w:val="1"/>
        </w:numPr>
        <w:rPr/>
      </w:pPr>
      <w:bookmarkStart w:id="2506" w:name="__RefHeading___Toc3586553_3650668749"/>
      <w:bookmarkStart w:id="2507" w:name="_Toc1073"/>
      <w:bookmarkEnd w:id="2505"/>
      <w:bookmarkEnd w:id="2506"/>
      <w:r>
        <w:rPr>
          <w:rtl w:val="true"/>
        </w:rPr>
        <w:t xml:space="preserve">سه </w:t>
      </w:r>
      <w:r>
        <w:rPr>
          <w:rtl w:val="true"/>
        </w:rPr>
        <w:t xml:space="preserve">- </w:t>
      </w:r>
      <w:r>
        <w:rPr>
          <w:rtl w:val="true"/>
        </w:rPr>
        <w:t>مسروع بن اَجْدَع تميمي</w:t>
      </w:r>
      <w:bookmarkEnd w:id="2507"/>
    </w:p>
    <w:p>
      <w:pPr>
        <w:pStyle w:val="BookText"/>
        <w:rPr/>
      </w:pPr>
      <w:r>
        <w:rPr>
          <w:rFonts w:ascii="Amiri" w:hAnsi="Amiri" w:eastAsia="Amiri" w:cs="Amiri"/>
          <w:color w:val="111111"/>
          <w:sz w:val="28"/>
          <w:sz w:val="28"/>
          <w:szCs w:val="28"/>
          <w:rtl w:val="true"/>
          <w:lang w:bidi="ar-SA"/>
        </w:rPr>
        <w:t xml:space="preserve">زياد طى حكومت خود در 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يك‌سال شريح را به عنوان قاضى بصره همراه خود به آن سامان برد و به جاى او مسروع را قاضى كوفه تعيين كرد</w:t>
      </w:r>
      <w:r>
        <w:rPr>
          <w:rFonts w:eastAsia="Amiri" w:cs="Amiri" w:ascii="Amiri" w:hAnsi="Amiri"/>
          <w:color w:val="111111"/>
          <w:sz w:val="28"/>
          <w:szCs w:val="28"/>
          <w:rtl w:val="true"/>
          <w:lang w:bidi="ar-SA"/>
        </w:rPr>
        <w:t xml:space="preserve">. </w:t>
      </w:r>
      <w:r>
        <w:rPr>
          <w:rStyle w:val="FootnoteAnchor"/>
          <w:rtl w:val="true"/>
        </w:rPr>
        <w:footnoteReference w:id="2239"/>
      </w:r>
    </w:p>
    <w:p>
      <w:pPr>
        <w:pStyle w:val="Heading5"/>
        <w:numPr>
          <w:ilvl w:val="4"/>
          <w:numId w:val="1"/>
        </w:numPr>
        <w:rPr/>
      </w:pPr>
      <w:bookmarkStart w:id="2508" w:name="__RefHeading___Toc3586555_3650668749"/>
      <w:bookmarkStart w:id="2509" w:name="_Toc1074"/>
      <w:bookmarkEnd w:id="2508"/>
      <w:r>
        <w:rPr>
          <w:rtl w:val="true"/>
        </w:rPr>
        <w:t xml:space="preserve">چهار </w:t>
      </w:r>
      <w:r>
        <w:rPr>
          <w:rtl w:val="true"/>
        </w:rPr>
        <w:t xml:space="preserve">- </w:t>
      </w:r>
      <w:r>
        <w:rPr>
          <w:rtl w:val="true"/>
        </w:rPr>
        <w:t>عبدالملك بن عُمَيْر لَخْمي</w:t>
      </w:r>
      <w:bookmarkEnd w:id="2509"/>
    </w:p>
    <w:p>
      <w:pPr>
        <w:pStyle w:val="BookText"/>
        <w:rPr/>
      </w:pPr>
      <w:r>
        <w:rPr>
          <w:rFonts w:ascii="Amiri" w:hAnsi="Amiri" w:eastAsia="Amiri" w:cs="Amiri"/>
          <w:color w:val="111111"/>
          <w:sz w:val="28"/>
          <w:sz w:val="28"/>
          <w:szCs w:val="28"/>
          <w:rtl w:val="true"/>
          <w:lang w:bidi="ar-SA"/>
        </w:rPr>
        <w:t>بعضى او را قاضى كوفه در زمان حكومتِ زياد معرفى كرده‌اند</w:t>
      </w:r>
      <w:r>
        <w:rPr>
          <w:rFonts w:eastAsia="Amiri" w:cs="Amiri" w:ascii="Amiri" w:hAnsi="Amiri"/>
          <w:color w:val="111111"/>
          <w:sz w:val="28"/>
          <w:szCs w:val="28"/>
          <w:rtl w:val="true"/>
          <w:lang w:bidi="ar-SA"/>
        </w:rPr>
        <w:t xml:space="preserve">. </w:t>
      </w:r>
      <w:r>
        <w:rPr>
          <w:rStyle w:val="FootnoteAnchor"/>
          <w:rtl w:val="true"/>
        </w:rPr>
        <w:footnoteReference w:id="2240"/>
      </w:r>
      <w:r>
        <w:rPr>
          <w:rFonts w:ascii="IRNazanin" w:hAnsi="IRNazanin" w:eastAsia="IRNazanin"/>
          <w:color w:val="111111"/>
          <w:sz w:val="28"/>
          <w:sz w:val="28"/>
          <w:szCs w:val="28"/>
          <w:rtl w:val="true"/>
          <w:lang w:bidi="fa-IR"/>
        </w:rPr>
        <w:t>البته در منابع اوليه به چنين گزارشى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درگذشت او را در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كرده‌اند </w:t>
      </w:r>
      <w:r>
        <w:rPr>
          <w:rStyle w:val="FootnoteAnchor"/>
          <w:rtl w:val="true"/>
        </w:rPr>
        <w:footnoteReference w:id="2241"/>
      </w:r>
      <w:r>
        <w:rPr>
          <w:rFonts w:ascii="Amiri" w:hAnsi="Amiri" w:eastAsia="Amiri" w:cs="Amiri"/>
          <w:color w:val="111111"/>
          <w:sz w:val="28"/>
          <w:sz w:val="28"/>
          <w:szCs w:val="28"/>
          <w:rtl w:val="true"/>
          <w:lang w:bidi="ar-SA"/>
        </w:rPr>
        <w:t xml:space="preserve">، بنابراين او متولد سال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بوده و در زمان حكومت زياد، كمتر از بيست سال داشته است و همين امر، تولّى قضاوت را از سوى او در اين زمان، بعيد مى‌نمايد</w:t>
      </w:r>
      <w:r>
        <w:rPr>
          <w:rFonts w:eastAsia="Amiri" w:cs="Amiri" w:ascii="Amiri" w:hAnsi="Amiri"/>
          <w:color w:val="111111"/>
          <w:sz w:val="28"/>
          <w:szCs w:val="28"/>
          <w:rtl w:val="true"/>
          <w:lang w:bidi="ar-SA"/>
        </w:rPr>
        <w:t>.</w:t>
      </w:r>
    </w:p>
    <w:p>
      <w:pPr>
        <w:pStyle w:val="Heading4"/>
        <w:numPr>
          <w:ilvl w:val="3"/>
          <w:numId w:val="1"/>
        </w:numPr>
        <w:rPr/>
      </w:pPr>
      <w:bookmarkStart w:id="2510" w:name="__RefHeading___Toc3586557_3650668749"/>
      <w:bookmarkStart w:id="2511" w:name="_Toc1075"/>
      <w:bookmarkEnd w:id="2510"/>
      <w:r>
        <w:rPr>
          <w:rtl w:val="true"/>
        </w:rPr>
        <w:t>ب</w:t>
      </w:r>
      <w:r>
        <w:rPr>
          <w:rtl w:val="true"/>
        </w:rPr>
        <w:t xml:space="preserve">) </w:t>
      </w:r>
      <w:r>
        <w:rPr>
          <w:rtl w:val="true"/>
        </w:rPr>
        <w:t>آيين دادرسى</w:t>
      </w:r>
      <w:bookmarkEnd w:id="2511"/>
    </w:p>
    <w:p>
      <w:pPr>
        <w:pStyle w:val="Heading5"/>
        <w:numPr>
          <w:ilvl w:val="4"/>
          <w:numId w:val="1"/>
        </w:numPr>
        <w:rPr/>
      </w:pPr>
      <w:bookmarkStart w:id="2512" w:name="__RefHeading___Toc3586559_3650668749"/>
      <w:bookmarkStart w:id="2513" w:name="_Toc1076"/>
      <w:bookmarkEnd w:id="2512"/>
      <w:r>
        <w:rPr>
          <w:rtl w:val="true"/>
        </w:rPr>
        <w:t>اشاره</w:t>
      </w:r>
      <w:bookmarkEnd w:id="2513"/>
    </w:p>
    <w:p>
      <w:pPr>
        <w:pStyle w:val="BookText"/>
        <w:rPr/>
      </w:pPr>
      <w:r>
        <w:rPr>
          <w:rFonts w:ascii="IRNazanin" w:hAnsi="IRNazanin" w:eastAsia="IRNazanin"/>
          <w:color w:val="111111"/>
          <w:sz w:val="28"/>
          <w:sz w:val="28"/>
          <w:szCs w:val="28"/>
          <w:rtl w:val="true"/>
          <w:lang w:bidi="fa-IR"/>
        </w:rPr>
        <w:t>منظور از آيين دادرسى، مجموعه‌اى از مقررات و قوانين است كه به منظور رسيدگى به مرافعات يا درخواست‌هاى قضايى و مانند آنها وضع مى‌شود و به‌كار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دادرسى انواعى دارد، مانند آيين دادرسى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محاكمات حقوقى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آيين‌دادرسى كيفرى</w:t>
      </w:r>
      <w:r>
        <w:rPr>
          <w:rFonts w:eastAsia="IRNazanin" w:cs="IRNazanin"/>
          <w:color w:val="111111"/>
          <w:sz w:val="28"/>
          <w:szCs w:val="28"/>
          <w:rtl w:val="true"/>
          <w:lang w:bidi="fa-IR"/>
        </w:rPr>
        <w:t xml:space="preserve">. </w:t>
      </w:r>
      <w:r>
        <w:rPr>
          <w:rStyle w:val="FootnoteAnchor"/>
          <w:rtl w:val="true"/>
        </w:rPr>
        <w:footnoteReference w:id="2242"/>
      </w:r>
    </w:p>
    <w:p>
      <w:pPr>
        <w:pStyle w:val="BookText"/>
        <w:rPr/>
      </w:pPr>
      <w:r>
        <w:rPr>
          <w:rFonts w:ascii="IRNazanin" w:hAnsi="IRNazanin" w:eastAsia="IRNazanin"/>
          <w:color w:val="111111"/>
          <w:sz w:val="28"/>
          <w:sz w:val="28"/>
          <w:szCs w:val="28"/>
          <w:rtl w:val="true"/>
          <w:lang w:bidi="fa-IR"/>
        </w:rPr>
        <w:t>در اين بخش، قسمتى از آيين دادرسى مدنى مورد بحث قرار مى‌گيرد و به قسمتى از آيين‌دادرسى كيفرى نيز در بخش مجازات‌ها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يادآورى چهار نكته لازم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آنكه محدوده اختيارات قاضى در زمان مورد بحث، قضاياى مربوط به احوال شخصيه بود و قضاياى مربوط به حكومت و اداره آن به امير يا خليفه ارجاع داده مى‌شد</w:t>
      </w:r>
      <w:r>
        <w:rPr>
          <w:rFonts w:eastAsia="Amiri" w:cs="Amiri" w:ascii="Amiri" w:hAnsi="Amiri"/>
          <w:color w:val="111111"/>
          <w:sz w:val="28"/>
          <w:szCs w:val="28"/>
          <w:rtl w:val="true"/>
          <w:lang w:bidi="ar-SA"/>
        </w:rPr>
        <w:t xml:space="preserve">. </w:t>
      </w:r>
      <w:r>
        <w:rPr>
          <w:rStyle w:val="FootnoteAnchor"/>
          <w:rtl w:val="true"/>
        </w:rPr>
        <w:footnoteReference w:id="2243"/>
      </w:r>
      <w:bookmarkStart w:id="2514" w:name="pg1964_20025"/>
    </w:p>
    <w:p>
      <w:pPr>
        <w:pStyle w:val="BookText"/>
        <w:rPr/>
      </w:pPr>
      <w:bookmarkEnd w:id="2514"/>
      <w:r>
        <w:rPr>
          <w:rFonts w:ascii="Amiri" w:hAnsi="Amiri" w:eastAsia="Amiri" w:cs="Amiri"/>
          <w:color w:val="111111"/>
          <w:sz w:val="28"/>
          <w:sz w:val="28"/>
          <w:szCs w:val="28"/>
          <w:rtl w:val="true"/>
          <w:lang w:bidi="ar-SA"/>
        </w:rPr>
        <w:t>دوم، آنكه منابع و اصولى كه قاضى براى حكم كردن به آنها استناد مى‌كرد، عبارت بود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سنت، اجماع و بالاخره اجتهاد قاضى</w:t>
      </w:r>
      <w:r>
        <w:rPr>
          <w:rFonts w:eastAsia="Amiri" w:cs="Amiri" w:ascii="Amiri" w:hAnsi="Amiri"/>
          <w:color w:val="111111"/>
          <w:sz w:val="28"/>
          <w:szCs w:val="28"/>
          <w:rtl w:val="true"/>
          <w:lang w:bidi="ar-SA"/>
        </w:rPr>
        <w:t xml:space="preserve">. </w:t>
      </w:r>
      <w:r>
        <w:rPr>
          <w:rStyle w:val="FootnoteAnchor"/>
          <w:rtl w:val="true"/>
        </w:rPr>
        <w:footnoteReference w:id="2244"/>
      </w:r>
    </w:p>
    <w:p>
      <w:pPr>
        <w:pStyle w:val="BookText"/>
        <w:rPr/>
      </w:pPr>
      <w:r>
        <w:rPr>
          <w:rFonts w:ascii="IRNazanin" w:hAnsi="IRNazanin" w:eastAsia="IRNazanin"/>
          <w:color w:val="111111"/>
          <w:sz w:val="28"/>
          <w:sz w:val="28"/>
          <w:szCs w:val="28"/>
          <w:rtl w:val="true"/>
          <w:lang w:bidi="fa-IR"/>
        </w:rPr>
        <w:t xml:space="preserve">سوم،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قبل از حكومت زياد و پسرش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خلافت و حكومت مركزى تعيين مى‌شد و بنابراين در مقابل امير كوفه استقلال داشت</w:t>
      </w:r>
      <w:r>
        <w:rPr>
          <w:rFonts w:eastAsia="IRNazanin" w:cs="IRNazanin"/>
          <w:color w:val="111111"/>
          <w:sz w:val="28"/>
          <w:szCs w:val="28"/>
          <w:rtl w:val="true"/>
          <w:lang w:bidi="fa-IR"/>
        </w:rPr>
        <w:t xml:space="preserve">. </w:t>
      </w:r>
      <w:r>
        <w:rPr>
          <w:rStyle w:val="FootnoteAnchor"/>
          <w:rtl w:val="true"/>
        </w:rPr>
        <w:footnoteReference w:id="2245"/>
      </w:r>
      <w:r>
        <w:rPr>
          <w:rFonts w:ascii="Amiri" w:hAnsi="Amiri" w:eastAsia="Amiri" w:cs="Amiri"/>
          <w:color w:val="111111"/>
          <w:sz w:val="28"/>
          <w:sz w:val="28"/>
          <w:szCs w:val="28"/>
          <w:rtl w:val="true"/>
          <w:lang w:bidi="ar-SA"/>
        </w:rPr>
        <w:t xml:space="preserve">اما از برخوردى كه زياد با قاضى كوفه، شُريح كرد و او را براى يك‌سال به بصره منتقل نمود </w:t>
      </w:r>
      <w:r>
        <w:rPr>
          <w:rStyle w:val="FootnoteAnchor"/>
          <w:rtl w:val="true"/>
        </w:rPr>
        <w:footnoteReference w:id="2246"/>
      </w:r>
      <w:r>
        <w:rPr>
          <w:rFonts w:ascii="Amiri" w:hAnsi="Amiri" w:eastAsia="Amiri" w:cs="Amiri"/>
          <w:color w:val="111111"/>
          <w:sz w:val="28"/>
          <w:sz w:val="28"/>
          <w:szCs w:val="28"/>
          <w:rtl w:val="true"/>
          <w:lang w:bidi="ar-SA"/>
        </w:rPr>
        <w:t>، اين نكته به دست مى‌آيد كه در زمان او كه حاكم مطلق عراق بوده اختيار نصب و عزل و انتقال قاضى را نيز به عهده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آنكه حقوق قاضى مستقيماً از بيت‌المال پرداخت مى‌شد </w:t>
      </w:r>
      <w:r>
        <w:rPr>
          <w:rStyle w:val="FootnoteAnchor"/>
          <w:rtl w:val="true"/>
        </w:rPr>
        <w:footnoteReference w:id="2247"/>
      </w:r>
      <w:r>
        <w:rPr>
          <w:rFonts w:ascii="Amiri" w:hAnsi="Amiri" w:eastAsia="Amiri" w:cs="Amiri"/>
          <w:color w:val="111111"/>
          <w:sz w:val="28"/>
          <w:sz w:val="28"/>
          <w:szCs w:val="28"/>
          <w:rtl w:val="true"/>
          <w:lang w:bidi="ar-SA"/>
        </w:rPr>
        <w:t xml:space="preserve">و قاضى حقى از طرفين دريافت نمى‌كرد </w:t>
      </w:r>
      <w:r>
        <w:rPr>
          <w:rStyle w:val="FootnoteAnchor"/>
          <w:rtl w:val="true"/>
        </w:rPr>
        <w:footnoteReference w:id="2248"/>
      </w:r>
      <w:r>
        <w:rPr>
          <w:rFonts w:ascii="IRNazanin" w:hAnsi="IRNazanin" w:eastAsia="IRNazanin"/>
          <w:color w:val="111111"/>
          <w:sz w:val="28"/>
          <w:sz w:val="28"/>
          <w:szCs w:val="28"/>
          <w:rtl w:val="true"/>
          <w:lang w:bidi="fa-IR"/>
        </w:rPr>
        <w:t xml:space="preserve">، چنان‌كه گفته شده است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پانصد درهم از بيت‌المال به شريح پرداخت مى‌كرد</w:t>
      </w:r>
      <w:r>
        <w:rPr>
          <w:rFonts w:eastAsia="IRNazanin" w:cs="IRNazanin"/>
          <w:color w:val="111111"/>
          <w:sz w:val="28"/>
          <w:szCs w:val="28"/>
          <w:rtl w:val="true"/>
          <w:lang w:bidi="fa-IR"/>
        </w:rPr>
        <w:t xml:space="preserve">. </w:t>
      </w:r>
      <w:r>
        <w:rPr>
          <w:rStyle w:val="FootnoteAnchor"/>
          <w:rtl w:val="true"/>
        </w:rPr>
        <w:footnoteReference w:id="2249"/>
      </w:r>
      <w:r>
        <w:rPr>
          <w:rFonts w:ascii="IRNazanin" w:hAnsi="IRNazanin" w:eastAsia="IRNazanin"/>
          <w:color w:val="111111"/>
          <w:sz w:val="28"/>
          <w:sz w:val="28"/>
          <w:szCs w:val="28"/>
          <w:rtl w:val="true"/>
          <w:lang w:bidi="fa-IR"/>
        </w:rPr>
        <w:t>همچنين آن حضرت در نامه خود خطاب به مالك اشتر، در باره مسائل مادى قاضيان خود، بسيار سفارش مى‌كنند</w:t>
      </w:r>
      <w:r>
        <w:rPr>
          <w:rFonts w:eastAsia="IRNazanin" w:cs="IRNazanin"/>
          <w:color w:val="111111"/>
          <w:sz w:val="28"/>
          <w:szCs w:val="28"/>
          <w:rtl w:val="true"/>
          <w:lang w:bidi="fa-IR"/>
        </w:rPr>
        <w:t xml:space="preserve">. </w:t>
      </w:r>
      <w:r>
        <w:rPr>
          <w:rStyle w:val="FootnoteAnchor"/>
          <w:rtl w:val="true"/>
        </w:rPr>
        <w:footnoteReference w:id="2250"/>
      </w:r>
    </w:p>
    <w:p>
      <w:pPr>
        <w:pStyle w:val="Heading5"/>
        <w:numPr>
          <w:ilvl w:val="4"/>
          <w:numId w:val="1"/>
        </w:numPr>
        <w:rPr/>
      </w:pPr>
      <w:bookmarkStart w:id="2515" w:name="__RefHeading___Toc3586561_3650668749"/>
      <w:bookmarkStart w:id="2516" w:name="_Toc1077"/>
      <w:bookmarkEnd w:id="2515"/>
      <w:r>
        <w:rPr>
          <w:rtl w:val="true"/>
        </w:rPr>
        <w:t>آيين دادرسى مدنى</w:t>
      </w:r>
      <w:bookmarkEnd w:id="2516"/>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اين آيين در اسلام مبتنى بر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بدين‌ترتيب كه شخصى كه ادعايى بر شخص ديگر داشت و اصطلاحاً 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دادخواه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 بايد بر ادعاى خود شاهد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مى‌كرد و شهود شرايط لازم را داشتند، قاضى به نفع او حكم مى‌كرد و اگر از شاهد آوردن عاجز و ناتوان بود، قاضى به سوگند خوردن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مى‌داد و با</w:t>
      </w:r>
      <w:bookmarkStart w:id="2517" w:name="pg1964_20026"/>
    </w:p>
    <w:p>
      <w:pPr>
        <w:pStyle w:val="BookText"/>
        <w:rPr/>
      </w:pPr>
      <w:bookmarkEnd w:id="2517"/>
      <w:r>
        <w:rPr>
          <w:rFonts w:ascii="IRNazanin" w:hAnsi="IRNazanin" w:eastAsia="IRNazanin"/>
          <w:color w:val="111111"/>
          <w:sz w:val="28"/>
          <w:sz w:val="28"/>
          <w:szCs w:val="28"/>
          <w:rtl w:val="true"/>
          <w:lang w:bidi="fa-IR"/>
        </w:rPr>
        <w:t>سوگند او، حكم را به نفع وى صادر مى‌كرد</w:t>
      </w:r>
      <w:r>
        <w:rPr>
          <w:rFonts w:eastAsia="IRNazanin" w:cs="IRNazanin"/>
          <w:color w:val="111111"/>
          <w:sz w:val="28"/>
          <w:szCs w:val="28"/>
          <w:rtl w:val="true"/>
          <w:lang w:bidi="fa-IR"/>
        </w:rPr>
        <w:t xml:space="preserve">. </w:t>
      </w:r>
      <w:r>
        <w:rPr>
          <w:rStyle w:val="FootnoteAnchor"/>
          <w:rtl w:val="true"/>
        </w:rPr>
        <w:footnoteReference w:id="2251"/>
      </w:r>
      <w:r>
        <w:rPr>
          <w:rFonts w:ascii="Amiri" w:hAnsi="Amiri" w:eastAsia="Amiri" w:cs="Amiri"/>
          <w:color w:val="111111"/>
          <w:sz w:val="28"/>
          <w:sz w:val="28"/>
          <w:szCs w:val="28"/>
          <w:rtl w:val="true"/>
          <w:lang w:bidi="ar-SA"/>
        </w:rPr>
        <w:t>اصل آن بود كه در حقوق مالى، مدعى دو شاهد مرد بياورد</w:t>
      </w:r>
      <w:r>
        <w:rPr>
          <w:rFonts w:eastAsia="Amiri" w:cs="Amiri" w:ascii="Amiri" w:hAnsi="Amiri"/>
          <w:color w:val="111111"/>
          <w:sz w:val="28"/>
          <w:szCs w:val="28"/>
          <w:rtl w:val="true"/>
          <w:lang w:bidi="ar-SA"/>
        </w:rPr>
        <w:t xml:space="preserve">. </w:t>
      </w:r>
      <w:r>
        <w:rPr>
          <w:rStyle w:val="FootnoteAnchor"/>
          <w:rtl w:val="true"/>
        </w:rPr>
        <w:footnoteReference w:id="2252"/>
      </w:r>
      <w:r>
        <w:rPr>
          <w:rFonts w:ascii="IRNazanin" w:hAnsi="IRNazanin" w:eastAsia="IRNazanin"/>
          <w:color w:val="111111"/>
          <w:sz w:val="28"/>
          <w:sz w:val="28"/>
          <w:szCs w:val="28"/>
          <w:rtl w:val="true"/>
          <w:lang w:bidi="fa-IR"/>
        </w:rPr>
        <w:t>اما اگر يك شاهد مى‌آورد و خود نيز سوگند مى‌خورد، حكم به نفع او صادر مى‌شد</w:t>
      </w:r>
      <w:r>
        <w:rPr>
          <w:rFonts w:eastAsia="IRNazanin" w:cs="IRNazanin"/>
          <w:color w:val="111111"/>
          <w:sz w:val="28"/>
          <w:szCs w:val="28"/>
          <w:rtl w:val="true"/>
          <w:lang w:bidi="fa-IR"/>
        </w:rPr>
        <w:t xml:space="preserve">. </w:t>
      </w:r>
      <w:r>
        <w:rPr>
          <w:rStyle w:val="FootnoteAnchor"/>
          <w:rtl w:val="true"/>
        </w:rPr>
        <w:footnoteReference w:id="2253"/>
      </w:r>
      <w:r>
        <w:rPr>
          <w:rFonts w:ascii="IRNazanin" w:hAnsi="IRNazanin" w:eastAsia="IRNazanin"/>
          <w:color w:val="111111"/>
          <w:sz w:val="28"/>
          <w:sz w:val="28"/>
          <w:szCs w:val="28"/>
          <w:rtl w:val="true"/>
          <w:lang w:bidi="fa-IR"/>
        </w:rPr>
        <w:t xml:space="preserve">در اين‌گونه حقوق، طبق دستور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زن مى‌توانستند به جاى يك شاهد مرد قرار داده شوند؛ بدين‌ترتيب كه مدعى دو شاهد زن و يك شاهد مرد بر ادعاى خود بياورد</w:t>
      </w:r>
      <w:r>
        <w:rPr>
          <w:rFonts w:eastAsia="IRNazanin" w:cs="IRNazanin"/>
          <w:color w:val="111111"/>
          <w:sz w:val="28"/>
          <w:szCs w:val="28"/>
          <w:rtl w:val="true"/>
          <w:lang w:bidi="fa-IR"/>
        </w:rPr>
        <w:t xml:space="preserve">. </w:t>
      </w:r>
      <w:r>
        <w:rPr>
          <w:rStyle w:val="FootnoteAnchor"/>
          <w:rtl w:val="true"/>
        </w:rPr>
        <w:footnoteReference w:id="2254"/>
      </w:r>
    </w:p>
    <w:p>
      <w:pPr>
        <w:pStyle w:val="BookText"/>
        <w:rPr/>
      </w:pPr>
      <w:r>
        <w:rPr>
          <w:rFonts w:ascii="IRNazanin" w:hAnsi="IRNazanin" w:eastAsia="IRNazanin"/>
          <w:color w:val="111111"/>
          <w:sz w:val="28"/>
          <w:sz w:val="28"/>
          <w:szCs w:val="28"/>
          <w:rtl w:val="true"/>
          <w:lang w:bidi="fa-IR"/>
        </w:rPr>
        <w:t xml:space="preserve">همچنين اصل آن بود كه شاهدها با هم در مجلس قضاوت حاضر شده و گواهى بدهند، اما هرگاه قاضى تشخيص مى‌داد، مى‌توانست بين شهود تفرقه بيندازد و از آنان جداگانه گواهى بگيرد، چنان‌كه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موارد چنين مى‌كرد و بدين‌وسيله دروغ‌گويى شاهدان را آشكار مى‌نمود</w:t>
      </w:r>
      <w:r>
        <w:rPr>
          <w:rFonts w:eastAsia="IRNazanin" w:cs="IRNazanin"/>
          <w:color w:val="111111"/>
          <w:sz w:val="28"/>
          <w:szCs w:val="28"/>
          <w:rtl w:val="true"/>
          <w:lang w:bidi="fa-IR"/>
        </w:rPr>
        <w:t xml:space="preserve">. </w:t>
      </w:r>
      <w:r>
        <w:rPr>
          <w:rStyle w:val="FootnoteAnchor"/>
          <w:rtl w:val="true"/>
        </w:rPr>
        <w:footnoteReference w:id="2255"/>
      </w:r>
    </w:p>
    <w:p>
      <w:pPr>
        <w:pStyle w:val="BookText"/>
        <w:rPr/>
      </w:pP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 كه قاضى نبايد حكمى به نفع اولى صادر كند مگر اينكه تمام دفاعيات دومى را شنيده باشد</w:t>
      </w:r>
      <w:r>
        <w:rPr>
          <w:rFonts w:eastAsia="IRNazanin" w:cs="IRNazanin"/>
          <w:color w:val="111111"/>
          <w:sz w:val="28"/>
          <w:szCs w:val="28"/>
          <w:rtl w:val="true"/>
          <w:lang w:bidi="fa-IR"/>
        </w:rPr>
        <w:t xml:space="preserve">. </w:t>
      </w:r>
      <w:r>
        <w:rPr>
          <w:rStyle w:val="FootnoteAnchor"/>
          <w:rtl w:val="true"/>
        </w:rPr>
        <w:footnoteReference w:id="2256"/>
      </w:r>
      <w:r>
        <w:rPr>
          <w:rFonts w:ascii="IRNazanin" w:hAnsi="IRNazanin" w:eastAsia="IRNazanin"/>
          <w:color w:val="111111"/>
          <w:sz w:val="28"/>
          <w:sz w:val="28"/>
          <w:szCs w:val="28"/>
          <w:rtl w:val="true"/>
          <w:lang w:bidi="fa-IR"/>
        </w:rPr>
        <w:t xml:space="preserve">نيز از آن حضرت نقل شده است كه قاضى بايد از صاحب اليمين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منكر و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حكم بخواهد كه سخن خود را بيان كند و بالاخره چنين نقل شده است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و يهود را در كليساها و كنيسه‌هايشان و مجوسيان را در آتشكده‌هايشان سوگند مى‌داد</w:t>
      </w:r>
      <w:r>
        <w:rPr>
          <w:rFonts w:eastAsia="IRNazanin" w:cs="IRNazanin"/>
          <w:color w:val="111111"/>
          <w:sz w:val="28"/>
          <w:szCs w:val="28"/>
          <w:rtl w:val="true"/>
          <w:lang w:bidi="fa-IR"/>
        </w:rPr>
        <w:t xml:space="preserve">. </w:t>
      </w:r>
      <w:r>
        <w:rPr>
          <w:rStyle w:val="FootnoteAnchor"/>
          <w:rtl w:val="true"/>
        </w:rPr>
        <w:footnoteReference w:id="2257"/>
      </w:r>
    </w:p>
    <w:p>
      <w:pPr>
        <w:pStyle w:val="Heading4"/>
        <w:numPr>
          <w:ilvl w:val="3"/>
          <w:numId w:val="1"/>
        </w:numPr>
        <w:rPr/>
      </w:pPr>
      <w:bookmarkStart w:id="2518" w:name="__RefHeading___Toc3586563_3650668749"/>
      <w:bookmarkStart w:id="2519" w:name="_Toc1078"/>
      <w:bookmarkEnd w:id="2518"/>
      <w:r>
        <w:rPr>
          <w:rtl w:val="true"/>
        </w:rPr>
        <w:t>ج</w:t>
      </w:r>
      <w:r>
        <w:rPr>
          <w:rtl w:val="true"/>
        </w:rPr>
        <w:t xml:space="preserve">) </w:t>
      </w:r>
      <w:r>
        <w:rPr>
          <w:rtl w:val="true"/>
        </w:rPr>
        <w:t>شرايط و صفات قاضى</w:t>
      </w:r>
      <w:bookmarkEnd w:id="2519"/>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منابع روايى شيعه و سنى بابى در كتاب القضاء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صفات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فقط ترجمه قسمتى از كلام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w:t>
      </w:r>
      <w:bookmarkStart w:id="2520" w:name="pg1964_20027"/>
    </w:p>
    <w:p>
      <w:pPr>
        <w:pStyle w:val="BookText"/>
        <w:rPr/>
      </w:pPr>
      <w:bookmarkEnd w:id="2520"/>
      <w:r>
        <w:rPr>
          <w:rFonts w:ascii="IRNazanin" w:hAnsi="IRNazanin" w:eastAsia="IRNazanin"/>
          <w:color w:val="111111"/>
          <w:sz w:val="28"/>
          <w:sz w:val="28"/>
          <w:szCs w:val="28"/>
          <w:rtl w:val="true"/>
          <w:lang w:bidi="fa-IR"/>
        </w:rPr>
        <w:t>خطاب به مالك اشتر در عهدنامه معروف در باره تعيين قاضى نگاشته، ذكر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حكم و قضاوت كردن بين مردم كسى را كه برتر از همه مى‌دانى برگزين؛ كسى كه كارها بر او سخت نيايد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عهده هر حكمى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طرفين دعوا رأى خود را بر او تحميل ننمايند، و در لغزش اصرار نورزد، و از بازگشت به حق هنگام شناخت آن سرباز نزند، و نفس او به طمع مايل نباشد، و در حكم كردن انديشه و تعمق نمايد، و در شبهات، تأمل و درنگش از همه بيشتر باشد، و حجت و دليل‌ها را بيش از همه فراگيرد، و از مراجعه دادخواهان دلتنگ نگردد و بر آشكار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از همه شكيباتر و هنگام روشن شدن حكم از همه برنده‌تر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ستودن ستايشگران به خودبينى نيفتد و گول نخورد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اين صفات، كم مى‌باشند</w:t>
      </w:r>
      <w:r>
        <w:rPr>
          <w:rFonts w:eastAsia="IRNazanin" w:cs="IRNazanin"/>
          <w:color w:val="111111"/>
          <w:sz w:val="28"/>
          <w:szCs w:val="28"/>
          <w:rtl w:val="true"/>
          <w:lang w:bidi="fa-IR"/>
        </w:rPr>
        <w:t xml:space="preserve">. </w:t>
      </w:r>
      <w:r>
        <w:rPr>
          <w:rStyle w:val="FootnoteAnchor"/>
          <w:rtl w:val="true"/>
        </w:rPr>
        <w:footnoteReference w:id="2258"/>
      </w:r>
    </w:p>
    <w:p>
      <w:pPr>
        <w:pStyle w:val="Heading4"/>
        <w:numPr>
          <w:ilvl w:val="3"/>
          <w:numId w:val="1"/>
        </w:numPr>
        <w:rPr/>
      </w:pPr>
      <w:bookmarkStart w:id="2521" w:name="__RefHeading___Toc3586565_3650668749"/>
      <w:bookmarkStart w:id="2522" w:name="_Toc1079"/>
      <w:bookmarkEnd w:id="2521"/>
      <w:r>
        <w:rPr>
          <w:rtl w:val="true"/>
        </w:rPr>
        <w:t>د</w:t>
      </w:r>
      <w:r>
        <w:rPr>
          <w:rtl w:val="true"/>
        </w:rPr>
        <w:t xml:space="preserve">) </w:t>
      </w:r>
      <w:r>
        <w:rPr>
          <w:rtl w:val="true"/>
        </w:rPr>
        <w:t>مجلس قضاوت</w:t>
      </w:r>
      <w:bookmarkEnd w:id="2522"/>
    </w:p>
    <w:p>
      <w:pPr>
        <w:pStyle w:val="BookText"/>
        <w:rPr/>
      </w:pPr>
      <w:r>
        <w:rPr>
          <w:rFonts w:ascii="IRNazanin" w:hAnsi="IRNazanin" w:eastAsia="IRNazanin"/>
          <w:color w:val="111111"/>
          <w:sz w:val="28"/>
          <w:sz w:val="28"/>
          <w:szCs w:val="28"/>
          <w:rtl w:val="true"/>
          <w:lang w:bidi="fa-IR"/>
        </w:rPr>
        <w:t>در دوران مورد بحث، معمولاً مسجد براى مجلس قضاوت انتخاب مى‌شد كه گليم يا حصير ساده‌اى در گوشه‌اى پهن كرده و قاضى روى آن مى‌نشست و احياناً متكايى نيز براى او مى‌نهادند</w:t>
      </w:r>
      <w:r>
        <w:rPr>
          <w:rFonts w:eastAsia="IRNazanin" w:cs="IRNazanin"/>
          <w:color w:val="111111"/>
          <w:sz w:val="28"/>
          <w:szCs w:val="28"/>
          <w:rtl w:val="true"/>
          <w:lang w:bidi="fa-IR"/>
        </w:rPr>
        <w:t xml:space="preserve">. </w:t>
      </w:r>
      <w:r>
        <w:rPr>
          <w:rStyle w:val="FootnoteAnchor"/>
          <w:rtl w:val="true"/>
        </w:rPr>
        <w:footnoteReference w:id="2259"/>
      </w:r>
      <w:r>
        <w:rPr>
          <w:rFonts w:ascii="IRNazanin" w:hAnsi="IRNazanin" w:eastAsia="IRNazanin"/>
          <w:color w:val="111111"/>
          <w:sz w:val="28"/>
          <w:sz w:val="28"/>
          <w:szCs w:val="28"/>
          <w:rtl w:val="true"/>
          <w:lang w:bidi="fa-IR"/>
        </w:rPr>
        <w:t xml:space="preserve">در فصل معمارى يادآور شديم كه در گوشه‌اى از مسجد كوفه مكانى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محل قضاوت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شريح چنين گفته شده است كه روزهاى بارانى در خانه خود به حكم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قاضى، مجلس قضا را با دو ركعت نماز افتتاح مى‌كرد و پس از آن، چهار زانو نشسته و به دعاوى رسيدگى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دادخواهان فراوان بودند، نوبت قرار داده مى‌شد كه احياناً زنان و غريبان كه از راه‌هاى دور آمده بودند، از اين نوبت استثنا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باره مجلس شريح چنين گفنه شده است كه او هرگاه براى قضاوت در مسجد مى‌نشست دو شمشيرزن بالاى سر او و در دو طرف آنها دو شرطى، در حالى‌كه شلاّق به دست داشتند، مى‌ايستادند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فردى به عنوان صاحب مجلس، حضور داشت كه خطاب به طرفين دعوا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شما مدعى و كدام‌يك منكر هستيد</w:t>
      </w:r>
      <w:r>
        <w:rPr>
          <w:rFonts w:eastAsia="IRNazanin" w:cs="IRNazanin"/>
          <w:color w:val="111111"/>
          <w:sz w:val="28"/>
          <w:szCs w:val="28"/>
          <w:rtl w:val="true"/>
          <w:lang w:bidi="fa-IR"/>
        </w:rPr>
        <w:t xml:space="preserve">. </w:t>
      </w:r>
      <w:r>
        <w:rPr>
          <w:rStyle w:val="FootnoteAnchor"/>
          <w:rtl w:val="true"/>
        </w:rPr>
        <w:footnoteReference w:id="2260"/>
      </w:r>
      <w:r>
        <w:rPr>
          <w:rFonts w:ascii="IRNazanin" w:hAnsi="IRNazanin" w:eastAsia="IRNazanin"/>
          <w:color w:val="111111"/>
          <w:sz w:val="28"/>
          <w:sz w:val="28"/>
          <w:szCs w:val="28"/>
          <w:rtl w:val="true"/>
          <w:lang w:bidi="fa-IR"/>
        </w:rPr>
        <w:t xml:space="preserve">به اين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جلوازان شريح، فردى به نام ابراهيم بود</w:t>
      </w:r>
      <w:r>
        <w:rPr>
          <w:rFonts w:eastAsia="IRNazanin" w:cs="IRNazanin"/>
          <w:color w:val="111111"/>
          <w:sz w:val="28"/>
          <w:szCs w:val="28"/>
          <w:rtl w:val="true"/>
          <w:lang w:bidi="fa-IR"/>
        </w:rPr>
        <w:t xml:space="preserve">. </w:t>
      </w:r>
      <w:r>
        <w:rPr>
          <w:rStyle w:val="FootnoteAnchor"/>
          <w:rtl w:val="true"/>
        </w:rPr>
        <w:footnoteReference w:id="2261"/>
      </w:r>
      <w:r>
        <w:rPr>
          <w:rFonts w:ascii="IRNazanin" w:hAnsi="IRNazanin" w:eastAsia="IRNazanin"/>
          <w:color w:val="111111"/>
          <w:sz w:val="28"/>
          <w:sz w:val="28"/>
          <w:szCs w:val="28"/>
          <w:rtl w:val="true"/>
          <w:lang w:bidi="fa-IR"/>
        </w:rPr>
        <w:t xml:space="preserve">در باره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اين لغت از تركيب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سربازى بود كه در جلوى اميران حركت مى‌كرد و راه را باز مى‌كرد</w:t>
      </w:r>
      <w:r>
        <w:rPr>
          <w:rFonts w:eastAsia="IRNazanin" w:cs="IRNazanin"/>
          <w:color w:val="111111"/>
          <w:sz w:val="28"/>
          <w:szCs w:val="28"/>
          <w:rtl w:val="true"/>
          <w:lang w:bidi="fa-IR"/>
        </w:rPr>
        <w:t xml:space="preserve">. </w:t>
      </w:r>
      <w:r>
        <w:rPr>
          <w:rStyle w:val="FootnoteAnchor"/>
          <w:rtl w:val="true"/>
        </w:rPr>
        <w:footnoteReference w:id="2262"/>
      </w:r>
    </w:p>
    <w:p>
      <w:pPr>
        <w:pStyle w:val="BookText"/>
        <w:rPr/>
      </w:pPr>
      <w:r>
        <w:rPr>
          <w:rFonts w:ascii="IRNazanin" w:hAnsi="IRNazanin" w:eastAsia="IRNazanin"/>
          <w:color w:val="111111"/>
          <w:sz w:val="28"/>
          <w:sz w:val="28"/>
          <w:szCs w:val="28"/>
          <w:rtl w:val="true"/>
          <w:lang w:bidi="fa-IR"/>
        </w:rPr>
        <w:t>معمولاً در مجلس شريح بزرگانى نشسته بودند كه شريح در مواقع لزوم با آنان مشورت مى‌كرد</w:t>
      </w:r>
      <w:r>
        <w:rPr>
          <w:rFonts w:eastAsia="IRNazanin" w:cs="IRNazanin"/>
          <w:color w:val="111111"/>
          <w:sz w:val="28"/>
          <w:szCs w:val="28"/>
          <w:rtl w:val="true"/>
          <w:lang w:bidi="fa-IR"/>
        </w:rPr>
        <w:t xml:space="preserve">. </w:t>
      </w:r>
      <w:r>
        <w:rPr>
          <w:rStyle w:val="FootnoteAnchor"/>
          <w:rtl w:val="true"/>
        </w:rPr>
        <w:footnoteReference w:id="2263"/>
      </w:r>
      <w:r>
        <w:rPr>
          <w:rFonts w:ascii="Amiri" w:hAnsi="Amiri" w:eastAsia="Amiri" w:cs="Amiri"/>
          <w:color w:val="111111"/>
          <w:sz w:val="28"/>
          <w:sz w:val="28"/>
          <w:szCs w:val="28"/>
          <w:rtl w:val="true"/>
          <w:lang w:bidi="ar-SA"/>
        </w:rPr>
        <w:t xml:space="preserve">از يكى از اين افراد با نام 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مسروع بن اجدع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 xml:space="preserve">. </w:t>
      </w:r>
      <w:r>
        <w:rPr>
          <w:rStyle w:val="FootnoteAnchor"/>
          <w:rtl w:val="true"/>
        </w:rPr>
        <w:footnoteReference w:id="2264"/>
      </w:r>
    </w:p>
    <w:p>
      <w:pPr>
        <w:pStyle w:val="BookText"/>
        <w:rPr/>
      </w:pPr>
      <w:r>
        <w:rPr>
          <w:rFonts w:ascii="IRNazanin" w:hAnsi="IRNazanin" w:eastAsia="IRNazanin"/>
          <w:color w:val="111111"/>
          <w:sz w:val="28"/>
          <w:sz w:val="28"/>
          <w:szCs w:val="28"/>
          <w:rtl w:val="true"/>
          <w:lang w:bidi="fa-IR"/>
        </w:rPr>
        <w:t xml:space="preserve">در مجلس قضاوت، دو طرف دعوا طورى مى‌نشستند كه نسبت آنها با قاضى همسان بود، چنان‌كه وقتى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دعواى خود را با نصرانى نزد شريح آورد، خود نزد شريح نشست در حالى‌كه نصرانى در پايين مجلس بود، سپس آن حضرت رو به شريح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طرف دعواى من مسلمان بود، من كنار او مى‌نشستم،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 طرف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نصرانى است</w:t>
      </w:r>
      <w:r>
        <w:rPr>
          <w:rFonts w:eastAsia="IRNazanin" w:cs="IRNazanin"/>
          <w:color w:val="111111"/>
          <w:sz w:val="28"/>
          <w:szCs w:val="28"/>
          <w:rtl w:val="true"/>
          <w:lang w:bidi="fa-IR"/>
        </w:rPr>
        <w:t xml:space="preserve">. </w:t>
      </w:r>
      <w:r>
        <w:rPr>
          <w:rStyle w:val="FootnoteAnchor"/>
          <w:rtl w:val="true"/>
        </w:rPr>
        <w:footnoteReference w:id="2265"/>
      </w:r>
      <w:r>
        <w:rPr>
          <w:rFonts w:ascii="IRNazanin" w:hAnsi="IRNazanin" w:eastAsia="IRNazanin"/>
          <w:color w:val="111111"/>
          <w:sz w:val="28"/>
          <w:sz w:val="28"/>
          <w:szCs w:val="28"/>
          <w:rtl w:val="true"/>
          <w:lang w:bidi="fa-IR"/>
        </w:rPr>
        <w:t xml:space="preserve">در روايات از حضرت‌على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نقل شده است كه قاضى بايد در نشستن، نگاه كردن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كردن بين طرفين دعوا مساوات برقرار كند</w:t>
      </w:r>
      <w:r>
        <w:rPr>
          <w:rFonts w:eastAsia="IRNazanin" w:cs="IRNazanin"/>
          <w:color w:val="111111"/>
          <w:sz w:val="28"/>
          <w:szCs w:val="28"/>
          <w:rtl w:val="true"/>
          <w:lang w:bidi="fa-IR"/>
        </w:rPr>
        <w:t xml:space="preserve">. </w:t>
      </w:r>
      <w:r>
        <w:rPr>
          <w:rStyle w:val="FootnoteAnchor"/>
          <w:rtl w:val="true"/>
        </w:rPr>
        <w:footnoteReference w:id="2266"/>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نقل شده است كه قاضى نبايد در حال گرسنگى در مجلس قضا بنشيند </w:t>
      </w:r>
      <w:r>
        <w:rPr>
          <w:rStyle w:val="FootnoteAnchor"/>
          <w:rtl w:val="true"/>
        </w:rPr>
        <w:footnoteReference w:id="22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ممكن است بخواهد با عجله مجلس را به پايان برساند</w:t>
      </w:r>
      <w:r>
        <w:rPr>
          <w:rFonts w:eastAsia="IRNazanin" w:cs="IRNazanin"/>
          <w:color w:val="111111"/>
          <w:sz w:val="28"/>
          <w:szCs w:val="28"/>
          <w:rtl w:val="true"/>
          <w:lang w:bidi="fa-IR"/>
        </w:rPr>
        <w:t>) .</w:t>
      </w:r>
      <w:bookmarkStart w:id="2523" w:name="pg1964_20029"/>
    </w:p>
    <w:p>
      <w:pPr>
        <w:pStyle w:val="BookText"/>
        <w:rPr/>
      </w:pPr>
      <w:bookmarkEnd w:id="2523"/>
      <w:r>
        <w:rPr>
          <w:rFonts w:ascii="IRNazanin" w:hAnsi="IRNazanin" w:eastAsia="IRNazanin"/>
          <w:color w:val="111111"/>
          <w:sz w:val="28"/>
          <w:sz w:val="28"/>
          <w:szCs w:val="28"/>
          <w:rtl w:val="true"/>
          <w:lang w:bidi="fa-IR"/>
        </w:rPr>
        <w:t xml:space="preserve">نيز آن حضرت و همچنين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قضاوت كردن قاضى در حال عصبانيت منع فرموده‌اند</w:t>
      </w:r>
      <w:r>
        <w:rPr>
          <w:rFonts w:eastAsia="IRNazanin" w:cs="IRNazanin"/>
          <w:color w:val="111111"/>
          <w:sz w:val="28"/>
          <w:szCs w:val="28"/>
          <w:rtl w:val="true"/>
          <w:lang w:bidi="fa-IR"/>
        </w:rPr>
        <w:t xml:space="preserve">. </w:t>
      </w:r>
      <w:r>
        <w:rPr>
          <w:rStyle w:val="FootnoteAnchor"/>
          <w:rtl w:val="true"/>
        </w:rPr>
        <w:footnoteReference w:id="2268"/>
      </w:r>
    </w:p>
    <w:p>
      <w:pPr>
        <w:pStyle w:val="BookText"/>
        <w:rPr/>
      </w:pPr>
      <w:r>
        <w:rPr>
          <w:rFonts w:ascii="IRNazanin" w:hAnsi="IRNazanin" w:eastAsia="IRNazanin"/>
          <w:color w:val="111111"/>
          <w:sz w:val="28"/>
          <w:sz w:val="28"/>
          <w:szCs w:val="28"/>
          <w:rtl w:val="true"/>
          <w:lang w:bidi="fa-IR"/>
        </w:rPr>
        <w:t xml:space="preserve">نكته پايانى در اين باب آن است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حكمى كلى، خطاهاى قاضيان را قابل جبران از بيت‌المال دانست</w:t>
      </w:r>
      <w:r>
        <w:rPr>
          <w:rFonts w:eastAsia="IRNazanin" w:cs="IRNazanin"/>
          <w:color w:val="111111"/>
          <w:sz w:val="28"/>
          <w:szCs w:val="28"/>
          <w:rtl w:val="true"/>
          <w:lang w:bidi="fa-IR"/>
        </w:rPr>
        <w:t xml:space="preserve">. </w:t>
      </w:r>
      <w:r>
        <w:rPr>
          <w:rStyle w:val="FootnoteAnchor"/>
          <w:rtl w:val="true"/>
        </w:rPr>
        <w:footnoteReference w:id="2269"/>
      </w:r>
    </w:p>
    <w:p>
      <w:pPr>
        <w:pStyle w:val="Heading4"/>
        <w:numPr>
          <w:ilvl w:val="3"/>
          <w:numId w:val="1"/>
        </w:numPr>
        <w:rPr/>
      </w:pPr>
      <w:bookmarkStart w:id="2524" w:name="__RefHeading___Toc3586567_3650668749"/>
      <w:bookmarkStart w:id="2525" w:name="_Toc1080"/>
      <w:bookmarkEnd w:id="2524"/>
      <w:r>
        <w:rPr>
          <w:rtl w:val="true"/>
        </w:rPr>
        <w:t>ه</w:t>
      </w:r>
      <w:r>
        <w:rPr>
          <w:rtl w:val="true"/>
        </w:rPr>
        <w:t xml:space="preserve">) </w:t>
      </w:r>
      <w:r>
        <w:rPr>
          <w:rtl w:val="true"/>
        </w:rPr>
        <w:t>مجازات‌ها</w:t>
      </w:r>
      <w:bookmarkEnd w:id="2525"/>
    </w:p>
    <w:p>
      <w:pPr>
        <w:pStyle w:val="Heading5"/>
        <w:numPr>
          <w:ilvl w:val="4"/>
          <w:numId w:val="1"/>
        </w:numPr>
        <w:rPr/>
      </w:pPr>
      <w:bookmarkStart w:id="2526" w:name="__RefHeading___Toc3586569_3650668749"/>
      <w:bookmarkStart w:id="2527" w:name="_Toc1081"/>
      <w:bookmarkEnd w:id="2526"/>
      <w:r>
        <w:rPr>
          <w:rtl w:val="true"/>
        </w:rPr>
        <w:t>اشاره</w:t>
      </w:r>
      <w:bookmarkEnd w:id="2527"/>
    </w:p>
    <w:p>
      <w:pPr>
        <w:pStyle w:val="BookText"/>
        <w:rPr/>
      </w:pPr>
      <w:r>
        <w:rPr>
          <w:rFonts w:ascii="IRNazanin" w:hAnsi="IRNazanin" w:eastAsia="IRNazanin"/>
          <w:color w:val="111111"/>
          <w:sz w:val="28"/>
          <w:sz w:val="28"/>
          <w:szCs w:val="28"/>
          <w:rtl w:val="true"/>
          <w:lang w:bidi="fa-IR"/>
        </w:rPr>
        <w:t>بيان تفصيلى مجازات‌هاى اسلامى نياز به بيان يك دوره حقوق جزاء در اسلام يا كتاب الحدود و القصاص دارد، و بنابراين در اينجا سعى شده است كه عصاره و فشرده اين مجازات‌ها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يادآورى اين نكته كه معمولاً به اجراى اين مجازات‌ها در زمان مورد بحث يا زمان قبل از آن تا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يادآورى مى‌شود كه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مجازات‌هاى غيرمشروع را كه عمدتاً در زمان امويان و به خصوص در زمان زياد و پسرش اجرا مى‌شد و مجرمان سياسى از نظر حكومت را دربر مى‌گرفت، از نظر دور 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تعزيرات در اين بخش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مجازات‌ها عبارت است از</w:t>
      </w:r>
      <w:r>
        <w:rPr>
          <w:rFonts w:eastAsia="IRNazanin" w:cs="IRNazanin"/>
          <w:color w:val="111111"/>
          <w:sz w:val="28"/>
          <w:szCs w:val="28"/>
          <w:rtl w:val="true"/>
          <w:lang w:bidi="fa-IR"/>
        </w:rPr>
        <w:t>:</w:t>
      </w:r>
    </w:p>
    <w:p>
      <w:pPr>
        <w:pStyle w:val="Heading5"/>
        <w:numPr>
          <w:ilvl w:val="4"/>
          <w:numId w:val="1"/>
        </w:numPr>
        <w:rPr/>
      </w:pPr>
      <w:bookmarkStart w:id="2528" w:name="__RefHeading___Toc3586571_3650668749"/>
      <w:bookmarkStart w:id="2529" w:name="_Toc1082"/>
      <w:bookmarkEnd w:id="2528"/>
      <w:r>
        <w:rPr>
          <w:rtl w:val="true"/>
        </w:rPr>
        <w:t xml:space="preserve">يك </w:t>
      </w:r>
      <w:r>
        <w:rPr>
          <w:rtl w:val="true"/>
        </w:rPr>
        <w:t xml:space="preserve">- </w:t>
      </w:r>
      <w:r>
        <w:rPr>
          <w:rtl w:val="true"/>
        </w:rPr>
        <w:t xml:space="preserve">قتل </w:t>
      </w:r>
      <w:r>
        <w:rPr>
          <w:rtl w:val="true"/>
        </w:rPr>
        <w:t>(</w:t>
      </w:r>
      <w:r>
        <w:rPr>
          <w:rtl w:val="true"/>
        </w:rPr>
        <w:t>كشتن</w:t>
      </w:r>
      <w:r>
        <w:rPr>
          <w:rtl w:val="true"/>
        </w:rPr>
        <w:t>)</w:t>
      </w:r>
      <w:bookmarkEnd w:id="2529"/>
    </w:p>
    <w:p>
      <w:pPr>
        <w:pStyle w:val="BookText"/>
        <w:rPr/>
      </w:pPr>
      <w:r>
        <w:rPr>
          <w:rFonts w:ascii="Amiri" w:hAnsi="Amiri" w:eastAsia="Amiri" w:cs="Amiri"/>
          <w:color w:val="111111"/>
          <w:sz w:val="28"/>
          <w:sz w:val="28"/>
          <w:szCs w:val="28"/>
          <w:rtl w:val="true"/>
          <w:lang w:bidi="ar-SA"/>
        </w:rPr>
        <w:t>افراد زير طبق احكام اسلامى بايد كشته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شوهردار يا مرد همسردارى كه زنا نموده باشند كه كشتن آنها به وسيله سنگسار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270"/>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ذمّى هرگاه با زن مسلمان زنا نمايد</w:t>
      </w:r>
      <w:r>
        <w:rPr>
          <w:rFonts w:eastAsia="IRNazanin" w:cs="IRNazanin"/>
          <w:color w:val="111111"/>
          <w:sz w:val="28"/>
          <w:szCs w:val="28"/>
          <w:rtl w:val="true"/>
          <w:lang w:bidi="fa-IR"/>
        </w:rPr>
        <w:t xml:space="preserve">. </w:t>
      </w:r>
      <w:r>
        <w:rPr>
          <w:rStyle w:val="FootnoteAnchor"/>
          <w:rtl w:val="true"/>
        </w:rPr>
        <w:footnoteReference w:id="2271"/>
      </w:r>
      <w:bookmarkStart w:id="2530" w:name="pg1964_20030"/>
    </w:p>
    <w:p>
      <w:pPr>
        <w:pStyle w:val="BookText"/>
        <w:rPr/>
      </w:pPr>
      <w:bookmarkEnd w:id="2530"/>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لواطكننده و لواطدهنده كه حكم وى طبق آنچه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كشتن با شمشير يا پرت كردن 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مكانى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دست و پاى او بسته است و يا سوزاندن مى‌باشد</w:t>
      </w:r>
      <w:r>
        <w:rPr>
          <w:rFonts w:eastAsia="IRNazanin" w:cs="IRNazanin"/>
          <w:color w:val="111111"/>
          <w:sz w:val="28"/>
          <w:szCs w:val="28"/>
          <w:rtl w:val="true"/>
          <w:lang w:bidi="fa-IR"/>
        </w:rPr>
        <w:t xml:space="preserve">. </w:t>
      </w:r>
      <w:r>
        <w:rPr>
          <w:rStyle w:val="FootnoteAnchor"/>
          <w:rtl w:val="true"/>
        </w:rPr>
        <w:footnoteReference w:id="2272"/>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را كه اقدام به مساحقه نموده بودند، به وسيله آتش سوزاند</w:t>
      </w:r>
      <w:r>
        <w:rPr>
          <w:rFonts w:eastAsia="IRNazanin" w:cs="IRNazanin"/>
          <w:color w:val="111111"/>
          <w:sz w:val="28"/>
          <w:szCs w:val="28"/>
          <w:rtl w:val="true"/>
          <w:lang w:bidi="fa-IR"/>
        </w:rPr>
        <w:t xml:space="preserve">. </w:t>
      </w:r>
      <w:r>
        <w:rPr>
          <w:rStyle w:val="FootnoteAnchor"/>
          <w:rtl w:val="true"/>
        </w:rPr>
        <w:footnoteReference w:id="2273"/>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كه پدر و مادرش يا يكى از آن دو در حال انعقاد نطفه‌اش مسلمان بوده‌اند و خود از دين اسلام برمى‌گردد،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و حكم او قتل است، چنان‌كه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را در باره مسلمانى مسيحى شده اجرا كرد</w:t>
      </w:r>
      <w:r>
        <w:rPr>
          <w:rFonts w:eastAsia="IRNazanin" w:cs="IRNazanin"/>
          <w:color w:val="111111"/>
          <w:sz w:val="28"/>
          <w:szCs w:val="28"/>
          <w:rtl w:val="true"/>
          <w:lang w:bidi="fa-IR"/>
        </w:rPr>
        <w:t xml:space="preserve">. </w:t>
      </w:r>
      <w:r>
        <w:rPr>
          <w:rStyle w:val="FootnoteAnchor"/>
          <w:rtl w:val="true"/>
        </w:rPr>
        <w:footnoteReference w:id="2274"/>
      </w:r>
      <w:r>
        <w:rPr>
          <w:rFonts w:ascii="IRNazanin" w:hAnsi="IRNazanin" w:eastAsia="IRNazanin"/>
          <w:color w:val="111111"/>
          <w:sz w:val="28"/>
          <w:sz w:val="28"/>
          <w:szCs w:val="28"/>
          <w:rtl w:val="true"/>
          <w:lang w:bidi="fa-IR"/>
        </w:rPr>
        <w:t xml:space="preserve">اما اگر پدر و مادر او هيچ‌كدام مسلمان نبودند و خود اسلام را قبول كرد و سپس از آن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و حكم او اين است كه ابتدا از وى خواسته مى‌شود كه توبه نمايد، اگر توبه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نيز در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w:t>
      </w:r>
      <w:r>
        <w:rPr>
          <w:rFonts w:eastAsia="IRNazanin" w:cs="IRNazanin"/>
          <w:color w:val="111111"/>
          <w:sz w:val="28"/>
          <w:szCs w:val="28"/>
          <w:rtl w:val="true"/>
          <w:lang w:bidi="fa-IR"/>
        </w:rPr>
        <w:t xml:space="preserve">. </w:t>
      </w:r>
      <w:r>
        <w:rPr>
          <w:rStyle w:val="FootnoteAnchor"/>
          <w:rtl w:val="true"/>
        </w:rPr>
        <w:footnoteReference w:id="2275"/>
      </w:r>
    </w:p>
    <w:p>
      <w:pPr>
        <w:pStyle w:val="BookText"/>
        <w:rPr/>
      </w:pPr>
      <w:r>
        <w:rPr>
          <w:rFonts w:ascii="IRNazanin" w:hAnsi="IRNazanin" w:eastAsia="IRNazanin"/>
          <w:color w:val="111111"/>
          <w:sz w:val="28"/>
          <w:sz w:val="28"/>
          <w:szCs w:val="28"/>
          <w:rtl w:val="true"/>
          <w:lang w:bidi="fa-IR"/>
        </w:rPr>
        <w:t>البته اين احكام در باب مرتد به مرد اختصاص دارد و زن مرتد حكم ديگرى دارد كه خواهد آمد</w:t>
      </w:r>
      <w:r>
        <w:rPr>
          <w:rFonts w:eastAsia="IRNazanin" w:cs="IRNazanin"/>
          <w:color w:val="111111"/>
          <w:sz w:val="28"/>
          <w:szCs w:val="28"/>
          <w:rtl w:val="true"/>
          <w:lang w:bidi="fa-IR"/>
        </w:rPr>
        <w:t>.</w:t>
      </w:r>
    </w:p>
    <w:p>
      <w:pPr>
        <w:pStyle w:val="Heading5"/>
        <w:numPr>
          <w:ilvl w:val="4"/>
          <w:numId w:val="1"/>
        </w:numPr>
        <w:rPr/>
      </w:pPr>
      <w:bookmarkStart w:id="2531" w:name="__RefHeading___Toc3586573_3650668749"/>
      <w:bookmarkStart w:id="2532" w:name="_Toc1083"/>
      <w:bookmarkEnd w:id="2531"/>
      <w:r>
        <w:rPr>
          <w:rtl w:val="true"/>
        </w:rPr>
        <w:t xml:space="preserve">دو </w:t>
      </w:r>
      <w:r>
        <w:rPr>
          <w:rtl w:val="true"/>
        </w:rPr>
        <w:t xml:space="preserve">- </w:t>
      </w:r>
      <w:r>
        <w:rPr>
          <w:rtl w:val="true"/>
        </w:rPr>
        <w:t xml:space="preserve">شلاق </w:t>
      </w:r>
      <w:r>
        <w:rPr>
          <w:rtl w:val="true"/>
        </w:rPr>
        <w:t>(</w:t>
      </w:r>
      <w:r>
        <w:rPr>
          <w:rtl w:val="true"/>
        </w:rPr>
        <w:t>جَلد</w:t>
      </w:r>
      <w:r>
        <w:rPr>
          <w:rtl w:val="true"/>
        </w:rPr>
        <w:t>)</w:t>
      </w:r>
      <w:bookmarkEnd w:id="2532"/>
    </w:p>
    <w:p>
      <w:pPr>
        <w:pStyle w:val="BookText"/>
        <w:rPr/>
      </w:pPr>
      <w:r>
        <w:rPr>
          <w:rFonts w:ascii="Amiri" w:hAnsi="Amiri" w:eastAsia="Amiri" w:cs="Amiri"/>
          <w:color w:val="111111"/>
          <w:sz w:val="28"/>
          <w:sz w:val="28"/>
          <w:szCs w:val="28"/>
          <w:rtl w:val="true"/>
          <w:lang w:bidi="ar-SA"/>
        </w:rPr>
        <w:t>افراد زير طبق احكام اسلامى حد شلاق بر آنها جارى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و مرد مجردى كه زنا مى‌كنند كه به هر يك صد ضربه شلاق زده مى‌شود</w:t>
      </w:r>
      <w:r>
        <w:rPr>
          <w:rFonts w:eastAsia="Amiri" w:cs="Amiri" w:ascii="Amiri" w:hAnsi="Amiri"/>
          <w:color w:val="111111"/>
          <w:sz w:val="28"/>
          <w:szCs w:val="28"/>
          <w:rtl w:val="true"/>
          <w:lang w:bidi="ar-SA"/>
        </w:rPr>
        <w:t xml:space="preserve">. </w:t>
      </w:r>
      <w:r>
        <w:rPr>
          <w:rStyle w:val="FootnoteAnchor"/>
          <w:rtl w:val="true"/>
        </w:rPr>
        <w:footnoteReference w:id="2276"/>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ديگرى تهمت زنا بزند كه به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ناروا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حد آن، هشتاد ضربه شلاق است</w:t>
      </w:r>
      <w:r>
        <w:rPr>
          <w:rFonts w:eastAsia="IRNazanin" w:cs="IRNazanin"/>
          <w:color w:val="111111"/>
          <w:sz w:val="28"/>
          <w:szCs w:val="28"/>
          <w:rtl w:val="true"/>
          <w:lang w:bidi="fa-IR"/>
        </w:rPr>
        <w:t xml:space="preserve">. </w:t>
      </w:r>
      <w:r>
        <w:rPr>
          <w:rStyle w:val="FootnoteAnchor"/>
          <w:rtl w:val="true"/>
        </w:rPr>
        <w:footnoteReference w:id="2277"/>
      </w:r>
      <w:r>
        <w:rPr>
          <w:rFonts w:ascii="Amiri" w:hAnsi="Amiri" w:eastAsia="Amiri" w:cs="Amiri"/>
          <w:color w:val="111111"/>
          <w:sz w:val="28"/>
          <w:sz w:val="28"/>
          <w:szCs w:val="28"/>
          <w:rtl w:val="true"/>
          <w:lang w:bidi="ar-SA"/>
        </w:rPr>
        <w:t xml:space="preserve">اين حد در مورد اتهام لواط نيز از زبان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 xml:space="preserve">. </w:t>
      </w:r>
      <w:r>
        <w:rPr>
          <w:rStyle w:val="FootnoteAnchor"/>
          <w:rtl w:val="true"/>
        </w:rPr>
        <w:footnoteReference w:id="2278"/>
      </w:r>
      <w:bookmarkStart w:id="2533" w:name="pg1964_20031"/>
    </w:p>
    <w:p>
      <w:pPr>
        <w:pStyle w:val="BookText"/>
        <w:rPr/>
      </w:pPr>
      <w:bookmarkEnd w:id="2533"/>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كه حد او هشتاد ضربه شلاق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 در زمان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اجرا شده است</w:t>
      </w:r>
      <w:r>
        <w:rPr>
          <w:rFonts w:eastAsia="IRNazanin" w:cs="IRNazanin"/>
          <w:color w:val="111111"/>
          <w:sz w:val="28"/>
          <w:szCs w:val="28"/>
          <w:rtl w:val="true"/>
          <w:lang w:bidi="fa-IR"/>
        </w:rPr>
        <w:t xml:space="preserve">. </w:t>
      </w:r>
      <w:r>
        <w:rPr>
          <w:rStyle w:val="FootnoteAnchor"/>
          <w:rtl w:val="true"/>
        </w:rPr>
        <w:footnoteReference w:id="2279"/>
      </w: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شراب‌خوارى را كه در ماه مبارك رمضان شراب خورده بود، صد ضربه شلاق زد كه بيست ضربه اضافى به سبب شكستن حرمت اين ماه مبارك بود</w:t>
      </w:r>
      <w:r>
        <w:rPr>
          <w:rFonts w:eastAsia="Amiri" w:cs="Amiri" w:ascii="Amiri" w:hAnsi="Amiri"/>
          <w:color w:val="111111"/>
          <w:sz w:val="28"/>
          <w:szCs w:val="28"/>
          <w:rtl w:val="true"/>
          <w:lang w:bidi="ar-SA"/>
        </w:rPr>
        <w:t xml:space="preserve">. </w:t>
      </w:r>
      <w:r>
        <w:rPr>
          <w:rStyle w:val="FootnoteAnchor"/>
          <w:rtl w:val="true"/>
        </w:rPr>
        <w:footnoteReference w:id="2280"/>
      </w:r>
    </w:p>
    <w:p>
      <w:pPr>
        <w:pStyle w:val="Heading5"/>
        <w:numPr>
          <w:ilvl w:val="4"/>
          <w:numId w:val="1"/>
        </w:numPr>
        <w:rPr/>
      </w:pPr>
      <w:bookmarkStart w:id="2534" w:name="__RefHeading___Toc3586575_3650668749"/>
      <w:bookmarkStart w:id="2535" w:name="_Toc1084"/>
      <w:bookmarkEnd w:id="2534"/>
      <w:r>
        <w:rPr>
          <w:rtl w:val="true"/>
        </w:rPr>
        <w:t xml:space="preserve">سه </w:t>
      </w:r>
      <w:r>
        <w:rPr>
          <w:rtl w:val="true"/>
        </w:rPr>
        <w:t xml:space="preserve">- </w:t>
      </w:r>
      <w:r>
        <w:rPr>
          <w:rtl w:val="true"/>
        </w:rPr>
        <w:t xml:space="preserve">بريدن دست يا پا </w:t>
      </w:r>
      <w:r>
        <w:rPr>
          <w:rtl w:val="true"/>
        </w:rPr>
        <w:t>(</w:t>
      </w:r>
      <w:r>
        <w:rPr>
          <w:rtl w:val="true"/>
        </w:rPr>
        <w:t>قطع</w:t>
      </w:r>
      <w:r>
        <w:rPr>
          <w:rtl w:val="true"/>
        </w:rPr>
        <w:t>)</w:t>
      </w:r>
      <w:bookmarkEnd w:id="2535"/>
    </w:p>
    <w:p>
      <w:pPr>
        <w:pStyle w:val="Heading6"/>
        <w:numPr>
          <w:ilvl w:val="5"/>
          <w:numId w:val="1"/>
        </w:numPr>
        <w:rPr/>
      </w:pPr>
      <w:bookmarkStart w:id="2536" w:name="__RefHeading___Toc3586577_3650668749"/>
      <w:bookmarkStart w:id="2537" w:name="_Toc1085"/>
      <w:bookmarkEnd w:id="2536"/>
      <w:r>
        <w:rPr>
          <w:rtl w:val="true"/>
        </w:rPr>
        <w:t xml:space="preserve">اول </w:t>
      </w:r>
      <w:r>
        <w:rPr>
          <w:rtl w:val="true"/>
        </w:rPr>
        <w:t xml:space="preserve">- </w:t>
      </w:r>
      <w:r>
        <w:rPr>
          <w:rtl w:val="true"/>
        </w:rPr>
        <w:t>سرقت</w:t>
      </w:r>
      <w:bookmarkEnd w:id="2537"/>
    </w:p>
    <w:p>
      <w:pPr>
        <w:pStyle w:val="BookText"/>
        <w:rPr/>
      </w:pPr>
      <w:r>
        <w:rPr>
          <w:rFonts w:ascii="IRNazanin" w:hAnsi="IRNazanin" w:eastAsia="IRNazanin"/>
          <w:color w:val="111111"/>
          <w:sz w:val="28"/>
          <w:sz w:val="28"/>
          <w:szCs w:val="28"/>
          <w:rtl w:val="true"/>
          <w:lang w:bidi="fa-IR"/>
        </w:rPr>
        <w:t xml:space="preserve">دست راست سارق در مرتبه اول سرقت، بريده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شرايط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مرتبه دوم، پاى چپ او قطع مى‌شد، و در مرتبه سوم، زندانى مى‌شد و در مرتبه چهارم، كشته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را با مراتب ذكر شده اجرا مى‌كرد</w:t>
      </w:r>
      <w:r>
        <w:rPr>
          <w:rFonts w:eastAsia="IRNazanin" w:cs="IRNazanin"/>
          <w:color w:val="111111"/>
          <w:sz w:val="28"/>
          <w:szCs w:val="28"/>
          <w:rtl w:val="true"/>
          <w:lang w:bidi="fa-IR"/>
        </w:rPr>
        <w:t xml:space="preserve">. </w:t>
      </w:r>
      <w:r>
        <w:rPr>
          <w:rStyle w:val="FootnoteAnchor"/>
          <w:rtl w:val="true"/>
        </w:rPr>
        <w:footnoteReference w:id="2281"/>
      </w:r>
    </w:p>
    <w:p>
      <w:pPr>
        <w:pStyle w:val="Heading6"/>
        <w:numPr>
          <w:ilvl w:val="5"/>
          <w:numId w:val="1"/>
        </w:numPr>
        <w:rPr/>
      </w:pPr>
      <w:bookmarkStart w:id="2538" w:name="__RefHeading___Toc3586579_3650668749"/>
      <w:bookmarkStart w:id="2539" w:name="_Toc1086"/>
      <w:bookmarkEnd w:id="2538"/>
      <w:r>
        <w:rPr>
          <w:rtl w:val="true"/>
        </w:rPr>
        <w:t xml:space="preserve">دوم </w:t>
      </w:r>
      <w:r>
        <w:rPr>
          <w:rtl w:val="true"/>
        </w:rPr>
        <w:t xml:space="preserve">- </w:t>
      </w:r>
      <w:r>
        <w:rPr>
          <w:rtl w:val="true"/>
        </w:rPr>
        <w:t>محارب</w:t>
      </w:r>
      <w:bookmarkEnd w:id="2539"/>
    </w:p>
    <w:p>
      <w:pPr>
        <w:pStyle w:val="BookText"/>
        <w:rPr/>
      </w:pPr>
      <w:r>
        <w:rPr>
          <w:rFonts w:ascii="IRNazanin" w:hAnsi="IRNazanin" w:eastAsia="IRNazanin"/>
          <w:color w:val="111111"/>
          <w:sz w:val="28"/>
          <w:sz w:val="28"/>
          <w:szCs w:val="28"/>
          <w:rtl w:val="true"/>
          <w:lang w:bidi="fa-IR"/>
        </w:rPr>
        <w:t>كسى كه علناً در مملكت اسلامى شمشير كشيده و مردم را مى‌ترساند، به يكى از چهار حكم زير طبق شرايط مختلف محكوم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دست و پا به صورت برعكس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دست راست و پاى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تبعيد؛</w:t>
      </w:r>
    </w:p>
    <w:p>
      <w:pPr>
        <w:pStyle w:val="BookText"/>
        <w:rPr/>
      </w:pPr>
      <w:r>
        <w:rPr>
          <w:rFonts w:ascii="Amiri" w:hAnsi="Amiri" w:eastAsia="Amiri" w:cs="Amiri"/>
          <w:color w:val="111111"/>
          <w:sz w:val="28"/>
          <w:sz w:val="28"/>
          <w:szCs w:val="28"/>
          <w:rtl w:val="true"/>
          <w:lang w:bidi="ar-SA"/>
        </w:rPr>
        <w:t>كشته شدن؛</w:t>
      </w:r>
    </w:p>
    <w:p>
      <w:pPr>
        <w:pStyle w:val="BookText"/>
        <w:rPr/>
      </w:pPr>
      <w:r>
        <w:rPr>
          <w:rFonts w:ascii="Amiri" w:hAnsi="Amiri" w:eastAsia="Amiri" w:cs="Amiri"/>
          <w:color w:val="111111"/>
          <w:sz w:val="28"/>
          <w:sz w:val="28"/>
          <w:szCs w:val="28"/>
          <w:rtl w:val="true"/>
          <w:lang w:bidi="ar-SA"/>
        </w:rPr>
        <w:t>بر دار آويخته‌شدن</w:t>
      </w:r>
      <w:r>
        <w:rPr>
          <w:rFonts w:eastAsia="Amiri" w:cs="Amiri" w:ascii="Amiri" w:hAnsi="Amiri"/>
          <w:color w:val="111111"/>
          <w:sz w:val="28"/>
          <w:szCs w:val="28"/>
          <w:rtl w:val="true"/>
          <w:lang w:bidi="ar-SA"/>
        </w:rPr>
        <w:t xml:space="preserve">. </w:t>
      </w:r>
      <w:r>
        <w:rPr>
          <w:rStyle w:val="FootnoteAnchor"/>
          <w:rtl w:val="true"/>
        </w:rPr>
        <w:footnoteReference w:id="2282"/>
      </w:r>
    </w:p>
    <w:p>
      <w:pPr>
        <w:pStyle w:val="Heading5"/>
        <w:numPr>
          <w:ilvl w:val="4"/>
          <w:numId w:val="1"/>
        </w:numPr>
        <w:rPr/>
      </w:pPr>
      <w:bookmarkStart w:id="2540" w:name="__RefHeading___Toc3586581_3650668749"/>
      <w:bookmarkStart w:id="2541" w:name="_Toc1087"/>
      <w:bookmarkEnd w:id="2540"/>
      <w:r>
        <w:rPr>
          <w:rtl w:val="true"/>
        </w:rPr>
        <w:t xml:space="preserve">چهار </w:t>
      </w:r>
      <w:r>
        <w:rPr>
          <w:rtl w:val="true"/>
        </w:rPr>
        <w:t xml:space="preserve">- </w:t>
      </w:r>
      <w:r>
        <w:rPr>
          <w:rtl w:val="true"/>
        </w:rPr>
        <w:t xml:space="preserve">زندان </w:t>
      </w:r>
      <w:r>
        <w:rPr>
          <w:rtl w:val="true"/>
        </w:rPr>
        <w:t>(</w:t>
      </w:r>
      <w:r>
        <w:rPr>
          <w:rtl w:val="true"/>
        </w:rPr>
        <w:t>حبس</w:t>
      </w:r>
      <w:r>
        <w:rPr>
          <w:rtl w:val="true"/>
        </w:rPr>
        <w:t>)</w:t>
      </w:r>
      <w:bookmarkEnd w:id="2541"/>
    </w:p>
    <w:p>
      <w:pPr>
        <w:pStyle w:val="Heading6"/>
        <w:numPr>
          <w:ilvl w:val="5"/>
          <w:numId w:val="1"/>
        </w:numPr>
        <w:rPr/>
      </w:pPr>
      <w:bookmarkStart w:id="2542" w:name="__RefHeading___Toc3586583_3650668749"/>
      <w:bookmarkStart w:id="2543" w:name="_Toc1088"/>
      <w:bookmarkEnd w:id="2542"/>
      <w:r>
        <w:rPr>
          <w:rtl w:val="true"/>
        </w:rPr>
        <w:t>اشاره</w:t>
      </w:r>
      <w:bookmarkEnd w:id="2543"/>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حكم زندان براى اصناف فراوانى صادر شده است كه در اينجا به علت كثرت موارد آن، تنها به ذكر بعضى از اين موارد بسنده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حبس را مى‌توان به دو قسم زندان ابد و زندان غير ابد تقسيم كرد</w:t>
      </w:r>
      <w:r>
        <w:rPr>
          <w:rFonts w:eastAsia="Amiri" w:cs="Amiri" w:ascii="Amiri" w:hAnsi="Amiri"/>
          <w:color w:val="111111"/>
          <w:sz w:val="28"/>
          <w:szCs w:val="28"/>
          <w:rtl w:val="true"/>
          <w:lang w:bidi="ar-SA"/>
        </w:rPr>
        <w:t>:</w:t>
      </w:r>
      <w:bookmarkStart w:id="2544" w:name="pg1964_20032"/>
    </w:p>
    <w:p>
      <w:pPr>
        <w:pStyle w:val="Heading6"/>
        <w:numPr>
          <w:ilvl w:val="5"/>
          <w:numId w:val="1"/>
        </w:numPr>
        <w:rPr/>
      </w:pPr>
      <w:bookmarkStart w:id="2545" w:name="__RefHeading___Toc3586585_3650668749"/>
      <w:bookmarkStart w:id="2546" w:name="_Toc1089"/>
      <w:bookmarkEnd w:id="2544"/>
      <w:bookmarkEnd w:id="2545"/>
      <w:r>
        <w:rPr>
          <w:rtl w:val="true"/>
        </w:rPr>
        <w:t xml:space="preserve">اول </w:t>
      </w:r>
      <w:r>
        <w:rPr>
          <w:rtl w:val="true"/>
        </w:rPr>
        <w:t xml:space="preserve">- </w:t>
      </w:r>
      <w:r>
        <w:rPr>
          <w:rtl w:val="true"/>
        </w:rPr>
        <w:t>زندان ابد</w:t>
      </w:r>
      <w:bookmarkEnd w:id="2546"/>
    </w:p>
    <w:p>
      <w:pPr>
        <w:pStyle w:val="BookText"/>
        <w:rPr/>
      </w:pPr>
      <w:r>
        <w:rPr>
          <w:rFonts w:ascii="Amiri" w:hAnsi="Amiri" w:eastAsia="Amiri" w:cs="Amiri"/>
          <w:color w:val="111111"/>
          <w:sz w:val="28"/>
          <w:sz w:val="28"/>
          <w:szCs w:val="28"/>
          <w:rtl w:val="true"/>
          <w:lang w:bidi="ar-SA"/>
        </w:rPr>
        <w:t>افراد زير طبق احكام اسلامى به حبس ابد محكوم مى‌شوند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مرتد؛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مقتول را گرفته تا قاتل او را بكشد؛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فرمان به كشتن شخص داده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مقتولى را مُثْله كرده است</w:t>
      </w:r>
      <w:r>
        <w:rPr>
          <w:rFonts w:eastAsia="Amiri" w:cs="Amiri" w:ascii="Amiri" w:hAnsi="Amiri"/>
          <w:color w:val="111111"/>
          <w:sz w:val="28"/>
          <w:szCs w:val="28"/>
          <w:rtl w:val="true"/>
          <w:lang w:bidi="ar-SA"/>
        </w:rPr>
        <w:t xml:space="preserve">. </w:t>
      </w:r>
      <w:r>
        <w:rPr>
          <w:rStyle w:val="FootnoteAnchor"/>
          <w:rtl w:val="true"/>
        </w:rPr>
        <w:footnoteReference w:id="2283"/>
      </w:r>
    </w:p>
    <w:p>
      <w:pPr>
        <w:pStyle w:val="Heading6"/>
        <w:numPr>
          <w:ilvl w:val="5"/>
          <w:numId w:val="1"/>
        </w:numPr>
        <w:rPr/>
      </w:pPr>
      <w:bookmarkStart w:id="2547" w:name="__RefHeading___Toc3586587_3650668749"/>
      <w:bookmarkStart w:id="2548" w:name="_Toc1090"/>
      <w:bookmarkEnd w:id="2547"/>
      <w:r>
        <w:rPr>
          <w:rtl w:val="true"/>
        </w:rPr>
        <w:t xml:space="preserve">دوم </w:t>
      </w:r>
      <w:r>
        <w:rPr>
          <w:rtl w:val="true"/>
        </w:rPr>
        <w:t xml:space="preserve">- </w:t>
      </w:r>
      <w:r>
        <w:rPr>
          <w:rtl w:val="true"/>
        </w:rPr>
        <w:t>زندان غير ابد</w:t>
      </w:r>
      <w:bookmarkEnd w:id="2548"/>
    </w:p>
    <w:p>
      <w:pPr>
        <w:pStyle w:val="BookText"/>
        <w:rPr/>
      </w:pPr>
      <w:r>
        <w:rPr>
          <w:rFonts w:ascii="Amiri" w:hAnsi="Amiri" w:eastAsia="Amiri" w:cs="Amiri"/>
          <w:color w:val="111111"/>
          <w:sz w:val="28"/>
          <w:sz w:val="28"/>
          <w:szCs w:val="28"/>
          <w:rtl w:val="true"/>
          <w:lang w:bidi="ar-SA"/>
        </w:rPr>
        <w:t>افراد زير طبق حكم اسلامى تا زمانى مشخص به حبس محكوم مى‌شوند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كه با زنش ايلاء نموده باشد؛ يعنى سوگند خورده باشد كه با او نزديكى نكند كه البته شرايط ويژه‌اى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متهم به قتل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شخصى كه قاتلى را فرارى داده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بدهكارى كه بدهى خود را پرداخت نمى‌كند؛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سر زنى را تراشيده يا بكارت او را از بين برده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به دروغ شهادت داده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غاصب و خائن و خورنده مال يتيم؛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عهده‌دار شغل اجتماعى مهمى شده‌اند، در حالى‌كه لياقت آن را ندارند، مثل طبيب و عالم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روايتى كه از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طبيب نادان و عالم فاسق به حبس محكوم مى‌شوند؛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مولايى كه برده‌اش را كشته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كفيلى كه نزد حاكم، ضمانت شخصى را كرده و آن شخص سر موعد حاضر نشده باشد</w:t>
      </w:r>
      <w:r>
        <w:rPr>
          <w:rFonts w:eastAsia="Amiri" w:cs="Amiri" w:ascii="Amiri" w:hAnsi="Amiri"/>
          <w:color w:val="111111"/>
          <w:sz w:val="28"/>
          <w:szCs w:val="28"/>
          <w:rtl w:val="true"/>
          <w:lang w:bidi="ar-SA"/>
        </w:rPr>
        <w:t xml:space="preserve">. </w:t>
      </w:r>
      <w:r>
        <w:rPr>
          <w:rStyle w:val="FootnoteAnchor"/>
          <w:rtl w:val="true"/>
        </w:rPr>
        <w:footnoteReference w:id="2284"/>
      </w:r>
      <w:bookmarkStart w:id="2549" w:name="pg1964_20033"/>
    </w:p>
    <w:p>
      <w:pPr>
        <w:pStyle w:val="Heading5"/>
        <w:numPr>
          <w:ilvl w:val="4"/>
          <w:numId w:val="1"/>
        </w:numPr>
        <w:rPr/>
      </w:pPr>
      <w:bookmarkStart w:id="2550" w:name="__RefHeading___Toc3586589_3650668749"/>
      <w:bookmarkStart w:id="2551" w:name="_Toc1091"/>
      <w:bookmarkEnd w:id="2549"/>
      <w:bookmarkEnd w:id="2550"/>
      <w:r>
        <w:rPr>
          <w:rtl w:val="true"/>
        </w:rPr>
        <w:t xml:space="preserve">پنج </w:t>
      </w:r>
      <w:r>
        <w:rPr>
          <w:rtl w:val="true"/>
        </w:rPr>
        <w:t xml:space="preserve">- </w:t>
      </w:r>
      <w:r>
        <w:rPr>
          <w:rtl w:val="true"/>
        </w:rPr>
        <w:t xml:space="preserve">تبعيد </w:t>
      </w:r>
      <w:r>
        <w:rPr>
          <w:rtl w:val="true"/>
        </w:rPr>
        <w:t>(</w:t>
      </w:r>
      <w:r>
        <w:rPr>
          <w:rtl w:val="true"/>
        </w:rPr>
        <w:t>نفي بلد</w:t>
      </w:r>
      <w:r>
        <w:rPr>
          <w:rtl w:val="true"/>
        </w:rPr>
        <w:t>)</w:t>
      </w:r>
      <w:bookmarkEnd w:id="2551"/>
    </w:p>
    <w:p>
      <w:pPr>
        <w:pStyle w:val="BookText"/>
        <w:rPr/>
      </w:pPr>
      <w:r>
        <w:rPr>
          <w:rFonts w:ascii="Amiri" w:hAnsi="Amiri" w:eastAsia="Amiri" w:cs="Amiri"/>
          <w:color w:val="111111"/>
          <w:sz w:val="28"/>
          <w:sz w:val="28"/>
          <w:szCs w:val="28"/>
          <w:rtl w:val="true"/>
          <w:lang w:bidi="ar-SA"/>
        </w:rPr>
        <w:t>افراد زير طبق احكام اسلامى، تبعيد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فرزند خود را كشته باشد؛</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برده خود را كشته باشد؛</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با حيوان نزديكى كرده باشد؛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واسطه فحشا مى‌باشد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Style w:val="FootnoteAnchor"/>
          <w:rtl w:val="true"/>
        </w:rPr>
        <w:footnoteReference w:id="2285"/>
      </w:r>
    </w:p>
    <w:p>
      <w:pPr>
        <w:pStyle w:val="Heading3"/>
        <w:numPr>
          <w:ilvl w:val="2"/>
          <w:numId w:val="1"/>
        </w:numPr>
        <w:rPr/>
      </w:pPr>
      <w:bookmarkStart w:id="2552" w:name="__RefHeading___Toc3586591_3650668749"/>
      <w:bookmarkStart w:id="2553" w:name="_Toc1092"/>
      <w:bookmarkEnd w:id="2552"/>
      <w:r>
        <w:rPr/>
        <w:t>٢</w:t>
      </w:r>
      <w:r>
        <w:rPr>
          <w:rtl w:val="true"/>
        </w:rPr>
        <w:t xml:space="preserve">. </w:t>
      </w:r>
      <w:r>
        <w:rPr>
          <w:rtl w:val="true"/>
        </w:rPr>
        <w:t>شرطه</w:t>
      </w:r>
      <w:bookmarkEnd w:id="2553"/>
    </w:p>
    <w:p>
      <w:pPr>
        <w:pStyle w:val="BookText"/>
        <w:rPr/>
      </w:pPr>
      <w:r>
        <w:rPr>
          <w:rFonts w:ascii="IRNazanin" w:hAnsi="IRNazanin" w:eastAsia="IRNazanin"/>
          <w:color w:val="111111"/>
          <w:sz w:val="28"/>
          <w:sz w:val="28"/>
          <w:szCs w:val="28"/>
          <w:rtl w:val="true"/>
          <w:lang w:bidi="fa-IR"/>
        </w:rPr>
        <w:t xml:space="preserve">چنين به نظر مى‌رسد كه لغت شرطه در زمان مورد بحث، به خصوص در زمان خلافت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كاربرد متفاوت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معناى افراد جاى‌گيرنده در نظام جنگى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جنگى متشكل از پنج قسمت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ميمنه، ميسره، قلب و 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فصل آداب و رسوم به بررسى آن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اين افراد را كه معمولاً در پيشاپيش لشكر حركت مى‌كردند، در زمان آن حضرت چهل هزار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شصت هزار نفر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اين شرطه در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عباده بود كه آن حضرت در ماجراى حكميت در صفين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مسئوليت شرطه مرا به عهده‌گير تا از امر حكميت فارغ شويم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شخصى به نام مالك بن حبيب يربوعى به عنوان صاحب شرطه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نام برده شده كه احتمالاً قبل از قيس اين سمت را به عهده داشته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كاربرد شرطه براى واحدى شبيه نيروى انتظامى كنونى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اين واحد را به عمر بن خطاب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واحد ابتدا وظيفه كمك به قاضى را در امورى، همچون اثبات اتهامات و اجراى احكام صادره از سوى قاضى به عهده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بنابراين از توابع دستگاه قضا به شمار مى‌رفت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همچنين مسئوليت اداره زندان‌ها و زندانيان نيز به عهده شرطه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اين واحد در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بهترى به خود گرفت و براى آن مسئولى تعيين شد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اين دو اسم چنين بر مى‌آيد كه در اين زمان، وظيفه شرطه گسترده‌تر شده بود وظيفه انتظامات شهر را، به خصوص در شب نيز بر عهده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عهدنامه مالك‌اشتر از شرطه نام مى‌برد</w:t>
      </w:r>
      <w:r>
        <w:rPr>
          <w:rFonts w:eastAsia="Amiri" w:cs="Amiri" w:ascii="Amiri" w:hAnsi="Amiri"/>
          <w:color w:val="111111"/>
          <w:sz w:val="28"/>
          <w:szCs w:val="28"/>
          <w:rtl w:val="true"/>
          <w:lang w:bidi="ar-SA"/>
        </w:rPr>
        <w:t xml:space="preserve">. </w:t>
      </w:r>
      <w:r>
        <w:rPr>
          <w:rStyle w:val="FootnoteAnchor"/>
          <w:rtl w:val="true"/>
        </w:rPr>
        <w:footnoteReference w:id="2286"/>
      </w:r>
      <w:r>
        <w:rPr>
          <w:rFonts w:ascii="IRNazanin" w:hAnsi="IRNazanin" w:eastAsia="IRNazanin"/>
          <w:color w:val="111111"/>
          <w:sz w:val="28"/>
          <w:sz w:val="28"/>
          <w:szCs w:val="28"/>
          <w:rtl w:val="true"/>
          <w:lang w:bidi="fa-IR"/>
        </w:rPr>
        <w:t xml:space="preserve">البته كاربرد اين لغت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معناى دوم را تداعى مى‌كند، به خصوص آنكه در لغت احراس و شرطه‌ها به عنوان اعوان و كمك‌كاران حكومت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روايتى سركشى آن حضرت به بازار در معيت شرطه خميس ذكر شده است</w:t>
      </w:r>
      <w:r>
        <w:rPr>
          <w:rFonts w:eastAsia="IRNazanin" w:cs="IRNazanin"/>
          <w:color w:val="111111"/>
          <w:sz w:val="28"/>
          <w:szCs w:val="28"/>
          <w:rtl w:val="true"/>
          <w:lang w:bidi="fa-IR"/>
        </w:rPr>
        <w:t xml:space="preserve">. </w:t>
      </w:r>
      <w:r>
        <w:rPr>
          <w:rStyle w:val="FootnoteAnchor"/>
          <w:rtl w:val="true"/>
        </w:rPr>
        <w:footnoteReference w:id="2287"/>
      </w:r>
      <w:r>
        <w:rPr>
          <w:rFonts w:ascii="Amiri" w:hAnsi="Amiri" w:eastAsia="Amiri" w:cs="Amiri"/>
          <w:color w:val="111111"/>
          <w:sz w:val="28"/>
          <w:sz w:val="28"/>
          <w:szCs w:val="28"/>
          <w:rtl w:val="true"/>
          <w:lang w:bidi="ar-SA"/>
        </w:rPr>
        <w:t xml:space="preserve">همين‌طور در عبارتى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همراه عريف و جابى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كننده ماليات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مى‌نمايد و او را مذمت مى‌كند </w:t>
      </w:r>
      <w:r>
        <w:rPr>
          <w:rStyle w:val="FootnoteAnchor"/>
          <w:rtl w:val="true"/>
        </w:rPr>
        <w:footnoteReference w:id="2288"/>
      </w:r>
      <w:r>
        <w:rPr>
          <w:rFonts w:ascii="Amiri" w:hAnsi="Amiri" w:eastAsia="Amiri" w:cs="Amiri"/>
          <w:color w:val="111111"/>
          <w:sz w:val="28"/>
          <w:sz w:val="28"/>
          <w:szCs w:val="28"/>
          <w:rtl w:val="true"/>
          <w:lang w:bidi="ar-SA"/>
        </w:rPr>
        <w:t>كه احتمالاً به علت موقعيت شغلى آنها بوده كه معمولاً ظلم به مردم يا رشوه‌خوارى را در برداشته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كاربرد نيز وجود معناى دوم شرطه را تأييد مى‌كند</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بنى‌اميه و به خصوص هنگام حكومت زياد و پسرش در كوفه، وظيفه دوم شرطه، يعنى حفظ نظم و امنيت در داخل شهر، اهميت بيشترى داشت، چنان‌كه</w:t>
      </w:r>
      <w:bookmarkStart w:id="2554" w:name="pg1964_20035"/>
    </w:p>
    <w:p>
      <w:pPr>
        <w:pStyle w:val="BookText"/>
        <w:rPr/>
      </w:pPr>
      <w:bookmarkEnd w:id="2554"/>
      <w:r>
        <w:rPr>
          <w:rFonts w:ascii="IRNazanin" w:hAnsi="IRNazanin" w:eastAsia="IRNazanin"/>
          <w:color w:val="111111"/>
          <w:sz w:val="28"/>
          <w:sz w:val="28"/>
          <w:szCs w:val="28"/>
          <w:rtl w:val="true"/>
          <w:lang w:bidi="fa-IR"/>
        </w:rPr>
        <w:t>حراست و حفاظت از دارالخلافه نيز به عهده اين واحد گذاشته شده بود</w:t>
      </w:r>
      <w:r>
        <w:rPr>
          <w:rFonts w:eastAsia="IRNazanin" w:cs="IRNazanin"/>
          <w:color w:val="111111"/>
          <w:sz w:val="28"/>
          <w:szCs w:val="28"/>
          <w:rtl w:val="true"/>
          <w:lang w:bidi="fa-IR"/>
        </w:rPr>
        <w:t xml:space="preserve">. </w:t>
      </w:r>
      <w:r>
        <w:rPr>
          <w:rStyle w:val="FootnoteAnchor"/>
          <w:rtl w:val="true"/>
        </w:rPr>
        <w:footnoteReference w:id="2289"/>
      </w:r>
      <w:r>
        <w:rPr>
          <w:rFonts w:ascii="IRNazanin" w:hAnsi="IRNazanin" w:eastAsia="IRNazanin"/>
          <w:color w:val="111111"/>
          <w:sz w:val="28"/>
          <w:sz w:val="28"/>
          <w:szCs w:val="28"/>
          <w:rtl w:val="true"/>
          <w:lang w:bidi="fa-IR"/>
        </w:rPr>
        <w:t xml:space="preserve">در زمان زياد، متولى شرطه شخصى به نام شداد بن هيثم هلالى بود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2290"/>
      </w:r>
      <w:r>
        <w:rPr>
          <w:rFonts w:ascii="IRNazanin" w:hAnsi="IRNazanin" w:eastAsia="IRNazanin"/>
          <w:color w:val="111111"/>
          <w:sz w:val="28"/>
          <w:sz w:val="28"/>
          <w:szCs w:val="28"/>
          <w:rtl w:val="true"/>
          <w:lang w:bidi="fa-IR"/>
        </w:rPr>
        <w:t xml:space="preserve">در زمان پسرش عبيدالله، امير شرطه عمرو بن حريث مخزومى بود </w:t>
      </w:r>
      <w:r>
        <w:rPr>
          <w:rStyle w:val="FootnoteAnchor"/>
          <w:rtl w:val="true"/>
        </w:rPr>
        <w:footnoteReference w:id="2291"/>
      </w:r>
      <w:r>
        <w:rPr>
          <w:rFonts w:ascii="IRNazanin" w:hAnsi="IRNazanin" w:eastAsia="IRNazanin"/>
          <w:color w:val="111111"/>
          <w:sz w:val="28"/>
          <w:sz w:val="28"/>
          <w:szCs w:val="28"/>
          <w:rtl w:val="true"/>
          <w:lang w:bidi="fa-IR"/>
        </w:rPr>
        <w:t>كه عبيدالله او را براى دستگيرى مسلم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تشكيل‌دهنده اين واحد در زمان زياد ايرانيانى بودند كه 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مى‌شد</w:t>
      </w:r>
      <w:r>
        <w:rPr>
          <w:rFonts w:eastAsia="IRNazanin" w:cs="IRNazanin"/>
          <w:color w:val="111111"/>
          <w:sz w:val="28"/>
          <w:szCs w:val="28"/>
          <w:rtl w:val="true"/>
          <w:lang w:bidi="fa-IR"/>
        </w:rPr>
        <w:t xml:space="preserve">. </w:t>
      </w:r>
      <w:r>
        <w:rPr>
          <w:rStyle w:val="FootnoteAnchor"/>
          <w:rtl w:val="true"/>
        </w:rPr>
        <w:footnoteReference w:id="2292"/>
      </w:r>
      <w:r>
        <w:rPr>
          <w:rFonts w:ascii="IRNazanin" w:hAnsi="IRNazanin" w:eastAsia="IRNazanin"/>
          <w:color w:val="111111"/>
          <w:sz w:val="28"/>
          <w:sz w:val="28"/>
          <w:szCs w:val="28"/>
          <w:rtl w:val="true"/>
          <w:lang w:bidi="fa-IR"/>
        </w:rPr>
        <w:t>گفتنى است كه از شرطه‌هاى ابن‌زياد به عنوان پاسداران شخصى او نيز ياد شده است</w:t>
      </w:r>
      <w:r>
        <w:rPr>
          <w:rFonts w:eastAsia="IRNazanin" w:cs="IRNazanin"/>
          <w:color w:val="111111"/>
          <w:sz w:val="28"/>
          <w:szCs w:val="28"/>
          <w:rtl w:val="true"/>
          <w:lang w:bidi="fa-IR"/>
        </w:rPr>
        <w:t xml:space="preserve">. </w:t>
      </w:r>
      <w:r>
        <w:rPr>
          <w:rStyle w:val="FootnoteAnchor"/>
          <w:rtl w:val="true"/>
        </w:rPr>
        <w:footnoteReference w:id="2293"/>
      </w:r>
    </w:p>
    <w:p>
      <w:pPr>
        <w:pStyle w:val="Heading3"/>
        <w:numPr>
          <w:ilvl w:val="2"/>
          <w:numId w:val="1"/>
        </w:numPr>
        <w:rPr/>
      </w:pPr>
      <w:bookmarkStart w:id="2555" w:name="__RefHeading___Toc3586593_3650668749"/>
      <w:bookmarkStart w:id="2556" w:name="_Toc1093"/>
      <w:bookmarkEnd w:id="2555"/>
      <w:r>
        <w:rPr/>
        <w:t>٣</w:t>
      </w:r>
      <w:r>
        <w:rPr>
          <w:rtl w:val="true"/>
        </w:rPr>
        <w:t xml:space="preserve">. </w:t>
      </w:r>
      <w:r>
        <w:rPr>
          <w:rtl w:val="true"/>
        </w:rPr>
        <w:t>مقامات ادار‌ى شهر كوفه</w:t>
      </w:r>
      <w:bookmarkEnd w:id="2556"/>
    </w:p>
    <w:p>
      <w:pPr>
        <w:pStyle w:val="Heading4"/>
        <w:numPr>
          <w:ilvl w:val="3"/>
          <w:numId w:val="1"/>
        </w:numPr>
        <w:rPr/>
      </w:pPr>
      <w:bookmarkStart w:id="2557" w:name="__RefHeading___Toc3586595_3650668749"/>
      <w:bookmarkStart w:id="2558" w:name="_Toc1094"/>
      <w:bookmarkEnd w:id="2557"/>
      <w:r>
        <w:rPr>
          <w:rtl w:val="true"/>
        </w:rPr>
        <w:t>اشاره</w:t>
      </w:r>
      <w:bookmarkEnd w:id="2558"/>
    </w:p>
    <w:p>
      <w:pPr>
        <w:pStyle w:val="BookText"/>
        <w:rPr/>
      </w:pPr>
      <w:r>
        <w:rPr>
          <w:rFonts w:ascii="Amiri" w:hAnsi="Amiri" w:eastAsia="Amiri" w:cs="Amiri"/>
          <w:color w:val="111111"/>
          <w:sz w:val="28"/>
          <w:sz w:val="28"/>
          <w:szCs w:val="28"/>
          <w:rtl w:val="true"/>
          <w:lang w:bidi="ar-SA"/>
        </w:rPr>
        <w:t>به‌طور كلى مقامات ادارى شهر كوفه در زمان مورد بحث عبارت بود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رئيسان اسباع و ارباع؛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مناكب؛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بيت‌المال؛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ديوان خراج؛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كاتبان</w:t>
      </w:r>
      <w:r>
        <w:rPr>
          <w:rFonts w:eastAsia="IRNazanin" w:cs="IRNazanin"/>
          <w:color w:val="111111"/>
          <w:sz w:val="28"/>
          <w:szCs w:val="28"/>
          <w:rtl w:val="true"/>
          <w:lang w:bidi="fa-IR"/>
        </w:rPr>
        <w:t>.</w:t>
      </w:r>
    </w:p>
    <w:p>
      <w:pPr>
        <w:pStyle w:val="Heading4"/>
        <w:numPr>
          <w:ilvl w:val="3"/>
          <w:numId w:val="1"/>
        </w:numPr>
        <w:rPr/>
      </w:pPr>
      <w:bookmarkStart w:id="2559" w:name="__RefHeading___Toc3586597_3650668749"/>
      <w:bookmarkStart w:id="2560" w:name="_Toc1095"/>
      <w:bookmarkEnd w:id="2559"/>
      <w:r>
        <w:rPr>
          <w:rtl w:val="true"/>
        </w:rPr>
        <w:t>الف</w:t>
      </w:r>
      <w:r>
        <w:rPr>
          <w:rtl w:val="true"/>
        </w:rPr>
        <w:t xml:space="preserve">) </w:t>
      </w:r>
      <w:r>
        <w:rPr>
          <w:rtl w:val="true"/>
        </w:rPr>
        <w:t>والى</w:t>
      </w:r>
      <w:bookmarkEnd w:id="2560"/>
    </w:p>
    <w:p>
      <w:pPr>
        <w:pStyle w:val="BookText"/>
        <w:rPr/>
      </w:pPr>
      <w:r>
        <w:rPr>
          <w:rFonts w:ascii="IRNazanin" w:hAnsi="IRNazanin" w:eastAsia="IRNazanin"/>
          <w:color w:val="111111"/>
          <w:sz w:val="28"/>
          <w:sz w:val="28"/>
          <w:szCs w:val="28"/>
          <w:rtl w:val="true"/>
          <w:lang w:bidi="fa-IR"/>
        </w:rPr>
        <w:t xml:space="preserve">به جز دوران پنج ساله حكومت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كوفه را مقر خلافت خود قرار داده بود و نيز دوران شش ماهه حكومت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بلندترين مقام ادارى كوفه را والى يا امير كوفه داشت كه از سوى خليفه تعيين مى‌شد و محدوده اختيارات والى، شهر كوفه و توابع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توابع كوفه شامل شهرهايى از كشور ايران مى‌شد كه به وسيله سپاهيان مستقر در كوفه فتح شده بود و از نظر ادارى، تابع كوفه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شهرها عبارت بود از</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قزوين، زنجان، طبرستان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مازندران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آذربايجان، رى و دَسْتَبى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ناحيه‌اى وسيع بين رى و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كابل، همدان، سيستان، انبار، قومس، نهاوند، اصفهان، قم،</w:t>
      </w:r>
    </w:p>
    <w:p>
      <w:pPr>
        <w:pStyle w:val="BookText"/>
        <w:rPr/>
      </w:pPr>
      <w:r>
        <w:rPr>
          <w:rFonts w:ascii="IRNazanin" w:hAnsi="IRNazanin" w:eastAsia="IRNazanin"/>
          <w:color w:val="111111"/>
          <w:sz w:val="28"/>
          <w:sz w:val="28"/>
          <w:szCs w:val="28"/>
          <w:rtl w:val="true"/>
          <w:lang w:bidi="fa-IR"/>
        </w:rPr>
        <w:t>حلوان، ماسْبذان و موصل</w:t>
      </w:r>
      <w:r>
        <w:rPr>
          <w:rFonts w:eastAsia="IRNazanin" w:cs="IRNazanin"/>
          <w:color w:val="111111"/>
          <w:sz w:val="28"/>
          <w:szCs w:val="28"/>
          <w:rtl w:val="true"/>
          <w:lang w:bidi="fa-IR"/>
        </w:rPr>
        <w:t xml:space="preserve">. </w:t>
      </w:r>
      <w:r>
        <w:rPr>
          <w:rStyle w:val="FootnoteAnchor"/>
          <w:rtl w:val="true"/>
        </w:rPr>
        <w:footnoteReference w:id="2294"/>
      </w:r>
      <w:r>
        <w:rPr>
          <w:rFonts w:ascii="IRNazanin" w:hAnsi="IRNazanin" w:eastAsia="IRNazanin"/>
          <w:color w:val="111111"/>
          <w:sz w:val="28"/>
          <w:sz w:val="28"/>
          <w:szCs w:val="28"/>
          <w:rtl w:val="true"/>
          <w:lang w:bidi="fa-IR"/>
        </w:rPr>
        <w:t xml:space="preserve">معمولاً اميران اين شهرها از سوى امير كوفه تعيين مى‌شدند، چنان‌كه عبيدالله بن زياد، عمر بن سعد را والى رى و دستبى انتخاب نمود و بهاى آن را شركت در جنگ عليه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Style w:val="FootnoteAnchor"/>
          <w:rtl w:val="true"/>
        </w:rPr>
        <w:footnoteReference w:id="2295"/>
      </w:r>
      <w:r>
        <w:rPr>
          <w:rFonts w:ascii="IRNazanin" w:hAnsi="IRNazanin" w:eastAsia="IRNazanin"/>
          <w:color w:val="111111"/>
          <w:sz w:val="28"/>
          <w:sz w:val="28"/>
          <w:szCs w:val="28"/>
          <w:rtl w:val="true"/>
          <w:lang w:bidi="fa-IR"/>
        </w:rPr>
        <w:t>همچنين در تاريخ مى‌خوانيم هنگامى كه مختار بن ابى‌عبيده ثقفى بر كوفه مسلط شد، واليانى براى شهرهاى موصل، همدان، آذربايجان، اصفهان، قم، ماسبذان، رى، دستبى و حلوان انتخاب كرد</w:t>
      </w:r>
      <w:r>
        <w:rPr>
          <w:rFonts w:eastAsia="IRNazanin" w:cs="IRNazanin"/>
          <w:color w:val="111111"/>
          <w:sz w:val="28"/>
          <w:szCs w:val="28"/>
          <w:rtl w:val="true"/>
          <w:lang w:bidi="fa-IR"/>
        </w:rPr>
        <w:t xml:space="preserve">. </w:t>
      </w:r>
      <w:r>
        <w:rPr>
          <w:rStyle w:val="FootnoteAnchor"/>
          <w:rtl w:val="true"/>
        </w:rPr>
        <w:footnoteReference w:id="2296"/>
      </w:r>
    </w:p>
    <w:p>
      <w:pPr>
        <w:pStyle w:val="BookText"/>
        <w:rPr/>
      </w:pPr>
      <w:r>
        <w:rPr>
          <w:rFonts w:ascii="Amiri" w:hAnsi="Amiri" w:eastAsia="Amiri" w:cs="Amiri"/>
          <w:color w:val="111111"/>
          <w:sz w:val="28"/>
          <w:sz w:val="28"/>
          <w:szCs w:val="28"/>
          <w:rtl w:val="true"/>
          <w:lang w:bidi="ar-SA"/>
        </w:rPr>
        <w:t>به‌طور كلى مى‌توان واليان كوفه را از نظر محدوده اختيارات به دو دسته تقسيم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اول، واليانى كه اختيار اداره همه امور كوفه به آنها واگذار نشده بود و خليفه در كنار آنان مقاماتى همانند قاضى، متولى ديوان، خراج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قرار مى‌داد</w:t>
      </w:r>
      <w:r>
        <w:rPr>
          <w:rFonts w:eastAsia="IRNazanin" w:cs="IRNazanin"/>
          <w:color w:val="111111"/>
          <w:sz w:val="28"/>
          <w:szCs w:val="28"/>
          <w:rtl w:val="true"/>
          <w:lang w:bidi="fa-IR"/>
        </w:rPr>
        <w:t xml:space="preserve">. </w:t>
      </w:r>
      <w:r>
        <w:rPr>
          <w:rStyle w:val="FootnoteAnchor"/>
          <w:rtl w:val="true"/>
        </w:rPr>
        <w:footnoteReference w:id="2297"/>
      </w:r>
      <w:r>
        <w:rPr>
          <w:rFonts w:ascii="Amiri" w:hAnsi="Amiri" w:eastAsia="Amiri" w:cs="Amiri"/>
          <w:color w:val="111111"/>
          <w:sz w:val="28"/>
          <w:sz w:val="28"/>
          <w:szCs w:val="28"/>
          <w:rtl w:val="true"/>
          <w:lang w:bidi="ar-SA"/>
        </w:rPr>
        <w:t>بيشتر واليان كوفه و نيز همه واليان كوفه در دوران خلفاى راشدين از اين نوع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مثال، عمار ياسر از سوى عمر به عنوان والى انتخاب شد كه وظيفه اصلى‌اش حفظ مرزها بود و در كنار او عثمان بن حنيف متولى خراج، و ابن‌مسعود متولى بيت‌المال معرفى شدند</w:t>
      </w:r>
      <w:r>
        <w:rPr>
          <w:rFonts w:eastAsia="Amiri" w:cs="Amiri" w:ascii="Amiri" w:hAnsi="Amiri"/>
          <w:color w:val="111111"/>
          <w:sz w:val="28"/>
          <w:szCs w:val="28"/>
          <w:rtl w:val="true"/>
          <w:lang w:bidi="ar-SA"/>
        </w:rPr>
        <w:t xml:space="preserve">. </w:t>
      </w:r>
      <w:r>
        <w:rPr>
          <w:rStyle w:val="FootnoteAnchor"/>
          <w:rtl w:val="true"/>
        </w:rPr>
        <w:footnoteReference w:id="2298"/>
      </w:r>
      <w:r>
        <w:rPr>
          <w:rFonts w:ascii="IRNazanin" w:hAnsi="IRNazanin" w:eastAsia="IRNazanin"/>
          <w:color w:val="111111"/>
          <w:sz w:val="28"/>
          <w:sz w:val="28"/>
          <w:szCs w:val="28"/>
          <w:rtl w:val="true"/>
          <w:lang w:bidi="fa-IR"/>
        </w:rPr>
        <w:t>همچنين در همين زمان از شريح به عنوان قاضى كوفه نام برده شده است</w:t>
      </w:r>
      <w:r>
        <w:rPr>
          <w:rFonts w:eastAsia="IRNazanin" w:cs="IRNazanin"/>
          <w:color w:val="111111"/>
          <w:sz w:val="28"/>
          <w:szCs w:val="28"/>
          <w:rtl w:val="true"/>
          <w:lang w:bidi="fa-IR"/>
        </w:rPr>
        <w:t xml:space="preserve">. </w:t>
      </w:r>
      <w:r>
        <w:rPr>
          <w:rStyle w:val="FootnoteAnchor"/>
          <w:rtl w:val="true"/>
        </w:rPr>
        <w:footnoteReference w:id="2299"/>
      </w:r>
      <w:r>
        <w:rPr>
          <w:rFonts w:ascii="IRNazanin" w:hAnsi="IRNazanin" w:eastAsia="IRNazanin"/>
          <w:color w:val="111111"/>
          <w:sz w:val="28"/>
          <w:sz w:val="28"/>
          <w:szCs w:val="28"/>
          <w:rtl w:val="true"/>
          <w:lang w:bidi="fa-IR"/>
        </w:rPr>
        <w:t xml:space="preserve">گفتنى است كه در اين زمان از والى گاهى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الحرب و الصلات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مى‌شد </w:t>
      </w:r>
      <w:r>
        <w:rPr>
          <w:rStyle w:val="FootnoteAnchor"/>
          <w:rtl w:val="true"/>
        </w:rPr>
        <w:footnoteReference w:id="2300"/>
      </w:r>
      <w:r>
        <w:rPr>
          <w:rFonts w:ascii="IRNazanin" w:hAnsi="IRNazanin" w:eastAsia="IRNazanin"/>
          <w:color w:val="111111"/>
          <w:sz w:val="28"/>
          <w:sz w:val="28"/>
          <w:szCs w:val="28"/>
          <w:rtl w:val="true"/>
          <w:lang w:bidi="fa-IR"/>
        </w:rPr>
        <w:t>كه وظايف مهم والى، يعنى اقامه نماز جماعت و جمعه و جنگ را تداعى مى‌كرد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بيان مقامات ادارى كوفه پس از مرگ عثمان چنين آمده است كه هنگام مرگ عثمان، متولى نماز كوفه ابوموسى اشعرى و متولى خراج جابر و متولى امور جنگ</w:t>
      </w:r>
    </w:p>
    <w:p>
      <w:pPr>
        <w:pStyle w:val="BookText"/>
        <w:rPr/>
      </w:pPr>
      <w:r>
        <w:rPr>
          <w:rFonts w:ascii="IRNazanin" w:hAnsi="IRNazanin" w:eastAsia="IRNazanin"/>
          <w:color w:val="111111"/>
          <w:sz w:val="28"/>
          <w:sz w:val="28"/>
          <w:szCs w:val="28"/>
          <w:rtl w:val="true"/>
          <w:lang w:bidi="fa-IR"/>
        </w:rPr>
        <w:t>قعقاع بود</w:t>
      </w:r>
      <w:r>
        <w:rPr>
          <w:rFonts w:eastAsia="IRNazanin" w:cs="IRNazanin"/>
          <w:color w:val="111111"/>
          <w:sz w:val="28"/>
          <w:szCs w:val="28"/>
          <w:rtl w:val="true"/>
          <w:lang w:bidi="fa-IR"/>
        </w:rPr>
        <w:t xml:space="preserve">. </w:t>
      </w:r>
      <w:r>
        <w:rPr>
          <w:rStyle w:val="FootnoteAnchor"/>
          <w:rtl w:val="true"/>
        </w:rPr>
        <w:footnoteReference w:id="2301"/>
      </w:r>
      <w:r>
        <w:rPr>
          <w:rFonts w:ascii="IRNazanin" w:hAnsi="IRNazanin" w:eastAsia="IRNazanin"/>
          <w:color w:val="111111"/>
          <w:sz w:val="28"/>
          <w:sz w:val="28"/>
          <w:szCs w:val="28"/>
          <w:rtl w:val="true"/>
          <w:lang w:bidi="fa-IR"/>
        </w:rPr>
        <w:t>در اين زمان، محدوده اختيارات والى فقط اقامه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نيز پس از انتصاب مغيرة بن شعبه در سال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شخصى به نام عبدالله بن درّاج را به عنوان متولى خراج در عرض او گماشت</w:t>
      </w:r>
      <w:r>
        <w:rPr>
          <w:rFonts w:eastAsia="IRNazanin" w:cs="IRNazanin"/>
          <w:color w:val="111111"/>
          <w:sz w:val="28"/>
          <w:szCs w:val="28"/>
          <w:rtl w:val="true"/>
          <w:lang w:bidi="fa-IR"/>
        </w:rPr>
        <w:t xml:space="preserve">. </w:t>
      </w:r>
      <w:r>
        <w:rPr>
          <w:rStyle w:val="FootnoteAnchor"/>
          <w:rtl w:val="true"/>
        </w:rPr>
        <w:footnoteReference w:id="2302"/>
      </w:r>
    </w:p>
    <w:p>
      <w:pPr>
        <w:pStyle w:val="BookText"/>
        <w:rPr/>
      </w:pPr>
      <w:r>
        <w:rPr>
          <w:rFonts w:ascii="IRNazanin" w:hAnsi="IRNazanin" w:eastAsia="IRNazanin"/>
          <w:color w:val="111111"/>
          <w:sz w:val="28"/>
          <w:sz w:val="28"/>
          <w:szCs w:val="28"/>
          <w:rtl w:val="true"/>
          <w:lang w:bidi="fa-IR"/>
        </w:rPr>
        <w:t>دسته دوم، واليانى بودند كه پس از نصب به وسيله حكومت مركزى همه اختيارات اداره شهر را به عهده داشتند و عزل و نصب تمام مقامات شهر و توابع آن به عهده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حقيقت حكومت خود مختارى به مركزيت كوفه داشتند كه تنها به وسيله نصب از سوى حكومت مركزى و نيز فرستادن مقدارى از بيت‌المال براى آن حكومت، با آن ارتباط مى‌يافتند</w:t>
      </w:r>
      <w:r>
        <w:rPr>
          <w:rFonts w:eastAsia="IRNazanin" w:cs="IRNazanin"/>
          <w:color w:val="111111"/>
          <w:sz w:val="28"/>
          <w:szCs w:val="28"/>
          <w:rtl w:val="true"/>
          <w:lang w:bidi="fa-IR"/>
        </w:rPr>
        <w:t xml:space="preserve">. </w:t>
      </w:r>
      <w:r>
        <w:rPr>
          <w:rStyle w:val="FootnoteAnchor"/>
          <w:rtl w:val="true"/>
        </w:rPr>
        <w:footnoteReference w:id="2303"/>
      </w:r>
    </w:p>
    <w:p>
      <w:pPr>
        <w:pStyle w:val="BookText"/>
        <w:rPr/>
      </w:pPr>
      <w:r>
        <w:rPr>
          <w:rFonts w:ascii="IRNazanin" w:hAnsi="IRNazanin" w:eastAsia="IRNazanin"/>
          <w:color w:val="111111"/>
          <w:sz w:val="28"/>
          <w:sz w:val="28"/>
          <w:szCs w:val="28"/>
          <w:rtl w:val="true"/>
          <w:lang w:bidi="fa-IR"/>
        </w:rPr>
        <w:t xml:space="preserve">در زمان مورد بحث، مى‌توان حكومت زياد بن ابيه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سوى معاويه منصوب شده بود و حكومت پسرش عبيدالله بن زياد را در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منصوب از طرف يزيد بود، از اين دسته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وظايف و محدوده اختيارات اين نوع واليان عبارت بود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لشكر و سپاه و جايگزينى آنها در نواحى مختلف و پرداخت حقوق و مزايا به آنها؛</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قاضيان و واليان براى نواحى مختلف؛</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خراج و زكات و ديگر صدقات و نصب عُمّال و كاگزارانى براى آن؛</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 شرعى؛</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گرفتن امامت نماز؛</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سرپرست حج؛</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جنگ و به عهده گرفتن تقسيم غنايم و نيز برداشتن خمس غنايم و واريز كردن آن به بيت‌المال</w:t>
      </w:r>
      <w:r>
        <w:rPr>
          <w:rFonts w:eastAsia="IRNazanin" w:cs="IRNazanin"/>
          <w:color w:val="111111"/>
          <w:sz w:val="28"/>
          <w:szCs w:val="28"/>
          <w:rtl w:val="true"/>
          <w:lang w:bidi="fa-IR"/>
        </w:rPr>
        <w:t xml:space="preserve">. </w:t>
      </w:r>
      <w:r>
        <w:rPr>
          <w:rStyle w:val="FootnoteAnchor"/>
          <w:rtl w:val="true"/>
        </w:rPr>
        <w:footnoteReference w:id="2304"/>
      </w:r>
    </w:p>
    <w:p>
      <w:pPr>
        <w:pStyle w:val="BookText"/>
        <w:rPr/>
      </w:pPr>
      <w:r>
        <w:rPr>
          <w:rFonts w:ascii="Amiri" w:hAnsi="Amiri" w:eastAsia="Amiri" w:cs="Amiri"/>
          <w:color w:val="111111"/>
          <w:sz w:val="28"/>
          <w:sz w:val="28"/>
          <w:szCs w:val="28"/>
          <w:rtl w:val="true"/>
          <w:lang w:bidi="ar-SA"/>
        </w:rPr>
        <w:t xml:space="preserve">در بعضى از نوشته‌ها از اين نوع امارت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امارة استكفاء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امارت 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 xml:space="preserve">. </w:t>
      </w:r>
      <w:r>
        <w:rPr>
          <w:rStyle w:val="FootnoteAnchor"/>
          <w:rtl w:val="true"/>
        </w:rPr>
        <w:footnoteReference w:id="2305"/>
      </w:r>
    </w:p>
    <w:p>
      <w:pPr>
        <w:pStyle w:val="BookText"/>
        <w:rPr/>
      </w:pPr>
      <w:r>
        <w:rPr>
          <w:rFonts w:ascii="IRNazanin" w:hAnsi="IRNazanin" w:eastAsia="IRNazanin"/>
          <w:color w:val="111111"/>
          <w:sz w:val="28"/>
          <w:sz w:val="28"/>
          <w:szCs w:val="28"/>
          <w:rtl w:val="true"/>
          <w:lang w:bidi="fa-IR"/>
        </w:rPr>
        <w:t xml:space="preserve">در پايان اين بحث مناسب است اسامى واليان كوفه را از بدو تأسيس در سال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پايان زمان مورد بحث، يعنى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يادآور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يعنى ابتداى تأسيس كوفه تا سال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طرف عُمر والى آنجا بود و چون گاهى براى شركت در جنگ‌ها از كوفه خارج مى‌شد، جانشينانى براى ولايت بر كوفه مى‌گماشت كه عبارت بودند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غطفان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Style w:val="FootnoteAnchor"/>
          <w:rtl w:val="true"/>
        </w:rPr>
        <w:footnoteReference w:id="2306"/>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زمان خلافت عُمر</w:t>
      </w:r>
      <w:r>
        <w:rPr>
          <w:rFonts w:eastAsia="Amiri" w:cs="Amiri" w:ascii="Amiri" w:hAnsi="Amiri"/>
          <w:color w:val="111111"/>
          <w:sz w:val="28"/>
          <w:szCs w:val="28"/>
          <w:rtl w:val="true"/>
          <w:lang w:bidi="ar-SA"/>
        </w:rPr>
        <w:t xml:space="preserve">. </w:t>
      </w:r>
      <w:r>
        <w:rPr>
          <w:rStyle w:val="FootnoteAnchor"/>
          <w:rtl w:val="true"/>
        </w:rPr>
        <w:footnoteReference w:id="2307"/>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خلافت عُمر</w:t>
      </w:r>
      <w:r>
        <w:rPr>
          <w:rFonts w:eastAsia="IRNazanin" w:cs="IRNazanin"/>
          <w:color w:val="111111"/>
          <w:sz w:val="28"/>
          <w:szCs w:val="28"/>
          <w:rtl w:val="true"/>
          <w:lang w:bidi="fa-IR"/>
        </w:rPr>
        <w:t xml:space="preserve">. </w:t>
      </w:r>
      <w:r>
        <w:rPr>
          <w:rStyle w:val="FootnoteAnchor"/>
          <w:rtl w:val="true"/>
        </w:rPr>
        <w:footnoteReference w:id="2308"/>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خلافت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خلافت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بن عُقْبة بن ابى‌مُعيط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زمان خلافت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عاص بن سعيد اموى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زمان خلافت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خلافت عثمان</w:t>
      </w:r>
      <w:r>
        <w:rPr>
          <w:rFonts w:eastAsia="IRNazanin" w:cs="IRNazanin"/>
          <w:color w:val="111111"/>
          <w:sz w:val="28"/>
          <w:szCs w:val="28"/>
          <w:rtl w:val="true"/>
          <w:lang w:bidi="fa-IR"/>
        </w:rPr>
        <w:t xml:space="preserve">. </w:t>
      </w:r>
      <w:r>
        <w:rPr>
          <w:rStyle w:val="FootnoteAnchor"/>
          <w:rtl w:val="true"/>
        </w:rPr>
        <w:footnoteReference w:id="2309"/>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زمان خلافت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در اين سال از طرف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كوفه معرفى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وقتى وارد كوفه شد، عده‌اى</w:t>
      </w:r>
    </w:p>
    <w:p>
      <w:pPr>
        <w:pStyle w:val="BookText"/>
        <w:rPr/>
      </w:pPr>
      <w:r>
        <w:rPr>
          <w:rFonts w:ascii="IRNazanin" w:hAnsi="IRNazanin" w:eastAsia="IRNazanin"/>
          <w:color w:val="111111"/>
          <w:sz w:val="28"/>
          <w:sz w:val="28"/>
          <w:szCs w:val="28"/>
          <w:rtl w:val="true"/>
          <w:lang w:bidi="fa-IR"/>
        </w:rPr>
        <w:t>از مردم كوفه وى را نپذيرفتند و او نزد آن حضرت بازگشت و ابوموسى اشعرى بر سمت خود باقى ماند</w:t>
      </w:r>
      <w:r>
        <w:rPr>
          <w:rFonts w:eastAsia="IRNazanin" w:cs="IRNazanin"/>
          <w:color w:val="111111"/>
          <w:sz w:val="28"/>
          <w:szCs w:val="28"/>
          <w:rtl w:val="true"/>
          <w:lang w:bidi="fa-IR"/>
        </w:rPr>
        <w:t xml:space="preserve">. </w:t>
      </w:r>
      <w:r>
        <w:rPr>
          <w:rStyle w:val="FootnoteAnchor"/>
          <w:rtl w:val="true"/>
        </w:rPr>
        <w:footnoteReference w:id="2310"/>
      </w:r>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قُرْظة بن كَعَب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قبل از حركت حضرت‌على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بصره براى جنگ جمل، از سوى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ابوموسى اشعرى منصوب شد</w:t>
      </w:r>
      <w:r>
        <w:rPr>
          <w:rFonts w:eastAsia="IRNazanin" w:cs="IRNazanin"/>
          <w:color w:val="111111"/>
          <w:sz w:val="28"/>
          <w:szCs w:val="28"/>
          <w:rtl w:val="true"/>
          <w:lang w:bidi="fa-IR"/>
        </w:rPr>
        <w:t xml:space="preserve">. </w:t>
      </w:r>
      <w:r>
        <w:rPr>
          <w:rStyle w:val="FootnoteAnchor"/>
          <w:rtl w:val="true"/>
        </w:rPr>
        <w:footnoteReference w:id="2311"/>
      </w:r>
    </w:p>
    <w:p>
      <w:pPr>
        <w:pStyle w:val="BookText"/>
        <w:rPr/>
      </w:pPr>
      <w:r>
        <w:rPr>
          <w:rFonts w:ascii="IRNazanin" w:hAnsi="IRNazanin" w:eastAsia="IRNazanin"/>
          <w:color w:val="111111"/>
          <w:sz w:val="28"/>
          <w:sz w:val="28"/>
          <w:szCs w:val="28"/>
          <w:rtl w:val="true"/>
          <w:lang w:bidi="fa-IR"/>
        </w:rPr>
        <w:t xml:space="preserve">يازده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ثَعْلَبة انصارى مُكَنى به ابومسعود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اودر سال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زمان خروج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 براى شركت در جنگ صفين به جانشينى آن حضرت در كوفه منصوب شد</w:t>
      </w:r>
      <w:r>
        <w:rPr>
          <w:rFonts w:eastAsia="IRNazanin" w:cs="IRNazanin"/>
          <w:color w:val="111111"/>
          <w:sz w:val="28"/>
          <w:szCs w:val="28"/>
          <w:rtl w:val="true"/>
          <w:lang w:bidi="fa-IR"/>
        </w:rPr>
        <w:t xml:space="preserve">. </w:t>
      </w:r>
      <w:r>
        <w:rPr>
          <w:rStyle w:val="FootnoteAnchor"/>
          <w:rtl w:val="true"/>
        </w:rPr>
        <w:footnoteReference w:id="2312"/>
      </w:r>
    </w:p>
    <w:p>
      <w:pPr>
        <w:pStyle w:val="BookText"/>
        <w:rPr/>
      </w:pP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نوفل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زمان خلافت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خروج براى جنگ با معاويه از طرف آن حضرت به عنوان نايب انتخاب شد</w:t>
      </w:r>
      <w:r>
        <w:rPr>
          <w:rFonts w:eastAsia="IRNazanin" w:cs="IRNazanin"/>
          <w:color w:val="111111"/>
          <w:sz w:val="28"/>
          <w:szCs w:val="28"/>
          <w:rtl w:val="true"/>
          <w:lang w:bidi="fa-IR"/>
        </w:rPr>
        <w:t xml:space="preserve">. </w:t>
      </w:r>
      <w:r>
        <w:rPr>
          <w:rStyle w:val="FootnoteAnchor"/>
          <w:rtl w:val="true"/>
        </w:rPr>
        <w:footnoteReference w:id="2313"/>
      </w:r>
    </w:p>
    <w:p>
      <w:pPr>
        <w:pStyle w:val="BookText"/>
        <w:rPr/>
      </w:pPr>
      <w:r>
        <w:rPr>
          <w:rFonts w:ascii="Amiri" w:hAnsi="Amiri" w:eastAsia="Amiri" w:cs="Amiri"/>
          <w:color w:val="111111"/>
          <w:sz w:val="28"/>
          <w:sz w:val="28"/>
          <w:szCs w:val="28"/>
          <w:rtl w:val="true"/>
          <w:lang w:bidi="ar-SA"/>
        </w:rPr>
        <w:t xml:space="preserve">سيزده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 بن 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سال‌هاى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زمان حكومت معاويه</w:t>
      </w:r>
      <w:r>
        <w:rPr>
          <w:rFonts w:eastAsia="Amiri" w:cs="Amiri" w:ascii="Amiri" w:hAnsi="Amiri"/>
          <w:color w:val="111111"/>
          <w:sz w:val="28"/>
          <w:szCs w:val="28"/>
          <w:rtl w:val="true"/>
          <w:lang w:bidi="ar-SA"/>
        </w:rPr>
        <w:t xml:space="preserve">. </w:t>
      </w:r>
      <w:r>
        <w:rPr>
          <w:rStyle w:val="FootnoteAnchor"/>
          <w:rtl w:val="true"/>
        </w:rPr>
        <w:footnoteReference w:id="2314"/>
      </w:r>
    </w:p>
    <w:p>
      <w:pPr>
        <w:pStyle w:val="BookText"/>
        <w:rPr/>
      </w:pPr>
      <w:r>
        <w:rPr>
          <w:rFonts w:ascii="IRNazanin" w:hAnsi="IRNazanin" w:eastAsia="IRNazanin"/>
          <w:color w:val="111111"/>
          <w:sz w:val="28"/>
          <w:sz w:val="28"/>
          <w:szCs w:val="28"/>
          <w:rtl w:val="true"/>
          <w:lang w:bidi="fa-IR"/>
        </w:rPr>
        <w:t xml:space="preserve">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سال‌هاى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حكومت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زياد هم‌زمان حكومت بصره را نيز بر عهده داشت و نيمى از سال در كوفه و نيمى در بصره حكومت مى‌كرد، عمرو بن‌حريث را جانشين خود در كوفه منصوب نموده بود</w:t>
      </w:r>
      <w:r>
        <w:rPr>
          <w:rFonts w:eastAsia="IRNazanin" w:cs="IRNazanin"/>
          <w:color w:val="111111"/>
          <w:sz w:val="28"/>
          <w:szCs w:val="28"/>
          <w:rtl w:val="true"/>
          <w:lang w:bidi="fa-IR"/>
        </w:rPr>
        <w:t xml:space="preserve">. </w:t>
      </w:r>
      <w:r>
        <w:rPr>
          <w:rStyle w:val="FootnoteAnchor"/>
          <w:rtl w:val="true"/>
        </w:rPr>
        <w:footnoteReference w:id="2315"/>
      </w:r>
      <w:r>
        <w:rPr>
          <w:rFonts w:ascii="IRNazanin" w:hAnsi="IRNazanin" w:eastAsia="IRNazanin"/>
          <w:color w:val="111111"/>
          <w:sz w:val="28"/>
          <w:sz w:val="28"/>
          <w:szCs w:val="28"/>
          <w:rtl w:val="true"/>
          <w:lang w:bidi="fa-IR"/>
        </w:rPr>
        <w:t>همچنين در سال آخر عمر خود عبدالله بن خالد بن اسيد را در كوفه جانشين خود قرار داده بود</w:t>
      </w:r>
      <w:r>
        <w:rPr>
          <w:rFonts w:eastAsia="IRNazanin" w:cs="IRNazanin"/>
          <w:color w:val="111111"/>
          <w:sz w:val="28"/>
          <w:szCs w:val="28"/>
          <w:rtl w:val="true"/>
          <w:lang w:bidi="fa-IR"/>
        </w:rPr>
        <w:t xml:space="preserve">. </w:t>
      </w:r>
      <w:r>
        <w:rPr>
          <w:rStyle w:val="FootnoteAnchor"/>
          <w:rtl w:val="true"/>
        </w:rPr>
        <w:footnoteReference w:id="2316"/>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خالد بن اسيد يا ضحاك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زمان معاويه</w:t>
      </w:r>
      <w:r>
        <w:rPr>
          <w:rFonts w:eastAsia="IRNazanin" w:cs="IRNazanin"/>
          <w:color w:val="111111"/>
          <w:sz w:val="28"/>
          <w:szCs w:val="28"/>
          <w:rtl w:val="true"/>
          <w:lang w:bidi="fa-IR"/>
        </w:rPr>
        <w:t xml:space="preserve">. </w:t>
      </w:r>
      <w:r>
        <w:rPr>
          <w:rStyle w:val="FootnoteAnchor"/>
          <w:rtl w:val="true"/>
        </w:rPr>
        <w:footnoteReference w:id="2317"/>
      </w:r>
      <w:bookmarkStart w:id="2561" w:name="pg1964_20040"/>
    </w:p>
    <w:p>
      <w:pPr>
        <w:pStyle w:val="BookText"/>
        <w:rPr/>
      </w:pPr>
      <w:bookmarkEnd w:id="2561"/>
      <w:r>
        <w:rPr>
          <w:rFonts w:ascii="Amiri" w:hAnsi="Amiri" w:eastAsia="Amiri" w:cs="Amiri"/>
          <w:color w:val="111111"/>
          <w:sz w:val="28"/>
          <w:sz w:val="28"/>
          <w:szCs w:val="28"/>
          <w:rtl w:val="true"/>
          <w:lang w:bidi="ar-SA"/>
        </w:rPr>
        <w:t xml:space="preserve">شانزده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ضحاك بن قيس فَهَرى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زمان معاويه</w:t>
      </w:r>
      <w:r>
        <w:rPr>
          <w:rFonts w:eastAsia="Amiri" w:cs="Amiri" w:ascii="Amiri" w:hAnsi="Amiri"/>
          <w:color w:val="111111"/>
          <w:sz w:val="28"/>
          <w:szCs w:val="28"/>
          <w:rtl w:val="true"/>
          <w:lang w:bidi="ar-SA"/>
        </w:rPr>
        <w:t xml:space="preserve">. </w:t>
      </w:r>
      <w:r>
        <w:rPr>
          <w:rStyle w:val="FootnoteAnchor"/>
          <w:rtl w:val="true"/>
        </w:rPr>
        <w:footnoteReference w:id="2318"/>
      </w:r>
    </w:p>
    <w:p>
      <w:pPr>
        <w:pStyle w:val="BookText"/>
        <w:rPr/>
      </w:pPr>
      <w:r>
        <w:rPr>
          <w:rFonts w:ascii="IRNazanin" w:hAnsi="IRNazanin" w:eastAsia="IRNazanin"/>
          <w:color w:val="111111"/>
          <w:sz w:val="28"/>
          <w:sz w:val="28"/>
          <w:szCs w:val="28"/>
          <w:rtl w:val="true"/>
          <w:lang w:bidi="fa-IR"/>
        </w:rPr>
        <w:t xml:space="preserve">هفده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اُم حَكَم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خواهر معاويه، در سال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حكومت معاويه</w:t>
      </w:r>
      <w:r>
        <w:rPr>
          <w:rFonts w:eastAsia="IRNazanin" w:cs="IRNazanin"/>
          <w:color w:val="111111"/>
          <w:sz w:val="28"/>
          <w:szCs w:val="28"/>
          <w:rtl w:val="true"/>
          <w:lang w:bidi="fa-IR"/>
        </w:rPr>
        <w:t xml:space="preserve">. </w:t>
      </w:r>
      <w:r>
        <w:rPr>
          <w:rStyle w:val="FootnoteAnchor"/>
          <w:rtl w:val="true"/>
        </w:rPr>
        <w:footnoteReference w:id="2319"/>
      </w:r>
    </w:p>
    <w:p>
      <w:pPr>
        <w:pStyle w:val="BookText"/>
        <w:rPr/>
      </w:pPr>
      <w:r>
        <w:rPr>
          <w:rFonts w:ascii="Amiri" w:hAnsi="Amiri" w:eastAsia="Amiri" w:cs="Amiri"/>
          <w:color w:val="111111"/>
          <w:sz w:val="28"/>
          <w:sz w:val="28"/>
          <w:szCs w:val="28"/>
          <w:rtl w:val="true"/>
          <w:lang w:bidi="ar-SA"/>
        </w:rPr>
        <w:t xml:space="preserve">هجده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بن بشير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اواخر سال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زمان حكومت معاويه و يزيد</w:t>
      </w:r>
      <w:r>
        <w:rPr>
          <w:rFonts w:eastAsia="Amiri" w:cs="Amiri" w:ascii="Amiri" w:hAnsi="Amiri"/>
          <w:color w:val="111111"/>
          <w:sz w:val="28"/>
          <w:szCs w:val="28"/>
          <w:rtl w:val="true"/>
          <w:lang w:bidi="ar-SA"/>
        </w:rPr>
        <w:t xml:space="preserve">. </w:t>
      </w:r>
      <w:r>
        <w:rPr>
          <w:rStyle w:val="FootnoteAnchor"/>
          <w:rtl w:val="true"/>
        </w:rPr>
        <w:footnoteReference w:id="2320"/>
      </w:r>
    </w:p>
    <w:p>
      <w:pPr>
        <w:pStyle w:val="BookText"/>
        <w:rPr/>
      </w:pPr>
      <w:r>
        <w:rPr>
          <w:rFonts w:ascii="IRNazanin" w:hAnsi="IRNazanin" w:eastAsia="IRNazanin"/>
          <w:color w:val="111111"/>
          <w:sz w:val="28"/>
          <w:sz w:val="28"/>
          <w:szCs w:val="28"/>
          <w:rtl w:val="true"/>
          <w:lang w:bidi="fa-IR"/>
        </w:rPr>
        <w:t xml:space="preserve">نوزده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به دست ابراهيم بن مالك اشتر به هلاكت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او حكومت بصره را نيز بر عهده داشت، هنگام رفتن به بصره، عمرو بن حريث را به جاى خود در كوفه نصب مى‌كرد</w:t>
      </w:r>
      <w:r>
        <w:rPr>
          <w:rFonts w:eastAsia="IRNazanin" w:cs="IRNazanin"/>
          <w:color w:val="111111"/>
          <w:sz w:val="28"/>
          <w:szCs w:val="28"/>
          <w:rtl w:val="true"/>
          <w:lang w:bidi="fa-IR"/>
        </w:rPr>
        <w:t xml:space="preserve">. </w:t>
      </w:r>
      <w:r>
        <w:rPr>
          <w:rStyle w:val="FootnoteAnchor"/>
          <w:rtl w:val="true"/>
        </w:rPr>
        <w:footnoteReference w:id="2321"/>
      </w:r>
    </w:p>
    <w:p>
      <w:pPr>
        <w:pStyle w:val="Heading4"/>
        <w:numPr>
          <w:ilvl w:val="3"/>
          <w:numId w:val="1"/>
        </w:numPr>
        <w:rPr/>
      </w:pPr>
      <w:bookmarkStart w:id="2562" w:name="__RefHeading___Toc3586599_3650668749"/>
      <w:bookmarkStart w:id="2563" w:name="_Toc1096"/>
      <w:bookmarkEnd w:id="2562"/>
      <w:r>
        <w:rPr>
          <w:rtl w:val="true"/>
        </w:rPr>
        <w:t>ب</w:t>
      </w:r>
      <w:r>
        <w:rPr>
          <w:rtl w:val="true"/>
        </w:rPr>
        <w:t xml:space="preserve">) </w:t>
      </w:r>
      <w:r>
        <w:rPr>
          <w:rtl w:val="true"/>
        </w:rPr>
        <w:t>رئيسان اسباع و ارباع</w:t>
      </w:r>
      <w:bookmarkEnd w:id="2563"/>
    </w:p>
    <w:p>
      <w:pPr>
        <w:pStyle w:val="BookText"/>
        <w:rPr/>
      </w:pPr>
      <w:r>
        <w:rPr>
          <w:rFonts w:ascii="IRNazanin" w:hAnsi="IRNazanin" w:eastAsia="IRNazanin"/>
          <w:color w:val="111111"/>
          <w:sz w:val="28"/>
          <w:sz w:val="28"/>
          <w:szCs w:val="28"/>
          <w:rtl w:val="true"/>
          <w:lang w:bidi="fa-IR"/>
        </w:rPr>
        <w:t xml:space="preserve">قبل از تأسيس شهر كوفه، قبايل مختلفى كه در فتوحات شركت داشتند، در جنگ با ايرانيان تحت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مى‌شدند؛ بدين ترتيب كه سعد بن ابى‌وقاص فرمانده كل سپاه اسلام كه از طرف عمر به جنگ با ايرانيان گسيل شده بود، سپاه خود را به ده قسمت تقسيم كرده و براى هر قسمت فرماندهى تعيين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قسمت 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 ممكن بود دو يا چند قبيله يا تيره‌هايى از قبايل مختلف فعاليت نمايند</w:t>
      </w:r>
      <w:r>
        <w:rPr>
          <w:rFonts w:eastAsia="IRNazanin" w:cs="IRNazanin"/>
          <w:color w:val="111111"/>
          <w:sz w:val="28"/>
          <w:szCs w:val="28"/>
          <w:rtl w:val="true"/>
          <w:lang w:bidi="fa-IR"/>
        </w:rPr>
        <w:t xml:space="preserve">. </w:t>
      </w:r>
      <w:r>
        <w:rPr>
          <w:rStyle w:val="FootnoteAnchor"/>
          <w:rtl w:val="true"/>
        </w:rPr>
        <w:footnoteReference w:id="2322"/>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تأسيس شهر كوفه و شهرنشين شدن لشكريان، سعد به دستور عمر بن خطاب نظام اعشار را منحل نموده و نظام اسباع را جايگزين آن كرد؛ بدين ترتيب كه از نسب‌شناسان عرب، مانند سعيد بن نمران و مَشْعَلة بن نَعيم دعوت كرد تا قبايل و تيره‌هايى را كه به هم نزديك‌اند، در يك گروه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تمام جمعيت</w:t>
      </w:r>
    </w:p>
    <w:p>
      <w:pPr>
        <w:pStyle w:val="BookText"/>
        <w:rPr/>
      </w:pPr>
      <w:r>
        <w:rPr>
          <w:rFonts w:ascii="IRNazanin" w:hAnsi="IRNazanin" w:eastAsia="IRNazanin"/>
          <w:color w:val="111111"/>
          <w:sz w:val="28"/>
          <w:sz w:val="28"/>
          <w:szCs w:val="28"/>
          <w:rtl w:val="true"/>
          <w:lang w:bidi="fa-IR"/>
        </w:rPr>
        <w:t xml:space="preserve">عرب كوفه را به هفت قسمت تقسيم كرد كه هر قسمت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 و براى هر سبع، فرمانده و رهبرى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 و تيره‌هاى مختلف كه در آن زمان تحت نظام اسباع قرار گرفتند،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كَنانه و هم‌پيمانان آنان و جُدَيلَه در يك سبع؛</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قُضاعه، بَجيله، خَثْعم، كِنْدِه، حَضْرَموت واَزْد در يك سبع؛</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مِذْحَج، حِمْير، هَمْدان در يك سبع؛</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رُباب و هوازن در يك سبع؛</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غطفان، مُحارب، نَمْر، ضَبْعه و تَغْلِب در يك سبع؛</w:t>
      </w:r>
    </w:p>
    <w:p>
      <w:pPr>
        <w:pStyle w:val="BookText"/>
        <w:rPr/>
      </w:pPr>
      <w:r>
        <w:rPr>
          <w:rFonts w:ascii="Amiri" w:hAnsi="Amiri" w:eastAsia="Amiri" w:cs="Amiri"/>
          <w:color w:val="111111"/>
          <w:sz w:val="28"/>
          <w:sz w:val="28"/>
          <w:szCs w:val="28"/>
          <w:rtl w:val="true"/>
          <w:lang w:bidi="ar-SA"/>
        </w:rPr>
        <w:t xml:space="preserve">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اِياد، عك، عبدالقيس در يك سبع؛</w:t>
      </w:r>
    </w:p>
    <w:p>
      <w:pPr>
        <w:pStyle w:val="BookText"/>
        <w:rPr/>
      </w:pPr>
      <w:r>
        <w:rPr>
          <w:rFonts w:ascii="IRNazanin" w:hAnsi="IRNazanin" w:eastAsia="IRNazanin"/>
          <w:color w:val="111111"/>
          <w:sz w:val="28"/>
          <w:sz w:val="28"/>
          <w:szCs w:val="28"/>
          <w:rtl w:val="true"/>
          <w:lang w:bidi="fa-IR"/>
        </w:rPr>
        <w:t>حمراء، يعنى مواليان و ايرانيان ساكن كوفه و اهل هجر نيز در اين سبع قرار گرفتند</w:t>
      </w:r>
      <w:r>
        <w:rPr>
          <w:rFonts w:eastAsia="IRNazanin" w:cs="IRNazanin"/>
          <w:color w:val="111111"/>
          <w:sz w:val="28"/>
          <w:szCs w:val="28"/>
          <w:rtl w:val="true"/>
          <w:lang w:bidi="fa-IR"/>
        </w:rPr>
        <w:t xml:space="preserve">. </w:t>
      </w:r>
      <w:r>
        <w:rPr>
          <w:rStyle w:val="FootnoteAnchor"/>
          <w:rtl w:val="true"/>
        </w:rPr>
        <w:footnoteReference w:id="2323"/>
      </w:r>
    </w:p>
    <w:p>
      <w:pPr>
        <w:pStyle w:val="BookText"/>
        <w:rPr/>
      </w:pPr>
      <w:r>
        <w:rPr>
          <w:rFonts w:ascii="Amiri" w:hAnsi="Amiri" w:eastAsia="Amiri" w:cs="Amiri"/>
          <w:color w:val="111111"/>
          <w:sz w:val="28"/>
          <w:sz w:val="28"/>
          <w:szCs w:val="28"/>
          <w:rtl w:val="true"/>
          <w:lang w:bidi="ar-SA"/>
        </w:rPr>
        <w:t>در اينجا يادآورى دو نكته ضرورى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طبرى از سبع هفتم نام نمى‌برد،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مقايسه اين قبايل و تيره‌هايى كه در تخطيط كوفه از آنها نام برده شده به كاستى‌هايى برخورد مى‌نماييم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نظام اسباع در زمان عُمر و عثمان و نيز حكومت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وى واليان اموى تا زمان فرماندارى زياد باقى بود، گرچه تغييراتى در طول زمان، به خصوص در نصب و عزل رؤسا در آن صورت مى‌گرفت، چنان‌كه از اين تغييرات در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Style w:val="FootnoteAnchor"/>
          <w:rtl w:val="true"/>
        </w:rPr>
        <w:footnoteReference w:id="2324"/>
      </w:r>
    </w:p>
    <w:p>
      <w:pPr>
        <w:pStyle w:val="BookText"/>
        <w:rPr/>
      </w:pPr>
      <w:r>
        <w:rPr>
          <w:rFonts w:ascii="IRNazanin" w:hAnsi="IRNazanin" w:eastAsia="IRNazanin"/>
          <w:color w:val="111111"/>
          <w:sz w:val="28"/>
          <w:sz w:val="28"/>
          <w:szCs w:val="28"/>
          <w:rtl w:val="true"/>
          <w:lang w:bidi="fa-IR"/>
        </w:rPr>
        <w:t>طبرى قبل از جنگ جمل از سپاه دوازده هزار نفرى كوفه با عنوان اسباع ياد مى‌كند، البته تنها از پنج سبع و فرماندهان آنان نام مى‌برد كه عبارت‌اند از</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قريش، كنانه، اسد، تميم، رباب و مُزَينه به فرماندهى مَعْقل بن يسار رياحى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قيس به فرماندهى سعد بن مسعود ثقفى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بكر بن وائل و تغلب به فرماندهى وَعْلَة بن مخدوج ذُهَلى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مِذْحَج و اشعريين به فرماندهى حُجر بن 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بَجيله، اَنْمار، خَثْعَم و اَزْد به فرماندهى مِخْنَف بن سَليم اَزْدى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مشاهده مى‌شود، تفاوت‌هايى در واحدهاى تشكيل‌دهنده اسباع با اين واحدها در ابتداى تأسيس نظام اسباع وجود داشت</w:t>
      </w:r>
      <w:r>
        <w:rPr>
          <w:rFonts w:eastAsia="IRNazanin" w:cs="IRNazanin"/>
          <w:color w:val="111111"/>
          <w:sz w:val="28"/>
          <w:szCs w:val="28"/>
          <w:rtl w:val="true"/>
          <w:lang w:bidi="fa-IR"/>
        </w:rPr>
        <w:t xml:space="preserve">. </w:t>
      </w:r>
      <w:r>
        <w:rPr>
          <w:rStyle w:val="FootnoteAnchor"/>
          <w:rtl w:val="true"/>
        </w:rPr>
        <w:footnoteReference w:id="2325"/>
      </w:r>
    </w:p>
    <w:p>
      <w:pPr>
        <w:pStyle w:val="BookText"/>
        <w:rPr/>
      </w:pPr>
      <w:r>
        <w:rPr>
          <w:rFonts w:ascii="IRNazanin" w:hAnsi="IRNazanin" w:eastAsia="IRNazanin"/>
          <w:color w:val="111111"/>
          <w:sz w:val="28"/>
          <w:sz w:val="28"/>
          <w:szCs w:val="28"/>
          <w:rtl w:val="true"/>
          <w:lang w:bidi="fa-IR"/>
        </w:rPr>
        <w:t>معمولاً رؤساى اسباع از ميان افرادى كه نفوذ و موقعيت ويژه در ميان قبايل و تيره‌هاى تشكيل دهنده سبع داشتند، انتخاب مى‌شدند و نصب و عزل آنها به دست حكومت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اصلى آنان هنگام جنگ، رهبرى واحدهاى تحت امر خود در جنگ بود و فرماندهان قسمت‌هاى مختلف، مانند ميمنه، ميسره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وسيله رؤساى اسباع با افراد قبايل ارتباط برقرار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هنگام صلح، اداره امور قبيله و نيز داورى بين افراد قبيله هنگام پيش آمدن مرافعات اجتماعى، به عهده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ارتباط بين حكومت مركزى و افراد قبايل به وسيله آنها برقرار مى‌شد</w:t>
      </w:r>
      <w:r>
        <w:rPr>
          <w:rFonts w:eastAsia="IRNazanin" w:cs="IRNazanin"/>
          <w:color w:val="111111"/>
          <w:sz w:val="28"/>
          <w:szCs w:val="28"/>
          <w:rtl w:val="true"/>
          <w:lang w:bidi="fa-IR"/>
        </w:rPr>
        <w:t>.</w:t>
      </w:r>
      <w:r>
        <w:rPr>
          <w:rStyle w:val="FootnoteAnchor"/>
          <w:rtl w:val="true"/>
        </w:rPr>
        <w:footnoteReference w:id="2326"/>
      </w:r>
    </w:p>
    <w:p>
      <w:pPr>
        <w:pStyle w:val="BookText"/>
        <w:rPr/>
      </w:pPr>
      <w:r>
        <w:rPr>
          <w:rFonts w:ascii="IRNazanin" w:hAnsi="IRNazanin" w:eastAsia="IRNazanin"/>
          <w:color w:val="111111"/>
          <w:sz w:val="28"/>
          <w:sz w:val="28"/>
          <w:szCs w:val="28"/>
          <w:rtl w:val="true"/>
          <w:lang w:bidi="fa-IR"/>
        </w:rPr>
        <w:t xml:space="preserve">يكى از مهم‌ترين وظايف آنان در اين زمان، تحويل گرفتن عطاء از بيت‌المال و تقسيم آن بين افراد قبايل خود بود، چنان‌كه در تاريخ چنين مى‌خوانيم كه در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مالى از اصفهان به كوفه رسيد، آن حضرت رؤساى اسباع را دعوت كرد تا سهم افرادشان را به آنان تحويل دهد</w:t>
      </w:r>
      <w:r>
        <w:rPr>
          <w:rFonts w:eastAsia="IRNazanin" w:cs="IRNazanin"/>
          <w:color w:val="111111"/>
          <w:sz w:val="28"/>
          <w:szCs w:val="28"/>
          <w:rtl w:val="true"/>
          <w:lang w:bidi="fa-IR"/>
        </w:rPr>
        <w:t>.</w:t>
      </w:r>
      <w:r>
        <w:rPr>
          <w:rStyle w:val="FootnoteAnchor"/>
          <w:rtl w:val="true"/>
        </w:rPr>
        <w:footnoteReference w:id="2327"/>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زمان بروز بحران‌هاى سياسى در داخل شهر، وظيفه اصلى كنترل قبايل به عهده رؤساى اسباع بود و به‌طور كلى مسئوليت كليه فعاليت‌هاى سياسى افراد در مقابل حكومت را به عهده داشتند و از اين رو آنها سعى مى‌كردند كه حتى‌الامكان در محدوده مسئوليت خود آرامش را برقرار نمايند تا حكومت را از خود ناراحت نساخته و موجبات عزل خود را فراهم نياورند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چنان‌كه گفتيم، نظام اسباع تا زمان حكومت زياد باقى بود، اما پس از اينكه زياد به منصب فرماندارى كوفه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رسيد، نظام ارباع را جايگزين نظام اسباع نمود؛ بدين ترتيب كه همه قبايل و مردم كوفه را در چهار قسمت و هر قسمت را با عنوان يك ربع، سازمان‌دهى كرد و براى هر ربع، رئيسى كه از هواداران حكومت اموى بود، منصوب نمود</w:t>
      </w:r>
      <w:r>
        <w:rPr>
          <w:rFonts w:eastAsia="IRNazanin" w:cs="IRNazanin"/>
          <w:color w:val="111111"/>
          <w:sz w:val="28"/>
          <w:szCs w:val="28"/>
          <w:rtl w:val="true"/>
          <w:lang w:bidi="fa-IR"/>
        </w:rPr>
        <w:t xml:space="preserve">. </w:t>
      </w:r>
      <w:r>
        <w:rPr>
          <w:rStyle w:val="FootnoteAnchor"/>
          <w:rtl w:val="true"/>
        </w:rPr>
        <w:footnoteReference w:id="2328"/>
      </w:r>
      <w:r>
        <w:rPr>
          <w:rFonts w:ascii="Amiri" w:hAnsi="Amiri" w:eastAsia="Amiri" w:cs="Amiri"/>
          <w:color w:val="111111"/>
          <w:sz w:val="28"/>
          <w:sz w:val="28"/>
          <w:szCs w:val="28"/>
          <w:rtl w:val="true"/>
          <w:lang w:bidi="ar-SA"/>
        </w:rPr>
        <w:t>هدف عمده زياد از اين تغيير، تضعيف قبايل مختلف بود كه آن را از راه نصب رئيس ربع و نيز جاى دادن قبايل مختلف در يك ربع و نيز وسعت دادن به اختيارات عُرَفا تأمين مى‌كرد</w:t>
      </w:r>
      <w:r>
        <w:rPr>
          <w:rFonts w:eastAsia="Amiri" w:cs="Amiri" w:ascii="Amiri" w:hAnsi="Amiri"/>
          <w:color w:val="111111"/>
          <w:sz w:val="28"/>
          <w:szCs w:val="28"/>
          <w:rtl w:val="true"/>
          <w:lang w:bidi="ar-SA"/>
        </w:rPr>
        <w:t>.</w:t>
      </w:r>
      <w:r>
        <w:rPr>
          <w:rStyle w:val="FootnoteAnchor"/>
          <w:rtl w:val="true"/>
        </w:rPr>
        <w:footnoteReference w:id="2329"/>
      </w:r>
    </w:p>
    <w:p>
      <w:pPr>
        <w:pStyle w:val="BookText"/>
        <w:rPr/>
      </w:pPr>
      <w:r>
        <w:rPr>
          <w:rFonts w:ascii="IRNazanin" w:hAnsi="IRNazanin" w:eastAsia="IRNazanin"/>
          <w:color w:val="111111"/>
          <w:sz w:val="28"/>
          <w:sz w:val="28"/>
          <w:szCs w:val="28"/>
          <w:rtl w:val="true"/>
          <w:lang w:bidi="fa-IR"/>
        </w:rPr>
        <w:t xml:space="preserve">طبرى ربع‌هاى كوفه و رؤساى آنها را در سال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چنين ذكر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اهل مدينه به رياست عمرو بن حريث؛</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تميم و همدان به رياست خالد بن عَرْفَطَه؛</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ربيعه و كنده به رياست قيس بن وليد بن عبد شمس؛</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مذحج و اسد به رياست ابوبَرده پسر ابوموسى اشعرى</w:t>
      </w:r>
      <w:r>
        <w:rPr>
          <w:rFonts w:eastAsia="IRNazanin" w:cs="IRNazanin"/>
          <w:color w:val="111111"/>
          <w:sz w:val="28"/>
          <w:szCs w:val="28"/>
          <w:rtl w:val="true"/>
          <w:lang w:bidi="fa-IR"/>
        </w:rPr>
        <w:t>.</w:t>
      </w:r>
      <w:r>
        <w:rPr>
          <w:rStyle w:val="FootnoteAnchor"/>
          <w:rtl w:val="true"/>
        </w:rPr>
        <w:footnoteReference w:id="2330"/>
      </w:r>
    </w:p>
    <w:p>
      <w:pPr>
        <w:pStyle w:val="BookText"/>
        <w:rPr/>
      </w:pPr>
      <w:r>
        <w:rPr>
          <w:rFonts w:ascii="IRNazanin" w:hAnsi="IRNazanin" w:eastAsia="IRNazanin"/>
          <w:color w:val="111111"/>
          <w:sz w:val="28"/>
          <w:sz w:val="28"/>
          <w:szCs w:val="28"/>
          <w:rtl w:val="true"/>
          <w:lang w:bidi="fa-IR"/>
        </w:rPr>
        <w:t xml:space="preserve">از اين نظام در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ميان لشكر عمر بن سعد نيز ياد شده و اسامى رؤساى آن چنين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زُهير بن سليم اَزْدى، رئيس ربع اهل مدينه؛</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ابى‌سَبره حَنَفى، رئيس ربع مذحج و اسد؛</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اَشْعث بن قيس، رئيس ربع ربيعه و كنده؛</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بن يزيد تميمى، رئيس ربع تميم و همدان كه همگى به جز حر در مقابل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پرداختند</w:t>
      </w:r>
      <w:r>
        <w:rPr>
          <w:rFonts w:eastAsia="IRNazanin" w:cs="IRNazanin"/>
          <w:color w:val="111111"/>
          <w:sz w:val="28"/>
          <w:szCs w:val="28"/>
          <w:rtl w:val="true"/>
          <w:lang w:bidi="fa-IR"/>
        </w:rPr>
        <w:t>.</w:t>
      </w:r>
      <w:r>
        <w:rPr>
          <w:rStyle w:val="FootnoteAnchor"/>
          <w:rtl w:val="true"/>
        </w:rPr>
        <w:footnoteReference w:id="2331"/>
      </w:r>
      <w:bookmarkStart w:id="2564" w:name="pg1964_20044"/>
    </w:p>
    <w:p>
      <w:pPr>
        <w:pStyle w:val="BookText"/>
        <w:rPr/>
      </w:pPr>
      <w:bookmarkEnd w:id="2564"/>
      <w:r>
        <w:rPr>
          <w:rFonts w:ascii="IRNazanin" w:hAnsi="IRNazanin" w:eastAsia="IRNazanin"/>
          <w:color w:val="111111"/>
          <w:sz w:val="28"/>
          <w:sz w:val="28"/>
          <w:szCs w:val="28"/>
          <w:rtl w:val="true"/>
          <w:lang w:bidi="fa-IR"/>
        </w:rPr>
        <w:t>همچنين هنگامى كه جناب مسلم بن عقيل بر عبيدالله شورش مى‌كند و قصر را به محاصره در مى‌آورد، در ترتيب سپاه چهار هزار نفرى خود از نظام اَرباع استفاده مى‌كند و افراد زير را به عنوان رؤساى ارباع نصب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ابوثمامه صائدى، رئيس ربع تميم و همدان؛</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عَوْسجه اسدى، رئيس ربع مذحج و اسد؛</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جعده جَدَلى، رئيس ربع اهل مدينه؛</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عمرو كندى، رئيس ربع كنده و ربيعه</w:t>
      </w:r>
      <w:r>
        <w:rPr>
          <w:rFonts w:eastAsia="IRNazanin" w:cs="IRNazanin"/>
          <w:color w:val="111111"/>
          <w:sz w:val="28"/>
          <w:szCs w:val="28"/>
          <w:rtl w:val="true"/>
          <w:lang w:bidi="fa-IR"/>
        </w:rPr>
        <w:t xml:space="preserve">. </w:t>
      </w:r>
      <w:r>
        <w:rPr>
          <w:rStyle w:val="FootnoteAnchor"/>
          <w:rtl w:val="true"/>
        </w:rPr>
        <w:footnoteReference w:id="2332"/>
      </w:r>
    </w:p>
    <w:p>
      <w:pPr>
        <w:pStyle w:val="BookText"/>
        <w:rPr/>
      </w:pPr>
      <w:r>
        <w:rPr>
          <w:rFonts w:ascii="IRNazanin" w:hAnsi="IRNazanin" w:eastAsia="IRNazanin"/>
          <w:color w:val="111111"/>
          <w:sz w:val="28"/>
          <w:sz w:val="28"/>
          <w:szCs w:val="28"/>
          <w:rtl w:val="true"/>
          <w:lang w:bidi="fa-IR"/>
        </w:rPr>
        <w:t>اگر بخواهيم تصويرى مبهم از جمعيت هر ربع در اين زمان داشته باشيم، كافى است بدانيم كه ربع كنده به عنوان بزرگ‌ترين ربع كوفه معرفى شده و تعداد سى هزار شمشيرزن براى آن ذكر كرده‌اند</w:t>
      </w:r>
      <w:r>
        <w:rPr>
          <w:rFonts w:eastAsia="IRNazanin" w:cs="IRNazanin"/>
          <w:color w:val="111111"/>
          <w:sz w:val="28"/>
          <w:szCs w:val="28"/>
          <w:rtl w:val="true"/>
          <w:lang w:bidi="fa-IR"/>
        </w:rPr>
        <w:t>.</w:t>
      </w:r>
      <w:r>
        <w:rPr>
          <w:rStyle w:val="FootnoteAnchor"/>
          <w:rtl w:val="true"/>
        </w:rPr>
        <w:footnoteReference w:id="2333"/>
      </w:r>
    </w:p>
    <w:p>
      <w:pPr>
        <w:pStyle w:val="Heading4"/>
        <w:numPr>
          <w:ilvl w:val="3"/>
          <w:numId w:val="1"/>
        </w:numPr>
        <w:rPr/>
      </w:pPr>
      <w:bookmarkStart w:id="2565" w:name="__RefHeading___Toc3586601_3650668749"/>
      <w:bookmarkStart w:id="2566" w:name="_Toc1097"/>
      <w:bookmarkEnd w:id="2565"/>
      <w:r>
        <w:rPr>
          <w:rtl w:val="true"/>
        </w:rPr>
        <w:t>ج</w:t>
      </w:r>
      <w:r>
        <w:rPr>
          <w:rtl w:val="true"/>
        </w:rPr>
        <w:t xml:space="preserve">) </w:t>
      </w:r>
      <w:r>
        <w:rPr>
          <w:rtl w:val="true"/>
        </w:rPr>
        <w:t>عرفا</w:t>
      </w:r>
      <w:bookmarkEnd w:id="2566"/>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 جمع عريف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عريف منصبى در قبيله بود كه صاحب آن، رياست تعدادى از افراد قبيله و سرپرستى امور آنان را بر عهده داشت و نسبت به اعمال آن افراد در مقابل رئيس قبيله يا حكومت پاسخ‌گو بود و مسئوليت آنان را بر عهده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عريف و نيز تعداد افراد تحت نظر او هر دو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مى‌شدند</w:t>
      </w:r>
      <w:r>
        <w:rPr>
          <w:rFonts w:eastAsia="IRNazanin" w:cs="IRNazanin"/>
          <w:color w:val="111111"/>
          <w:sz w:val="28"/>
          <w:szCs w:val="28"/>
          <w:rtl w:val="true"/>
          <w:lang w:bidi="fa-IR"/>
        </w:rPr>
        <w:t>.</w:t>
      </w:r>
      <w:r>
        <w:rPr>
          <w:rStyle w:val="FootnoteAnchor"/>
          <w:rtl w:val="true"/>
        </w:rPr>
        <w:footnoteReference w:id="2334"/>
      </w:r>
      <w:r>
        <w:rPr>
          <w:rFonts w:ascii="IRNazanin" w:hAnsi="IRNazanin" w:eastAsia="IRNazanin"/>
          <w:color w:val="111111"/>
          <w:sz w:val="28"/>
          <w:sz w:val="28"/>
          <w:szCs w:val="28"/>
          <w:rtl w:val="true"/>
          <w:lang w:bidi="fa-IR"/>
        </w:rPr>
        <w:t>اين منصب در زمان جاهليت نيز در ميان قبايل عرب شناخته شده بود و دو درجه پايين‌تر از شيخ و رئيس قبيله قرار داشت</w:t>
      </w:r>
      <w:r>
        <w:rPr>
          <w:rFonts w:eastAsia="IRNazanin" w:cs="IRNazanin"/>
          <w:color w:val="111111"/>
          <w:sz w:val="28"/>
          <w:szCs w:val="28"/>
          <w:rtl w:val="true"/>
          <w:lang w:bidi="fa-IR"/>
        </w:rPr>
        <w:t>.</w:t>
      </w:r>
      <w:r>
        <w:rPr>
          <w:rStyle w:val="FootnoteAnchor"/>
          <w:rtl w:val="true"/>
        </w:rPr>
        <w:footnoteReference w:id="2335"/>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كلمات خود از عرافت و عريف ياد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دلايلى بر وجود اين منصب در زمان خلفاى راشدين وجود دارد</w:t>
      </w:r>
      <w:r>
        <w:rPr>
          <w:rFonts w:eastAsia="IRNazanin" w:cs="IRNazanin"/>
          <w:color w:val="111111"/>
          <w:sz w:val="28"/>
          <w:szCs w:val="28"/>
          <w:rtl w:val="true"/>
          <w:lang w:bidi="fa-IR"/>
        </w:rPr>
        <w:t>.</w:t>
      </w:r>
      <w:r>
        <w:rPr>
          <w:rStyle w:val="FootnoteAnchor"/>
          <w:rtl w:val="true"/>
        </w:rPr>
        <w:footnoteReference w:id="2336"/>
      </w:r>
      <w:r>
        <w:rPr>
          <w:rFonts w:ascii="IRNazanin" w:hAnsi="IRNazanin" w:eastAsia="IRNazanin"/>
          <w:color w:val="111111"/>
          <w:sz w:val="28"/>
          <w:sz w:val="28"/>
          <w:szCs w:val="28"/>
          <w:rtl w:val="true"/>
          <w:lang w:bidi="fa-IR"/>
        </w:rPr>
        <w:t xml:space="preserve">البته به واسطه ظلم و جورهايى كه صاحبان اين منصب نمودند، در كلمات حضرت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به</w:t>
      </w:r>
    </w:p>
    <w:p>
      <w:pPr>
        <w:pStyle w:val="BookText"/>
        <w:rPr/>
      </w:pPr>
      <w:r>
        <w:rPr>
          <w:rFonts w:ascii="IRNazanin" w:hAnsi="IRNazanin" w:eastAsia="IRNazanin"/>
          <w:color w:val="111111"/>
          <w:sz w:val="28"/>
          <w:sz w:val="28"/>
          <w:szCs w:val="28"/>
          <w:rtl w:val="true"/>
          <w:lang w:bidi="fa-IR"/>
        </w:rPr>
        <w:t>بدى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روايتى از ابوذر نقل شده است كه هنگام وفات خود وصيت مى‌نمايد كه مبادا عريفى متكفّل كفن و دفن او شود</w:t>
      </w:r>
      <w:r>
        <w:rPr>
          <w:rFonts w:eastAsia="IRNazanin" w:cs="IRNazanin"/>
          <w:color w:val="111111"/>
          <w:sz w:val="28"/>
          <w:szCs w:val="28"/>
          <w:rtl w:val="true"/>
          <w:lang w:bidi="fa-IR"/>
        </w:rPr>
        <w:t xml:space="preserve">. </w:t>
      </w:r>
      <w:r>
        <w:rPr>
          <w:rStyle w:val="FootnoteAnchor"/>
          <w:rtl w:val="true"/>
        </w:rPr>
        <w:footnoteReference w:id="2337"/>
      </w:r>
    </w:p>
    <w:p>
      <w:pPr>
        <w:pStyle w:val="BookText"/>
        <w:rPr/>
      </w:pPr>
      <w:r>
        <w:rPr>
          <w:rFonts w:ascii="IRNazanin" w:hAnsi="IRNazanin" w:eastAsia="IRNazanin"/>
          <w:color w:val="111111"/>
          <w:sz w:val="28"/>
          <w:sz w:val="28"/>
          <w:szCs w:val="28"/>
          <w:rtl w:val="true"/>
          <w:lang w:bidi="fa-IR"/>
        </w:rPr>
        <w:t xml:space="preserve">در جنگ‌هاى فتوحات كه سعد بن ابى‌وقاص سپاه خود را تحت نظام اَعشار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مى‌كرد، عريف به صاحب منصبى گفته مى‌شد كه مستقيماً تحت فرماندهى رئيس عشر خدمت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نظام عرافت به گونه‌اى پى‌ريزى شده بود كه هر عريفى مسئول توزيع عطايى به مقدار صد هزار درهم بود</w:t>
      </w:r>
      <w:r>
        <w:rPr>
          <w:rFonts w:eastAsia="IRNazanin" w:cs="IRNazanin"/>
          <w:color w:val="111111"/>
          <w:sz w:val="28"/>
          <w:szCs w:val="28"/>
          <w:rtl w:val="true"/>
          <w:lang w:bidi="fa-IR"/>
        </w:rPr>
        <w:t>.</w:t>
      </w:r>
      <w:r>
        <w:rPr>
          <w:rStyle w:val="FootnoteAnchor"/>
          <w:rtl w:val="true"/>
        </w:rPr>
        <w:footnoteReference w:id="2338"/>
      </w:r>
      <w:r>
        <w:rPr>
          <w:rFonts w:ascii="IRNazanin" w:hAnsi="IRNazanin" w:eastAsia="IRNazanin"/>
          <w:color w:val="111111"/>
          <w:sz w:val="28"/>
          <w:sz w:val="28"/>
          <w:szCs w:val="28"/>
          <w:rtl w:val="true"/>
          <w:lang w:bidi="fa-IR"/>
        </w:rPr>
        <w:t xml:space="preserve">ازاين‌رو تعداد افراد تحت نظر عريف متفاوت مى‌شد، مثلاً عطاى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پنجاه عيال از اهل قادسيه به اين مقدار مى‌رسيد، در حالى‌كه عطاى بيست مرد و بيست زن از اهل جنگ‌هاى ايام اين مقدار مى‌شد</w:t>
      </w:r>
      <w:r>
        <w:rPr>
          <w:rFonts w:eastAsia="IRNazanin" w:cs="IRNazanin"/>
          <w:color w:val="111111"/>
          <w:sz w:val="28"/>
          <w:szCs w:val="28"/>
          <w:rtl w:val="true"/>
          <w:lang w:bidi="fa-IR"/>
        </w:rPr>
        <w:t>.</w:t>
      </w:r>
      <w:r>
        <w:rPr>
          <w:rStyle w:val="FootnoteAnchor"/>
          <w:rtl w:val="true"/>
        </w:rPr>
        <w:footnoteReference w:id="2339"/>
      </w:r>
    </w:p>
    <w:p>
      <w:pPr>
        <w:pStyle w:val="BookText"/>
        <w:rPr/>
      </w:pPr>
      <w:r>
        <w:rPr>
          <w:rFonts w:ascii="IRNazanin" w:hAnsi="IRNazanin" w:eastAsia="IRNazanin"/>
          <w:color w:val="111111"/>
          <w:sz w:val="28"/>
          <w:sz w:val="28"/>
          <w:szCs w:val="28"/>
          <w:rtl w:val="true"/>
          <w:lang w:bidi="fa-IR"/>
        </w:rPr>
        <w:t>با شكل‌گيرى نظام اسباع و پس از آن نظام ارباع، عريف تحت نظر رئيس سبع و ربع به وظايف خود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وظايف عريف در اين دوره كه به سبب كم‌رنگ‌تر شدن فتوحات يا پايان يافتن آن، به وظايف درون شهرى و نه نظامى برون شهرى، منحصر شده بود،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عطاء از رؤساى اسباع و ارباع و تقسيم آنان بين افراد قبيله؛</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اسامى افراد عطاء گيرنده، اعم از زن و مرد و فرزند، و مواظبت بر ثبت افراد تازه متولد شده و نيز محو نام مردگان؛</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مراقبت تام در برقرارى امنيت در عرافت خود؛</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افراد مخالف با حكومت؛</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و تشجيع مردم براى شركت در جنگ كه عمدتاً جنگ‌هاى اين دوره، جنگ‌هاى داخلى بين مسلمانان بود</w:t>
      </w:r>
      <w:r>
        <w:rPr>
          <w:rFonts w:eastAsia="IRNazanin" w:cs="IRNazanin"/>
          <w:color w:val="111111"/>
          <w:sz w:val="28"/>
          <w:szCs w:val="28"/>
          <w:rtl w:val="true"/>
          <w:lang w:bidi="fa-IR"/>
        </w:rPr>
        <w:t>.</w:t>
      </w:r>
      <w:r>
        <w:rPr>
          <w:rStyle w:val="FootnoteAnchor"/>
          <w:rtl w:val="true"/>
        </w:rPr>
        <w:footnoteReference w:id="2340"/>
      </w:r>
      <w:r>
        <w:rPr>
          <w:rFonts w:ascii="Amiri" w:hAnsi="Amiri" w:eastAsia="Amiri" w:cs="Amiri"/>
          <w:color w:val="111111"/>
          <w:sz w:val="28"/>
          <w:sz w:val="28"/>
          <w:szCs w:val="28"/>
          <w:rtl w:val="true"/>
          <w:lang w:bidi="ar-SA"/>
        </w:rPr>
        <w:t>اين وظيفه، ذيل آداب و رسوم بررسى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وظيفه اول، در تاريخ چنين آمده است كه در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عريف سهم افراد عرافت خود را مى‌گرفت </w:t>
      </w:r>
      <w:r>
        <w:rPr>
          <w:rStyle w:val="FootnoteAnchor"/>
          <w:rtl w:val="true"/>
        </w:rPr>
        <w:footnoteReference w:id="2341"/>
      </w:r>
      <w:r>
        <w:rPr>
          <w:rFonts w:ascii="IRNazanin" w:hAnsi="IRNazanin" w:eastAsia="IRNazanin"/>
          <w:color w:val="111111"/>
          <w:sz w:val="28"/>
          <w:sz w:val="28"/>
          <w:szCs w:val="28"/>
          <w:rtl w:val="true"/>
          <w:lang w:bidi="fa-IR"/>
        </w:rPr>
        <w:t>كه اين تعبير طبيعتاً وظيفه دوم را نيز دربرداشته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باره وظيفه سوم و چهارم، ذكر اين نكته ضرورى است كه اهميت‌دادن به عرفا و گذاشتن اين دو وظيفه بر عهده آنان از زمان زياد و با تشكيل نظام ارباع آغاز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اهميت فراوانى به عرفا مى‌داد و خود مستقيماً آنها را نصب مى‌كرد</w:t>
      </w:r>
      <w:r>
        <w:rPr>
          <w:rFonts w:eastAsia="IRNazanin" w:cs="IRNazanin"/>
          <w:color w:val="111111"/>
          <w:sz w:val="28"/>
          <w:szCs w:val="28"/>
          <w:rtl w:val="true"/>
          <w:lang w:bidi="fa-IR"/>
        </w:rPr>
        <w:t>.</w:t>
      </w:r>
      <w:r>
        <w:rPr>
          <w:rStyle w:val="FootnoteAnchor"/>
          <w:rtl w:val="true"/>
        </w:rPr>
        <w:footnoteReference w:id="2342"/>
      </w:r>
      <w:r>
        <w:rPr>
          <w:rFonts w:ascii="IRNazanin" w:hAnsi="IRNazanin" w:eastAsia="IRNazanin"/>
          <w:color w:val="111111"/>
          <w:sz w:val="28"/>
          <w:sz w:val="28"/>
          <w:szCs w:val="28"/>
          <w:rtl w:val="true"/>
          <w:lang w:bidi="fa-IR"/>
        </w:rPr>
        <w:t xml:space="preserve">به نظر مى‌رسد كه عرفا در اين زمان در مقابل او جواب‌گو </w:t>
      </w:r>
      <w:r>
        <w:rPr>
          <w:rStyle w:val="FootnoteAnchor"/>
          <w:rtl w:val="true"/>
        </w:rPr>
        <w:footnoteReference w:id="2343"/>
      </w:r>
    </w:p>
    <w:p>
      <w:pPr>
        <w:pStyle w:val="BookText"/>
        <w:rPr/>
      </w:pPr>
      <w:r>
        <w:rPr>
          <w:rFonts w:ascii="IRNazanin" w:hAnsi="IRNazanin" w:eastAsia="IRNazanin"/>
          <w:color w:val="111111"/>
          <w:sz w:val="28"/>
          <w:sz w:val="28"/>
          <w:szCs w:val="28"/>
          <w:rtl w:val="true"/>
          <w:lang w:bidi="fa-IR"/>
        </w:rPr>
        <w:t>همچنين اولين اقدام فرزند او عبيدالله هنگام ورود به كوفه، اين بود كه به وسيله عرفا و تهديد آنان بر اوضاع كوفه مسلط شد؛ بدين‌گونه كه عرفا را احضار كرد و از آنان خواست تا افراد غريب و بيگانه، عرافت‌هاى خود را كه خيال مى‌كرد، شورش به وسيله آنان صورت گيرد، معرفى كنند و نيز اسامى مخالفان و موافقان حكومت يزيد را براى او بنويسند، و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چنين كرد با او كارى ندارم، اما هر كس از عرفا كه اين كار را انجام نداد، بايد مسئوليت عرافت خود را به عهده بگيرد؛ بدين ترتيب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مخالف و شورشى ضد ما در عرافت او نباشد و اگر چنين ضمانتى نداد خون و مال او بر 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ميان عرافتى، شخصى از مخالفان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شود كه عريف او نام وى را براى ما ننوشته باشد، آن عريف را درِ خانه‌اش به دار مى‌آويزيم و آن عرافت را از عطاء و حقوق محروم مى‌نماييم</w:t>
      </w:r>
      <w:r>
        <w:rPr>
          <w:rFonts w:eastAsia="IRNazanin" w:cs="IRNazanin"/>
          <w:color w:val="111111"/>
          <w:sz w:val="28"/>
          <w:szCs w:val="28"/>
          <w:rtl w:val="true"/>
          <w:lang w:bidi="fa-IR"/>
        </w:rPr>
        <w:t>.</w:t>
      </w:r>
      <w:r>
        <w:rPr>
          <w:rStyle w:val="FootnoteAnchor"/>
          <w:rtl w:val="true"/>
        </w:rPr>
        <w:footnoteReference w:id="2344"/>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اين اقدام عبيدالله در استفاده از عرفا بسيار مؤثر افتاد و يكى از مهم‌ترين موجبات شكست نهضت مسلم را پديد آورد</w:t>
      </w:r>
      <w:r>
        <w:rPr>
          <w:rFonts w:eastAsia="IRNazanin" w:cs="IRNazanin"/>
          <w:color w:val="111111"/>
          <w:sz w:val="28"/>
          <w:szCs w:val="28"/>
          <w:rtl w:val="true"/>
          <w:lang w:bidi="fa-IR"/>
        </w:rPr>
        <w:t>.</w:t>
      </w:r>
      <w:bookmarkStart w:id="2567" w:name="pg1964_20047"/>
    </w:p>
    <w:p>
      <w:pPr>
        <w:pStyle w:val="Heading4"/>
        <w:numPr>
          <w:ilvl w:val="3"/>
          <w:numId w:val="1"/>
        </w:numPr>
        <w:rPr/>
      </w:pPr>
      <w:bookmarkStart w:id="2568" w:name="__RefHeading___Toc3586603_3650668749"/>
      <w:bookmarkStart w:id="2569" w:name="_Toc1098"/>
      <w:bookmarkEnd w:id="2567"/>
      <w:bookmarkEnd w:id="2568"/>
      <w:r>
        <w:rPr>
          <w:rtl w:val="true"/>
        </w:rPr>
        <w:t>د</w:t>
      </w:r>
      <w:r>
        <w:rPr>
          <w:rtl w:val="true"/>
        </w:rPr>
        <w:t xml:space="preserve">) </w:t>
      </w:r>
      <w:r>
        <w:rPr>
          <w:rtl w:val="true"/>
        </w:rPr>
        <w:t>مناكب</w:t>
      </w:r>
      <w:bookmarkEnd w:id="2569"/>
    </w:p>
    <w:p>
      <w:pPr>
        <w:pStyle w:val="BookText"/>
        <w:rPr/>
      </w:pPr>
      <w:r>
        <w:rPr>
          <w:rFonts w:ascii="IRNazanin" w:hAnsi="IRNazanin" w:eastAsia="IRNazanin"/>
          <w:color w:val="111111"/>
          <w:sz w:val="28"/>
          <w:sz w:val="28"/>
          <w:szCs w:val="28"/>
          <w:rtl w:val="true"/>
          <w:lang w:bidi="fa-IR"/>
        </w:rPr>
        <w:t>مناكب جمع منكب و به عقيده بعضى سمتى بود كه در جاهليت نيز در ميان قبيله وجود داشت و فوق عريف و تحت نظر شيخ قبيله بود و وظيفه نظارت بر اعمال پنج عريف تحت نظر خود را به عهده مى‌گرفت</w:t>
      </w:r>
      <w:r>
        <w:rPr>
          <w:rFonts w:eastAsia="IRNazanin" w:cs="IRNazanin"/>
          <w:color w:val="111111"/>
          <w:sz w:val="28"/>
          <w:szCs w:val="28"/>
          <w:rtl w:val="true"/>
          <w:lang w:bidi="fa-IR"/>
        </w:rPr>
        <w:t xml:space="preserve">. </w:t>
      </w:r>
      <w:r>
        <w:rPr>
          <w:rStyle w:val="FootnoteAnchor"/>
          <w:rtl w:val="true"/>
        </w:rPr>
        <w:footnoteReference w:id="2345"/>
      </w:r>
    </w:p>
    <w:p>
      <w:pPr>
        <w:pStyle w:val="BookText"/>
        <w:rPr/>
      </w:pPr>
      <w:r>
        <w:rPr>
          <w:rFonts w:ascii="IRNazanin" w:hAnsi="IRNazanin" w:eastAsia="IRNazanin"/>
          <w:color w:val="111111"/>
          <w:sz w:val="28"/>
          <w:sz w:val="28"/>
          <w:szCs w:val="28"/>
          <w:rtl w:val="true"/>
          <w:lang w:bidi="fa-IR"/>
        </w:rPr>
        <w:t>اما بعضى ديگر از نوشته‌ها، ايجاد اين منصب را به زياد بن ابيه و براى تسلط و نظارت بيشتر بر اعمال و كارهاى عرفا نسبت داده‌اند</w:t>
      </w:r>
      <w:r>
        <w:rPr>
          <w:rFonts w:eastAsia="IRNazanin" w:cs="IRNazanin"/>
          <w:color w:val="111111"/>
          <w:sz w:val="28"/>
          <w:szCs w:val="28"/>
          <w:rtl w:val="true"/>
          <w:lang w:bidi="fa-IR"/>
        </w:rPr>
        <w:t>.</w:t>
      </w:r>
      <w:r>
        <w:rPr>
          <w:rStyle w:val="FootnoteAnchor"/>
          <w:rtl w:val="true"/>
        </w:rPr>
        <w:footnoteReference w:id="2346"/>
      </w:r>
      <w:r>
        <w:rPr>
          <w:rFonts w:ascii="IRNazanin" w:hAnsi="IRNazanin" w:eastAsia="IRNazanin"/>
          <w:color w:val="111111"/>
          <w:sz w:val="28"/>
          <w:sz w:val="28"/>
          <w:szCs w:val="28"/>
          <w:rtl w:val="true"/>
          <w:lang w:bidi="fa-IR"/>
        </w:rPr>
        <w:t>برخى نيز نظر بر اين عقيده‌اند كه گرچه اين منصب در زمان زياد ايجاد شد، اما سمتى پايين‌تر از عريف و معاون او به حساب مى‌آمد</w:t>
      </w:r>
      <w:r>
        <w:rPr>
          <w:rFonts w:eastAsia="IRNazanin" w:cs="IRNazanin"/>
          <w:color w:val="111111"/>
          <w:sz w:val="28"/>
          <w:szCs w:val="28"/>
          <w:rtl w:val="true"/>
          <w:lang w:bidi="fa-IR"/>
        </w:rPr>
        <w:t>.</w:t>
      </w:r>
      <w:r>
        <w:rPr>
          <w:rStyle w:val="FootnoteAnchor"/>
          <w:rtl w:val="true"/>
        </w:rPr>
        <w:footnoteReference w:id="2347"/>
      </w:r>
      <w:r>
        <w:rPr>
          <w:rFonts w:ascii="IRNazanin" w:hAnsi="IRNazanin" w:eastAsia="IRNazanin"/>
          <w:color w:val="111111"/>
          <w:sz w:val="28"/>
          <w:sz w:val="28"/>
          <w:szCs w:val="28"/>
          <w:rtl w:val="true"/>
          <w:lang w:bidi="fa-IR"/>
        </w:rPr>
        <w:t>در كتاب لسان العرب چند قول در باره اين سمت ذكر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عريف،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عرفاء،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مرتبه‌اى پايين‌تر از عريف</w:t>
      </w:r>
      <w:r>
        <w:rPr>
          <w:rFonts w:eastAsia="IRNazanin" w:cs="IRNazanin"/>
          <w:color w:val="111111"/>
          <w:sz w:val="28"/>
          <w:szCs w:val="28"/>
          <w:rtl w:val="true"/>
          <w:lang w:bidi="fa-IR"/>
        </w:rPr>
        <w:t>.</w:t>
      </w:r>
      <w:r>
        <w:rPr>
          <w:rStyle w:val="FootnoteAnchor"/>
          <w:rtl w:val="true"/>
        </w:rPr>
        <w:footnoteReference w:id="2348"/>
      </w:r>
    </w:p>
    <w:p>
      <w:pPr>
        <w:pStyle w:val="BookText"/>
        <w:rPr/>
      </w:pPr>
      <w:r>
        <w:rPr>
          <w:rFonts w:ascii="IRNazanin" w:hAnsi="IRNazanin" w:eastAsia="IRNazanin"/>
          <w:color w:val="111111"/>
          <w:sz w:val="28"/>
          <w:sz w:val="28"/>
          <w:szCs w:val="28"/>
          <w:rtl w:val="true"/>
          <w:lang w:bidi="fa-IR"/>
        </w:rPr>
        <w:t xml:space="preserve">در ميان نصوص تاريخى عبارتى وجود دارد كه عبيدالله بن زياد در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آن را بيان كرده و از منكب در رديف شرطه، عرفا و مقاتله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w:t>
      </w:r>
      <w:r>
        <w:rPr>
          <w:rStyle w:val="FootnoteAnchor"/>
          <w:rtl w:val="true"/>
        </w:rPr>
        <w:footnoteReference w:id="2349"/>
      </w:r>
    </w:p>
    <w:p>
      <w:pPr>
        <w:pStyle w:val="Heading4"/>
        <w:numPr>
          <w:ilvl w:val="3"/>
          <w:numId w:val="1"/>
        </w:numPr>
        <w:rPr/>
      </w:pPr>
      <w:bookmarkStart w:id="2570" w:name="__RefHeading___Toc3586605_3650668749"/>
      <w:bookmarkStart w:id="2571" w:name="_Toc1099"/>
      <w:bookmarkEnd w:id="2570"/>
      <w:r>
        <w:rPr>
          <w:rtl w:val="true"/>
        </w:rPr>
        <w:t>ه</w:t>
      </w:r>
      <w:r>
        <w:rPr>
          <w:rtl w:val="true"/>
        </w:rPr>
        <w:t xml:space="preserve">) </w:t>
      </w:r>
      <w:r>
        <w:rPr>
          <w:rtl w:val="true"/>
        </w:rPr>
        <w:t>سرپرست بيت‌المال</w:t>
      </w:r>
      <w:bookmarkEnd w:id="2571"/>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ابتداى تأسيس شهر كوفه سرپرستى بيت‌المال به عهده شخص امينى بود كه مستقيماً از طرف خليفه تعيين مى‌شد و تنها در مقابل او جواب‌گو بود و جايگاهى در عرض والى كوفه داشت، چنان‌كه در تاريخ آمده است كه عُمر در سال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عمار را به عنوان امير كوفه و عبدالله بن مسعود را به عنوان متصدى بيت‌المال اين شهر نصب كرد</w:t>
      </w:r>
      <w:r>
        <w:rPr>
          <w:rFonts w:eastAsia="IRNazanin" w:cs="IRNazanin"/>
          <w:color w:val="111111"/>
          <w:sz w:val="28"/>
          <w:szCs w:val="28"/>
          <w:rtl w:val="true"/>
          <w:lang w:bidi="fa-IR"/>
        </w:rPr>
        <w:t>.</w:t>
      </w:r>
      <w:r>
        <w:rPr>
          <w:rStyle w:val="FootnoteAnchor"/>
          <w:rtl w:val="true"/>
        </w:rPr>
        <w:footnoteReference w:id="2350"/>
      </w:r>
      <w:r>
        <w:rPr>
          <w:rFonts w:ascii="IRNazanin" w:hAnsi="IRNazanin" w:eastAsia="IRNazanin"/>
          <w:color w:val="111111"/>
          <w:sz w:val="28"/>
          <w:sz w:val="28"/>
          <w:szCs w:val="28"/>
          <w:rtl w:val="true"/>
          <w:lang w:bidi="fa-IR"/>
        </w:rPr>
        <w:t>ابن‌مسعود اين سمت را تا چند سال خلافت عثمان نيز بر عهده داشت، پس از آن اين سمت را افرادى، همچون اباجُبَيرة انصارى، قيس بن عَطارد و</w:t>
      </w:r>
      <w:bookmarkStart w:id="2572" w:name="pg1964_20048"/>
    </w:p>
    <w:p>
      <w:pPr>
        <w:pStyle w:val="BookText"/>
        <w:rPr/>
      </w:pPr>
      <w:bookmarkEnd w:id="2572"/>
      <w:r>
        <w:rPr>
          <w:rFonts w:ascii="Amiri" w:hAnsi="Amiri" w:eastAsia="Amiri" w:cs="Amiri"/>
          <w:color w:val="111111"/>
          <w:sz w:val="28"/>
          <w:sz w:val="28"/>
          <w:szCs w:val="28"/>
          <w:rtl w:val="true"/>
          <w:lang w:bidi="ar-SA"/>
        </w:rPr>
        <w:t>قَبيفة بن جابر اسدى بر عهده داشتند</w:t>
      </w:r>
      <w:r>
        <w:rPr>
          <w:rFonts w:eastAsia="Amiri" w:cs="Amiri" w:ascii="Amiri" w:hAnsi="Amiri"/>
          <w:color w:val="111111"/>
          <w:sz w:val="28"/>
          <w:szCs w:val="28"/>
          <w:rtl w:val="true"/>
          <w:lang w:bidi="ar-SA"/>
        </w:rPr>
        <w:t xml:space="preserve">. </w:t>
      </w:r>
      <w:r>
        <w:rPr>
          <w:rStyle w:val="FootnoteAnchor"/>
          <w:rtl w:val="true"/>
        </w:rPr>
        <w:footnoteReference w:id="235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بين ابن‌مسعود، سرپرست بيت‌المال و سعد بن ابى‌وقاص، والى كوفه اختلافى بر سر قرضى كه سعد از بيت‌المال گرفته بود، رخ داد كه همين كشمكش بهانه‌اى شد تا عثمان سعد را عزل و به جاى او وليد را نصب كند</w:t>
      </w:r>
      <w:r>
        <w:rPr>
          <w:rFonts w:eastAsia="IRNazanin" w:cs="IRNazanin"/>
          <w:color w:val="111111"/>
          <w:sz w:val="28"/>
          <w:szCs w:val="28"/>
          <w:rtl w:val="true"/>
          <w:lang w:bidi="fa-IR"/>
        </w:rPr>
        <w:t>.</w:t>
      </w:r>
      <w:r>
        <w:rPr>
          <w:rStyle w:val="FootnoteAnchor"/>
          <w:rtl w:val="true"/>
        </w:rPr>
        <w:footnoteReference w:id="2352"/>
      </w:r>
      <w:r>
        <w:rPr>
          <w:rFonts w:ascii="Amiri" w:hAnsi="Amiri" w:eastAsia="Amiri" w:cs="Amiri"/>
          <w:color w:val="111111"/>
          <w:sz w:val="28"/>
          <w:sz w:val="28"/>
          <w:szCs w:val="28"/>
          <w:rtl w:val="true"/>
          <w:lang w:bidi="ar-SA"/>
        </w:rPr>
        <w:t>اما در زمان امويان، صاحب اين منصب، استقلال خود را از دست داد؛ بدين ترتيب كه به وسيله امير كوفه منصوب مى‌شد نه رئيس حكومت مركزى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سرپرستان بيت‌المال در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نام وهب بن عبدالله بود</w:t>
      </w:r>
      <w:r>
        <w:rPr>
          <w:rFonts w:eastAsia="IRNazanin" w:cs="IRNazanin"/>
          <w:color w:val="111111"/>
          <w:sz w:val="28"/>
          <w:szCs w:val="28"/>
          <w:rtl w:val="true"/>
          <w:lang w:bidi="fa-IR"/>
        </w:rPr>
        <w:t>.</w:t>
      </w:r>
      <w:r>
        <w:rPr>
          <w:rStyle w:val="FootnoteAnchor"/>
          <w:rtl w:val="true"/>
        </w:rPr>
        <w:footnoteReference w:id="2353"/>
      </w:r>
    </w:p>
    <w:p>
      <w:pPr>
        <w:pStyle w:val="Heading4"/>
        <w:numPr>
          <w:ilvl w:val="3"/>
          <w:numId w:val="1"/>
        </w:numPr>
        <w:rPr/>
      </w:pPr>
      <w:bookmarkStart w:id="2573" w:name="__RefHeading___Toc3586607_3650668749"/>
      <w:bookmarkStart w:id="2574" w:name="_Toc1100"/>
      <w:bookmarkEnd w:id="2573"/>
      <w:r>
        <w:rPr>
          <w:rtl w:val="true"/>
        </w:rPr>
        <w:t>و</w:t>
      </w:r>
      <w:r>
        <w:rPr>
          <w:rtl w:val="true"/>
        </w:rPr>
        <w:t xml:space="preserve">) </w:t>
      </w:r>
      <w:r>
        <w:rPr>
          <w:rtl w:val="true"/>
        </w:rPr>
        <w:t>سرپرست ديوان خراج</w:t>
      </w:r>
      <w:bookmarkEnd w:id="2574"/>
    </w:p>
    <w:p>
      <w:pPr>
        <w:pStyle w:val="BookText"/>
        <w:rPr/>
      </w:pPr>
      <w:r>
        <w:rPr>
          <w:rFonts w:ascii="IRNazanin" w:hAnsi="IRNazanin" w:eastAsia="IRNazanin"/>
          <w:color w:val="111111"/>
          <w:sz w:val="28"/>
          <w:sz w:val="28"/>
          <w:szCs w:val="28"/>
          <w:rtl w:val="true"/>
          <w:lang w:bidi="fa-IR"/>
        </w:rPr>
        <w:t>منظور از خراج، خراج منطقه سواد كه شامل كوفه و بصره هر دو مى‌شد، مى‌باشد كه در فصل چهارم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سال‌هاى آغاز تشكيل شهر كوفه، مسئول خراج، مقامى مستقل داشت و در عرض امير بود و به وسيله خليفه تعيين مى‌شد، چنان‌كه هم‌زمان با معرفى عمّار به عنوان والى و ابن‌مسعود به عنوان مسئول بيت‌المال از سوى عمر در سال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عثمان بن حنيف به عنوان متولى خراج تعيين شد</w:t>
      </w:r>
      <w:r>
        <w:rPr>
          <w:rFonts w:eastAsia="IRNazanin" w:cs="IRNazanin"/>
          <w:color w:val="111111"/>
          <w:sz w:val="28"/>
          <w:szCs w:val="28"/>
          <w:rtl w:val="true"/>
          <w:lang w:bidi="fa-IR"/>
        </w:rPr>
        <w:t>.</w:t>
      </w:r>
      <w:r>
        <w:rPr>
          <w:rStyle w:val="FootnoteAnchor"/>
          <w:rtl w:val="true"/>
        </w:rPr>
        <w:footnoteReference w:id="2354"/>
      </w:r>
      <w:r>
        <w:rPr>
          <w:rFonts w:ascii="IRNazanin" w:hAnsi="IRNazanin" w:eastAsia="IRNazanin"/>
          <w:color w:val="111111"/>
          <w:sz w:val="28"/>
          <w:sz w:val="28"/>
          <w:szCs w:val="28"/>
          <w:rtl w:val="true"/>
          <w:lang w:bidi="fa-IR"/>
        </w:rPr>
        <w:t>متولى اين سمت در سال‌هاى پايانى خلافت عثمان جابر مُزَنى بود</w:t>
      </w:r>
      <w:r>
        <w:rPr>
          <w:rFonts w:eastAsia="IRNazanin" w:cs="IRNazanin"/>
          <w:color w:val="111111"/>
          <w:sz w:val="28"/>
          <w:szCs w:val="28"/>
          <w:rtl w:val="true"/>
          <w:lang w:bidi="fa-IR"/>
        </w:rPr>
        <w:t xml:space="preserve">. </w:t>
      </w:r>
      <w:r>
        <w:rPr>
          <w:rStyle w:val="FootnoteAnchor"/>
          <w:rtl w:val="true"/>
        </w:rPr>
        <w:footnoteReference w:id="2355"/>
      </w:r>
      <w:r>
        <w:rPr>
          <w:rFonts w:ascii="IRNazanin" w:hAnsi="IRNazanin" w:eastAsia="IRNazanin"/>
          <w:color w:val="111111"/>
          <w:sz w:val="28"/>
          <w:sz w:val="28"/>
          <w:szCs w:val="28"/>
          <w:rtl w:val="true"/>
          <w:lang w:bidi="fa-IR"/>
        </w:rPr>
        <w:t xml:space="preserve">گفتنى است افرادى، همچون قرظة بن كعب انصارى و عبدالله بن سلمه را متوليان اين سمت در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2356"/>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هنگام نصب مغيرة بن شعبه براى فرماندارى كوفه، عبدالله بن دراج را نيز به عنوان متولى خراج سواد تعيين كرد</w:t>
      </w:r>
      <w:r>
        <w:rPr>
          <w:rFonts w:eastAsia="IRNazanin" w:cs="IRNazanin"/>
          <w:color w:val="111111"/>
          <w:sz w:val="28"/>
          <w:szCs w:val="28"/>
          <w:rtl w:val="true"/>
          <w:lang w:bidi="fa-IR"/>
        </w:rPr>
        <w:t>.</w:t>
      </w:r>
      <w:r>
        <w:rPr>
          <w:rStyle w:val="FootnoteAnchor"/>
          <w:rtl w:val="true"/>
        </w:rPr>
        <w:footnoteReference w:id="2357"/>
      </w:r>
      <w:r>
        <w:rPr>
          <w:rFonts w:ascii="Amiri" w:hAnsi="Amiri" w:eastAsia="Amiri" w:cs="Amiri"/>
          <w:color w:val="111111"/>
          <w:sz w:val="28"/>
          <w:sz w:val="28"/>
          <w:szCs w:val="28"/>
          <w:rtl w:val="true"/>
          <w:lang w:bidi="ar-SA"/>
        </w:rPr>
        <w:t>او درآمد سرشارى را از راه جمع‌آورى خراج نصيب معاويه نمود</w:t>
      </w:r>
      <w:r>
        <w:rPr>
          <w:rFonts w:eastAsia="Amiri" w:cs="Amiri" w:ascii="Amiri" w:hAnsi="Amiri"/>
          <w:color w:val="111111"/>
          <w:sz w:val="28"/>
          <w:szCs w:val="28"/>
          <w:rtl w:val="true"/>
          <w:lang w:bidi="ar-SA"/>
        </w:rPr>
        <w:t>.</w:t>
      </w:r>
      <w:r>
        <w:rPr>
          <w:rStyle w:val="FootnoteAnchor"/>
          <w:rtl w:val="true"/>
        </w:rPr>
        <w:footnoteReference w:id="2358"/>
      </w:r>
      <w:bookmarkStart w:id="2575" w:name="pg1964_20049"/>
    </w:p>
    <w:p>
      <w:pPr>
        <w:pStyle w:val="BookText"/>
        <w:rPr/>
      </w:pPr>
      <w:bookmarkEnd w:id="2575"/>
      <w:r>
        <w:rPr>
          <w:rFonts w:ascii="IRNazanin" w:hAnsi="IRNazanin" w:eastAsia="IRNazanin"/>
          <w:color w:val="111111"/>
          <w:sz w:val="28"/>
          <w:sz w:val="28"/>
          <w:szCs w:val="28"/>
          <w:rtl w:val="true"/>
          <w:lang w:bidi="fa-IR"/>
        </w:rPr>
        <w:t>به هرحال آنچه از مطالب بالا به دست آمد اين است كه صاحب اين منصب در اوضاع كوفه دخالت مستقيمى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پايانى آنكه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نامه‌اى دستورالعملى براى عاملان خود بر خراج صادر كرد</w:t>
      </w:r>
      <w:r>
        <w:rPr>
          <w:rFonts w:eastAsia="IRNazanin" w:cs="IRNazanin"/>
          <w:color w:val="111111"/>
          <w:sz w:val="28"/>
          <w:szCs w:val="28"/>
          <w:rtl w:val="true"/>
          <w:lang w:bidi="fa-IR"/>
        </w:rPr>
        <w:t xml:space="preserve">. </w:t>
      </w:r>
      <w:r>
        <w:rPr>
          <w:rStyle w:val="FootnoteAnchor"/>
          <w:rtl w:val="true"/>
        </w:rPr>
        <w:footnoteReference w:id="2359"/>
      </w:r>
    </w:p>
    <w:p>
      <w:pPr>
        <w:pStyle w:val="Heading4"/>
        <w:numPr>
          <w:ilvl w:val="3"/>
          <w:numId w:val="1"/>
        </w:numPr>
        <w:rPr/>
      </w:pPr>
      <w:bookmarkStart w:id="2576" w:name="__RefHeading___Toc3586609_3650668749"/>
      <w:bookmarkStart w:id="2577" w:name="_Toc1101"/>
      <w:bookmarkEnd w:id="2576"/>
      <w:r>
        <w:rPr>
          <w:rtl w:val="true"/>
        </w:rPr>
        <w:t>ز</w:t>
      </w:r>
      <w:r>
        <w:rPr>
          <w:rtl w:val="true"/>
        </w:rPr>
        <w:t xml:space="preserve">) </w:t>
      </w:r>
      <w:r>
        <w:rPr>
          <w:rtl w:val="true"/>
        </w:rPr>
        <w:t>كاتبان و منشيان</w:t>
      </w:r>
      <w:bookmarkEnd w:id="2577"/>
    </w:p>
    <w:p>
      <w:pPr>
        <w:pStyle w:val="BookText"/>
        <w:rPr/>
      </w:pPr>
      <w:r>
        <w:rPr>
          <w:rFonts w:ascii="Amiri" w:hAnsi="Amiri" w:eastAsia="Amiri" w:cs="Amiri"/>
          <w:color w:val="111111"/>
          <w:sz w:val="28"/>
          <w:sz w:val="28"/>
          <w:szCs w:val="28"/>
          <w:rtl w:val="true"/>
          <w:lang w:bidi="ar-SA"/>
        </w:rPr>
        <w:t>از ابتداى تشكيل ديوان در زمان خلافت عمر، نياز به كاتبان و منشيان حكومتى احساس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ابوجبيره انصارى را بتوان اولين منشى حكومتى كوفه دانست كه در زمان سعد بن ابى‌وقاص مسئوليت ديوان 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طرف سعد به عهده داشت</w:t>
      </w:r>
      <w:r>
        <w:rPr>
          <w:rFonts w:eastAsia="Amiri" w:cs="Amiri" w:ascii="Amiri" w:hAnsi="Amiri"/>
          <w:color w:val="111111"/>
          <w:sz w:val="28"/>
          <w:szCs w:val="28"/>
          <w:rtl w:val="true"/>
          <w:lang w:bidi="ar-SA"/>
        </w:rPr>
        <w:t>.</w:t>
      </w:r>
      <w:r>
        <w:rPr>
          <w:rStyle w:val="FootnoteAnchor"/>
          <w:rtl w:val="true"/>
        </w:rPr>
        <w:footnoteReference w:id="2360"/>
      </w:r>
      <w:r>
        <w:rPr>
          <w:rFonts w:ascii="Amiri" w:hAnsi="Amiri" w:eastAsia="Amiri" w:cs="Amiri"/>
          <w:color w:val="111111"/>
          <w:sz w:val="28"/>
          <w:sz w:val="28"/>
          <w:szCs w:val="28"/>
          <w:rtl w:val="true"/>
          <w:lang w:bidi="ar-SA"/>
        </w:rPr>
        <w:t xml:space="preserve">سعيد بن نمران هَمْدانى، عبدالله بن جعفر و عبدالله جبير و عبيدالله‌بن ابى‌رافع، به عنوان كاتبان و منشيان حكومتى در زمان خلافت حضرت‌على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كوفه معرفى شده‌اند</w:t>
      </w:r>
      <w:r>
        <w:rPr>
          <w:rFonts w:eastAsia="Amiri" w:cs="Amiri" w:ascii="Amiri" w:hAnsi="Amiri"/>
          <w:color w:val="111111"/>
          <w:sz w:val="28"/>
          <w:szCs w:val="28"/>
          <w:rtl w:val="true"/>
          <w:lang w:bidi="ar-SA"/>
        </w:rPr>
        <w:t>.</w:t>
      </w:r>
      <w:r>
        <w:rPr>
          <w:rStyle w:val="FootnoteAnchor"/>
          <w:rtl w:val="true"/>
        </w:rPr>
        <w:footnoteReference w:id="2361"/>
      </w:r>
      <w:r>
        <w:rPr>
          <w:rFonts w:ascii="Amiri" w:hAnsi="Amiri" w:eastAsia="Amiri" w:cs="Amiri"/>
          <w:color w:val="111111"/>
          <w:sz w:val="28"/>
          <w:sz w:val="28"/>
          <w:szCs w:val="28"/>
          <w:rtl w:val="true"/>
          <w:lang w:bidi="ar-SA"/>
        </w:rPr>
        <w:t>و بالاخره از عبيدالله عمرو بن رافع به عنوان كاتب عبيدالله بن زياد ياد شده است</w:t>
      </w:r>
      <w:r>
        <w:rPr>
          <w:rFonts w:eastAsia="Amiri" w:cs="Amiri" w:ascii="Amiri" w:hAnsi="Amiri"/>
          <w:color w:val="111111"/>
          <w:sz w:val="28"/>
          <w:szCs w:val="28"/>
          <w:rtl w:val="true"/>
          <w:lang w:bidi="ar-SA"/>
        </w:rPr>
        <w:t>.</w:t>
      </w:r>
      <w:r>
        <w:rPr>
          <w:rStyle w:val="FootnoteAnchor"/>
          <w:rtl w:val="true"/>
        </w:rPr>
        <w:footnoteReference w:id="2362"/>
      </w:r>
    </w:p>
    <w:p>
      <w:pPr>
        <w:pStyle w:val="BookText"/>
        <w:rPr/>
      </w:pPr>
      <w:r>
        <w:rPr>
          <w:rFonts w:ascii="IRNazanin" w:hAnsi="IRNazanin" w:eastAsia="IRNazanin"/>
          <w:color w:val="111111"/>
          <w:sz w:val="28"/>
          <w:sz w:val="28"/>
          <w:szCs w:val="28"/>
          <w:rtl w:val="true"/>
          <w:lang w:bidi="fa-IR"/>
        </w:rPr>
        <w:t>در زمان خلافت معاويه به علت گستردگى كارها، وظيفه منشى‌گرى نيز از تنوع خاصى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معاويه در شام براى خود پنج نوع كاتب و منشى تعيين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نامه‌ها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امور 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امور مربوط به 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مربوط به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الشرطه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امور قضايى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القاضى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منشى قاضى بود و احكام صادره از سوى او را ثبت مى‌كرد</w:t>
      </w:r>
      <w:r>
        <w:rPr>
          <w:rFonts w:eastAsia="IRNazanin" w:cs="IRNazanin"/>
          <w:color w:val="111111"/>
          <w:sz w:val="28"/>
          <w:szCs w:val="28"/>
          <w:rtl w:val="true"/>
          <w:lang w:bidi="fa-IR"/>
        </w:rPr>
        <w:t>.</w:t>
      </w:r>
      <w:r>
        <w:rPr>
          <w:rStyle w:val="FootnoteAnchor"/>
          <w:rtl w:val="true"/>
        </w:rPr>
        <w:footnoteReference w:id="2363"/>
      </w:r>
    </w:p>
    <w:p>
      <w:pPr>
        <w:pStyle w:val="BookText"/>
        <w:rPr/>
      </w:pPr>
      <w:r>
        <w:rPr>
          <w:rFonts w:ascii="Amiri" w:hAnsi="Amiri" w:eastAsia="Amiri" w:cs="Amiri"/>
          <w:color w:val="111111"/>
          <w:sz w:val="28"/>
          <w:sz w:val="28"/>
          <w:szCs w:val="28"/>
          <w:rtl w:val="true"/>
          <w:lang w:bidi="ar-SA"/>
        </w:rPr>
        <w:t>در اين زمان ديوانى به نام ديوان خاتم به وجود آمد كه وظيفه مراقبت از مهرهاى حكومتى را بر عهده داشت</w:t>
      </w:r>
      <w:r>
        <w:rPr>
          <w:rFonts w:eastAsia="Amiri" w:cs="Amiri" w:ascii="Amiri" w:hAnsi="Amiri"/>
          <w:color w:val="111111"/>
          <w:sz w:val="28"/>
          <w:szCs w:val="28"/>
          <w:rtl w:val="true"/>
          <w:lang w:bidi="ar-SA"/>
        </w:rPr>
        <w:t xml:space="preserve">. </w:t>
      </w:r>
      <w:r>
        <w:rPr>
          <w:rStyle w:val="FootnoteAnchor"/>
          <w:rtl w:val="true"/>
        </w:rPr>
        <w:footnoteReference w:id="2364"/>
      </w:r>
      <w:r>
        <w:rPr>
          <w:rFonts w:ascii="IRNazanin" w:hAnsi="IRNazanin" w:eastAsia="IRNazanin"/>
          <w:color w:val="111111"/>
          <w:sz w:val="28"/>
          <w:sz w:val="28"/>
          <w:szCs w:val="28"/>
          <w:rtl w:val="true"/>
          <w:lang w:bidi="fa-IR"/>
        </w:rPr>
        <w:t>گفتنى است كه مهر نمودن نامه‌ها، پيش از حكومت معاويه نيز رايج بود، چنان‌كه در باره عُمر آمده است كه او اولين كسى بود كه روى نامه‌هاى خود تاريخ نگاشت و آن را با گِل مهر نمود</w:t>
      </w:r>
      <w:r>
        <w:rPr>
          <w:rFonts w:eastAsia="IRNazanin" w:cs="IRNazanin"/>
          <w:color w:val="111111"/>
          <w:sz w:val="28"/>
          <w:szCs w:val="28"/>
          <w:rtl w:val="true"/>
          <w:lang w:bidi="fa-IR"/>
        </w:rPr>
        <w:t xml:space="preserve">. </w:t>
      </w:r>
      <w:r>
        <w:rPr>
          <w:rStyle w:val="FootnoteAnchor"/>
          <w:rtl w:val="true"/>
        </w:rPr>
        <w:footnoteReference w:id="2365"/>
      </w:r>
      <w:r>
        <w:rPr>
          <w:rFonts w:ascii="IRNazanin" w:hAnsi="IRNazanin" w:eastAsia="IRNazanin"/>
          <w:color w:val="111111"/>
          <w:sz w:val="28"/>
          <w:sz w:val="28"/>
          <w:szCs w:val="28"/>
          <w:rtl w:val="true"/>
          <w:lang w:bidi="fa-IR"/>
        </w:rPr>
        <w:t xml:space="preserve">همچنين در باره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گفته شده است كه هميشه نامه‌هاى خود را مهر مى‌كرد</w:t>
      </w:r>
      <w:r>
        <w:rPr>
          <w:rFonts w:eastAsia="IRNazanin" w:cs="IRNazanin"/>
          <w:color w:val="111111"/>
          <w:sz w:val="28"/>
          <w:szCs w:val="28"/>
          <w:rtl w:val="true"/>
          <w:lang w:bidi="fa-IR"/>
        </w:rPr>
        <w:t xml:space="preserve">. </w:t>
      </w:r>
      <w:r>
        <w:rPr>
          <w:rStyle w:val="FootnoteAnchor"/>
          <w:rtl w:val="true"/>
        </w:rPr>
        <w:footnoteReference w:id="2366"/>
      </w:r>
    </w:p>
    <w:p>
      <w:pPr>
        <w:pStyle w:val="BookText"/>
        <w:rPr/>
      </w:pPr>
      <w:r>
        <w:rPr>
          <w:rFonts w:ascii="IRNazanin" w:hAnsi="IRNazanin" w:eastAsia="IRNazanin"/>
          <w:color w:val="111111"/>
          <w:sz w:val="28"/>
          <w:sz w:val="28"/>
          <w:szCs w:val="28"/>
          <w:rtl w:val="true"/>
          <w:lang w:bidi="fa-IR"/>
        </w:rPr>
        <w:t>اما در زمان حكومت معاويه شخصى به نام عمر بن زبير در نامه معاويه كه به زياد، حاكم عراق نوشته و حواله صد هزار درهمى براى او صادر كرده بود، دست برد و صد هزار درهم را تبديل به دويست هزار درهم كرد، بدون آنكه معاويه و زياد از اين امر 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كه ماجرا برملا شد، معاويه كيفيت خاصى براى مهر نمودن نامه‌ها انتخاب نمود؛ بدين ترتيب كه دستور داد نامه‌ها را بپيچند و با شمع روى آن مهر زنند تا اگر كسى نامه را باز نمود آشكار شود و اين علاوه بر مهر زدن بر اول يا آخر نامه بود</w:t>
      </w:r>
      <w:r>
        <w:rPr>
          <w:rFonts w:eastAsia="IRNazanin" w:cs="IRNazanin"/>
          <w:color w:val="111111"/>
          <w:sz w:val="28"/>
          <w:szCs w:val="28"/>
          <w:rtl w:val="true"/>
          <w:lang w:bidi="fa-IR"/>
        </w:rPr>
        <w:t>.</w:t>
      </w:r>
      <w:r>
        <w:rPr>
          <w:rStyle w:val="FootnoteAnchor"/>
          <w:rtl w:val="true"/>
        </w:rPr>
        <w:footnoteReference w:id="2367"/>
      </w:r>
    </w:p>
    <w:p>
      <w:pPr>
        <w:pStyle w:val="BookText"/>
        <w:rPr/>
      </w:pPr>
      <w:r>
        <w:rPr>
          <w:rFonts w:ascii="IRNazanin" w:hAnsi="IRNazanin" w:eastAsia="IRNazanin"/>
          <w:color w:val="111111"/>
          <w:sz w:val="28"/>
          <w:sz w:val="28"/>
          <w:szCs w:val="28"/>
          <w:rtl w:val="true"/>
          <w:lang w:bidi="fa-IR"/>
        </w:rPr>
        <w:t>در باره زياد نيز نقل شده است كه ديوان خاتم را در زمان حكومت خود بر عراق ايجاد نمود كه عمل او را تقليدى از پادشاهان ايران دانسته‌اند</w:t>
      </w:r>
      <w:r>
        <w:rPr>
          <w:rFonts w:eastAsia="IRNazanin" w:cs="IRNazanin"/>
          <w:color w:val="111111"/>
          <w:sz w:val="28"/>
          <w:szCs w:val="28"/>
          <w:rtl w:val="true"/>
          <w:lang w:bidi="fa-IR"/>
        </w:rPr>
        <w:t>.</w:t>
      </w:r>
      <w:r>
        <w:rPr>
          <w:rStyle w:val="FootnoteAnchor"/>
          <w:rtl w:val="true"/>
        </w:rPr>
        <w:footnoteReference w:id="2368"/>
      </w:r>
    </w:p>
    <w:p>
      <w:pPr>
        <w:pStyle w:val="BookText"/>
        <w:rPr/>
      </w:pPr>
      <w:r>
        <w:rPr>
          <w:rFonts w:ascii="Amiri" w:hAnsi="Amiri" w:eastAsia="Amiri" w:cs="Amiri"/>
          <w:color w:val="111111"/>
          <w:sz w:val="28"/>
          <w:sz w:val="28"/>
          <w:szCs w:val="28"/>
          <w:rtl w:val="true"/>
          <w:lang w:bidi="ar-SA"/>
        </w:rPr>
        <w:t>اسامى بعضى از كاتبان معاويه كه در تاريخ آمده،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اوس غسّانى، مسئول نوشتن ديوان رسائل؛</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سِرْحون بن منصور رومى، مسئول ديوان خراج؛</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سعيد بن عاص، مسئول ديوان لشگر؛</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دُرّاج و عبيدالله بن نصر بن حجاج بن علاء سلمى</w:t>
      </w:r>
      <w:r>
        <w:rPr>
          <w:rFonts w:eastAsia="IRNazanin" w:cs="IRNazanin"/>
          <w:color w:val="111111"/>
          <w:sz w:val="28"/>
          <w:szCs w:val="28"/>
          <w:rtl w:val="true"/>
          <w:lang w:bidi="fa-IR"/>
        </w:rPr>
        <w:t>.</w:t>
      </w:r>
      <w:r>
        <w:rPr>
          <w:rStyle w:val="FootnoteAnchor"/>
          <w:rtl w:val="true"/>
        </w:rPr>
        <w:footnoteReference w:id="2369"/>
      </w:r>
    </w:p>
    <w:p>
      <w:pPr>
        <w:pStyle w:val="BookText"/>
        <w:rPr/>
      </w:pPr>
      <w:r>
        <w:rPr>
          <w:rFonts w:ascii="Amiri" w:hAnsi="Amiri" w:eastAsia="Amiri" w:cs="Amiri"/>
          <w:color w:val="111111"/>
          <w:sz w:val="28"/>
          <w:sz w:val="28"/>
          <w:szCs w:val="28"/>
          <w:rtl w:val="true"/>
          <w:lang w:bidi="ar-SA"/>
        </w:rPr>
        <w:t>دو نفر اول، مسئوليت خود را در زمان يزيد نيز بر عهده داشتند</w:t>
      </w:r>
      <w:r>
        <w:rPr>
          <w:rFonts w:eastAsia="Amiri" w:cs="Amiri" w:ascii="Amiri" w:hAnsi="Amiri"/>
          <w:color w:val="111111"/>
          <w:sz w:val="28"/>
          <w:szCs w:val="28"/>
          <w:rtl w:val="true"/>
          <w:lang w:bidi="ar-SA"/>
        </w:rPr>
        <w:t xml:space="preserve">. </w:t>
      </w:r>
      <w:r>
        <w:rPr>
          <w:rStyle w:val="FootnoteAnchor"/>
          <w:rtl w:val="true"/>
        </w:rPr>
        <w:footnoteReference w:id="2370"/>
      </w:r>
      <w:r>
        <w:rPr>
          <w:rFonts w:ascii="IRNazanin" w:hAnsi="IRNazanin" w:eastAsia="IRNazanin"/>
          <w:color w:val="111111"/>
          <w:sz w:val="28"/>
          <w:sz w:val="28"/>
          <w:szCs w:val="28"/>
          <w:rtl w:val="true"/>
          <w:lang w:bidi="fa-IR"/>
        </w:rPr>
        <w:t>گفتنى است كه هر كاتب ديوان، تعدادى كاتب را نيز در محدوده مسئوليت خود سرپرستى مى‌كرد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ديوان‌هاى كوفه تا سال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زبان فارسى بود كه عبدالملك بن مروان آنها را به عربى ترجمه كرد</w:t>
      </w:r>
      <w:r>
        <w:rPr>
          <w:rFonts w:eastAsia="Amiri" w:cs="Amiri" w:ascii="Amiri" w:hAnsi="Amiri"/>
          <w:color w:val="111111"/>
          <w:sz w:val="28"/>
          <w:szCs w:val="28"/>
          <w:rtl w:val="true"/>
          <w:lang w:bidi="ar-SA"/>
        </w:rPr>
        <w:t>.</w:t>
      </w:r>
      <w:r>
        <w:rPr>
          <w:rStyle w:val="FootnoteAnchor"/>
          <w:rtl w:val="true"/>
        </w:rPr>
        <w:footnoteReference w:id="2371"/>
      </w:r>
      <w:bookmarkStart w:id="2578" w:name="pg1964_20053"/>
    </w:p>
    <w:p>
      <w:pPr>
        <w:pStyle w:val="Heading2"/>
        <w:numPr>
          <w:ilvl w:val="1"/>
          <w:numId w:val="1"/>
        </w:numPr>
        <w:rPr/>
      </w:pPr>
      <w:bookmarkStart w:id="2579" w:name="__RefHeading___Toc3586611_3650668749"/>
      <w:bookmarkStart w:id="2580" w:name="_Toc1102"/>
      <w:bookmarkEnd w:id="2578"/>
      <w:bookmarkEnd w:id="2579"/>
      <w:r>
        <w:rPr>
          <w:rtl w:val="true"/>
        </w:rPr>
        <w:t>كتابنامه</w:t>
      </w:r>
      <w:bookmarkEnd w:id="25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اتجاهات المعارض فى الكوفه، دراس فى التكوين الاجتماعى و السياسى، ابراهيم بيضون، چاپ اول، بيروت، معهد الانماد العربى،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احسن التقاسيم فى معرف الاقاليم، ابوعبدالله محمد بن احمد مقدسى، ترجمه علينقى منزوى، تهران، شركت مؤلفان و مترجمان،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احكام المحبوسين فى الفقه الجعفرى، محمدباقر خالصى، چاپ اول، قم، جامعه مدرسين،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الطوال، ابوحنيفه احمد بن داود دينورى، ترجمه محمود مهدوى دامغانى، تهران، نشرنى،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اخبار القضا، محمد بن خلف بن حيان وكيع، بيروت، عالم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عمر و اخبار عبدالله بن عمر، على طنطاوى و ناجى طنطاوى، چاپ هشتم، بيروت، المكتب الاسلامى،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على‌اكبر غفارى، چاپ اول، كنگره شيخ مفيد،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الادار الاسلاميه فى عهد عمر بن خطاب، فارق محمد سعيد لاوى،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شلبى، چاپ اول، بيروت، دارالنهض العربيه و عمان، دار مجد لاوى،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ادب الطف او شعراء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القرن الاول الهجرى حتى القرن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جواد شبّر، بيروت، دارالمرتضى،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الاغانى، ابوالفرج اصفهانى، مصر، وزار الثقاف و الارشاد القومى، المؤسس المصرى العام،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الالفاظ الفارسى العربيه، سعيد ادنى سير، بيروت،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 الحرب و السوق العسكرى و التعبيه عند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عقيد ركن احمد زيدى، چاپ اول، عراق، دارالكرام للطباع و النشر و التحقيق،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و السياسيه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ابومحمد عبدالله بن مسلم بن قتيبه دينورى،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شيرى، چاپ اول، قم، منشورات الشريف رضى،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انساب الاشراف، احمد بن يحيى بن جابر بلاذرى،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محمودى، بيروت، مؤسسه الاعلمى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انساب الخيل فى الجاهليه و الاسلام و اخبارها، ابن‌كلبى، احمد زكى، قاهره، الدارالقوميه للطباع و 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محمدباقر مجلسى، بيروت، مؤسس الوفاء،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بطل العلقمى، عبدالواحد مظفر، قم، انتشارات شريف رضى، نجف، منشورات مطبع الحيدريه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بغى النبلاء فى تاريخ كربلاء، سيد عبدالحسين كليددار آل‌طعمه،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كليددار، بغداد مطبع الارشاد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و التبيين، عمرو بن بحر الجاحظ،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قاهره،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الادب العربى، شوقى ضيف، چاپ سوم، قاهره، دارالمعارف مصر،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الاماميه و اسلافهم من الشيعه، عبدالله فياض، چاپ سوم، بيروت، مؤسس الاعلمى للمطبوعات،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الامم و الملوك، محمد بن جرير طبرى، بيروت، مؤسس الاعلمى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التمدن الاسلامى، جرجى زيدان، بيروت، منشورات دارالمكتب الحيا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الكوفه، سيدحسين براقى نجفى، تحقيق و 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محمدصادق بحرالعلوم، چاپ چهارم، بيروت، دارالاضواء،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جغرافياى كربلاى 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اماكن متبركه و عتبات عاليات و مشاهد مشرفه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عمادالدين حسين اصفهانى، كتابخانه فرد،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من دفن فى العراق من الصحاب، على بن حسين هاشمى خطيب، چاپ اول، بيروت، دارالثقاقه،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يعقوبى، احمد بن ابى‌يعقوب يعقوبى، ترجمه محمد ابراهيم آيتى، انتشارات علمى و فرهنگى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تخطيط مدين الكوفه، كاظم جنّابى، مقدمه احمد فكرى، مجمع العلمى العراق،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تخليط المدن العربى الاسلاميه، طاهر مظفر عميد، مطبع جامع بغداد،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 الامام على بن ابى‌طالب من تاريخ مدين دمشق، ابوالقاسم على بن حسن بن هب الله شافعى معروف به ابن‌عساكر،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محمودى، بيروت، دارالتعاريف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ترمينولوژى حقوق، محمد جعفر جعفرى لنگرودى، چاپ چهارم، مشهد، كتابخانه گنج دانش،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تشيع در مسير تاريخ، سيدحسين محمد جعفرى، ترجمه محمدتقى آيت اللهى، چاپ هشتم، تهران، دفتر نشر فرهنگ اسلامى،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تشيع و تصوف، كامل مصطفى شيبانى، ترجمه عليرضا ذكاوتى، تهران، انتشارات اميركبير،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التنظيمات الاجتماعيه و الاقتصادى فى البصر فى القرن الاول الهجرى، چاپ دوم، بيروت، دارالطليعه للطباع و النشر،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تنظيمات الجيش العربى الاسلامى فى العصر الاموى، بغداد، دار شؤون الثقاف العامه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البيان فى تسهيل الاوزان، محمد حبيب‌الدين على مدد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ثور الحسين ظروفها الاجتماعيه و آثارها الانسانيه، محمدمهدى شمس‌الدين، چاپ ششم، بيروت، دارالتعارف للمطبوعات،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جغرافياى تاريخى سرزمين‌هاى خلافت شرقى، گاى لسترنج،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عرفان، تهران، انتشارات علمى و فرهنگى،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جغرافياى تاريخى هجرت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تا مرو، جليل عرفان منش، چاپ اول، مشهد، بنياد پژوهش‌هاى اسلامى آستان قدس رضوى،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جغرافى العراق و تاريخه القديم، عبدالرزاق سعيد بغدادى اسدى، چاپ اول، نجف، مطبع العلميه،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جمهر انساب العرب، ابومحمد بن على بن احمد بن سعيد بن حزم اندلسى، چاپ اول، بيروت، دارالكتب العلميه،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جمهر خطب العرب فى عصور العربى الزاهره، احمد زكى صفوت، چاپ دوم، مصر، مطبع الحلبى،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الحجاز فى صدر الاسلام، دراسات فى احواله العمرانى و الاداريه، صالح احمدعلى، چاپ اول، بيروت، مؤسس الرساله،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الحيا الاجتماعيه و الاقتصاديه فى الكوفه، محمد حسين زبيدى، نشر جامعه بغداد،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 الامام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 و تحليل، باقر شريف قرشى، چاپ سوم، قم، دارالكتب العلميه،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 و تحليل، باقر شريف قرشى، چاپ دوم، قم، دارالكتب العلميه،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الحير و مك و صلتهما بالقبايل العربيه،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كستر، ترجمه يحيى جيورى، بغداد، جامعه بغداد،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الخراج فى العراق فى العهود الاسلامى الاولى، احمد على، المجمع العلمى العراق،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خطط بغداد و أنهار العراق القديمه، مكسمليان شتريك، تعريب خالد اسماعيل على، المجمع العلمى العراق،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خطط كوفه، لويى ماسينيون، ترجمه تقى محمد مصعبى، نجف، جمعى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النشر،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الديارات، ابوالفرج اصفهانى،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جليل عطيه، چاپ اول، لندن، قبرص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الريس الكتب و النشر،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 المعارف الاسلامى الشيعه، سيد حسن امين، چاپ دوم، بيروت، دارالتعارف للمطبوعات،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دراسات فى التاريخ الحضار الاسلامى العربيه، سعيد عبدالفتاح عاشور، معوز غلول عبدالحميد و احمد مختارعباس، چاپ دوم، كويت، منشورات ذات السلاسل،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دراسات فى النظم العربيه الاسلاميه، توفيق سلطان يوزبكى، چاپ دوم، جامع الموصل،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النجف الاشرف، عبدالهادى فضلى، منشورات مكتب التربى فى‌النجف الاشرف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الدوافع الذاتيه لأنصار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على عابدين، چاپ دوم، قم، دارالكتاب الاسلامى،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الديارات، ابى‌الحسن على بن محمد معروف به شابشتى،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كورتيس عواد، بغداد، مطبع‌المعارف،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رحل ابن‌بطوطه، ابوعبدالله محمد بن ابراهيم، دار صادر،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رحل ابن‌جبير، ابوالحسين محمد بن احمد بن جبير كنانى اندلسى شاطبى بلسى، بيروت، دار صادر،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الرهيمه، عبدالرحيم محمد على، چاپ اول، نجف، مطبع الغرى الحديثه،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زندگانى سفير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محمد على عابدين،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اسلامى، چاپ اول، دفتر انتشارات اسلامى،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زينب قهرمان دختر على، احمد صادقى اردستانى، چاپ دوم، نشر مطهر،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سيماى كربلاء، محمد صحتى سردرودى، چاپ دوم، مركز چاپ و نشر سازمان تبليغات،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شذور العقود فى ذكر النقود القديم الاسلاميه، تقى‌الدين ابى‌العباس احمد بن على‌بن المقريزى الشافعى، نجف، مكتب المرتضويه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البلاغه، ابن ابى‌الحديد، تحقيق محمد ابوالفضل ابراهيم، بيروت، دارالاحياء التراث العربى،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شعراء الدولتين الامويه و العباسيه، حسين عطوان، چاپ دوم، بيروت، دارالجبل،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بزمگاه عشق، محمدباقر مدرس بستان آبادى، تهران، انتشارات جهان،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شهيد جاويد، نعمت‌الله صالحى نجف آبادى، چاپ دوم، مشعل آزادى،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الصل بين التصوف و التشيع، كامل مصطفى شيبى، چاپ سوم، بيروت، دارالاندلس،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 محمد بن سعد منيع زهرى،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صامل السلمى، چاپ اول، طايف، مكتب الصديق،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فحول الشعراء، محمد بن سلاّم جمحى، شرح ابو فهر محمود محمدشاكر، قاهره، مؤسس السعودى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الطريق الى المداين، احمد عادل كمال، بيروت، دارالنفايس،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عجايب احكام اميرالمؤمنين على بن ابيطالب، سيدمحسن امين حسين عاملى، بيروت، منشورات مكتب دارالبيان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العراق فى العصر الاموى من الناحى السياسى و الاداريه و الاجتماعى، ثابت اسماعيل المرادى، چاپ دوم، بغداد و نجف، منشورات مكتب الاندلس و مطابع النعمان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شهاب‌الدين احمد بن عبد ربه، بيروت، دارالكتاب العربى،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العقد المنير فى تحقيق ما يتعلق بالدراهيم و الدنانير، سيد موسى مازندرانى، نجف،</w:t>
      </w:r>
    </w:p>
    <w:p>
      <w:pPr>
        <w:pStyle w:val="BookText"/>
        <w:rPr/>
      </w:pPr>
      <w:r>
        <w:rPr>
          <w:rFonts w:ascii="Amiri" w:hAnsi="Amiri" w:eastAsia="Amiri" w:cs="Amiri"/>
          <w:color w:val="111111"/>
          <w:sz w:val="28"/>
          <w:sz w:val="28"/>
          <w:szCs w:val="28"/>
          <w:rtl w:val="true"/>
          <w:lang w:bidi="ar-SA"/>
        </w:rPr>
        <w:t xml:space="preserve">مطبع العلميه،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العمار فى صدر الاسلام، سامح كمال الدين، قاهره، مطبع جامع القاهر،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 ابواسحاق ابراهيم بن محمد ثقفى كوفى،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جلال‌الدين حسينى، چاپ دوم، تهران، انتشارات انجمن آثار ملى،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الفتح الاسلامى فى العراق و الجزيره، عبدالحميد حسين، بغداد، وزار المعارف،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فتوح البلدان، احمد بن يحيى بن جابر بلاذرى، ترجمه محمد توكل، تهران، نشر نقره،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 احمد بن على بن اعثم كوفى،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مستوفى هروى،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غلامرضا طباطبايى مجد، تهران، انتشارات و آموزش انقلاب اسلامى،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الفخرى فى الآداب السلطانيه و الدول الاسلاميه، محمد بن على بن طباطبا معروف به ابن‌طقطقا، بيروت، دار صادر،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البسه مسلمانان، رينهارت دوزى،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حسينعلى هروى، تهران، انتشارات بنگاه ترجمه و نشر كتاب،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 الحرب فى عهود الخلفاء الراشدين و الامويين، بشام عسلى، چاپ اول، بيروت، دارالفكر،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 محمد بن اسحاق بن نديم،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تجدد، تهران، مكتب الاسلامى و مكتب الجعفرى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الامكن و البقاع التى يرد ذكرها فى كتب الفتوح، على بهجت،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مطبع التقدم،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 مجدالدين فيروزآبادى، مصر، مؤسس فن الطباعه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قضاء اميرالمؤمنين، جعفر تسترى، نجف، منشورات مطبع الحيدريه،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قضاوت‌هاى حضرت اميرالمؤمنين، ذبيح الله محلاتى، چاپ چهارم، كتابخانه ارشاد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التاريخ، ابن‌اثير عزالدين ابى‌الحسن على بن عبدالكريم بن عبدالواحد شيبانى، بيروت، دار صادر، دار بيروت،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الوصيه من الاصول الروائى المعتبره، عيسى بن مستفاد،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قيس بهجت العطّار، چاپ اول، مشهد، المكتب المختصّه باميرالمؤمنين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كوفه و تحولات تاريخى دوران امام على 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حبيبى، چاپ اول، تهران، برهان دانش،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كربلاء فى الذاكره، سلمان هادى آل‌طعمه، بغداد، مطبع العانى،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كربلاء، سعيد عسيلى، چاپ اول، بيروت، دارالزهراء،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ابوالقاسم جارالله بن محمود زمخشرى، بيروت، دارالمعرفه،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كوفه پيدايش شهر اسلامى، هشام جعيط،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سرو مقدم، چاپ اول، مشهد، بنياد پژوهش‌هاى اسلامى آستان قدس رضوى،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الكوف و اهلها فى صدر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 فى احوالها العمرانيه و سكانها و تنظيماتهم، صالح احمدعلى، چاپ اول، بيروت، شرك المطبوعات للتوزيع و النشر،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كوفه و نقش آن در قرون نخستين اسلامى، محمد حسين رجبى دوانى، تهران، نشر دانشگاه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على قتلى الطفوف، رضى‌الدين ابوالقاسم على بن موسى بن جعفر بن طاووس،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دارالاسره للطباع والنشر،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لوامع الاشجان فى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سيد محسن امين عاملى، قم، انتشارات بصيرتى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مطبع العرفان،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ماهيت قيام مختار بن ابى‌عبيده ثقفى، ابوفاضل رضوى دادكانى، چاپ دوم، قم، مركز مطالعات و تحقيقات اسلامى،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كتاب البلدان، احمد بن محمد همدانى معروف به ابن‌فقيه، ليدن، مطبع بريل،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نهض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هب‌الدين حسينى، بغداد، دارالاسلام،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المدخل فى تاريخ الحضار العربيه، ناجى معروف، چاپ دوم، بغداد، مطبع وزار المعارف،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مدين الحسين او مختصر تاريخ كربلاء، محمد حسن مصطفى كليددار، چاپ اول، بغداد، مطبع النجاح،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مراصد الاطلاع، بغدادى، قاهره، دار احياء الكتب العربيه،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ابوالحسن على بن حسين مسعودى، چاپ اول، بيروت، دارالاندلس،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مسالك الابصار فى ممالك الامصار، ابن‌فضل‌الله عمرى،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زكى پاشا، قاهره، مطبع دارالكتب المصريه،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 و مستنبط المسائل، ميرزا حسين نورى طبرسى،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آل‌البيت لاحياء التراث، چاپ اول، قم، مؤسس آل البيت لاحياء التراث،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الكوفه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تخطيطه و عمرانه خاص فى العصر الاموى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كاظم جنابى، بغداد، دارالجمهوريه،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الحسين فى نهضته، اسد حيدر، چاپ سوم، بيروت، دارالتعارف للمطبوعات،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المعارف، ابن‌قتيبه ابى‌محمد عبدالله بن مسلم،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عكاشه، چاپ دوم، مصر، دارالمعارف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الانساب و الاسرات الحاكمه فى التاريخ الاسلامى، زامباور،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زكى محمدحسن و ديگران، بيروت، دار الراشد العربى،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البلدان، ياقوت بن عبدالله حموى بغدادى، بيروت، 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المفصل باسماء الملابس عندالعرب، رينهارت دوزى،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فاضل، وزار الاعلام، مديرى الثقاف العامه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قبايل العرب، عمر رضا كحاله، دمشق، مطبع هاشميه،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معالم الحجاز، عاتق بن غيث بلادى، چاپ اول، مكه، دار مك للنشر و التوزيع،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المفصل فى تاريخ العرب قبل الاسلام، جواد على، چاپ دوم،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دارالعلم للملايين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النهضه،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الطالبيين، ابوالفرج اصفهانى،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مظفر، چاپ دوم، قم، دارالكتب للطباع و النشر،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خوارزمى أبوالمؤيد موفق بن احمد مكى اخطب خوارزم، تحقيق شيخ محمد سماوى، قم، مكتب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عبدالرزاق موسوى مقرم،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مقرم، چاپ پنجم، دارالكتاب الاسلامى،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لوط بن يحيى بن سعيد بن مخنف بن سليم ازدى غامدى،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غفارى، قم، چاپخانه 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السجن فى النصوص و الفتاوى، نجم‌الدين طبسى، چاپ اول، دفتر تبليغات اسلامى،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 العتبات المقدسه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جعفر خليلى، چاپ دوم، بيروت، مؤسس الأعلمى،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 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قديماً، به كوشش جعفر هادى دجيلى، چاپ اول، دارالاضواء،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 كلمات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معهد تحقيقات باقرالعلوم، چاپ اول، قم، دار المعروف،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ميزان الحكمه، محمد محمدى رى‌شهرى، چاپ چهارم، قم، دفتر تبليغات اسلامى،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فى تفسير القرآن، محمدحسين طباطبايى، تهران، دار الكتب الاسلاميه،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نخب الذخاير فى احوال الجواهر، محمد بن ابراهيم بن ساعد انصارى سنجارى معروف به ابن اكفانى، تحقيق اب انستاس مارى كرملى بغدادى، قاهره، المطبع العصريه،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 اهل الحرمين فى عمار المشهدين، سيد حسن صدر كاظمى، ادار الرضوان،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نشأ الشيع الاماميه، نبيله عبدالمنعم داود، بيروت، دارالمورخ العربى،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النظم الاسلاميه، منير حميد بياتى و فاضل شاكر نعيمى، چاپ اول، جامع بغداد،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النفى و التغريب فى مصادر التشريع الاسلامى، نجم‌الدين طبسى، چاپ اول، مجمع الفكر الاسلامى،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مثالب النواصب فى نقض بعض فضايح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عبدالجليل قزوينى رازى،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جلال‌الدين محدث، تهران، انتشارات انجمن آثار ملى،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النقود العربيه و علم النميات، اب انستاس مارى كرملى بغدادى، قاهره، المطبع العصرى،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تقيه در استنباط، نعمت الله صفرى، چاپ اول، قم، بوستان كتاب،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كوفه از ديدگاه روانشناسى اجتماعى، ابراهيم پاشا، چاپ اول، تهران، آتيه،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هوى التشيع، احمد وايلى، چاپ سوم، بيروت، دارالصفوه،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الوزراء و الكتّاب، ابوعبدالله محمد بن عبدوس جهشيارى،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زين، بيروت، دارالفكر الحديث للطباع و النشر،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 الى تحصيل مسائل الشريع، محمد بن حسن حر عاملى، چاپ چهارم، بيروت، داراحياء التراث العربى،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وسيل الدارين فى انصار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ابراهيم موسوى زنجانى، چاپ اول، بيروت، مؤسس الاعلمى،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 الطف، أبى‌مخنف، لوط بن يحيى ازدى غامدى كوفى، تحقيق شيخ محمد هادى يوسفى غروى، چاپ اول، قم، انتشارات جامعه مدرسين،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 صفين، نصر بن مزاحم منقرى، تحقيق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هارون، چاپ دوم، قم، منشورات كتابخانه آيت الله العظمى مرعشى نجفى،</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قاهره، مؤسس العربى الحديثه،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تحقيقى كه اخيراً با عنوان وقعة الطف توسط شيخ محمد هادى يوسفى غروى از اين مقتل عرضه شده است، بسيار قابل استفاده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المعطار فى خبر الأقطار،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من اسماء البلاد و المواضع،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تاريخ الكوفه،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الكوفة و شرح خريطتها،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تخطيط مدينة الكوفه،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فتوح البلدان،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كوفه،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الاسلامية الشيعيه،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القلوب مستوفى</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تاريخ الكوفه،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به نقل از نزهة القلوب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دائرة المعارف الاسلامية الشيعية،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ابن‌بطوطه،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الاسلامية الشيعيه،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استراتيجية الفتوحات الاسلامية، الطريق الى المدائن،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ص </w:t>
      </w:r>
      <w:r>
        <w:rPr>
          <w:rFonts w:eastAsia="IRNazanin" w:cs="IRNazanin"/>
          <w:b w:val="false"/>
          <w:bCs w:val="false"/>
          <w:i w:val="false"/>
          <w:iCs w:val="false"/>
          <w:color w:val="333333"/>
          <w:sz w:val="20"/>
          <w:szCs w:val="20"/>
        </w:rPr>
        <w:t>272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تاريخى سرزمين‌هاى خلافت شرقى،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شهراسلامى،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بلاذرى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الكوفة و فضل اهلها،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احنف بن قيس به مطالب ذكر شده اشاره مى‌كند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الكوفة و فضل اهلها،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واختطت الكوفة حين اختطت على مأة الف مقاتل</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فى العصر الاموى،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الشعوب الاسلامية،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پيدايش شهر اسلامى،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ترجمة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ابن سعد،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مقرّم،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مقرّم،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فرهنگ فارسى 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فرهنگ فارسى 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فرهنگ فارسى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فرهنگ فارسى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مختصر كتاب البلدان،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مختصر كتاب البلدان،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الزراعه،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الزراعه،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شماره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فرهنگ فارسى 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الكتاب البلدان،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پاورقى مصحح</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فرهنگ فارسى 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الامتاع و المؤانسه،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مقرّم،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عربى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والفرسين، الجناح الذى يوقف بباب مسجد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لحوائج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يبعث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فى حاجة فيركبه</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الامتاع و المؤانسه،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الامتاع و المؤانسه،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الكوفة و اهلها،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مقرّم،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المسالك و الممالك، ابن خرداذ به،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اسامى اين نهرها را ابتدا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سيد حسين بُراقى به دست آورديم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تخطيط مدينة الكوفه،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استراتيجية الفتوحات الاسلاميه،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التقاسيم فى معرفة الاقاليم،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اسامى اين نقاط را عمدتاً در آغاز از تاريخ الكوفة استخراج نموديم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منطقة الكوفة دراسة طوبو نمرانية مستنده الى المصادر الادبية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الديارات، ابوالفرج اصفهانى،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تاريخ الكوفه،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استراتيجية الفتوحات الاسلاميه،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مختصر كتاب البلدان،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الاشرف،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الكوفة و آثار الحيرة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سيدحسين امين،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منطقه الكوفه،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 الكوفه،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فتوح البلدان،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استراتيجية الفتوحات الاسلاميه،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منطقة الكوفه،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منطقة الكوفه،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الديارات، شابُشتى، پاورقى،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منطقة الكوفه،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مراصد الاطلاع،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اطلاع از سماوة،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منطقة الكوفه،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مراصد الاطلاع،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مختصر كتاب البلدان،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الاشرف،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موسوعة العتبات المقدّسه،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الرُهَيمَه،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تاريخ الكوفه،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ابن‌جبير،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الميسره، ص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المعطار فى خير الاقطار،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اين شهر،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موسوعة النجف الاشرف و موسوعة العتبات المقدّسه، قسم النجف</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رحلة ابن جبير،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مختصر كتاب البلدان،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الاجتماعية و الاقتصاديه،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الاجتماعية و الاقتصاديه،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الحياة الاجتماعيه،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مراصد الاطلاع،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الديارات، ابو الفرج اصفهانى، مقدمه،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الديارات، ابوالفرج اصفهانى،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الديارات، ابوالفرج اصفهانى،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الديارات، شابُشْتى،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الديارات، شابُشْتى، مقدمه،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الابصار،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الديارات، شابُشتى،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الديارات، شابُشتى،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الديارات، ابو الفرج اصفهانى،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الديارات، شابُشتى،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مسالك الابصار،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الديارات، اصفهانى،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الديارات، شابُشتى،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مسالك الابصار،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الديارات، اصفهانى،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الديارات، شابُشتى،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مسالك الابصار،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الديارات، ابوالفرج اصفهانى،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الديارات،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مسالك الابصار،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الديارات،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مسالك الابصار،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اقوال ديگرى، همچون سال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را نيز نقل مى‌كند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الحياة الاجتماعية و الاقتصادية فى الكوفه،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استراتيجية الفتوحات الاسلاميه،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و نيز معرفى قبايل قحطانى و عرفانى به تقصيل در فصل سوم،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تقسيم‌بندى قبايل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خواهيم كرد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كوفه پيدايش شهر اسلامى،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الروض العطار فى خبر الاقطار،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دريافت ساليانه‌اى كه از سوى حكومت به آنها پرداخت مى‌شد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الكوفة و فضل اهلها،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جغرافية العراق و تاريخه القديم،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 دفن فى العراق،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سرادق، عربى شده لغت سراپرده فارسى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الاجتماعية و الاقتصاديه،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الروض المعطار،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الكوفة و فضل اهلها،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تاريخ الكوفه،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اخير بر اين نكته تكيه دارد كه در اين زمان تنها درِ خانه‌ها از آجر بوده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البلدان،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الاجتماعية و الاقتصاديه،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اهل القبلة الى فضل الكوفة،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موسوعة النجف،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كوفه پيدايش شهر اسلامى،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تاريخ الكوفه،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ابن‌جبير،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رحلة ابن بطوطه،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اهل القبله، الى فضل الكوفه،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اهل القبله، الى فضل الكوفه،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 دفن فى العراق،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تاريخ من دفن فى العراق،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تاريخ الكوفه،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موسوعة النجف الاشرف،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 دفن فى العراق،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موسوعة النجف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 دفن فى العراق،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 دفن فى العراق،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 دفن فى العراق،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الكوفه،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تخطيط مدينة الكوفه،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الحياة الاجتماعيه،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خطط الكوفه،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تاريخ الكوفه،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تاريخ الكوفه،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كوفه پيدايش شهر اسلامى،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الاجتماعيه،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الكوفة،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الحياة الاجتماعيه،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الكوفه،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معناى سويق،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هفتم، نوع تغذيه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خطط الكوفه،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الحياة الاجتماعيه،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الاجتماعية و الاقتصاديه،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الاجتماعية و الاقتصاديه،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 فى ظل الدولة الاسلاميه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العمارة فى صدر الاسلام،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فى تاريخ الحضارة العربيه،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كريسول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كريسول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ابن‌جبير،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رحلة ابن‌بطوطه،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ابن‌جبير،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ابن‌جبير،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تاريخ الكوفه،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لواعج الاشجان،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تاريخ الكوفه،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ارشاد اهل القبلة الى ما ورد فى الكوفه،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موسوعة النجف الاشرف،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ابن‌جبير،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تخطيط مدينة الكوفه،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ابن‌جبير،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ابن‌جبير،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رحلة ابن‌بطوطه،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تاريخ من دفن فى العراق،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الحياة الاجتماعية و الاقتصادية فى الكوفه،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تخطيط مدينة الكوفه،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انحراف قبله مسجد كوفه و مقدار و كيفيت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الكوفه،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الكوفة و مساجدها،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الكوفة،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تاريخ الكوفة،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اهل القبله،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كوفه،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آداب مسجد سهله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الكوفة،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كوفه،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ارشاد اهل القبله الى فضل الكوفه،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357</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تاريخ الكوفة،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ارشاد اهل القبلة،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خطط الكوفة،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اهل القبلة،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تاريخ الكوفه،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اهل القبله،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اهل القبله،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تاريخ الكوفه،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تاريخ الكوفه،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تاريخ الكوفه،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تاريخ الكوفه،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الكوفه و مساجدها،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نقشه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و اخبار العباد،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براى اطلاع از تفصيل اين حفارى‌ها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جواد جنابى، دار الامارة فى الكوفه، مجله سومر،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التمرى و النقيب و الصيانة،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الاجتماعية و الاقتصادية فى الكوفه،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جغرافية العراق و تاريخه القديم،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تاريخ الكوفه،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موسوعة النجف الأشرف،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هر ضلع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تعيين شده است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تاريخ الكوفه،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تاريخ الكوفه،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الاشرف،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نمونه‌هايى از گچ‌كارى‌هاى دارالأماره را مى‌توانيد در تصويرهاى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ببينيد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معانى مختلفى براى مَرافق كه جمع مِرفق است ذكر شده كه آنچه در اينجا مناسب است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ريختن آب باران و برف در خانه كه شايد حياط خلوت مانند بوده است؛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مستراح‌خانه؛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شست‌وشو در خانه كه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مُغْتَسَل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مى‌گفتند؛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سرويس دستشويى، شامل مستراح و مُغْتَسَل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معناى چهارم در اينجا بهترين معنا باشد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جغرافية العراق و تاريخه القديم،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سومر، القديم،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الحمام العراقى الاسلامى فى ضوء التنقيبات الاثريه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زينب صادق على سكرى،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الاجتماعية و الاقتصادية فى الكوفه،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الكوفه، خريطة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مقتل ابى‌مخنف،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بعضى ديگر از نويسندگان مانند لوئى ماسينيون در خطط الكوفه موقعيت قبايل را ذكر كرده‌اند كه با آنچه در متن آمده‌است، تفاوت‌هايى دارد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تخطيط مدينة الكوفه،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تخطيط مدينة الكوفه،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تخطيط مدينة الكوفه،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خطط الكوفه،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تخطيط مدينة الكوفه،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الاجتماعية و الاقتصادية فى الكوفه،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فتوح البلدان،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الاشرف،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فتوح البلدان،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فتوح البلدان،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الاجماعية و الاقتصادية فى الكوفه،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فرضيه‌هايى از روى حفارى‌هاى دارالاماره درباره ساختمان حمام اين مكان ارائه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سومر،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الحمام العراقى الاسلامى فى ضوء التنقيبات الاثريه، زينب صادق على سكرى،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فنون الاسلام،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به دست آوردن تصويرى فرضى شبيه حمام‌هاى كوفه،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نقشه شماره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اهل القبلة الى فضل الكوفه،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ابى‌مخنف،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فتوح البلدان،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الحياة الاجتماعيه،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خطط الكوفه،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تخطيط مدينة الكوفه،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الحياة الاجماعية،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الحياة الاجتماعيه،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الاشرف،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ارشاد اهل القبله،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موسوعة النجف الاشرف،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فتوح البلدان،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تخطيط مدينة الكوفه،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ابن‌جبير،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رحلة ابن‌بطوطه،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تخطيط مدينة الكوفه،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موسوعة النجف الاشرف،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تخطيط مدينة الكوفه،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اهل القبلة الى فضل الكوفه،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تاريخ الكوفه،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تخطيط مدينة الكوفه،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ارشاد اهل القبلة الى فضل الكوفه،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موسوعة النجف الاشرف،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مراصد الاطلاع،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كوفه پيداش شهر اسلامى،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الكوفه،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الحياة الاجتماعيه،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كتاب‌هاى ارشاد اهل القبلة الى فضل الكوفة و فضل الكوفة و مساجدها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قبايل مختلف شركت‌كننده در جنگ قادسيه و تعداد آنها،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كوفه پيدايش شهر اسلامى، صص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الاخبار الطوال،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الاجتماعية و الاقتصادية فى الكوفه،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الدولة الاسلاميه،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مقرّم،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كوفه،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تفصيل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الحياة الاجتماعيه،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استراتيجية الفتوحات الاسلامية، الطريق الى المداين،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جمهرة خطب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ابى‌مخنف،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عشاير العراق،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فرهنگ فارسى معين،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مقرّم،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حياة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مقرّم،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الحياة الاجتماعيه،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فيض الاسلام،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از بعضى از معاملات پاياپاى در زمان مورد بحث مى‌توان به رواياتى كه درباره ربا در كتب روايى وارد شده و سند آن به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مى‌شود، استناد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السكّة، ابن‌خلدون،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النقود العربية و علم النميات،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تاريخ الكوفه،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تاريخ التمدن الاسلامى،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النقود العربيه، بلاذرى،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لمحة فى تاريخ الفقود، مندرج در النقود العربية و علم النميات،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تاريخ التمدن الاسلامى،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شذور العقود فى ذكر النقود القديمة الاسلاميه،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شذور العقود فى ذكر النقود القديمة الاسلاميه،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شذور العقود فى ذكر النقود القديمة الاسلاميه،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تاريخ الكوفه،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شذور العقود، صص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شذور العقود،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النقود العربيه و علم النميات،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شذور العقود،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شذور العقود،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فى العراق فى العهود الاسلامية الاولى،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استراتيجية الفتوحات الاسلامية الطريق الى المداين،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الدينار الاسلامى فى المتحف العراقى،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الدينار الاسلامى فى المتحف العراقى،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استراتيجية الفتوحات الاسلامية،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الدينار الاسلامى فى المتحف العراقى،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النقود العربيه،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النقود العربية و علم النميات،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شذور العقود،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النقود العربيه، بلاذرى،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النقود العربية و علم النميات،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پاورقى؛ تاريخ التمدن الاسلامى،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النقود العربيه، بلاذرى،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النقود العربية و علم النميات،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فى العراق،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النقود العربية و علم النميات،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النقود العربية؛ بلاذرى،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شذور العقود،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شذور العقود،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شذور العقود،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الدينار الاسلامى فى المتحف العراقى،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و الاقتصاديه فى الكوفه،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و الاقتصاديه فى الكوفه،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و الاقتصاديه فى الكوفه،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و الاقتصاديه فى الكوفه،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و الاقتصاديه فى الكوفه،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وضع مالى و ماليه مسلمين از آغاز تا پايان دوران اموى،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كوفه،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وضع مالى و ماليه مسلمين از آغاز تا پايان دوران اموى،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التجارة الداخلية و الخارجيه، 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تخطيط مدينة الكوفه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تخطيط مدينة الكوفه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الحياة الاجتماعيه،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حضارة العراق،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الصناعه،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الحياة الاجتماعيه،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الحياة الاجتماعيه،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تخطيط مدينة الكوفه،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الحياة الاجتماعيه، 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الحياة الاجتماعيه،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جيش العربى الاسلامى فى العصر الاموى،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مبحث، عمدتاً از كتاب الحياة الاجتماعية و الاقتصادية فى الكوفه فى القرن الاول الهجرى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نموده‌ايم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الاجتماعية و الاقتصادية فى الكوفه،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الاجتماعية و الاقتصادية فى الكوفه،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الاجتماعية و الاقتصادية فى الكوفه،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التجارة الداخلية و الخارجيه،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الزراعة،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تاريخى سرزمين‌هاى خلافت شرقى،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الرزاعه،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وضع مالى و ماليه مسلمين از آغاز تا پايان دوران اموى،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العراق،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اداره،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وضع مالى و ماليه مسلمين از آغاز تا پايان دوران اموى،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حضارة العراق،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وضع مالى و ماليه مسلمين از آغاز تا پايان دوران اموى،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وضع مالى و ماليه مسلمين از آغاز تا پايان دوران اموى،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الحياة الاجتماعيه،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حضارة العراق،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واردات الدولة و نفقاتها،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وضع مالى و ماليه مسلمين از آغاز تا پايان دوران اموى،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حضارة العراق،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وضع مالى و ماليه مسلمين از آغاز تا پايان دوره اموى،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الحياة الاجتماعيه،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خصوصيات نظام عطاء در زمان عمر عمدتاً از دو كتاب الحياة الاجتماعيه،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بررسى وضع مالى و ماليه مسلمين از آغاز تا پايان دوره اموى،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فيض الاسلام، خطبه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وضع مالى و ماليه مسلمين از آغاز تا پايان دوره اموى،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وضع مالى و ماليه مسلمين از آغاز تا پايان دوره اموى،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وضع مالى و ماليه مسلمين از آغاز تا پايان دوره اموى،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وضع مالى و ماليه مسلمين از آغاز تا پايان دوره اموى،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تنظيمات الجيش العربى الاسلامى،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وضع مالى و ماليه مسلمين از آغاز تا پايان دوره اموى،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وضع مالى و ماليه مسلمين از آغاز تا پايان دوره اموى،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الحياة الاجتماعيه،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التنظيمات الاجتماعية و الاقتصادية فى البصرة فى القرن الاوّل الهجرى،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التنظيمات الاجتماعية و الاقتصادية فى البصرة فى القرن الاوّل الهجرى،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ابى‌مخنف،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مقرّم،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مقرّم،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الاجتماعيه،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فيض الاسلام،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فيض الاسلام،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فيض الاسلام، نامه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فيض الاسلام،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فيض الاسلام، حكمت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نهج البلاغه، حكمت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فيض الاسلام،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اللغة العربيه،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اللغة العربيه،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اللغة العربيه،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اللغة العربيه،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تاريخ الادب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الاغانى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الاداب اللغة العربية،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خط،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تاريخ الادب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تاريخ الادب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تاريخ الكوفه،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طبقات ابن سعد،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تاريخ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تاريخ الادب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ميميه، يعنى قصيدهاى كه ابيات آن با ميم ختم ميشود</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الَّذى تَعْرِفُ البَطْحاءَ وَطْأَتَهُ وَالْبَيتُ يعْرِفُهُ وَالحِلُّ وَالْحَرَمُ</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الاغاثى،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طبقات فحول الشعراء، السفر الثانى،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تاريخ الادب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الاغانى</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فى انصار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موسوعة كلمات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وسيلة الدارين،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الدارين،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فحول الشعراء، السفر الثانى،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 دفن فى العراق من الصحابه،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 دفن فى العراق من الصحابه،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 دفن فى العراق من الصحابه،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اللغة العربيه،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تاريخ الادب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اسامى را از كتاب تاريخ الكوفه،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كرده‌ايم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ابى‌مخنف،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پاورقى؛ كربلاء،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ابصار العين فى انصار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ابصار العين،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اللغة العربيه،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و الاستقراء فى تراجم القزاء،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تخليص التمهيد،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و الاستقراء،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تلخيص التمهيد،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اللغة العربية،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التمهيد،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التمهيد،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و الاستقراء،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و الاستقراء،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تلخيص التمهيد،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وسيلة الدارين،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ابى‌مخنف،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جمهرة خطب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و الاستقراء،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ابصار العين فى انصار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الاصفهانى و كتابه الاغانى،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الاصفهانى و كتابه الاغانى،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الاغانى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تعليم و تعلّم در اسلام،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تعليم و تعلّم در اسلام،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فيض الاسلام، حكمت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تجارب الامم،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مطالب را تماماً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نوشت‌افزار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هادى قابل، مندرج در مجله بينات،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برگرفتيم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ابن‌نديم،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خط،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خط،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خط،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خط،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تاريخ آداب اللغة العربيه،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تاريخ الكوفه،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تلخيص التمهيد،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اللغة العربيه،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التمهيد،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التمهيد،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آداب اللغة العربيه،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خط،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التمهيد،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اطلس خط، ص </w:t>
      </w:r>
      <w:r>
        <w:rPr>
          <w:rFonts w:eastAsia="IRNazanin" w:cs="IRNazanin"/>
          <w:b w:val="false"/>
          <w:bCs w:val="false"/>
          <w:i w:val="false"/>
          <w:iCs w:val="false"/>
          <w:color w:val="333333"/>
          <w:sz w:val="20"/>
          <w:szCs w:val="20"/>
        </w:rPr>
        <w:t>1378</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التمهيد،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اين مباحث و آدرس‌هاى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تقيه در استنباط، صص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شعر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اَتَيناكُمْ اَتَيناكُمْ فَحَيونا نُحَييكُمْ لَوْلا الذَّهبَةُ الْحَمراءُ ما حَلَّتْ فَتاتُنا بِواديكُمْ آمديم نزد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آمديم نزد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ما درود بفرستيد تا ما هم بر شما درود بفرستيم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طلاى سرخ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 مهريه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 دخترانمان را به محلّ زندگى شما نمى‌آورديم</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خصوصيات و ويژگى‌هاى اين لباس‌ها در بخش لباس خواهد آمد</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فرهنگ فارسى 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الحياة الاجتماعيه،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الموردة،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التعبية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الجبار محمود سامرائى،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التعبية عند العرب،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فيض الاسلام، خطبه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تقسيم‌بندى از كتاب تنظيمات الجيش العربى،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اقتباس شده است</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تنظيمات الجيش العربى الاسلام،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مجله المورد،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تقنية السلاح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الجبار محمود سامرائى،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مجله اطورد،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تقنية السلاح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عبدالجبار محمود سامرائى،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تنظيمات الجيش العربى،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المورد، همان،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تقنية السلاح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عبد الجبار محمود سامرائى،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سنخ يا سنخ النصل در سه چهار صفحه بعد توضيح داده خواهد شد</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المورد،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المورد،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تقنية السلاح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عبد الجبار محمود سامرائى،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المورد،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مجله المورد، عبدالجبار محمود سامرائى،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تقنية السلاح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عبدالجبار محمود سامرائى،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مجله المورد، همان،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مقتل ابى‌مخنف،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المورد،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تقنية السلاح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محمود سامرائى،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تقنية السلاح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محمود سامرائى،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تنظيمات الجيش العربى، ص </w:t>
      </w:r>
      <w:r>
        <w:rPr>
          <w:rFonts w:eastAsia="IRNazanin" w:cs="IRNazanin"/>
          <w:b w:val="false"/>
          <w:bCs w:val="false"/>
          <w:i w:val="false"/>
          <w:iCs w:val="false"/>
          <w:color w:val="333333"/>
          <w:sz w:val="20"/>
          <w:szCs w:val="20"/>
        </w:rPr>
        <w:t>147</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تقنية السلاح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محمود سامرائى،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تقنية السلاح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محمود سامرائى،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مقرّم،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تقنية السلاح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محمود سامرائى،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تقنية السلاح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محمود سامرائى،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تنظيمات الجيش العربى،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تقنية السلاح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محمود سامرائى،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تقنية السلاح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محمود سامرائى،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تقنية السلاح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محمود سامرائى،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تقنية السلاح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محمود سامرائى،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تقنية السلاح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محمود سامرائى،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تنظيمات الجيش العربى،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فرهنگ فارسى معين،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كتاب، اين نام را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اردشير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اردشير خوب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اردشير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تنظيمات الجيش العربى،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مجله المورد،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تقنية السلاح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محمود سامرائى،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مجله المورد، 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تقنية السلاح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محمود سامرائى،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مجله المورد،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تقنية السلاح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محمود سامرائى،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تقنية السلاح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محمود سامرائى،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تاريخ التمدن الاسلامى،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تنظيمات الجيش العربى،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درباره اول اربعين،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فى الآداب السلطانية و الدول الاسلاميه،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الاداريه،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درباره اول اربعين،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اين قسمت عمدتاً از وسائل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برداشت شده است</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المؤرخ العربى،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اللواء و الراية فى التاريخ العربى الاسلامى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جاسم حمارى مشهدانى، ش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نظم التعبئة عند العرب،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نظم التعبئة عند العرب،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نظم التعبئة عند العرب، صص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فيض الاسلام، خطبه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التعبئة عند العرب،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التعبئة عند العرب،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التعبئة عند العرب،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تنظيمات الجيش العربى،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تنظيمات الجيش العربى، صص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نظم التعبئة عند العرب،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بطل العلقمى،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التنظيمات الاجتماعيه و الاقتصاديه فى البصره فى القرن الاول الهجرى،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تاريخ التمدن الاسلامى،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مقرّم،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كوفه پيدايش شهر اسلامى،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البيان و التبيين،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فى التاريخ قبل الاسلام،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غاشيه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الاسلامى،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الحياة الاجتماعيه،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التنظيمات الاجتماعيه و الاقتصاديه فى البصره،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جمهرة خطب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جمهرة خطب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تاريخ الآداب اللغة العربيه،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4700</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قضاوت‌هاى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ترجمة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الكوفة و اهلها،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التنظيمات الاجتماعيه،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فرهنگ فارسى 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سومر،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 من البسة العرب فى العصر الجاهلى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عبدالعزيز حميد صالح،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مقرّم،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مقرّم،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فرهنگ فارسى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التنظيمات الاجتماعيه،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الحياة الاجتماعيه،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البسة العرب،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فرهنگ فارسى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البسة العرب،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فرهنگ فارسى معين،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فرهنگ فارسى معين،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فرهنگ فارسى معين،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5032</w:t>
      </w:r>
      <w:r>
        <w:rPr>
          <w:rFonts w:ascii="IRNazanin" w:hAnsi="IRNazanin" w:eastAsia="IRNazanin"/>
          <w:b w:val="false"/>
          <w:b w:val="false"/>
          <w:bCs w:val="false"/>
          <w:i w:val="false"/>
          <w:i w:val="false"/>
          <w:iCs w:val="false"/>
          <w:color w:val="333333"/>
          <w:sz w:val="20"/>
          <w:sz w:val="20"/>
          <w:szCs w:val="20"/>
          <w:rtl w:val="true"/>
        </w:rPr>
        <w:t xml:space="preserve">؛ صور من البسة العرب،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التنظيمات الاجتماعيه،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فى تاريخ العرب قبل الاسلام،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الحياة الاجتماعيه،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فى تاريخ العرب قبل الاسلام،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البسة العرب،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اهل القبلة،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التنظيمات الاجتماعيه،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التنظيمات الاجتماعيه،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البسة العرب،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البسة العرب،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فى تاريخ العرب قبل الاسلام،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فرهنگ البسه مسلمانان،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فرهنگ البسه مسلمانان،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فى تاريخ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فرهنگ البسه مسلمانان،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فى تاريخ العرب قبل الاسلام،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البسة العرب،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الاخبار الطوال،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فرهنگ البسه مسلمانان،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البسة العرب،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فرهنگ البسه مسلمانان،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فرهنگ البسه مسلمانان،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البسه مسلمانان،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فرهنگ البسه مسلمانان،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البسه مسلمانان،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فرهنگ البسه مسلمانان،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فرهنگ البسه مسلمانان،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البسه مسلمانان،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البسه مسلمانان،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البسه مسلمانان،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صور من البسة العرب،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البسة العرب،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فرهنگ البسه مسلمانان،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البسه مسلمانان،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صور من البسة العرب،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البسه مسلمانان،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البسة العرب،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البسة العرب،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صور من البسة العرب،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البسة العرب،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البسة العرب،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فى تاريخ العرب قبل الاسلام،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البسه مسلمانان،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الميزان فى تفسير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البسه مسلمانان،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البسة العرب،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التنظيمات الاجتماعيه،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فرهنگ البسه مسلمانان،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البسة العرب قبل الاسلام،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فى تاريخ العرب قبل الاسلام،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البسة العرب،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فى تاريخ العرب قبل الاسلام،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البسة العرب،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فرهنگ البسه مسلمانان،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الحياه الاجتماعيه،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البسه مسلمانان،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فرهنگ البسه مسلمانان،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فرهنگ البسه مسلمانان،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صور من البسة العرب،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فرهنگ البسه مسلمانان،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فرهنگ فارسى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البسه مسلمانان،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صور من البسة العرب،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البسة العرب،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البسه مسلمانان،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صور من البسة العرب،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البسة العرب،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البسه مسلمانان،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البسة مسلمانان،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صور من البسة العرب،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فى تاريخ العرب قبل الاسلام،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فى تاريخ العرب قبل الاسلام،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صور من البسة العرب،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البسة العرب،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البسة العرب،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البسة العرب،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البسة العرب،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البسة مسلمانان،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الحياة الاجتماعيه،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البسة العرب،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البسه مسلمانان،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المفصل فى تاريخ العرب قبل الاسلام،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التنظيمات الاجتماعيه،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البسة العرب،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البسة مسلمانان،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التنظيمات الاجتماعيه،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ابى‌مخنف،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البسه مسلمانان،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البسه مسلمانان،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فى تاريخ العرب قبل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البسه مسلمانان،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فى طريقة الى الشهاده،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صور من البسة العرب،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البسة مسلمانان،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فى تاريخ العرب قبل الاسلام،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صور من البسة العرب،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صور من البسة العرب،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البسة العرب،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البسه مسلمانان،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صور من البسة العرب،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كلمه‌هاى مُتبّان و تُنُكه</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فرهنگ البسه مسلمانان،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صور من البسة العرب،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فرهنگ البسه مسلمانان،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الحياة الاجتماعيه،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البسة العرب،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البسة العرب،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البسه مسلمانان،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فرهنگ البسه مسلمانان،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فرهنگ البسه مسلمانان،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فرهنگ البسه مسلمانان،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البسه مسلمانان،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ذيل كلمه‌هاى خُفّ و موزه</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فى تاريخ العرب قبل الاسلام،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البسه مسلمانان،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فى تاريخ العرب قبل الاسلام،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آيه درباره بهشتيان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لَهُمْ رِزْقُهُمْ فِيها بُكْرَةً وَ عَشِياً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رزق بهشتيان در بهشت هر صبح و شام برايشان فراهم است</w:t>
      </w:r>
      <w:r>
        <w:rPr>
          <w:rFonts w:eastAsia="IRNazanin" w:cs="IRNazanin"/>
          <w:b w:val="false"/>
          <w:bCs w:val="false"/>
          <w:i w:val="false"/>
          <w:iCs w:val="false"/>
          <w:color w:val="333333"/>
          <w:sz w:val="20"/>
          <w:szCs w:val="20"/>
          <w:rtl w:val="true"/>
        </w:rPr>
        <w:t>» .</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فرهنگ فارسى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فرهنگ فارسى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فرهنگ فارسى 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فرهنگ فارسى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تاريخ الكوفه،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مختصر كتاب البلدان،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الاغانى،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روايتى به نقل از شريح، سال‌هاى قضاوت خود را شصت سال ذكر مى‌كند</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الاغانى،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الاغانى،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 دفن فى العراق،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الاغانى،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درباره اول اربعين حضرت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 دفن فى العراق،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ترمينولوژى حقوق،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العراق،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العراق،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العراق،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 دفن فى القرآن،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العراق،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عهدنامه مالك اشتر</w:t>
      </w:r>
      <w:r>
        <w:rPr>
          <w:rFonts w:eastAsia="IRNazanin" w:cs="IRNazanin"/>
          <w:b w:val="false"/>
          <w:bCs w:val="false"/>
          <w:i w:val="false"/>
          <w:iCs w:val="false"/>
          <w:color w:val="333333"/>
          <w:sz w:val="20"/>
          <w:szCs w:val="20"/>
          <w:rtl w:val="true"/>
        </w:rPr>
        <w:t>) .</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العراق،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العراق،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اخبار القضاة،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الاغانى،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تفصيل مطالب ياد شده،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المحبوسين فى الفقه الجعفرى،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موارد السجن فى النصوص و الفتاوى</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المحبوسين،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موراد السجن فى النصوص و الفتاوى</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تفصيل مطالب ياد شده،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النفى و التغريب فى مصادر التشريع الاسلامى</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حضارة العراق،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تاريخ الكوفه،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تاريخ العراق فى عصور الخلافة العربيه الاسلاميه،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الحياة الاجتماعيه،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تاريخ الكوفه،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فى عصور الخلافة العربية الاسلاميه،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الحياه الاجتماعيه،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تاريخ الكوفه،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تاريخ الكوفه،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الانساب و الاسرات الحاكمة فى التاريخ الاسلامى،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مسجد الكوفة و تخطيطه و عمرانه،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الانساب،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مسجد الكوفه،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تاريخ الكوفه،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الانساب و الاسرات،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وسيلة الدارين،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تاريخ الكوفه، صص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العراق،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فى العراق،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الادارة الاسلامية فى عهد عمر،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فى العراق،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الادارة الاسلامية فى عهد عمر،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وضع مالى و ماليه مسلمين از آغاز تا پايان دوره اموى،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الكتّاب،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الوزراء و الكتّاب،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الكتاب،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الكتاب،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الكتاب،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وضع مالى و ماليه مسلمين از آغاز تا پايان دوره اموى،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image" Target="media/image2.jpeg"/><Relationship Id="rId530" Type="http://schemas.openxmlformats.org/officeDocument/2006/relationships/image" Target="media/image2.jpeg"/><Relationship Id="rId531" Type="http://schemas.openxmlformats.org/officeDocument/2006/relationships/footer" Target="footer524.xml"/><Relationship Id="rId532" Type="http://schemas.openxmlformats.org/officeDocument/2006/relationships/footnotes" Target="footnotes.xml"/><Relationship Id="rId533" Type="http://schemas.openxmlformats.org/officeDocument/2006/relationships/numbering" Target="numbering.xml"/><Relationship Id="rId534" Type="http://schemas.openxmlformats.org/officeDocument/2006/relationships/fontTable" Target="fontTable.xml"/><Relationship Id="rId535" Type="http://schemas.openxmlformats.org/officeDocument/2006/relationships/settings" Target="settings.xml"/><Relationship Id="rId5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551</Pages>
  <Words>33881</Words>
  <Characters>132112</Characters>
  <CharactersWithSpaces>164524</CharactersWithSpaces>
  <Paragraphs>1470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2026-08-16T19:55:39Z</dcterms:created>
  <dc:creator>ghaemiyeh.com</dc:creator>
  <dc:description/>
  <dc:language>en-US</dc:language>
  <cp:lastModifiedBy/>
  <dcterms:modified xsi:type="dcterms:W3CDTF">2026-08-16T23:26:10Z</dcterms:modified>
  <cp:revision>1</cp:revision>
  <dc:subject/>
  <dc:title>کوفه از پیدایش تا عاشورا</dc:title>
</cp:coreProperties>
</file>

<file path=docProps/custom.xml><?xml version="1.0" encoding="utf-8"?>
<Properties xmlns="http://schemas.openxmlformats.org/officeDocument/2006/custom-properties" xmlns:vt="http://schemas.openxmlformats.org/officeDocument/2006/docPropsVTypes"/>
</file>