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شبهات و ایضاحات حول اصول الفقه للشیعه الامامیه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42906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042908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042910_3650668749">
            <w:r>
              <w:rPr>
                <w:webHidden/>
                <w:rStyle w:val="IndexLink"/>
                <w:rtl w:val="true"/>
              </w:rPr>
              <w:t>المقدّمة</w:t>
            </w:r>
            <w:r>
              <w:rPr>
                <w:rStyle w:val="IndexLink"/>
                <w:rtl w:val="true"/>
              </w:rPr>
              <w:tab/>
            </w:r>
            <w:r>
              <w:rPr>
                <w:rStyle w:val="IndexLink"/>
              </w:rPr>
              <w:t>5</w:t>
            </w:r>
          </w:hyperlink>
        </w:p>
        <w:p>
          <w:pPr>
            <w:pStyle w:val="Contents2"/>
            <w:tabs>
              <w:tab w:val="clear" w:pos="8743"/>
              <w:tab w:val="right" w:pos="9026" w:leader="dot"/>
            </w:tabs>
            <w:rPr/>
          </w:pPr>
          <w:hyperlink w:anchor="__RefHeading___Toc3042912_3650668749">
            <w:r>
              <w:rPr>
                <w:webHidden/>
                <w:rStyle w:val="IndexLink"/>
              </w:rPr>
              <w:t>1</w:t>
            </w:r>
            <w:r>
              <w:rPr>
                <w:rStyle w:val="IndexLink"/>
                <w:rtl w:val="true"/>
              </w:rPr>
              <w:t xml:space="preserve">: </w:t>
            </w:r>
            <w:r>
              <w:rPr>
                <w:rStyle w:val="IndexLink"/>
                <w:rtl w:val="true"/>
              </w:rPr>
              <w:t>التقدّم في التأسيس أو التدوين‌</w:t>
            </w:r>
            <w:r>
              <w:rPr>
                <w:rStyle w:val="IndexLink"/>
                <w:rtl w:val="true"/>
              </w:rPr>
              <w:tab/>
            </w:r>
            <w:r>
              <w:rPr>
                <w:rStyle w:val="IndexLink"/>
              </w:rPr>
              <w:t>10</w:t>
            </w:r>
          </w:hyperlink>
        </w:p>
        <w:p>
          <w:pPr>
            <w:pStyle w:val="Contents2"/>
            <w:tabs>
              <w:tab w:val="clear" w:pos="8743"/>
              <w:tab w:val="right" w:pos="9026" w:leader="dot"/>
            </w:tabs>
            <w:rPr/>
          </w:pPr>
          <w:hyperlink w:anchor="__RefHeading___Toc3042914_3650668749">
            <w:r>
              <w:rPr>
                <w:webHidden/>
                <w:rStyle w:val="IndexLink"/>
              </w:rPr>
              <w:t>2</w:t>
            </w:r>
            <w:r>
              <w:rPr>
                <w:rStyle w:val="IndexLink"/>
                <w:rtl w:val="true"/>
              </w:rPr>
              <w:t xml:space="preserve">: </w:t>
            </w:r>
            <w:r>
              <w:rPr>
                <w:rStyle w:val="IndexLink"/>
                <w:rtl w:val="true"/>
              </w:rPr>
              <w:t>أدلّة الأحكام عند الإمامية</w:t>
            </w:r>
            <w:r>
              <w:rPr>
                <w:rStyle w:val="IndexLink"/>
                <w:rtl w:val="true"/>
              </w:rPr>
              <w:tab/>
            </w:r>
            <w:r>
              <w:rPr>
                <w:rStyle w:val="IndexLink"/>
              </w:rPr>
              <w:t>21</w:t>
            </w:r>
          </w:hyperlink>
        </w:p>
        <w:p>
          <w:pPr>
            <w:pStyle w:val="Contents3"/>
            <w:tabs>
              <w:tab w:val="clear" w:pos="8459"/>
              <w:tab w:val="right" w:pos="9026" w:leader="dot"/>
            </w:tabs>
            <w:rPr/>
          </w:pPr>
          <w:hyperlink w:anchor="__RefHeading___Toc3042916_3650668749">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3042918_3650668749">
            <w:r>
              <w:rPr>
                <w:webHidden/>
                <w:rStyle w:val="IndexLink"/>
                <w:rtl w:val="true"/>
              </w:rPr>
              <w:t>تقسيم الأدلّة إلى اجتهادية وأُصول عملية</w:t>
            </w:r>
            <w:r>
              <w:rPr>
                <w:rStyle w:val="IndexLink"/>
                <w:rtl w:val="true"/>
              </w:rPr>
              <w:tab/>
            </w:r>
            <w:r>
              <w:rPr>
                <w:rStyle w:val="IndexLink"/>
              </w:rPr>
              <w:t>23</w:t>
            </w:r>
          </w:hyperlink>
        </w:p>
        <w:p>
          <w:pPr>
            <w:pStyle w:val="Contents3"/>
            <w:tabs>
              <w:tab w:val="clear" w:pos="8459"/>
              <w:tab w:val="right" w:pos="9026" w:leader="dot"/>
            </w:tabs>
            <w:rPr/>
          </w:pPr>
          <w:hyperlink w:anchor="__RefHeading___Toc3042920_3650668749">
            <w:r>
              <w:rPr>
                <w:webHidden/>
                <w:rStyle w:val="IndexLink"/>
                <w:rtl w:val="true"/>
              </w:rPr>
              <w:t>تقسيم الأُصول إلى محرز و غير محرز</w:t>
            </w:r>
            <w:r>
              <w:rPr>
                <w:rStyle w:val="IndexLink"/>
                <w:rtl w:val="true"/>
              </w:rPr>
              <w:tab/>
            </w:r>
            <w:r>
              <w:rPr>
                <w:rStyle w:val="IndexLink"/>
              </w:rPr>
              <w:t>28</w:t>
            </w:r>
          </w:hyperlink>
        </w:p>
        <w:p>
          <w:pPr>
            <w:pStyle w:val="Contents2"/>
            <w:tabs>
              <w:tab w:val="clear" w:pos="8743"/>
              <w:tab w:val="right" w:pos="9026" w:leader="dot"/>
            </w:tabs>
            <w:rPr/>
          </w:pPr>
          <w:hyperlink w:anchor="__RefHeading___Toc3042922_3650668749">
            <w:r>
              <w:rPr>
                <w:webHidden/>
                <w:rStyle w:val="IndexLink"/>
              </w:rPr>
              <w:t>3</w:t>
            </w:r>
            <w:r>
              <w:rPr>
                <w:rStyle w:val="IndexLink"/>
                <w:rtl w:val="true"/>
              </w:rPr>
              <w:t xml:space="preserve">: </w:t>
            </w:r>
            <w:r>
              <w:rPr>
                <w:rStyle w:val="IndexLink"/>
                <w:rtl w:val="true"/>
              </w:rPr>
              <w:t xml:space="preserve">هلّ سنّة وراء سنّة النبي </w:t>
            </w:r>
            <w:r>
              <w:rPr>
                <w:rStyle w:val="IndexLink"/>
                <w:rtl w:val="true"/>
              </w:rPr>
              <w:t>(</w:t>
            </w:r>
            <w:r>
              <w:rPr>
                <w:rStyle w:val="IndexLink"/>
                <w:rtl w:val="true"/>
              </w:rPr>
              <w:t>ص</w:t>
            </w:r>
            <w:r>
              <w:rPr>
                <w:rStyle w:val="IndexLink"/>
                <w:rtl w:val="true"/>
              </w:rPr>
              <w:t>)</w:t>
              <w:tab/>
            </w:r>
            <w:r>
              <w:rPr>
                <w:rStyle w:val="IndexLink"/>
              </w:rPr>
              <w:t>36</w:t>
            </w:r>
          </w:hyperlink>
        </w:p>
        <w:p>
          <w:pPr>
            <w:pStyle w:val="Contents3"/>
            <w:tabs>
              <w:tab w:val="clear" w:pos="8459"/>
              <w:tab w:val="right" w:pos="9026" w:leader="dot"/>
            </w:tabs>
            <w:rPr/>
          </w:pPr>
          <w:hyperlink w:anchor="__RefHeading___Toc3042924_3650668749">
            <w:r>
              <w:rPr>
                <w:webHidden/>
                <w:rStyle w:val="IndexLink"/>
                <w:rtl w:val="true"/>
              </w:rPr>
              <w:t>اشارة</w:t>
            </w:r>
            <w:r>
              <w:rPr>
                <w:rStyle w:val="IndexLink"/>
                <w:rtl w:val="true"/>
              </w:rPr>
              <w:tab/>
            </w:r>
            <w:r>
              <w:rPr>
                <w:rStyle w:val="IndexLink"/>
              </w:rPr>
              <w:t>36</w:t>
            </w:r>
          </w:hyperlink>
        </w:p>
        <w:p>
          <w:pPr>
            <w:pStyle w:val="Contents3"/>
            <w:tabs>
              <w:tab w:val="clear" w:pos="8459"/>
              <w:tab w:val="right" w:pos="9026" w:leader="dot"/>
            </w:tabs>
            <w:rPr/>
          </w:pPr>
          <w:hyperlink w:anchor="__RefHeading___Toc3042926_3650668749">
            <w:r>
              <w:rPr>
                <w:webHidden/>
                <w:rStyle w:val="IndexLink"/>
                <w:rtl w:val="true"/>
              </w:rPr>
              <w:t xml:space="preserve">أئمة أهل البيت </w:t>
            </w:r>
            <w:r>
              <w:rPr>
                <w:rStyle w:val="IndexLink"/>
                <w:rtl w:val="true"/>
              </w:rPr>
              <w:t>(</w:t>
            </w:r>
            <w:r>
              <w:rPr>
                <w:rStyle w:val="IndexLink"/>
                <w:rtl w:val="true"/>
              </w:rPr>
              <w:t>ع</w:t>
            </w:r>
            <w:r>
              <w:rPr>
                <w:rStyle w:val="IndexLink"/>
                <w:rtl w:val="true"/>
              </w:rPr>
              <w:t xml:space="preserve">) </w:t>
            </w:r>
            <w:r>
              <w:rPr>
                <w:rStyle w:val="IndexLink"/>
                <w:rtl w:val="true"/>
              </w:rPr>
              <w:t xml:space="preserve">حفَظَة سنن الرسول </w:t>
            </w:r>
            <w:r>
              <w:rPr>
                <w:rStyle w:val="IndexLink"/>
                <w:rtl w:val="true"/>
              </w:rPr>
              <w:t>(</w:t>
            </w:r>
            <w:r>
              <w:rPr>
                <w:rStyle w:val="IndexLink"/>
                <w:rtl w:val="true"/>
              </w:rPr>
              <w:t>ص</w:t>
            </w:r>
            <w:r>
              <w:rPr>
                <w:rStyle w:val="IndexLink"/>
                <w:rtl w:val="true"/>
              </w:rPr>
              <w:t>)</w:t>
              <w:tab/>
            </w:r>
            <w:r>
              <w:rPr>
                <w:rStyle w:val="IndexLink"/>
              </w:rPr>
              <w:t>40</w:t>
            </w:r>
          </w:hyperlink>
        </w:p>
        <w:p>
          <w:pPr>
            <w:pStyle w:val="Contents3"/>
            <w:tabs>
              <w:tab w:val="clear" w:pos="8459"/>
              <w:tab w:val="right" w:pos="9026" w:leader="dot"/>
            </w:tabs>
            <w:rPr/>
          </w:pPr>
          <w:hyperlink w:anchor="__RefHeading___Toc3042928_3650668749">
            <w:r>
              <w:rPr>
                <w:webHidden/>
                <w:rStyle w:val="IndexLink"/>
                <w:rtl w:val="true"/>
              </w:rPr>
              <w:t xml:space="preserve">سنّة الصحابة في مقابل سنّة النبّي </w:t>
            </w:r>
            <w:r>
              <w:rPr>
                <w:rStyle w:val="IndexLink"/>
                <w:rtl w:val="true"/>
              </w:rPr>
              <w:t>(</w:t>
            </w:r>
            <w:r>
              <w:rPr>
                <w:rStyle w:val="IndexLink"/>
                <w:rtl w:val="true"/>
              </w:rPr>
              <w:t>ص</w:t>
            </w:r>
            <w:r>
              <w:rPr>
                <w:rStyle w:val="IndexLink"/>
                <w:rtl w:val="true"/>
              </w:rPr>
              <w:t>)</w:t>
              <w:tab/>
            </w:r>
            <w:r>
              <w:rPr>
                <w:rStyle w:val="IndexLink"/>
              </w:rPr>
              <w:t>47</w:t>
            </w:r>
          </w:hyperlink>
        </w:p>
        <w:p>
          <w:pPr>
            <w:pStyle w:val="Contents3"/>
            <w:tabs>
              <w:tab w:val="clear" w:pos="8459"/>
              <w:tab w:val="right" w:pos="9026" w:leader="dot"/>
            </w:tabs>
            <w:rPr/>
          </w:pPr>
          <w:hyperlink w:anchor="__RefHeading___Toc3042930_3650668749">
            <w:r>
              <w:rPr>
                <w:webHidden/>
                <w:rStyle w:val="IndexLink"/>
                <w:rtl w:val="true"/>
              </w:rPr>
              <w:t>طُرق علم الأئمة بالسنّة</w:t>
            </w:r>
            <w:r>
              <w:rPr>
                <w:rStyle w:val="IndexLink"/>
                <w:rtl w:val="true"/>
              </w:rPr>
              <w:tab/>
            </w:r>
            <w:r>
              <w:rPr>
                <w:rStyle w:val="IndexLink"/>
              </w:rPr>
              <w:t>49</w:t>
            </w:r>
          </w:hyperlink>
        </w:p>
        <w:p>
          <w:pPr>
            <w:pStyle w:val="Contents2"/>
            <w:tabs>
              <w:tab w:val="clear" w:pos="8743"/>
              <w:tab w:val="right" w:pos="9026" w:leader="dot"/>
            </w:tabs>
            <w:rPr/>
          </w:pPr>
          <w:hyperlink w:anchor="__RefHeading___Toc3042932_3650668749">
            <w:r>
              <w:rPr>
                <w:webHidden/>
                <w:rStyle w:val="IndexLink"/>
              </w:rPr>
              <w:t>4</w:t>
            </w:r>
            <w:r>
              <w:rPr>
                <w:rStyle w:val="IndexLink"/>
                <w:rtl w:val="true"/>
              </w:rPr>
              <w:t xml:space="preserve">: </w:t>
            </w:r>
            <w:r>
              <w:rPr>
                <w:rStyle w:val="IndexLink"/>
                <w:rtl w:val="true"/>
              </w:rPr>
              <w:t>تقييم الإجماع عند الإماميّة</w:t>
            </w:r>
            <w:r>
              <w:rPr>
                <w:rStyle w:val="IndexLink"/>
                <w:rtl w:val="true"/>
              </w:rPr>
              <w:tab/>
            </w:r>
            <w:r>
              <w:rPr>
                <w:rStyle w:val="IndexLink"/>
              </w:rPr>
              <w:t>63</w:t>
            </w:r>
          </w:hyperlink>
        </w:p>
        <w:p>
          <w:pPr>
            <w:pStyle w:val="Contents3"/>
            <w:tabs>
              <w:tab w:val="clear" w:pos="8459"/>
              <w:tab w:val="right" w:pos="9026" w:leader="dot"/>
            </w:tabs>
            <w:rPr/>
          </w:pPr>
          <w:hyperlink w:anchor="__RefHeading___Toc3042934_3650668749">
            <w:r>
              <w:rPr>
                <w:webHidden/>
                <w:rStyle w:val="IndexLink"/>
                <w:rtl w:val="true"/>
              </w:rPr>
              <w:t>اشارة</w:t>
            </w:r>
            <w:r>
              <w:rPr>
                <w:rStyle w:val="IndexLink"/>
                <w:rtl w:val="true"/>
              </w:rPr>
              <w:tab/>
            </w:r>
            <w:r>
              <w:rPr>
                <w:rStyle w:val="IndexLink"/>
              </w:rPr>
              <w:t>63</w:t>
            </w:r>
          </w:hyperlink>
        </w:p>
        <w:p>
          <w:pPr>
            <w:pStyle w:val="Contents3"/>
            <w:tabs>
              <w:tab w:val="clear" w:pos="8459"/>
              <w:tab w:val="right" w:pos="9026" w:leader="dot"/>
            </w:tabs>
            <w:rPr/>
          </w:pPr>
          <w:hyperlink w:anchor="__RefHeading___Toc3042936_3650668749">
            <w:r>
              <w:rPr>
                <w:webHidden/>
                <w:rStyle w:val="IndexLink"/>
                <w:rtl w:val="true"/>
              </w:rPr>
              <w:t>قراءة صاحب المقال للاجماع عند الشيعة</w:t>
            </w:r>
            <w:r>
              <w:rPr>
                <w:rStyle w:val="IndexLink"/>
                <w:rtl w:val="true"/>
              </w:rPr>
              <w:tab/>
            </w:r>
            <w:r>
              <w:rPr>
                <w:rStyle w:val="IndexLink"/>
              </w:rPr>
              <w:t>68</w:t>
            </w:r>
          </w:hyperlink>
        </w:p>
        <w:p>
          <w:pPr>
            <w:pStyle w:val="Contents3"/>
            <w:tabs>
              <w:tab w:val="clear" w:pos="8459"/>
              <w:tab w:val="right" w:pos="9026" w:leader="dot"/>
            </w:tabs>
            <w:rPr/>
          </w:pPr>
          <w:hyperlink w:anchor="__RefHeading___Toc3042938_3650668749">
            <w:r>
              <w:rPr>
                <w:webHidden/>
                <w:rStyle w:val="IndexLink"/>
                <w:rtl w:val="true"/>
              </w:rPr>
              <w:t>نقد الإجماع الدخولي‌</w:t>
            </w:r>
            <w:r>
              <w:rPr>
                <w:rStyle w:val="IndexLink"/>
                <w:rtl w:val="true"/>
              </w:rPr>
              <w:tab/>
            </w:r>
            <w:r>
              <w:rPr>
                <w:rStyle w:val="IndexLink"/>
              </w:rPr>
              <w:t>71</w:t>
            </w:r>
          </w:hyperlink>
        </w:p>
        <w:p>
          <w:pPr>
            <w:pStyle w:val="Contents2"/>
            <w:tabs>
              <w:tab w:val="clear" w:pos="8743"/>
              <w:tab w:val="right" w:pos="9026" w:leader="dot"/>
            </w:tabs>
            <w:rPr/>
          </w:pPr>
          <w:hyperlink w:anchor="__RefHeading___Toc3042940_3650668749">
            <w:r>
              <w:rPr>
                <w:webHidden/>
                <w:rStyle w:val="IndexLink"/>
              </w:rPr>
              <w:t>5</w:t>
            </w:r>
            <w:r>
              <w:rPr>
                <w:rStyle w:val="IndexLink"/>
                <w:rtl w:val="true"/>
              </w:rPr>
              <w:t xml:space="preserve">: </w:t>
            </w:r>
            <w:r>
              <w:rPr>
                <w:rStyle w:val="IndexLink"/>
                <w:rtl w:val="true"/>
              </w:rPr>
              <w:t>خبرالواحد والقياس ظنّيان فلماذا التفريق بينهما؟</w:t>
            </w:r>
            <w:r>
              <w:rPr>
                <w:rStyle w:val="IndexLink"/>
                <w:rtl w:val="true"/>
              </w:rPr>
              <w:tab/>
            </w:r>
            <w:r>
              <w:rPr>
                <w:rStyle w:val="IndexLink"/>
              </w:rPr>
              <w:t>75</w:t>
            </w:r>
          </w:hyperlink>
        </w:p>
        <w:p>
          <w:pPr>
            <w:pStyle w:val="Contents3"/>
            <w:tabs>
              <w:tab w:val="clear" w:pos="8459"/>
              <w:tab w:val="right" w:pos="9026" w:leader="dot"/>
            </w:tabs>
            <w:rPr/>
          </w:pPr>
          <w:hyperlink w:anchor="__RefHeading___Toc3042942_3650668749">
            <w:r>
              <w:rPr>
                <w:webHidden/>
                <w:rStyle w:val="IndexLink"/>
                <w:rtl w:val="true"/>
              </w:rPr>
              <w:t>اشارة</w:t>
            </w:r>
            <w:r>
              <w:rPr>
                <w:rStyle w:val="IndexLink"/>
                <w:rtl w:val="true"/>
              </w:rPr>
              <w:tab/>
            </w:r>
            <w:r>
              <w:rPr>
                <w:rStyle w:val="IndexLink"/>
              </w:rPr>
              <w:t>75</w:t>
            </w:r>
          </w:hyperlink>
        </w:p>
        <w:p>
          <w:pPr>
            <w:pStyle w:val="Contents3"/>
            <w:tabs>
              <w:tab w:val="clear" w:pos="8459"/>
              <w:tab w:val="right" w:pos="9026" w:leader="dot"/>
            </w:tabs>
            <w:rPr/>
          </w:pPr>
          <w:hyperlink w:anchor="__RefHeading___Toc3042944_3650668749">
            <w:r>
              <w:rPr>
                <w:webHidden/>
                <w:rStyle w:val="IndexLink"/>
                <w:rtl w:val="true"/>
              </w:rPr>
              <w:t>التفريق بين الظنّيين لماذا؟</w:t>
            </w:r>
            <w:r>
              <w:rPr>
                <w:rStyle w:val="IndexLink"/>
                <w:rtl w:val="true"/>
              </w:rPr>
              <w:tab/>
            </w:r>
            <w:r>
              <w:rPr>
                <w:rStyle w:val="IndexLink"/>
              </w:rPr>
              <w:t>83</w:t>
            </w:r>
          </w:hyperlink>
        </w:p>
        <w:p>
          <w:pPr>
            <w:pStyle w:val="Contents3"/>
            <w:tabs>
              <w:tab w:val="clear" w:pos="8459"/>
              <w:tab w:val="right" w:pos="9026" w:leader="dot"/>
            </w:tabs>
            <w:rPr/>
          </w:pPr>
          <w:hyperlink w:anchor="__RefHeading___Toc3042946_3650668749">
            <w:r>
              <w:rPr>
                <w:webHidden/>
                <w:rStyle w:val="IndexLink"/>
                <w:rtl w:val="true"/>
              </w:rPr>
              <w:t>استدلاله على حجية القياس عن طريق العقل‌</w:t>
            </w:r>
            <w:r>
              <w:rPr>
                <w:rStyle w:val="IndexLink"/>
                <w:rtl w:val="true"/>
              </w:rPr>
              <w:tab/>
            </w:r>
            <w:r>
              <w:rPr>
                <w:rStyle w:val="IndexLink"/>
              </w:rPr>
              <w:t>90</w:t>
            </w:r>
          </w:hyperlink>
        </w:p>
        <w:p>
          <w:pPr>
            <w:pStyle w:val="Contents3"/>
            <w:tabs>
              <w:tab w:val="clear" w:pos="8459"/>
              <w:tab w:val="right" w:pos="9026" w:leader="dot"/>
            </w:tabs>
            <w:rPr/>
          </w:pPr>
          <w:hyperlink w:anchor="__RefHeading___Toc3042948_3650668749">
            <w:r>
              <w:rPr>
                <w:webHidden/>
                <w:rStyle w:val="IndexLink"/>
                <w:rtl w:val="true"/>
              </w:rPr>
              <w:t>الخلط بين المماثل والمشابه‌</w:t>
            </w:r>
            <w:r>
              <w:rPr>
                <w:rStyle w:val="IndexLink"/>
                <w:rtl w:val="true"/>
              </w:rPr>
              <w:tab/>
            </w:r>
            <w:r>
              <w:rPr>
                <w:rStyle w:val="IndexLink"/>
              </w:rPr>
              <w:t>93</w:t>
            </w:r>
          </w:hyperlink>
        </w:p>
        <w:p>
          <w:pPr>
            <w:pStyle w:val="Contents2"/>
            <w:tabs>
              <w:tab w:val="clear" w:pos="8743"/>
              <w:tab w:val="right" w:pos="9026" w:leader="dot"/>
            </w:tabs>
            <w:rPr/>
          </w:pPr>
          <w:hyperlink w:anchor="__RefHeading___Toc3042950_3650668749">
            <w:r>
              <w:rPr>
                <w:webHidden/>
                <w:rStyle w:val="IndexLink"/>
              </w:rPr>
              <w:t>6</w:t>
            </w:r>
            <w:r>
              <w:rPr>
                <w:rStyle w:val="IndexLink"/>
                <w:rtl w:val="true"/>
              </w:rPr>
              <w:t xml:space="preserve">: </w:t>
            </w:r>
            <w:r>
              <w:rPr>
                <w:rStyle w:val="IndexLink"/>
                <w:rtl w:val="true"/>
              </w:rPr>
              <w:t>الدليل العقلي وحجيّة المصلحة</w:t>
            </w:r>
            <w:r>
              <w:rPr>
                <w:rStyle w:val="IndexLink"/>
                <w:rtl w:val="true"/>
              </w:rPr>
              <w:tab/>
            </w:r>
            <w:r>
              <w:rPr>
                <w:rStyle w:val="IndexLink"/>
              </w:rPr>
              <w:t>98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85_15460"/>
      <w:bookmarkStart w:id="1" w:name="pg1885_15460"/>
      <w:bookmarkEnd w:id="1"/>
    </w:p>
    <w:p>
      <w:pPr>
        <w:pStyle w:val="Heading2"/>
        <w:numPr>
          <w:ilvl w:val="1"/>
          <w:numId w:val="1"/>
        </w:numPr>
        <w:rPr/>
      </w:pPr>
      <w:bookmarkStart w:id="2" w:name="pg1885_15460"/>
      <w:bookmarkStart w:id="3" w:name="__RefHeading___Toc3042906_365066874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 جعفر،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و ایضاحات حول اصول‌الفقه للشیعة‌الامامیة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۱۳۱۹۲۲۹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42908_3650668749"/>
      <w:bookmarkStart w:id="6" w:name="_Toc2"/>
      <w:bookmarkEnd w:id="5"/>
      <w:r>
        <w:rPr>
          <w:rtl w:val="true"/>
        </w:rPr>
        <w:t>اشارة</w:t>
      </w:r>
      <w:bookmarkStart w:id="7" w:name="pg1885_15468"/>
      <w:bookmarkEnd w:id="6"/>
    </w:p>
    <w:p>
      <w:pPr>
        <w:pStyle w:val="Heading2"/>
        <w:numPr>
          <w:ilvl w:val="1"/>
          <w:numId w:val="1"/>
        </w:numPr>
        <w:rPr/>
      </w:pPr>
      <w:bookmarkStart w:id="8" w:name="__RefHeading___Toc3042910_3650668749"/>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 xml:space="preserve">لقد قمنا بزيارة المملكة المغربية في مستهلّ عام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وتعرّفتُ على رجال الفكر و الثقافة في تلك البلاد من خلال إلقاء المحاضرات في غير واحدة من جامعاتها وحول مواضيع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دُوّنتْ خاطراتي حول هذه الرحلة في كتاب أسميناه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الرحلة المغربية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وانتشر</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يجب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ألقيت محاضرة حول تطوّر أُصول الفقه عند الإمامية في جامعة القرويين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وذكرت فيها</w:t>
      </w:r>
    </w:p>
    <w:p>
      <w:pPr>
        <w:pStyle w:val="BookText"/>
        <w:rPr/>
      </w:pPr>
      <w:r>
        <w:rPr>
          <w:rFonts w:ascii="Amiri" w:hAnsi="Amiri" w:eastAsia="Amiri" w:cs="Amiri"/>
          <w:color w:val="111111"/>
          <w:sz w:val="28"/>
          <w:sz w:val="28"/>
          <w:szCs w:val="28"/>
          <w:rtl w:val="true"/>
          <w:lang w:bidi="ar-SA"/>
        </w:rPr>
        <w:t>التطوّر الّذي أحدثه علماء الإمامية في علم الأُصول عبر القرون على نحو لا يُرى نظيره في المدارس الأُخرى، وذكرنا نماذج من تقدّم الحركة الأُصولية، وقد أعقبت هذه المحاضرة مناقشات واستفسارات أجبنا عنها حسب ما سمح لنا الوقت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اليوم الأخير من سفرنا والّذي غادرنا فيه المملكة المغربية زرنا صباحاً مؤسسة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الحديث الحسنية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يديرها الدكتور أحمد الخمليشي، و قد استقبلونا بحفاوة وتكريم، و تعرّفنا هناك على عدد من الأساتذة المحترمين من أصحاب الاختصاصات المتنوّعة، و قد دار الحديث خلال هذه الزيارة في مواضيع عديدة لا يسع المجال لذكرها هنا</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كان بفضل ربّنا سبحانه و تعالى حيث التقينا بشخصيات علمية بارزة، و لمسنا منهم حبّ المعرفة و الاطّلاع على مذهب الشيعة الإماميّة</w:t>
      </w:r>
    </w:p>
    <w:p>
      <w:pPr>
        <w:pStyle w:val="BookText"/>
        <w:rPr/>
      </w:pPr>
      <w:r>
        <w:rPr>
          <w:rFonts w:ascii="Amiri" w:hAnsi="Amiri" w:eastAsia="Amiri" w:cs="Amiri"/>
          <w:color w:val="111111"/>
          <w:sz w:val="28"/>
          <w:sz w:val="28"/>
          <w:szCs w:val="28"/>
          <w:rtl w:val="true"/>
          <w:lang w:bidi="ar-SA"/>
        </w:rPr>
        <w:t>والتقريب بين المسلمين، و الاهتمام بالتبادل الثقافي بين الجمهورية الإسلامية و المملكة المغربية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وقفنا في هذه الأيام على مقال نشر في العدد الثاني من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الصادرة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دارالحديث الحسنية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المغرب المؤرخ في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 عند 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وتقويم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أحمد الريسوني، الأُستاذ في جامعة محمد الخامس في الرباط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حسن الحظ أنّا قد التقينا بصاحب المقال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إلقاء محاضرة في كلّية الآداب والعلوم الإسلامية جامعة محمد الخامس، والّتي كان موضوعها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الفقه الإسلامي و أدواره التاريخية</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خلال الحفل الّذي أُقيم في سفارة</w:t>
      </w:r>
    </w:p>
    <w:p>
      <w:pPr>
        <w:pStyle w:val="BookText"/>
        <w:rPr/>
      </w:pPr>
      <w:r>
        <w:rPr>
          <w:rFonts w:ascii="Amiri" w:hAnsi="Amiri" w:eastAsia="Amiri" w:cs="Amiri"/>
          <w:color w:val="111111"/>
          <w:sz w:val="28"/>
          <w:sz w:val="28"/>
          <w:szCs w:val="28"/>
          <w:rtl w:val="true"/>
          <w:lang w:bidi="ar-SA"/>
        </w:rPr>
        <w:t>الجمهورية الإسلامية في المغرب لتكريم ضيفها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نشكر الله الّذي هيّأ لنا هذه اللقاءات الأخوية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قرأت المقال و وجدت أنّ المواضيع الّتي تخضع للبحث و النقاش فيه عبارة عمّايلي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تأخّر الشيعة في تدوين علم الأُصول عن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أدلّة الأحكام عند الشيعة الإمامية، و منها سنّة الأئمة الاثني عشر و الإجماع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الإمامية ترفض الأخذ بالقياس و الاستصلاح لأنّها أدلّة ظنية، و في الوقت نفسه يعملون بالظنّيات كالعمل بأخبار الآحاد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الإمامية يقولون بحجّية الدليل العقلي بينما يرفضون القياس، و هو من بديهيات العقول و أوّلياتها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الإمامية ترفض حجّية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لكنّهم يأخذونها بأسماء و أشكال متعدّدة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المحاور الّتي يدور عليها مقال الدكتور و</w:t>
      </w:r>
    </w:p>
    <w:p>
      <w:pPr>
        <w:pStyle w:val="BookText"/>
        <w:rPr/>
      </w:pPr>
      <w:r>
        <w:rPr>
          <w:rFonts w:ascii="Amiri" w:hAnsi="Amiri" w:eastAsia="Amiri" w:cs="Amiri"/>
          <w:color w:val="111111"/>
          <w:sz w:val="28"/>
          <w:sz w:val="28"/>
          <w:szCs w:val="28"/>
          <w:rtl w:val="true"/>
          <w:lang w:bidi="ar-SA"/>
        </w:rPr>
        <w:t>الّذي استعرض فيها وجهة نظره بعبارات مهذّبة، و نحن نتناول تلك الأُمور بالبحث و المناقشة ضمن فصول، استجابة لما أفاده في مقدّمة مقاله قائلًا</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أنّني حين أضع هذا المقال في سياق التقريب والسعي نحو التفاهم، فإنّي لاأنفي حتمية النقاش الصريح و النقد الحرّ المتبادل؛ لأنّ التقريب المنشود لا يمكن أن يبنى على المجاملة أو المحاباة، و لكنّه بحاجة إلى تحسين الظن، و تهذيب الخطاب، و تحمّل النقد بحثاً عمّا فيه من حقّ لقبوله، لابحثاً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فيه من مداخل لنقضه و تسفيهه</w:t>
      </w:r>
      <w:r>
        <w:rPr>
          <w:rFonts w:eastAsia="Amiri" w:cs="Amiri" w:ascii="Amiri" w:hAnsi="Amiri"/>
          <w:color w:val="111111"/>
          <w:sz w:val="28"/>
          <w:szCs w:val="28"/>
          <w:rtl w:val="true"/>
          <w:lang w:bidi="ar-SA"/>
        </w:rPr>
        <w:t>.</w:t>
      </w:r>
      <w:bookmarkStart w:id="10" w:name="pg1885_15479"/>
    </w:p>
    <w:p>
      <w:pPr>
        <w:pStyle w:val="Heading2"/>
        <w:numPr>
          <w:ilvl w:val="1"/>
          <w:numId w:val="1"/>
        </w:numPr>
        <w:rPr/>
      </w:pPr>
      <w:bookmarkStart w:id="11" w:name="__RefHeading___Toc3042912_3650668749"/>
      <w:bookmarkStart w:id="12" w:name="_Toc4"/>
      <w:bookmarkEnd w:id="10"/>
      <w:bookmarkEnd w:id="11"/>
      <w:r>
        <w:rPr/>
        <w:t>1</w:t>
      </w:r>
      <w:r>
        <w:rPr>
          <w:rtl w:val="true"/>
        </w:rPr>
        <w:t xml:space="preserve">: </w:t>
      </w:r>
      <w:r>
        <w:rPr>
          <w:rtl w:val="true"/>
        </w:rPr>
        <w:t>التقدّم في التأسيس أو التدوين‌</w:t>
      </w:r>
      <w:bookmarkEnd w:id="12"/>
    </w:p>
    <w:p>
      <w:pPr>
        <w:pStyle w:val="BookText"/>
        <w:rPr/>
      </w:pPr>
      <w:r>
        <w:rPr>
          <w:rFonts w:ascii="Amiri" w:hAnsi="Amiri" w:eastAsia="Amiri" w:cs="Amiri"/>
          <w:color w:val="111111"/>
          <w:sz w:val="28"/>
          <w:sz w:val="28"/>
          <w:szCs w:val="28"/>
          <w:rtl w:val="true"/>
          <w:lang w:bidi="ar-SA"/>
        </w:rPr>
        <w:t>إنّ واقع العلم المنتشر قائم بأمرين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إلقاء الأفكار الّتي تنقدح في أذهان المؤسّسين إلى تلاميذهم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تدوين الأفكار من قبل المؤسّسين أو تلاميذهم الذين اقتبسوا من أضوائهم و استلهموا تلك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علم الأُصول شاذّاً عن هذه القاعدة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كانت الغاية من علم الأُصول هو تعليم الفقيه كيفية إقامة الدليل على الحكم الشرعي</w:t>
      </w:r>
    </w:p>
    <w:p>
      <w:pPr>
        <w:pStyle w:val="BookText"/>
        <w:rPr/>
      </w:pPr>
      <w:r>
        <w:rPr>
          <w:rFonts w:ascii="Amiri" w:hAnsi="Amiri" w:eastAsia="Amiri" w:cs="Amiri"/>
          <w:color w:val="111111"/>
          <w:sz w:val="28"/>
          <w:sz w:val="28"/>
          <w:szCs w:val="28"/>
          <w:rtl w:val="true"/>
          <w:lang w:bidi="ar-SA"/>
        </w:rPr>
        <w:t>واستنطاق الأدلّة الشرعية لاستنباط الحكم الشرعي في الحقول المختلفة، فإنّ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الإمامين الباقر و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السابقون في هذا الميدان، فقد أملَوا على أصحابهم قواعد كلّيّة تتضمّن قواعد أُصولية تارة و قواعد فقهية تارة أُخرى، فربّوا جيلًا كبيراً من الفقهاء في مجال الاجتهاد والاستنباط حفلت معاجم الرجال و التراجم بأسمائهم وآثارهم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سبَر ما وصل إلينا من آثار الفقهاء في القرن الثاني والثالث ممّن تربّوا في أحضان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يقف على مدى رقيّهم في سُلّم الاجتهاد، فمن باب المثال انظر إلى ما بقي إلى هذا الوقت من اجتهادات تلاميذ الإمامين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نظير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زرارة بن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 في حقّه 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أكبر رجال الشيعة فقهاً وحديثاً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مسلم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يونس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غيرهم من الفقهاء البارزين، الذين تركوا تراثاً فقهياً مستنبطاً من قواعد أُصولية و فقهية على نحو يبهر العقول، وقد ذكر ناشيئاً من فتاواهم و اجتهاداتهم في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الفقه الإسلامي و أدواره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كانت اجتهاداتهم و استنباطاتهم على ضوء قواعد تلقّوها عن أئمتهم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استضاءوا بنور علومهم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جاءت هذه القواعد مبثوثة في ضمن أحاديث موجودة في جوامعنا الحديثية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قام جماعة من المحدّثين بفصل هذه الروايات وجمعها في مكان واحد، نذكر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جمعها العلّامة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 موسوعته الكبيرة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كتاب العقل و العلم</w:t>
      </w:r>
      <w:r>
        <w:rPr>
          <w:rFonts w:eastAsia="Amiri" w:cs="Amiri" w:ascii="Amiri" w:hAnsi="Amiri"/>
          <w:color w:val="111111"/>
          <w:sz w:val="28"/>
          <w:szCs w:val="28"/>
          <w:rtl w:val="true"/>
          <w:lang w:bidi="ar-SA"/>
        </w:rPr>
        <w:t xml:space="preserve">. </w:t>
      </w:r>
      <w:r>
        <w:rPr>
          <w:rStyle w:val="FootnoteAnchor"/>
        </w:rPr>
        <w:footnoteReference w:id="2"/>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الشيخ الحرّ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كتاباً مستقلًا في هذا المضمار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 في أُصول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اشتمل على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أودع فيها الأحاديث الّتي تتضمّن قواعد أُصولية و فقهية ممّا يبتني عليها الاستنباط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صنّف المحدّث الخبير السيد عبد الله 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الأصلية والقواعد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يحتوي على مئة باب، وقد طبع الكتاب في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أخيرهم لا آخرهم العلّامة الفقيه السيد محمد هاشم الخوانساري الاصفهاني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p>
    <w:p>
      <w:pPr>
        <w:pStyle w:val="BookText"/>
        <w:rPr/>
      </w:pPr>
      <w:r>
        <w:rPr>
          <w:rFonts w:ascii="Amiri" w:hAnsi="Amiri" w:eastAsia="Amiri" w:cs="Amiri"/>
          <w:color w:val="111111"/>
          <w:sz w:val="28"/>
          <w:sz w:val="28"/>
          <w:szCs w:val="28"/>
          <w:rtl w:val="true"/>
          <w:lang w:bidi="ar-SA"/>
        </w:rPr>
        <w:t>خاض بحار الأحاديث و صرف برهة من عمره في جمع هذا النوع من الروايات المروية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 تتضمّن الأُصول و القواعد الّتي يبتني عليها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فيه خمسة آلاف حديث من هذا النوع، ولو أسقطنا المتكرّر منها لكان في الباقي غنى و كفاية، و هذا يشهد على تقدّم إئمة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تأسيس الفكرة وهداية الأُمّة إلى تلك القواعد و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وإنّ كثيراً من أئمة الفقه كانوا سبّاقين في التأسيس لا في التدوين، و إنّما قام بالتدوين تلاميذ منهجهم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الفضل للمؤسّس لا للمدوّن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الإمام أبو حنيفة النعمان بن 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أئمة المذاهب الأربعة، و مؤسّس الفقه الحنفي قد أسّس مدرسة فقهية توسّعت على يد تلاميذه، و أخصّ بالذكر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تلميذه المعروف محمد بن الحسن</w:t>
      </w:r>
    </w:p>
    <w:p>
      <w:pPr>
        <w:pStyle w:val="BookText"/>
        <w:rPr/>
      </w:pPr>
      <w:r>
        <w:rPr>
          <w:rFonts w:ascii="Amiri" w:hAnsi="Amiri" w:eastAsia="Amiri" w:cs="Amiri"/>
          <w:color w:val="111111"/>
          <w:sz w:val="28"/>
          <w:sz w:val="28"/>
          <w:szCs w:val="28"/>
          <w:rtl w:val="true"/>
          <w:lang w:bidi="ar-SA"/>
        </w:rPr>
        <w:t>الشيباني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تلميذه الآخر القاضي أبايوسف يعقوب بن إبراهيم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هذان الفقيهان اتّصلا بأبي حنيفة و انقطعا إليه و تفقّها على يديه و بهما انتشر المذهب، و الفضل للمؤسّس لا للمدّون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أحمد بن محمد بن حنبل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الحافظ الكبير حيث لم يصنّف كتاباً في الفقه يُعدّ أصلًا و مرجعاً، و إنّما جمع أُصوله تلميذ تلميذه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الفتاوى المتشتّتة الموجودة بين أيدي الناس، وجاء من جاء بعده فاستثمرها و بلورها حتى صارت مذهباً من المذاهب</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الشيخ أبوزهرة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أحمد لم يصنّف كتاباً في الفقه يُعدّ أصلًا يؤخذ منه مذهبه و يُعدّ مرجعه، و لم يكتب إلّا الحديث</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و مع هذا فقد صقل تلاميذه مذهبه و ألّفوا موسوعة فقهية كبيرة، كالمغني لابن قدامة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مسألة التدوين فهي و إن كانت أمراً مهماً قابلًا للتقدير لكن لا نخوض فيها، على الرغم من وجود تآليف في أُصول الفقه للشيعة الإمامية يعود تاريخها إلى نهاية القرن الثاني و أوائل القرن الثالث الهجري</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سبر تاريخ الحديث والفقه ودور الأئمة الاثني عشر و خاصّة الباقر و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حفظ سنة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وتوعية الناس، يقف على أنّ حضور مجالسهم كان واسعاً جداً، فكان يحضر فيها فئات مختلفة من طوائف المسلمين، و كانت خطاباتهم موجّهة إلى عامّة الحاضرين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الفوارق الّتي نشاهدها اليوم بين السنّة والشيعة لم تكن في عصر الإمامين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تصدّ غير شيعتهم عن الاختلاف إلى</w:t>
      </w:r>
    </w:p>
    <w:p>
      <w:pPr>
        <w:pStyle w:val="BookText"/>
        <w:rPr/>
      </w:pPr>
      <w:r>
        <w:rPr>
          <w:rFonts w:ascii="Amiri" w:hAnsi="Amiri" w:eastAsia="Amiri" w:cs="Amiri"/>
          <w:color w:val="111111"/>
          <w:sz w:val="28"/>
          <w:sz w:val="28"/>
          <w:szCs w:val="28"/>
          <w:rtl w:val="true"/>
          <w:lang w:bidi="ar-SA"/>
        </w:rPr>
        <w:t>مجالسهم ومحاضراتهم، فقد كان يشهد حلقات دروسهم فريق من التابعين وتابعي التابعين، من غير فرق بين من يعتقد بإمامتهم و قيادتهم أو من يرى أنّهم مراجع للعقائد و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التاريخ يحكي عن أنّ حلقة درس الإمام الصادق كانت تضمّ عدداً كبيراً من رجال العلم، وهان نحن نذكر فيما يلي أسماء البارزين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النعمان بن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المذهب الفقهي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محمود شكري الآلوسي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التحفة الاثني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حنيفة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بين أهل السنّة كان يفتخر ويقول بأفصح 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السنتان لهلك النعمان، يريد السنتين اللتين صحب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يقول أبو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حنيفة كان يروي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واقرأ كتاب الآثار لأبي يوسف، و الآثار لمحمد بن الحسن الشيباني فإنّك واجد فيهما رواية عن جعفر بن محمد في مواضع ليست قليلة</w:t>
      </w:r>
      <w:r>
        <w:rPr>
          <w:rFonts w:eastAsia="Amiri" w:cs="Amiri" w:ascii="Amiri" w:hAnsi="Amiri"/>
          <w:color w:val="111111"/>
          <w:sz w:val="28"/>
          <w:szCs w:val="28"/>
          <w:rtl w:val="true"/>
          <w:lang w:bidi="ar-SA"/>
        </w:rPr>
        <w:t xml:space="preserve">. </w:t>
      </w:r>
      <w:r>
        <w:rPr>
          <w:rStyle w:val="FootnoteAnchor"/>
        </w:rPr>
        <w:footnoteReference w:id="4"/>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له صلة تامّة بالإمام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روى الحديث عنه، و اشتهر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مارأت عين أفضل من جعفر بن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سفيان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رؤساء المذهب و حملة الحديث و كان له اختصاص بالإمام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روى عنه الحديث، كما روى كثيراً من آدابه و أخلاقه و مواعظه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سفيان بن عيينة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رؤساء المذاهب البائدة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شعبة بن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خرّج له</w:t>
      </w:r>
    </w:p>
    <w:p>
      <w:pPr>
        <w:pStyle w:val="BookText"/>
        <w:rPr/>
      </w:pPr>
      <w:r>
        <w:rPr>
          <w:rFonts w:ascii="IRNazanin" w:hAnsi="IRNazanin" w:eastAsia="IRNazanin"/>
          <w:color w:val="111111"/>
          <w:sz w:val="28"/>
          <w:sz w:val="28"/>
          <w:szCs w:val="28"/>
          <w:rtl w:val="true"/>
          <w:lang w:bidi="fa-IR"/>
        </w:rPr>
        <w:t>أصحاب الصحاح و السنن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فضيل بن عياض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أحد أئمة الهدى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له البخاري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حاتم 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له البخاري و مسلم، أخذ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أخذ عنه خلق 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حفص بن غياث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روى عنه أحمد 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محمد أبوإسحاق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الصادق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عبدالملك بن جريج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عشرة كاملة، و من أراد أن يقف على حملة علمه و تلامذة منهجه من السنّة، فعليه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و المذاهب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لأسد حيدر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نبذة ممّن استناروا بنور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الوهّاج، و انتهلوا من نميره العذب، و تلقّوا عنه الفقه و الحديث، كما تلقّا هما عنه غيرهم من شيعته</w:t>
      </w:r>
      <w:r>
        <w:rPr>
          <w:rFonts w:eastAsia="Amiri" w:cs="Amiri" w:ascii="Amiri" w:hAnsi="Amiri"/>
          <w:color w:val="111111"/>
          <w:sz w:val="28"/>
          <w:szCs w:val="28"/>
          <w:rtl w:val="true"/>
          <w:lang w:bidi="ar-SA"/>
        </w:rPr>
        <w:t>.</w:t>
      </w:r>
      <w:bookmarkStart w:id="13" w:name="pg1885_15500"/>
    </w:p>
    <w:p>
      <w:pPr>
        <w:pStyle w:val="Heading2"/>
        <w:numPr>
          <w:ilvl w:val="1"/>
          <w:numId w:val="1"/>
        </w:numPr>
        <w:rPr/>
      </w:pPr>
      <w:bookmarkStart w:id="14" w:name="__RefHeading___Toc3042914_3650668749"/>
      <w:bookmarkStart w:id="15" w:name="_Toc5"/>
      <w:bookmarkEnd w:id="13"/>
      <w:bookmarkEnd w:id="14"/>
      <w:r>
        <w:rPr/>
        <w:t>2</w:t>
      </w:r>
      <w:r>
        <w:rPr>
          <w:rtl w:val="true"/>
        </w:rPr>
        <w:t xml:space="preserve">: </w:t>
      </w:r>
      <w:r>
        <w:rPr>
          <w:rtl w:val="true"/>
        </w:rPr>
        <w:t>أدلّة الأحكام عند الإمامية</w:t>
      </w:r>
      <w:bookmarkEnd w:id="15"/>
    </w:p>
    <w:p>
      <w:pPr>
        <w:pStyle w:val="Heading3"/>
        <w:numPr>
          <w:ilvl w:val="2"/>
          <w:numId w:val="1"/>
        </w:numPr>
        <w:rPr/>
      </w:pPr>
      <w:bookmarkStart w:id="16" w:name="__RefHeading___Toc3042916_3650668749"/>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اتّفقت الشيعة الإمامية على أنّ منابع الفقه و مصادره لاتتجاوز الأربعة، و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العقل</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سواها إمّا ليست من مصادر التشريع، أو ترجع إليها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فقيه القرن السادس محمد بن إدريس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 الأدلّة الأربعة في ديباجة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يُحدّد موضع كلّ منها،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الحق لا يعدو أربع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كتاب الله سبحانه، أو سنّة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المتواترة المتّفق عليها</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 أو الإجماع، أو دليل العقل؛ فإذا فقدت الثلاثة فالمعتمد في المسائل الشرعية عند المحقّقين الباحثين عن مأخذ الشريعة، التمسّك بدليل العقل فيها، فإنّها مبقاة عليه و موكولة إليه، فمن هذا الطريق يوصل إلى العلم بجميع الأحكام الشرعية في جميع مسائل أهل الفقه، فيجب الاعتماد عليها و التمسّك بها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bookmarkStart w:id="18" w:name="pg1885_15504"/>
    </w:p>
    <w:p>
      <w:pPr>
        <w:pStyle w:val="Heading3"/>
        <w:numPr>
          <w:ilvl w:val="2"/>
          <w:numId w:val="1"/>
        </w:numPr>
        <w:rPr/>
      </w:pPr>
      <w:bookmarkStart w:id="19" w:name="__RefHeading___Toc3042918_3650668749"/>
      <w:bookmarkStart w:id="20" w:name="_Toc7"/>
      <w:bookmarkEnd w:id="18"/>
      <w:bookmarkEnd w:id="19"/>
      <w:r>
        <w:rPr>
          <w:rtl w:val="true"/>
        </w:rPr>
        <w:t>تقسيم الأدلّة إلى اجتهادية وأُصول عملية</w:t>
      </w:r>
      <w:bookmarkEnd w:id="20"/>
    </w:p>
    <w:p>
      <w:pPr>
        <w:pStyle w:val="BookText"/>
        <w:rPr/>
      </w:pPr>
      <w:r>
        <w:rPr>
          <w:rFonts w:ascii="Amiri" w:hAnsi="Amiri" w:eastAsia="Amiri" w:cs="Amiri"/>
          <w:color w:val="111111"/>
          <w:sz w:val="28"/>
          <w:sz w:val="28"/>
          <w:szCs w:val="28"/>
          <w:rtl w:val="true"/>
          <w:lang w:bidi="ar-SA"/>
        </w:rPr>
        <w:t>تقسيم الأدلّة إلى اجتهادية و أُصول عملية من خصائص الفقه الشيعي، و أمّا الفرق بينهما فهو كالتالي</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لو كان الملاك في اعتبار حُجّة شي‌ء حجّة على الحكم الشرعي هو كونه أمارة للواقع و طريقاً إليه عند المعتبر فهو دليل اجتهادي كالأدلّة الأربعة؛ فإنّ الملاك في حجّيتها هو ما ذكرنا، فإنّ كلًّا من الكتاب و السنّة حتّى الخبر الواحد منها طريق إلى الواقع و</w:t>
      </w:r>
    </w:p>
    <w:p>
      <w:pPr>
        <w:pStyle w:val="BookText"/>
        <w:rPr/>
      </w:pPr>
      <w:r>
        <w:rPr>
          <w:rFonts w:ascii="Amiri" w:hAnsi="Amiri" w:eastAsia="Amiri" w:cs="Amiri"/>
          <w:color w:val="111111"/>
          <w:sz w:val="28"/>
          <w:sz w:val="28"/>
          <w:szCs w:val="28"/>
          <w:rtl w:val="true"/>
          <w:lang w:bidi="ar-SA"/>
        </w:rPr>
        <w:t>كاشف عنه إما كشفاً تاماً كما إذا أفاد القطع، أو كشفاً غير تام كما في خبر العدل، و على كلّ تقدير فالملاك لاعتباره حجّة هو كاشفيته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الملاك بيان الوظيفة و وضع حلول عملية للمكلّفين عند قصور يد المجتهد عن الواقع فهو أصل عملي، فالملاك لاعتبار هذا القسم من الأدلّة هو رفع التحيّر و إراءة الوظيفة عند اليأس من العثور على دليل موصل للواقع، و لذلك أُخذ في لسان حجّيتهم الجهل بالواقع و عدم توفّر طريق في متناوله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الأُصول العامّة الّتي تجري في عامّة أبواب الفقه لا تتجاوز الأربعة،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أصالة البراءة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أصالة الاشتغال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أصالة التخيير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أصالة الاستصحاب</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لكلّ منها مجرى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فمجراها هو الشكّ في التكليف، فإذا كان المجتهد شاكّاً في أصل الوجب أو الحرمة، و تفحّص عن مظانّ الأدّلة و لم يقف على دليل و حجّة على الحكم الشرعي، فوظيفته الحكم بالبراءة عن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شكّ مثلًا في وجوب الدعاء عند رؤية الهلال مثلًا أو ما أشبهه ذلك، والأصل له رصيد قطعي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رفع عن أُمّتي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بقبح عقاب الحكيم دون بيان واصل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فمجراها فيما إذا علم بالحكم الشرعي ولكن تردّد الواجب أو الحرام بين أمرين، فيجب عليه الجمع بين الاحتمالين بالإتيان بهما عند</w:t>
      </w:r>
    </w:p>
    <w:p>
      <w:pPr>
        <w:pStyle w:val="BookText"/>
        <w:rPr/>
      </w:pPr>
      <w:r>
        <w:rPr>
          <w:rFonts w:ascii="IRNazanin" w:hAnsi="IRNazanin" w:eastAsia="IRNazanin"/>
          <w:color w:val="111111"/>
          <w:sz w:val="28"/>
          <w:sz w:val="28"/>
          <w:szCs w:val="28"/>
          <w:rtl w:val="true"/>
          <w:lang w:bidi="fa-IR"/>
        </w:rPr>
        <w:t>تردّد الواجب، والاجتناب عنهما عند تردّد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إذا علم بفوت صلاة مردّدة بين المغرب والعشاء يجب عليه الإتيان بهما، أو إذا علم نجاسة أحد الإناءين من غير تعيين يجب الاجتناب عن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دار حكم الشي‌ء بين الوجوب و الحرمة و لم يقف على دليل شرعي يوصله إلى الواقع، فالوظيفة العمليّة هي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إذا علم بوجوب شي‌ء أو بطهارته لكن شك في بقاء الحكم أوبقاء الموضوع و تفحّص ولم يقف على بقائه أو زواله، فالمرجع هو الأخذ بالحالة السابقة أخذاً بقول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الأُصول العملية الأربعة الّتي استنبطها المجتهدون من الكتاب و السنّة، و ليس لها دور إلّا عند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النص على الحكم الشرعي، ولكلّ مجرى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الملاك في اعتبارها كونها كاشفة عن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كونها مرجعاً للوظيفة الفعلية</w:t>
      </w:r>
      <w:r>
        <w:rPr>
          <w:rFonts w:eastAsia="Amiri" w:cs="Amiri" w:ascii="Amiri" w:hAnsi="Amiri"/>
          <w:color w:val="111111"/>
          <w:sz w:val="28"/>
          <w:szCs w:val="28"/>
          <w:rtl w:val="true"/>
          <w:lang w:bidi="ar-SA"/>
        </w:rPr>
        <w:t>.</w:t>
      </w:r>
      <w:bookmarkStart w:id="21" w:name="pg1885_15513"/>
    </w:p>
    <w:p>
      <w:pPr>
        <w:pStyle w:val="Heading3"/>
        <w:numPr>
          <w:ilvl w:val="2"/>
          <w:numId w:val="1"/>
        </w:numPr>
        <w:rPr/>
      </w:pPr>
      <w:bookmarkStart w:id="22" w:name="__RefHeading___Toc3042920_3650668749"/>
      <w:bookmarkStart w:id="23" w:name="_Toc8"/>
      <w:bookmarkEnd w:id="21"/>
      <w:bookmarkEnd w:id="22"/>
      <w:r>
        <w:rPr>
          <w:rtl w:val="true"/>
        </w:rPr>
        <w:t>تقسيم الأُصول إلى محرز و غير محرز</w:t>
      </w:r>
      <w:bookmarkEnd w:id="23"/>
    </w:p>
    <w:p>
      <w:pPr>
        <w:pStyle w:val="BookText"/>
        <w:rPr/>
      </w:pPr>
      <w:r>
        <w:rPr>
          <w:rFonts w:ascii="Amiri" w:hAnsi="Amiri" w:eastAsia="Amiri" w:cs="Amiri"/>
          <w:color w:val="111111"/>
          <w:sz w:val="28"/>
          <w:sz w:val="28"/>
          <w:szCs w:val="28"/>
          <w:rtl w:val="true"/>
          <w:lang w:bidi="ar-SA"/>
        </w:rPr>
        <w:t>إنّ الأُصول العملية تنقسم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محرزة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أُصول غير محرزة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من الإحراز، هو إحراز الواقع و الكشف عنه؛ و ذلك لأنّ بعض الأُصول فيه جهة كشف عن الواقع كشفاً ضعيفاً، لكن العقلاء لا يعتبرون في معاملاتهم و سياساتهم كونه حجّة لهذه الجهة، بل الملاك لاعتباره هو تسهيل الأمر في الحياة ووضع حلول عملية في ظرف الجهل و الشكّ، كما أنّ الشارع</w:t>
      </w:r>
    </w:p>
    <w:p>
      <w:pPr>
        <w:pStyle w:val="BookText"/>
        <w:rPr/>
      </w:pPr>
      <w:r>
        <w:rPr>
          <w:rFonts w:ascii="Amiri" w:hAnsi="Amiri" w:eastAsia="Amiri" w:cs="Amiri"/>
          <w:color w:val="111111"/>
          <w:sz w:val="28"/>
          <w:sz w:val="28"/>
          <w:szCs w:val="28"/>
          <w:rtl w:val="true"/>
          <w:lang w:bidi="ar-SA"/>
        </w:rPr>
        <w:t>الّذي أمضاه و اعتبره حجّة في الفقه، لم يعتبره لهذه الغاية حتى يكون أمارة عقلانية كخبر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ومثّلوا لذلك بالأُصول العملية الثلاثة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قاعدة اليد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قاعدة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منها أصل عام يجري في عامّة أبواب الفقه، بخلاف الأخيرين فإنّهما خاصان ببعض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سوى ذلك أصل غير محرّز كأصالة البراءة والاشتغال والتخيير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أدلّة الأحكام عند الشيعة الإمامية، فهلُمَ معي ندرس ما ذكره الأُستاذ حول أدلّة الأحكام عند الشيعة لنرى فيه مواقع الخطأ و الالتباس على ضوء الدراسة الصحيحة لأُصول الفقه عند الإمامية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مسلك الشيعة مسلك الغزالي</w:t>
      </w:r>
    </w:p>
    <w:p>
      <w:pPr>
        <w:pStyle w:val="BookText"/>
        <w:rPr/>
      </w:pPr>
      <w:r>
        <w:rPr>
          <w:rFonts w:ascii="Amiri" w:hAnsi="Amiri" w:eastAsia="Amiri" w:cs="Amiri"/>
          <w:color w:val="111111"/>
          <w:sz w:val="28"/>
          <w:sz w:val="28"/>
          <w:szCs w:val="28"/>
          <w:rtl w:val="true"/>
          <w:lang w:bidi="ar-SA"/>
        </w:rPr>
        <w:t>يقول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الشيعة أدلّة الأحكام المعتمدة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الكتاب‌و السنّة والإجماع والعقل،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على الدارس أنّ هذا هو مسلك الإمام الغزالي في باب الأدلّة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نظنّ أنّ الأُستاذ يتّهم الشيعة بمتابعتهم الغزالي في حجّية الكتاب والسنّة والإجماع، فإنّ المسلمين قاطبة يقولون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مظنّة التهمة قولهم بحجّية العقل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فرق واضح بين المسلكين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الإمامي والغزّالي؛ فإنّ الأوّل يعتمد على التحسين والتقبيح العقليين، والغزّالي تبعاً لإمام مذهبه يرفض ذلك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عزَّوجلَّ إيلام الخلق وتعذيبهم من غير</w:t>
      </w:r>
    </w:p>
    <w:p>
      <w:pPr>
        <w:pStyle w:val="BookText"/>
        <w:rPr/>
      </w:pPr>
      <w:r>
        <w:rPr>
          <w:rFonts w:ascii="Amiri" w:hAnsi="Amiri" w:eastAsia="Amiri" w:cs="Amiri"/>
          <w:color w:val="111111"/>
          <w:sz w:val="28"/>
          <w:sz w:val="28"/>
          <w:szCs w:val="28"/>
          <w:rtl w:val="true"/>
          <w:lang w:bidi="ar-SA"/>
        </w:rPr>
        <w:t xml:space="preserve">جرم سابق، لأنّه متصرّف في ملكه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والعقل الّذي هو مصدر التشريع عند الإمامية أو كاشف عن التشريع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العقل المعتمد على حكمين ينبعان من صميم العقل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التحسين والتقبيح العقليان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الملازمات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وأين الغزّالي ومنهاج أُستاذه عن القول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وتضافرت الروايات عن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حجّية العقل قبل أن يولد الغزالي بقرون، 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حجّة الله على العباد النبي، و الحجّة فيما بين العباد وبين الله، العقل</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الامام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مخاطباً هشام بن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إنّ لله على الناس حجّتين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ظاهرة، و حجّة باطنة؛ فأمّا الظاهرة</w:t>
      </w:r>
    </w:p>
    <w:p>
      <w:pPr>
        <w:pStyle w:val="BookText"/>
        <w:rPr/>
      </w:pPr>
      <w:r>
        <w:rPr>
          <w:rFonts w:ascii="Amiri" w:hAnsi="Amiri" w:eastAsia="Amiri" w:cs="Amiri"/>
          <w:color w:val="111111"/>
          <w:sz w:val="28"/>
          <w:sz w:val="28"/>
          <w:szCs w:val="28"/>
          <w:rtl w:val="true"/>
          <w:lang w:bidi="ar-SA"/>
        </w:rPr>
        <w:t>فالرسل و الأنبياء و الأئمة، و أمّا الباطنة فالعقول</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إئمة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للعقل أهمية كبيرة، فهذا هو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لمّا خلق العقل استنطقه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ما خلقت خلقاً هو أحبّ إليّ منك، ولا أكملتك إلّا في مَن أُحب، أما إنّي إيّاك آمر وإيّاك أنهى، وإيّاك أُعاقب وإيّاك أُثيب</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المترقّب من الأُستاذ المحترم أن لا يقضي في الموضوع إلّا بعد الإحاطة بأُصول الشيعة الإماميّة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تقييم تعريفه للأدلّة الاجتهادية و الأُصولية العملية</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تعرّفت على ما هو الفرق بين الأدلّة الاجتهادية و الأُصولية العملية، و على تقسيم الأُصول إلى أصل</w:t>
      </w:r>
    </w:p>
    <w:p>
      <w:pPr>
        <w:pStyle w:val="BookText"/>
        <w:rPr/>
      </w:pPr>
      <w:r>
        <w:rPr>
          <w:rFonts w:ascii="Amiri" w:hAnsi="Amiri" w:eastAsia="Amiri" w:cs="Amiri"/>
          <w:color w:val="111111"/>
          <w:sz w:val="28"/>
          <w:sz w:val="28"/>
          <w:szCs w:val="28"/>
          <w:rtl w:val="true"/>
          <w:lang w:bidi="ar-SA"/>
        </w:rPr>
        <w:t>محرز و غير محرز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وللأُستاذ كلام في هذا الصدد نأتي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الأربعة المعتمدة المشارإليها آنفاً تسمّى الأدلّة المحرزة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السنّة، العقل، 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يقابلها الأُصول العملية باعتبارها تعطي حلولًا عملية للمكلّفين حين يتعذّر عليهم إحراز الحكم الشرعي من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أصاب في التفريق بين الأدلة الأربعة و الأُصول العملية إلّا أنّ وصفَ الأدلّة الأربعة بالأدلّة المحرزة، خلاف المصطلح و إنّما يوصف بها بعض الأُصول، فمنها أصل محرز و منها غير محرز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كلامنا، و إنّما توصف الأدلّة الأربعة، بالأدلّة الاجتهادية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ضمن هذه الأُصول العملية جملة 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أهمها قاعدة الاحتياط، انطلاقاً من أنّ</w:t>
      </w:r>
    </w:p>
    <w:p>
      <w:pPr>
        <w:pStyle w:val="BookText"/>
        <w:rPr/>
      </w:pPr>
      <w:r>
        <w:rPr>
          <w:rFonts w:ascii="Amiri" w:hAnsi="Amiri" w:eastAsia="Amiri" w:cs="Amiri"/>
          <w:color w:val="111111"/>
          <w:sz w:val="28"/>
          <w:sz w:val="28"/>
          <w:szCs w:val="28"/>
          <w:rtl w:val="true"/>
          <w:lang w:bidi="ar-SA"/>
        </w:rPr>
        <w:t xml:space="preserve">الأصل هو شغل الذمّة بالتكليف و أنّ لله في كلّ نازلة حكماً يتعيّن الالتزام به، وقاعدة البراءة الأصلية، انطلاقاً من أنّ الأصل براءة الذمّة من التكليف، قاعدة الاستصحاب الّتي تقضي بإبقاء ما كان على ما كان انطلاقاً من أنّ اليقين لا يرتفع بالشكّ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قاعدة الاحتياط تنطلق من العلم القطعي بنفس التكليف في الواقعة بلا تردّد فيه، و الجهل بالموضوع، كما إذا علم بفوت إحدى الصلاتين المغرب أو العشاء، فيجب عليه قضاؤهما، و ما ذكره من المنطلق يعني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هو شغل الذمّة بالتكليف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لاصلة له بقاعدة الاحتياط، بل أساسه هو العلم بالتكليف و الجهل في المتعلّق</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والعجب انّه عندما يفسّر قاعدة الاحتياط عند</w:t>
      </w:r>
    </w:p>
    <w:p>
      <w:pPr>
        <w:pStyle w:val="BookText"/>
        <w:rPr/>
      </w:pPr>
      <w:r>
        <w:rPr>
          <w:rFonts w:ascii="Amiri" w:hAnsi="Amiri" w:eastAsia="Amiri" w:cs="Amiri"/>
          <w:color w:val="111111"/>
          <w:sz w:val="28"/>
          <w:sz w:val="28"/>
          <w:szCs w:val="28"/>
          <w:rtl w:val="true"/>
          <w:lang w:bidi="ar-SA"/>
        </w:rPr>
        <w:t>الإمامية،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شغل الذمّة بالتكليف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يفسّر قاعدة البراءة عندهم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براءة الذمّة من‌التكليف، وهذا هو نفس التناقض، فلو كان الأصل هو الاشتغال فما معنى كون الأصل هو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يكشف عن أنّ الأُستاذ لم يكن ملمّاً بأُصول الفقه عند الإمامية حيث ارتكب في بيانها التناقض</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ما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لله في كلّ نازلة حكماً يتعيّن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منطلقاً للاحتياط عجيب جداً؛ لأنّ العلم بأنّ لله في كلّ نازلة حكماً لا يسبب الاحتياط؛ إذ من المحتمل أن يكون حكم الله في المورد هو الإباحة أو الكراهة، أو الاستحباب</w:t>
      </w:r>
      <w:r>
        <w:rPr>
          <w:rFonts w:eastAsia="Amiri" w:cs="Amiri" w:ascii="Amiri" w:hAnsi="Amiri"/>
          <w:color w:val="111111"/>
          <w:sz w:val="28"/>
          <w:szCs w:val="28"/>
          <w:rtl w:val="true"/>
          <w:lang w:bidi="ar-SA"/>
        </w:rPr>
        <w:t>.</w:t>
      </w:r>
      <w:bookmarkStart w:id="24" w:name="pg1885_15526"/>
    </w:p>
    <w:p>
      <w:pPr>
        <w:pStyle w:val="Heading2"/>
        <w:numPr>
          <w:ilvl w:val="1"/>
          <w:numId w:val="1"/>
        </w:numPr>
        <w:rPr/>
      </w:pPr>
      <w:bookmarkStart w:id="25" w:name="__RefHeading___Toc3042922_3650668749"/>
      <w:bookmarkStart w:id="26" w:name="_Toc9"/>
      <w:bookmarkEnd w:id="24"/>
      <w:bookmarkEnd w:id="25"/>
      <w:r>
        <w:rPr/>
        <w:t>3</w:t>
      </w:r>
      <w:r>
        <w:rPr>
          <w:rtl w:val="true"/>
        </w:rPr>
        <w:t xml:space="preserve">: </w:t>
      </w:r>
      <w:r>
        <w:rPr>
          <w:rtl w:val="true"/>
        </w:rPr>
        <w:t xml:space="preserve">هلّ سنّة وراء سنّة النبي </w:t>
      </w:r>
      <w:r>
        <w:rPr>
          <w:rtl w:val="true"/>
        </w:rPr>
        <w:t>(</w:t>
      </w:r>
      <w:r>
        <w:rPr>
          <w:rtl w:val="true"/>
        </w:rPr>
        <w:t>ص</w:t>
      </w:r>
      <w:r>
        <w:rPr>
          <w:rtl w:val="true"/>
        </w:rPr>
        <w:t>)</w:t>
      </w:r>
      <w:bookmarkEnd w:id="26"/>
    </w:p>
    <w:p>
      <w:pPr>
        <w:pStyle w:val="Heading3"/>
        <w:numPr>
          <w:ilvl w:val="2"/>
          <w:numId w:val="1"/>
        </w:numPr>
        <w:rPr/>
      </w:pPr>
      <w:bookmarkStart w:id="27" w:name="__RefHeading___Toc3042924_3650668749"/>
      <w:bookmarkStart w:id="28" w:name="_Toc10"/>
      <w:bookmarkEnd w:id="27"/>
      <w:r>
        <w:rPr>
          <w:rtl w:val="true"/>
        </w:rPr>
        <w:t>اشارة</w:t>
      </w:r>
      <w:bookmarkEnd w:id="28"/>
    </w:p>
    <w:p>
      <w:pPr>
        <w:pStyle w:val="BookText"/>
        <w:rPr/>
      </w:pPr>
      <w:r>
        <w:rPr>
          <w:rFonts w:ascii="Amiri" w:hAnsi="Amiri" w:eastAsia="Amiri" w:cs="Amiri"/>
          <w:color w:val="111111"/>
          <w:sz w:val="28"/>
          <w:sz w:val="28"/>
          <w:szCs w:val="28"/>
          <w:rtl w:val="true"/>
          <w:lang w:bidi="ar-SA"/>
        </w:rPr>
        <w:t>هلّ سنّة وراء سنّة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السنّة هي المصدر الثاني للعقيدة و الشريعة، سواء أم كانت منقولة باللفظ و المعنى، أم كانت منقولة بالمعنى فقط، إذا كان الناقل ضابطاً في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خصّ الله بها المسلمين دون سائر الأُمم حيث إنّهم اهتموا بنقل ما أُثر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وفعل وتقرير، وبذلك صارت السنّة من مصادر التشريع الإسلامي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أكّد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السنّة</w:t>
      </w:r>
    </w:p>
    <w:p>
      <w:pPr>
        <w:pStyle w:val="BookText"/>
        <w:rPr/>
      </w:pPr>
      <w:r>
        <w:rPr>
          <w:rFonts w:ascii="Amiri" w:hAnsi="Amiri" w:eastAsia="Amiri" w:cs="Amiri"/>
          <w:color w:val="111111"/>
          <w:sz w:val="28"/>
          <w:sz w:val="28"/>
          <w:szCs w:val="28"/>
          <w:rtl w:val="true"/>
          <w:lang w:bidi="ar-SA"/>
        </w:rPr>
        <w:t>الشريفةهي المصدر الرئيسي بعد الكتاب، و أنّ جميع ما يحتاج الناس إليه قد بيّنه سبحانه في الذكر الحكيم أو ورد في سنّة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 تعالى لم يدع شيئاً تحتاج إليه الأُمّة إلّا أنزله في كتابه و بيّنه لرسوله، و جعل لكلّ شي‌ء حدّاً، و جعل عليه دليلًا يدلّ عليه، و جعل على من تعدّى ذلك الحدّ حدّاً</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إلا وفيه كتاب أو سنّة</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سماعة عن الإمام أبي الحسن موسى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شي‌ء في كتاب الله و سنّة نبيه، أو تقولون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كلّ شي‌ء في كتاب الله و سنّة نبيه</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رجل من المغيرية </w:t>
      </w:r>
      <w:r>
        <w:rPr>
          <w:rStyle w:val="FootnoteAnchor"/>
          <w:rtl w:val="true"/>
        </w:rPr>
        <w:footnoteReference w:id="16"/>
      </w:r>
      <w:r>
        <w:rPr>
          <w:rFonts w:ascii="Amiri" w:hAnsi="Amiri" w:eastAsia="Amiri" w:cs="Amiri"/>
          <w:color w:val="111111"/>
          <w:sz w:val="28"/>
          <w:sz w:val="28"/>
          <w:szCs w:val="28"/>
          <w:rtl w:val="true"/>
          <w:lang w:bidi="ar-SA"/>
        </w:rPr>
        <w:t>، فسأله عن شي‌ء من السنن؟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يحتاج إليه ولد آدم إلّا و قد خرجت فيه سنّة من الله و من رسوله، و لولا ذلك، ما احتجّ علينا بما احتجّ؟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احتجّ؟ فقال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فلولم يكمل سنّته وفرائضه وما يحتاج إليه الناس، ما احتجّ به</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أبو حمزة،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 في حجّة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انّي لم أدع شيئاً يقرّبكم من الجنّة ويباعدكم من النار إلّا وقد نبّأتكم به، ألا و أنّ روح القدس</w:t>
      </w:r>
    </w:p>
    <w:p>
      <w:pPr>
        <w:pStyle w:val="BookText"/>
        <w:rPr/>
      </w:pPr>
      <w:r>
        <w:rPr>
          <w:rFonts w:ascii="Amiri" w:hAnsi="Amiri" w:eastAsia="Amiri" w:cs="Amiri"/>
          <w:color w:val="111111"/>
          <w:sz w:val="28"/>
          <w:sz w:val="28"/>
          <w:szCs w:val="28"/>
          <w:rtl w:val="true"/>
          <w:lang w:bidi="ar-SA"/>
        </w:rPr>
        <w:t>قد نفث في روعي و أخبرني ألا تموت نفس حتى تستكمل رزقها، فاتقوالله عزَّوجلَّ واجملوا في الطلب ولايحملنكم استبطاء شي‌ء من الرزق أن تطلبوه في معصية الله عزَّوجلَّ فانه لاينال ما عند الله جلّ اسمه إلًا بطاعته</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النصوص المتضافرة عن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التأكيد على السنّة و الركون إليها</w:t>
      </w:r>
      <w:r>
        <w:rPr>
          <w:rFonts w:eastAsia="Amiri" w:cs="Amiri" w:ascii="Amiri" w:hAnsi="Amiri"/>
          <w:color w:val="111111"/>
          <w:sz w:val="28"/>
          <w:szCs w:val="28"/>
          <w:rtl w:val="true"/>
          <w:lang w:bidi="ar-SA"/>
        </w:rPr>
        <w:t>.</w:t>
      </w:r>
      <w:bookmarkStart w:id="29" w:name="pg1885_15530"/>
    </w:p>
    <w:p>
      <w:pPr>
        <w:pStyle w:val="Heading3"/>
        <w:numPr>
          <w:ilvl w:val="2"/>
          <w:numId w:val="1"/>
        </w:numPr>
        <w:rPr/>
      </w:pPr>
      <w:bookmarkStart w:id="30" w:name="__RefHeading___Toc3042926_3650668749"/>
      <w:bookmarkStart w:id="31" w:name="_Toc11"/>
      <w:bookmarkEnd w:id="29"/>
      <w:bookmarkEnd w:id="30"/>
      <w:r>
        <w:rPr>
          <w:rtl w:val="true"/>
        </w:rPr>
        <w:t xml:space="preserve">أئمة أهل البيت </w:t>
      </w:r>
      <w:r>
        <w:rPr>
          <w:rtl w:val="true"/>
        </w:rPr>
        <w:t>(</w:t>
      </w:r>
      <w:r>
        <w:rPr>
          <w:rtl w:val="true"/>
        </w:rPr>
        <w:t>ع</w:t>
      </w:r>
      <w:r>
        <w:rPr>
          <w:rtl w:val="true"/>
        </w:rPr>
        <w:t xml:space="preserve">) </w:t>
      </w:r>
      <w:r>
        <w:rPr>
          <w:rtl w:val="true"/>
        </w:rPr>
        <w:t xml:space="preserve">حفَظَة سنن الرسول </w:t>
      </w:r>
      <w:r>
        <w:rPr>
          <w:rtl w:val="true"/>
        </w:rPr>
        <w:t>(</w:t>
      </w:r>
      <w:r>
        <w:rPr>
          <w:rtl w:val="true"/>
        </w:rPr>
        <w:t>ص</w:t>
      </w:r>
      <w:r>
        <w:rPr>
          <w:rtl w:val="true"/>
        </w:rPr>
        <w:t>)</w:t>
      </w:r>
      <w:bookmarkEnd w:id="31"/>
    </w:p>
    <w:p>
      <w:pPr>
        <w:pStyle w:val="BookText"/>
        <w:rPr/>
      </w:pPr>
      <w:r>
        <w:rPr>
          <w:rFonts w:ascii="Amiri" w:hAnsi="Amiri" w:eastAsia="Amiri" w:cs="Amiri"/>
          <w:color w:val="111111"/>
          <w:sz w:val="28"/>
          <w:sz w:val="28"/>
          <w:szCs w:val="28"/>
          <w:rtl w:val="true"/>
          <w:lang w:bidi="ar-SA"/>
        </w:rPr>
        <w:t>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حفَظَة سنن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بأُمور و مهام لها صلة بالجوانب 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إدارة دفّة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تبيين الأحكام الشرعية و الإجابة عن الحوادث المستجدَّة الّتي لم يجد المسلمون حكمها لا في الكتاب العزيز و لا في السنّة الشريفة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القرآن الكريم و تبيين مجملاته و تقييد مطلقاته و تخصيص عموماته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الردّ على الشبهات و التشكيكات الّتي يطلقها أعداء الإسلام من اليهود و النصارى بعد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من يقوم بهذه المسؤوليات، سوف يُورث فقده فراغاً هائلًا في نفس هذه المجالات، و من الخطأ أن نتّهم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ارتحل من دون أن يفكّر في مل‌ءِ تلك الثغرات المعنوية الحاصلة برحيله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رجعنا إلى أحاديث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نقف على أنّه قد سدّ هذه الثغرات باستخلاف مَنْ جعلهم قرناء الكتاب وأعداله، وأناط هداية الأُمّة بالتمسّك بهما، و نذكر نماذج من كلماته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جابربن عبدالله، قال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 يوم عرفة و هو على ناقته القصواء يخطب،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w:t>
      </w:r>
    </w:p>
    <w:p>
      <w:pPr>
        <w:pStyle w:val="BookText"/>
        <w:rPr/>
      </w:pPr>
      <w:r>
        <w:rPr>
          <w:rFonts w:ascii="Amiri" w:hAnsi="Amiri" w:eastAsia="Amiri" w:cs="Amiri"/>
          <w:color w:val="111111"/>
          <w:sz w:val="28"/>
          <w:sz w:val="28"/>
          <w:szCs w:val="28"/>
          <w:rtl w:val="true"/>
          <w:lang w:bidi="ar-SA"/>
        </w:rPr>
        <w:t>تركت فيكم ما إن أخذتم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مسلم في صحيحه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فينا خطيباً بماء يُدعى خماً بين مكة و المدينة، و حمدالله و أثنى عليه و وعظ و ذكر،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أيّها الناس فإنّما أنا بشر يوشك أن يأتي رسول ربّي فأُجيب، و أنا تارك فيكم 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فيه الهدى و النور فخذوا بكتاب الله و استمسكوا به فحثّ على كتاب الله و رغّب فيه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بيتي، أذكّركم الله في أهل بيتي، أذكّركم الله في أهل بيتي، أذكّركم الله في أهل بيتي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الترمذي في صحيحه عن جابر بن عبدالله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يوم عرفة على ناقته القصواء يخطب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إنّي قد تركت فيكم ما إن أخذتم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 عترتي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الإمام أحمد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أحدهما أكبر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إلى السماء و الأرض، و عترتي أهل بيتي، و انّهما لن يفترقا حتّى يردا عليّ الحوض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الحديث، المعروف بحديث الثقلين رواه عن النبي أكثر من ثلاثين صحابياً، و دوّنه ما يربو على ثلاثمائة عالم في كتبهم في مختلف العلوم و الفنون، وفي</w:t>
      </w:r>
    </w:p>
    <w:p>
      <w:pPr>
        <w:pStyle w:val="BookText"/>
        <w:rPr/>
      </w:pPr>
      <w:r>
        <w:rPr>
          <w:rFonts w:ascii="Amiri" w:hAnsi="Amiri" w:eastAsia="Amiri" w:cs="Amiri"/>
          <w:color w:val="111111"/>
          <w:sz w:val="28"/>
          <w:sz w:val="28"/>
          <w:szCs w:val="28"/>
          <w:rtl w:val="true"/>
          <w:lang w:bidi="ar-SA"/>
        </w:rPr>
        <w:t>جميع الأعصار والقرون، فهو حديث صحيح متواتر بين المسلمين، وقد عيّن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ببركة هذا الحديث من يسدّ هذه الثغرات ويكون المرجع العلمي بعد رحيله، وليس هو إلّا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يتبيّن أنّ العترة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عيبة علم الرسول و خزنة سننه و حفظة كَلِمه، تعلّموها بعناية من الله تبارك و تعالى كما تعلّم صاحب موسى بفضل من الله دون أن يدرس عند أحد، و لذلك تمنّى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يعلّمه ممّا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 حاكياً عن لسان نبيه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مُوسى هَلْ أَتَّبِعُكَ عَلى أَنْ تُعَلِّمَنِ مِمَّا عُلِّمْتَ رُشْداً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ضوء ذلك فليس لأئمة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ولا تشريع، وما أُثِرَ عنهم من قول و فعل أو تقرير</w:t>
      </w:r>
    </w:p>
    <w:p>
      <w:pPr>
        <w:pStyle w:val="BookText"/>
        <w:rPr/>
      </w:pPr>
      <w:r>
        <w:rPr>
          <w:rFonts w:ascii="Amiri" w:hAnsi="Amiri" w:eastAsia="Amiri" w:cs="Amiri"/>
          <w:color w:val="111111"/>
          <w:sz w:val="28"/>
          <w:sz w:val="28"/>
          <w:szCs w:val="28"/>
          <w:rtl w:val="true"/>
          <w:lang w:bidi="ar-SA"/>
        </w:rPr>
        <w:t>فإنّما يعتبر، لكونهم حفظة سنن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فلايصدرون ولا يحكمونَ إلّا بسنّته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فعله أو تقريره سنّة إنّما يراد به أنّهم تراجم سنّة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وأقواله وأفعاله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قاله العلّامة الشيخ المظفر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المعصوم من‌آل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قوله مجرى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حجة على العباد، إنّما يريد ذلك وما أحسَن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يجري مجرى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فلوكان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أصحاب سنن في عرض سنّة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يجري قولهم مجرى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عقيدة الإمامية من أوّلهم إلى آخرهم؛ فالتشريع لله سبحانه فقط، والنبي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المبلّغ عن الله سبحانه في ما شرّعه، وأئمة أهل البيت خلفاء رسول الله وحفَظَة سنَنه وتراجمُ كَلِمه، والمبلّغون عنه السنن حتى يجسّدوا إكمال الدين في</w:t>
      </w:r>
    </w:p>
    <w:p>
      <w:pPr>
        <w:pStyle w:val="BookText"/>
        <w:rPr/>
      </w:pPr>
      <w:r>
        <w:rPr>
          <w:rFonts w:ascii="Amiri" w:hAnsi="Amiri" w:eastAsia="Amiri" w:cs="Amiri"/>
          <w:color w:val="111111"/>
          <w:sz w:val="28"/>
          <w:sz w:val="28"/>
          <w:szCs w:val="28"/>
          <w:rtl w:val="true"/>
          <w:lang w:bidi="ar-SA"/>
        </w:rPr>
        <w:t>مجالي العقيدة والشريعة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Style w:val="FootnoteAnchor"/>
          <w:rtl w:val="true"/>
        </w:rPr>
        <w:footnoteReference w:id="25"/>
      </w:r>
      <w:r>
        <w:rPr>
          <w:rFonts w:ascii="Amiri" w:hAnsi="Amiri" w:eastAsia="Amiri" w:cs="Amiri"/>
          <w:color w:val="111111"/>
          <w:sz w:val="28"/>
          <w:sz w:val="28"/>
          <w:szCs w:val="28"/>
          <w:rtl w:val="true"/>
          <w:lang w:bidi="ar-SA"/>
        </w:rPr>
        <w:t>فإنّما هو لأجل نصب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للخلافة لكي يقوم بنفس المسؤوليات الّتي كان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بها طيلة أيّام رسالته، و يملأ الثغرات الّتي أعقبتها رحلته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يوحى إليه، وهذا وصي حافظ لسننه</w:t>
      </w:r>
      <w:r>
        <w:rPr>
          <w:rFonts w:eastAsia="Amiri" w:cs="Amiri" w:ascii="Amiri" w:hAnsi="Amiri"/>
          <w:color w:val="111111"/>
          <w:sz w:val="28"/>
          <w:szCs w:val="28"/>
          <w:rtl w:val="true"/>
          <w:lang w:bidi="ar-SA"/>
        </w:rPr>
        <w:t>.</w:t>
      </w:r>
      <w:bookmarkStart w:id="32" w:name="pg1885_15537"/>
    </w:p>
    <w:p>
      <w:pPr>
        <w:pStyle w:val="Heading3"/>
        <w:numPr>
          <w:ilvl w:val="2"/>
          <w:numId w:val="1"/>
        </w:numPr>
        <w:rPr/>
      </w:pPr>
      <w:bookmarkStart w:id="33" w:name="__RefHeading___Toc3042928_3650668749"/>
      <w:bookmarkStart w:id="34" w:name="_Toc12"/>
      <w:bookmarkEnd w:id="32"/>
      <w:bookmarkEnd w:id="33"/>
      <w:r>
        <w:rPr>
          <w:rtl w:val="true"/>
        </w:rPr>
        <w:t xml:space="preserve">سنّة الصحابة في مقابل سنّة النبّي </w:t>
      </w:r>
      <w:r>
        <w:rPr>
          <w:rtl w:val="true"/>
        </w:rPr>
        <w:t>(</w:t>
      </w:r>
      <w:r>
        <w:rPr>
          <w:rtl w:val="true"/>
        </w:rPr>
        <w:t>ص</w:t>
      </w:r>
      <w:r>
        <w:rPr>
          <w:rtl w:val="true"/>
        </w:rPr>
        <w:t>)</w:t>
      </w:r>
      <w:bookmarkEnd w:id="34"/>
    </w:p>
    <w:p>
      <w:pPr>
        <w:pStyle w:val="BookText"/>
        <w:rPr/>
      </w:pPr>
      <w:r>
        <w:rPr>
          <w:rFonts w:ascii="Amiri" w:hAnsi="Amiri" w:eastAsia="Amiri" w:cs="Amiri"/>
          <w:color w:val="111111"/>
          <w:sz w:val="28"/>
          <w:sz w:val="28"/>
          <w:szCs w:val="28"/>
          <w:rtl w:val="true"/>
          <w:lang w:bidi="ar-SA"/>
        </w:rPr>
        <w:t>سنّة الصحابة في مقابل سنّة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تبيّن لنا أنّ الأُستاذ قد عجب من وجود سنّة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فسّرنا معنى ذلك عند الإماميّة، وقلنا بأنّه ليس للأئمة سنّة سوى ما سنّه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أُلفت نظره إلى أنّ أهل السنّة قد قالوا بوجود سنن‌أُخرى‌بعد سنّة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وإليك مايشير إلى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المعروف عندهم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بسنّتي وسنّة الخلفاء المهديين الراشدين، تمسّكوابها وعضّواعليها بالنواجذ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قيم الجوزية في تفسير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قرن سنّة خلفائه بسنّته، وأمر باتّباعها كما أمر باتباع سنّته، وهذا يتناوله ما أفتوا به وسنّوه للأُمّة وإن لم يتقدّم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شي‌ء، و إلّا كان ذلك سنّة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تدلّ على أن للصحابة سنة كسنة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فعندهم سنةُ أبي‌بكر و سنةُ عمر وسنة عثمان وسنةُ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السيوطي قال حاجب بن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عمر بن عبدالعزيز يخطب وهو خليفة فقال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ما سنّ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وصاحباه فهو دين نأخذ به وننتهي إليه، وما سنّ سواهما فإنّا نرجئه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أبعد هذه النصوص يصحّ للأُستاذ أن يستغرب من وجود سنّة لأئمة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الهدى ومصابيح الدجى وقرناء الكتاب، وثاني الثقلين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ولولا مخافة التطويل لبسطنا القول في ذلك</w:t>
      </w:r>
      <w:r>
        <w:rPr>
          <w:rFonts w:eastAsia="Amiri" w:cs="Amiri" w:ascii="Amiri" w:hAnsi="Amiri"/>
          <w:color w:val="111111"/>
          <w:sz w:val="28"/>
          <w:szCs w:val="28"/>
          <w:rtl w:val="true"/>
          <w:lang w:bidi="ar-SA"/>
        </w:rPr>
        <w:t>.</w:t>
      </w:r>
      <w:bookmarkStart w:id="35" w:name="pg1885_15539"/>
    </w:p>
    <w:p>
      <w:pPr>
        <w:pStyle w:val="Heading3"/>
        <w:numPr>
          <w:ilvl w:val="2"/>
          <w:numId w:val="1"/>
        </w:numPr>
        <w:rPr/>
      </w:pPr>
      <w:bookmarkStart w:id="36" w:name="__RefHeading___Toc3042930_3650668749"/>
      <w:bookmarkStart w:id="37" w:name="_Toc13"/>
      <w:bookmarkEnd w:id="35"/>
      <w:bookmarkEnd w:id="36"/>
      <w:r>
        <w:rPr>
          <w:rtl w:val="true"/>
        </w:rPr>
        <w:t>طُرق علم الأئمة بالسنّة</w:t>
      </w:r>
      <w:bookmarkEnd w:id="37"/>
    </w:p>
    <w:p>
      <w:pPr>
        <w:pStyle w:val="BookText"/>
        <w:rPr/>
      </w:pPr>
      <w:r>
        <w:rPr>
          <w:rFonts w:ascii="Amiri" w:hAnsi="Amiri" w:eastAsia="Amiri" w:cs="Amiri"/>
          <w:color w:val="111111"/>
          <w:sz w:val="28"/>
          <w:sz w:val="28"/>
          <w:szCs w:val="28"/>
          <w:rtl w:val="true"/>
          <w:lang w:bidi="ar-SA"/>
        </w:rPr>
        <w:t>قد أشرنا إلى أنّه ليس لأئمة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خاصّة، بل هم حفظة سنن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ولسائل أن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طرقهم إلى سنن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وأكثرهم لم يعاصروه ولم يسمعوها عنه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عاصره الإمام علي و الإمامان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فقط؟</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الإجابة عن هذا السؤال واضحة لمن عرف أحاديث الشيعة وأنس بجوامعهم، فإنّ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طرقاً إلى سنن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نأتي ببعضها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السماع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يروون أحاديث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سماعاً منه بلا واسطة أو بواسطة آبائهم، ولذلك ترى في كثير من الروايات أنّ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زين العابدين عن أبيه الحسين بن علي عن علي أمير المؤمنين عن الرسول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النمط من الروايات كثير في أحاديثهم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رووا أحاديث كثيرة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الطريق دون أن يعتمدوا على الأحبار و الرهبان أو على مجاهيل أو شخصيات متسترة بالنفاق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خاص بإملاء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حفظته العترة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صدرت عنه في</w:t>
      </w:r>
    </w:p>
    <w:p>
      <w:pPr>
        <w:pStyle w:val="BookText"/>
        <w:rPr/>
      </w:pPr>
      <w:r>
        <w:rPr>
          <w:rFonts w:ascii="Amiri" w:hAnsi="Amiri" w:eastAsia="Amiri" w:cs="Amiri"/>
          <w:color w:val="111111"/>
          <w:sz w:val="28"/>
          <w:sz w:val="28"/>
          <w:szCs w:val="28"/>
          <w:rtl w:val="true"/>
          <w:lang w:bidi="ar-SA"/>
        </w:rPr>
        <w:t>مواضع كثيرة، و نُقِلتْ نصوصه في موضوعات مختلفة، وقد بثّ الحرّالعاملي في موسوعته الحديثية، بعضَ أحاديث ذلك الكتاب حسب‌الكتب الفقهية من الطهارة إلى الديات، ومن أراد فليرجع إلى تلك الموسوعة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شذرات من أقوال الأئمة بشأن هذا الكتاب الّذي كانوا يتوارثونه وينقلون عنه ويستدلّون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الحسن المجتبي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العلم فينا ونحن أهله، وهو عندنا مجموع كلّه بحذافيره، ومنه لا يحدث شي‌ءإلى‌يوم القيامة حتّى أرش الخدش إلّا وهو عندنا مكتوب، بإملاء رسول الله و خطّ علي بيده</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حمُران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يشير إلى بيت 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حمران إنّ في هذا البيت صحيفة طولها سبعون ذراعاً بخطّ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إملاء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وُلّينا الناس لحكمنا بما أنزل</w:t>
      </w:r>
    </w:p>
    <w:p>
      <w:pPr>
        <w:pStyle w:val="BookText"/>
        <w:rPr/>
      </w:pPr>
      <w:r>
        <w:rPr>
          <w:rFonts w:ascii="Amiri" w:hAnsi="Amiri" w:eastAsia="Amiri" w:cs="Amiri"/>
          <w:color w:val="111111"/>
          <w:sz w:val="28"/>
          <w:sz w:val="28"/>
          <w:szCs w:val="28"/>
          <w:rtl w:val="true"/>
          <w:lang w:bidi="ar-SA"/>
        </w:rPr>
        <w:t>الله، لم نعدُ ما في هذه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إنّا لو كنّا نحدِّثكم برأينا وهوانا لكنّا من الهالكين، ولكنّا نحدّثكم بأحاديث نكنزها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سئل عن الجامعة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كلّ ما يحتاج الناس إليه، وليس من قضية إلّا فيها حتّى أرش الخدش</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كتاب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كتاب طوله سبعون ذراعاً إملاء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فَلقِ فيِه، وخط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فيه ولله جميع ما يحتاج إليه الناس إلى يوم القيامة، حتّى أنّ فيه أرش الخدش والجلدة ونصف الجلدة</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ويقول سليمان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عندنا لصحيفة طولها سبعون ذراعاً، إملاء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وخطّ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ما من حلال ولاحرام إلّا وهو فيها حتّى أرش الخدش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الناس بسنّة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يكون كذلك، وهو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إذا سألت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وإذا سكت ابتدأني</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محدَّثون</w:t>
      </w:r>
    </w:p>
    <w:p>
      <w:pPr>
        <w:pStyle w:val="BookText"/>
        <w:rPr/>
      </w:pPr>
      <w:r>
        <w:rPr>
          <w:rFonts w:ascii="Amiri" w:hAnsi="Amiri" w:eastAsia="Amiri" w:cs="Amiri"/>
          <w:color w:val="111111"/>
          <w:sz w:val="28"/>
          <w:sz w:val="28"/>
          <w:szCs w:val="28"/>
          <w:rtl w:val="true"/>
          <w:lang w:bidi="ar-SA"/>
        </w:rPr>
        <w:t>لأجل إيقاف القارئ على المحدَّث في الإسلام و مفهومه نذكر شيئاً في توضيحه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تكلّمه الملائكة بلا نبوّة و رؤية صورة، أو يُلهم له و يُلقى في روعه شي‌ء من العلم على وجه الإلهام و المكاشفة من المبدأ الأعلى، أو ينكت له في قلبه من حقائق تخفى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فالمحدَّث بهذا المعنى ممّا اتفقت الأُمّة الإسلامية عليه، بيد أنّ الخلاف في مصاديقه، فالسنّة ترى عمربن الخطاب من المحدَّثين، والشيعة ترى علياً و أولاده الأئمة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البخاري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قبلكم من بني إسرائيل رجالٌ يُكلَّمون من غير أن يكونوا أنبياء؛ فإن يكن من أُمّتي منهم فعمر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أفاض شرّاح صحيح البخاري الكلامَ حول المحدَّث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للمحدِّثين من أهل السنّة كلمات حول المحدَّث نأتي بملخّصها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القسطلاني حول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على</w:t>
      </w:r>
    </w:p>
    <w:p>
      <w:pPr>
        <w:pStyle w:val="BookText"/>
        <w:rPr/>
      </w:pPr>
      <w:r>
        <w:rPr>
          <w:rFonts w:ascii="Amiri" w:hAnsi="Amiri" w:eastAsia="Amiri" w:cs="Amiri"/>
          <w:color w:val="111111"/>
          <w:sz w:val="28"/>
          <w:sz w:val="28"/>
          <w:szCs w:val="28"/>
          <w:rtl w:val="true"/>
          <w:lang w:bidi="ar-SA"/>
        </w:rPr>
        <w:t xml:space="preserve">ألسنتهم الصواب من غير نبوة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مسلم في صحيحه في باب فضائل عمر عن عائشة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في الأُمم قبلكم محدَّثون، فإن يكن في أُمّتي منهم أحد فإنّ عمر بن الخطاب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النووي في شرح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تفسير العلماء للمراد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ملهمون،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يصيبون إذا ظنّوا، فكأنّهم حُدّثوا بشي‌ء فظنّوه،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تكلّمهم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رواية مكلّمون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الحافظ محب الدين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يُلْهَمُوا الصواب، ويجوز أن يحمل على ظاهره و تحدّثهم الملائكة لا</w:t>
      </w:r>
    </w:p>
    <w:p>
      <w:pPr>
        <w:pStyle w:val="BookText"/>
        <w:rPr/>
      </w:pPr>
      <w:r>
        <w:rPr>
          <w:rFonts w:ascii="Amiri" w:hAnsi="Amiri" w:eastAsia="Amiri" w:cs="Amiri"/>
          <w:color w:val="111111"/>
          <w:sz w:val="28"/>
          <w:sz w:val="28"/>
          <w:szCs w:val="28"/>
          <w:rtl w:val="true"/>
          <w:lang w:bidi="ar-SA"/>
        </w:rPr>
        <w:t xml:space="preserve">لوحي، و إنّما بما يطلق عليه اسم حديث، وتلك فضيلة عظيمة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وحصيلة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وازع من أن يخصّ سبحانه بعض عباده بعلوم خاصّة يرجع نفعها إلى العامّة من دون أن يكونوا أنبياء، أو معدودين من المرسلين، والله سبحانه يصف مصاحب موسى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فَوَجَدا عَبْداً مِنْ عِبادِنا آتَيْناهُ رَحْمَةً مِنْ عِنْدِنا وَ عَلَّمْناهُ مِنْ لَدُنَّا عِلْماً </w:t>
      </w:r>
      <w:r>
        <w:rPr>
          <w:rStyle w:val="FootnoteAnchor"/>
          <w:rtl w:val="true"/>
        </w:rPr>
        <w:footnoteReference w:id="35"/>
      </w:r>
      <w:r>
        <w:rPr>
          <w:rFonts w:ascii="Amiri" w:hAnsi="Amiri" w:eastAsia="Amiri" w:cs="Amiri"/>
          <w:color w:val="111111"/>
          <w:sz w:val="28"/>
          <w:sz w:val="28"/>
          <w:szCs w:val="28"/>
          <w:rtl w:val="true"/>
          <w:lang w:bidi="ar-SA"/>
        </w:rPr>
        <w:t>ولم يكن المصاحب نبيّاً، بل كان وليّاً من أولياءالله سبحانه وتعالى بلغ من العلم والمعرفة مكانةً، دعت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نبيّ مبعوث بشريعة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أَتَّبِعُكَ عَلى أَنْ تُعَلِّمَنِ مِمَّا عُلِّمْتَ رُشْداً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يصف سبحانه وتعالى جليس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آصف بن برخيا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 عِنْدَهُ عِلْمٌ مِنَ الْكِتابِ</w:t>
      </w:r>
    </w:p>
    <w:p>
      <w:pPr>
        <w:pStyle w:val="BookText"/>
        <w:rPr/>
      </w:pPr>
      <w:r>
        <w:rPr>
          <w:rFonts w:ascii="Amiri" w:hAnsi="Amiri" w:eastAsia="Amiri" w:cs="Amiri"/>
          <w:color w:val="111111"/>
          <w:sz w:val="28"/>
          <w:sz w:val="28"/>
          <w:szCs w:val="28"/>
          <w:rtl w:val="true"/>
          <w:lang w:bidi="ar-SA"/>
        </w:rPr>
        <w:t xml:space="preserve">أَنَا آتِيكَ بِهِ قَبْلَ أَنْ يَرْتَدَّ إِلَيْكَ طَرْفُكَ فَلَمَّا رَآهُ مُسْتَقِرًّا عِنْدَهُ قالَ هذا مِنْ فَضْلِ رَبِّي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الجليس لم يكن نبيّاً، ولكن كان عنده علم من الكتاب، وهو لم يحصّله من الطرق العاديّة التي يتدرّج عليها الصبيان والشبان في المدارس والجامعات، بل كان علماً إلهياً أُفيض عليه لصفاء قلبه وروحه، و لأجل ذلك ينسب علمه إلى فضل ربّه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فَضْلِ رَبِّي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والإمام علي والأئمة من بعده، الذين أُنيطت بهم الهداية في حديث الثقلين، ليسوا بأقلّ من مصاحب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جليس سليمان، فأيّ مانع من أن يقفوا على سنن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الإشراقات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الاستنباط من الكتاب و السنّة</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الطريق الرابع، فقد كانوا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يستدلّون على الأحكام الإلهية بالكتاب والسنّة بوعي متميز يُبهر العقول و يُورث الحيرة، ولو لا خشية الإطالة في المقام لنقلنا نماذج كثيرة من ذلك، ونكتفي هنا بانموذج واحد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إلى المتوكّل رجل نصراني فجر بامرأة مسلمة فأراد أن يقيم عليه الحدّ، فأسلم، فقال 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يمحو ما قبله،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ثلاثة حدود، فكتب المتوكّل إلى الإمام علي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يسأله، فلمّا قرأ الكتاب،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حتى يموت، فأنكر الفقهاء ذلك، فكتب إليه يسأله عن العلّة، 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رَأَوْا بَأْسَنا قالُوا آمَنَّا بِاللَّهِ وَحْدَهُ وَ كَفَرْنا بِما كُنَّا بِهِ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 يَنْفَعُهُمْ إِيمانُهُمْ لَمَّا رَأَوْا بَأْسَنا</w:t>
      </w:r>
    </w:p>
    <w:p>
      <w:pPr>
        <w:pStyle w:val="BookText"/>
        <w:rPr/>
      </w:pPr>
      <w:r>
        <w:rPr>
          <w:rFonts w:ascii="Amiri" w:hAnsi="Amiri" w:eastAsia="Amiri" w:cs="Amiri"/>
          <w:color w:val="111111"/>
          <w:sz w:val="28"/>
          <w:sz w:val="28"/>
          <w:szCs w:val="28"/>
          <w:rtl w:val="true"/>
          <w:lang w:bidi="ar-SA"/>
        </w:rPr>
        <w:t xml:space="preserve">سُنَّتَ اللَّهِ الَّتِي قَدْ خَلَتْ فِي عِبادِهِ وَ خَسِرَ هُنالِكَ الْكافِرُونَ </w:t>
      </w:r>
      <w:r>
        <w:rPr>
          <w:rStyle w:val="FootnoteAnchor"/>
          <w:rtl w:val="true"/>
        </w:rPr>
        <w:footnoteReference w:id="40"/>
      </w:r>
      <w:r>
        <w:rPr>
          <w:rFonts w:ascii="Amiri" w:hAnsi="Amiri" w:eastAsia="Amiri" w:cs="Amiri"/>
          <w:color w:val="111111"/>
          <w:sz w:val="28"/>
          <w:sz w:val="28"/>
          <w:szCs w:val="28"/>
          <w:rtl w:val="true"/>
          <w:lang w:bidi="ar-SA"/>
        </w:rPr>
        <w:t>فأمر به المتوكّل فضرب حتى مات</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إنّ الإمام الهادي ببيانه هذا شقّ طريقاً خاصّاً لاستنباط الأحكام من الذكر الحكيم، طريقاً لم يكن يحلم به فقهاء عصره، وكانوا يزعمون أنّ مصادر الأحكام الشرعية هي الآيات الواضحة في مجال الفقه الّتي لا تتجاوز ثلاثمئة آية، وبذلك أبان للقرآن وجهاً خاصّاً لدلالته، لا يلتفت إليه إلّا من نزل القرآن في بيته، وليس هذا الحديث غريباً في مورده، بل له نظائر في كلمات الإمام وغيره من آبائه وأبنائه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إلمامة عابرة في بيان طرق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روي عن الإمام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علمهم بالسنّة فانّما هو ناظر إلى ما سبق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الإمام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شي‌ء في كتاب الله وسنّة نبيه، أو تقولون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كلّ شي‌ء في كتاب الله وسنّة نبيه</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فالإمام يريد بالسنّة 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مصادرها وطرقها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خصوص السنّة الموجودة في أفواه الناس وعلى ألسنتهم، وإن كان ربّما يلتقي علمهم بالسنن بما رواه الناس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المواضيع</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الرواية العابرة توقفنا على مدى ما تلقّاه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سنن النبي، أفبعد هذا يصح أن نعتمد على ما رواه البخاري عن أبي جحيفة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عندكم كتاب؟ قال لا إلّا كتاب الله، أو فهم أُعطيه رجُل مسلم، أو ما في هذه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هذه الصحيفة؟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 فكاك الأسير، و لا يُقتل مسلم بكافر</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كيف لا يكون عند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يجمع فيه سنن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هم أبناء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ينقلون عنه ويعتمدون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ماورد في هذه الروايه من أنّ الصحيفة الّتي كان يحتفظ بها علي لم تشتمل إلّا على جمل محدودة، فلولم يكن عند علي وأبنائه المعصومين إلّا ما جاء في هذه الرواية، فمن أين هذه العلوم الموروثة عنه وعن أبنائه الصادقين الّتي بهرت العقول؟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لا يكون عند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ما في هذه الصحيفة أو ما في ألسن الناس مع أنّ المسلّم عند الفريقين أنّ علياً كانت عنده علوم وأسرار لم تكن عند غيره، وكان الصحابة يرجعون إليه في المشاكل</w:t>
      </w:r>
    </w:p>
    <w:p>
      <w:pPr>
        <w:pStyle w:val="BookText"/>
        <w:rPr/>
      </w:pPr>
      <w:r>
        <w:rPr>
          <w:rFonts w:ascii="Amiri" w:hAnsi="Amiri" w:eastAsia="Amiri" w:cs="Amiri"/>
          <w:color w:val="111111"/>
          <w:sz w:val="28"/>
          <w:sz w:val="28"/>
          <w:szCs w:val="28"/>
          <w:rtl w:val="true"/>
          <w:lang w:bidi="ar-SA"/>
        </w:rPr>
        <w:t>والمسائل العويصة، فهذا عمر بن الخطاب وسائر الخلفاء كانوا يرجعون إليه ويسألونه، كيف لا وهو باب مدينة علم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قام زميلنا الجليل المغفور له الشيخ علي الأحمدي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بجمع ما ورد في كتاب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هو مبثوث في الجوامع الحديثية ورتّبه على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وما جمعه إنّما هو غيض من فيض وقليل من كثير ممّا كان في الأصل</w:t>
      </w:r>
      <w:r>
        <w:rPr>
          <w:rFonts w:eastAsia="Amiri" w:cs="Amiri" w:ascii="Amiri" w:hAnsi="Amiri"/>
          <w:color w:val="111111"/>
          <w:sz w:val="28"/>
          <w:szCs w:val="28"/>
          <w:rtl w:val="true"/>
          <w:lang w:bidi="ar-SA"/>
        </w:rPr>
        <w:t>.</w:t>
      </w:r>
      <w:bookmarkStart w:id="38" w:name="pg1885_15553"/>
    </w:p>
    <w:p>
      <w:pPr>
        <w:pStyle w:val="Heading2"/>
        <w:numPr>
          <w:ilvl w:val="1"/>
          <w:numId w:val="1"/>
        </w:numPr>
        <w:rPr/>
      </w:pPr>
      <w:bookmarkStart w:id="39" w:name="__RefHeading___Toc3042932_3650668749"/>
      <w:bookmarkStart w:id="40" w:name="_Toc14"/>
      <w:bookmarkEnd w:id="38"/>
      <w:bookmarkEnd w:id="39"/>
      <w:r>
        <w:rPr/>
        <w:t>4</w:t>
      </w:r>
      <w:r>
        <w:rPr>
          <w:rtl w:val="true"/>
        </w:rPr>
        <w:t xml:space="preserve">: </w:t>
      </w:r>
      <w:r>
        <w:rPr>
          <w:rtl w:val="true"/>
        </w:rPr>
        <w:t>تقييم الإجماع عند الإماميّة</w:t>
      </w:r>
      <w:bookmarkEnd w:id="40"/>
    </w:p>
    <w:p>
      <w:pPr>
        <w:pStyle w:val="Heading3"/>
        <w:numPr>
          <w:ilvl w:val="2"/>
          <w:numId w:val="1"/>
        </w:numPr>
        <w:rPr/>
      </w:pPr>
      <w:bookmarkStart w:id="41" w:name="__RefHeading___Toc3042934_3650668749"/>
      <w:bookmarkStart w:id="42" w:name="_Toc15"/>
      <w:bookmarkEnd w:id="41"/>
      <w:r>
        <w:rPr>
          <w:rtl w:val="true"/>
        </w:rPr>
        <w:t>اشارة</w:t>
      </w:r>
      <w:bookmarkEnd w:id="42"/>
    </w:p>
    <w:p>
      <w:pPr>
        <w:pStyle w:val="BookText"/>
        <w:rPr/>
      </w:pPr>
      <w:r>
        <w:rPr>
          <w:rFonts w:ascii="Amiri" w:hAnsi="Amiri" w:eastAsia="Amiri" w:cs="Amiri"/>
          <w:color w:val="111111"/>
          <w:sz w:val="28"/>
          <w:sz w:val="28"/>
          <w:szCs w:val="28"/>
          <w:rtl w:val="true"/>
          <w:lang w:bidi="ar-SA"/>
        </w:rPr>
        <w:t>عدّ الأُصوليون الإجماع من أحد الأدلّة الشرعية، غير أنّهم اختلفوا في ملاك الحجيّة فالمحقّقون من السنّة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يجب أن يكون مستنداً إلى دليل شرعي قطعي أو ظنّي كالخبر الواحد والمصالح المرسلة والقياس والاستحسان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فلوكان المستند دليلًا قطعياً من قرآن أو سنّة متواترة، يَكون الإجماع مؤيداً معاضداًله </w:t>
      </w:r>
      <w:r>
        <w:rPr>
          <w:rStyle w:val="FootnoteAnchor"/>
          <w:rtl w:val="true"/>
        </w:rPr>
        <w:footnoteReference w:id="45"/>
      </w:r>
      <w:r>
        <w:rPr>
          <w:rFonts w:ascii="Amiri" w:hAnsi="Amiri" w:eastAsia="Amiri" w:cs="Amiri"/>
          <w:color w:val="111111"/>
          <w:sz w:val="28"/>
          <w:sz w:val="28"/>
          <w:szCs w:val="28"/>
          <w:rtl w:val="true"/>
          <w:lang w:bidi="ar-SA"/>
        </w:rPr>
        <w:t>ولو كان</w:t>
      </w:r>
    </w:p>
    <w:p>
      <w:pPr>
        <w:pStyle w:val="BookText"/>
        <w:rPr/>
      </w:pPr>
      <w:r>
        <w:rPr>
          <w:rFonts w:ascii="Amiri" w:hAnsi="Amiri" w:eastAsia="Amiri" w:cs="Amiri"/>
          <w:color w:val="111111"/>
          <w:sz w:val="28"/>
          <w:sz w:val="28"/>
          <w:szCs w:val="28"/>
          <w:rtl w:val="true"/>
          <w:lang w:bidi="ar-SA"/>
        </w:rPr>
        <w:t>المستند دليلًا ظنياً، فير تقي الحكم بالإجماع من مرتبة الظن إلى مرتبة القطع واليقين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إذا كان المستند هو المصلحة أو دفع المفسدة، فالاتفاق على 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 إلى ذلك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يجعله حكماً شرعياً قطعياً إلهياً و إن لم ينزل به الوحي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ضوء ذلك فالإجماع عند أهل السنّة من مصادر التشريع في عرض الكتاب والسنّة، لكن بشرط أن يكون الحكم مستنداً إلى دليل ظني، فعندئذٍ يجعله إجماع العلماء حكماً قطعياً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عند الشيعة فالإجماع بما هو هوليس من مصادر التشريع، وإنّما يكشف عن وجود الدليل، فالاتّفاق مهما كان واسعاً، لا يؤثر في جعل الحكم، شرعياً إلهيّاً وانّما المؤثر في ذلك المجال، نزول الوحي به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للإجماع دور في كشف الدليل الأعم من القطعي والظنيّ، وقد اختلفوا في كيفية كشفه إلى أقوال يجمعها أمران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استكشاف الدليل بالملازمة العادية بين فتوي المجمعين وقول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استكشاف الإجماع موافقةَ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من جملة المجمعين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فمشروط بشرطين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الإمام ظاهراً لا غائباً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تتوفّر الحرية في الفتوى، ويكون للإمام حرية تامة في إظهار رأيه، ومثل ذلك لم يتّفق في عصر الحضور إلّا في فترة قليلة، وهي الّتي عاصرها الإمامان الصادقان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والصادق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وبسبب عدم توفرّ هذين الشرطين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الامام ظاهراً لاغائباً، و توفر الحرية في الافتاء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w:t>
      </w:r>
    </w:p>
    <w:p>
      <w:pPr>
        <w:pStyle w:val="BookText"/>
        <w:rPr/>
      </w:pPr>
      <w:r>
        <w:rPr>
          <w:rFonts w:ascii="Amiri" w:hAnsi="Amiri" w:eastAsia="Amiri" w:cs="Amiri"/>
          <w:color w:val="111111"/>
          <w:sz w:val="28"/>
          <w:sz w:val="28"/>
          <w:szCs w:val="28"/>
          <w:rtl w:val="true"/>
          <w:lang w:bidi="ar-SA"/>
        </w:rPr>
        <w:t>الأئمة لم يحتج بالإجماع إلا القليل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الاعتماد على الإجماع من وجه آخر، وهو أن اجماع المجمعين في القرون المتمادية يكشف عن وجود الدليل على الحكم عند المجمعين، و استكشاف ذلك يتمّ بأحد الطريقين التاليين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تراكم الظنون مورث لليقين بالحكم الشرعي، لأنّ فتوى كلّ فقيه و إن كانت تفيد الظن، إلّا أنّها تعزّز بفتوى فقيه ثانٍ فثالث، إلى أن يحصل للإنسان من إفتاء جماعة على حكم القطع بالصحة؛ إذ من البعيد أن يتطرّق البطلان إلى فتوى هؤلاء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كاشف عن دليل معتبر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حجيّة الإجماع ليس لأجل إفادته القطع بالحكم، بل لأجل كشفه عن وجود دليل معتبر وصل إليهم ولم يصل إلينا، وهذا هو الّذي اعتمد عليه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وعدّة من المتأخّرين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سنكشف قول المعصوم عن دليل معتبر باتّفاق علمائنا الذين كان ديدنهم الانقطاع إلى الأئمة في الأحكام وطريقتهم التحرّز عن القول بالرأي والاستحسان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bookmarkStart w:id="43" w:name="pg1885_15558"/>
    </w:p>
    <w:p>
      <w:pPr>
        <w:pStyle w:val="Heading3"/>
        <w:numPr>
          <w:ilvl w:val="2"/>
          <w:numId w:val="1"/>
        </w:numPr>
        <w:rPr/>
      </w:pPr>
      <w:bookmarkStart w:id="44" w:name="__RefHeading___Toc3042936_3650668749"/>
      <w:bookmarkStart w:id="45" w:name="_Toc16"/>
      <w:bookmarkEnd w:id="43"/>
      <w:bookmarkEnd w:id="44"/>
      <w:r>
        <w:rPr>
          <w:rtl w:val="true"/>
        </w:rPr>
        <w:t>قراءة صاحب المقال للاجماع عند الشيعة</w:t>
      </w:r>
      <w:bookmarkEnd w:id="45"/>
    </w:p>
    <w:p>
      <w:pPr>
        <w:pStyle w:val="BookText"/>
        <w:rPr/>
      </w:pPr>
      <w:r>
        <w:rPr>
          <w:rFonts w:ascii="Amiri" w:hAnsi="Amiri" w:eastAsia="Amiri" w:cs="Amiri"/>
          <w:color w:val="111111"/>
          <w:sz w:val="28"/>
          <w:sz w:val="28"/>
          <w:szCs w:val="28"/>
          <w:rtl w:val="true"/>
          <w:lang w:bidi="ar-SA"/>
        </w:rPr>
        <w:t xml:space="preserve">إنّ الدكتور أحمد الريسوني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أنّ الإجماع عند الشيعة ليس حجة بما هو هو، وإنّما ملاك حجّيته كشفه عن الدليل، حاول أن يطبق نظرية أهل السنّة على نظرية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القول في حقيقة الإجماع وحقيقة حجّيته ليس بغريب على أُصوليّ السنّة، فهو بعض ما يتضمّنه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الإجماع لابدّ فيه من 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ذكر كلام إمام الحرمين و الشريف التلمساني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استنتجهُ من التوفيق بين النظريتين عمل مشكور عليه، إلّا أنّنا نشير إلى أنّهما لَيْستا متّحدتين بالشكل الّذي ذكره الأُستاذ، و إنّما هما متّحدتان في شي‌ء و مختلفتان في شي‌ء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تشتركان في أنّ إجماع المجمعين لابدّ أن يكون على أساس دليل، ولا يصح إفتاؤهم بلا دليل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تختلفان في أنّ للإجماع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 في إضفاء المشروعية على الحكم المجمع عليه، بحيث يجعله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الأحكام الواردة في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أصح المستند الظني في الواقع أم لم يصح، وكأنّ الاتفاق عملية كيمياوية تقلب النحاس ذهباً؛ إمّا مطلقاً وفي عامّة الموارد، أو فيما إذا كان مستند الإجماع مثل القياس والمصالح والمفاسد العامّة، و هذا ليس شيئاً خفياً على من له إلمام بأُصول الفقه لدى السنّة، وقد وقفت على كلام الفقيه المعاصر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وهبة الزحيلي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الكاتب صرّح بذلك في مقاله الّذي يقول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يكون إجماعهم ناشئاً عن قياس ظنّي في أصله، ولكن الإجماع على الحكم أضفى عليه صواباً و يقيناً </w:t>
      </w:r>
      <w:r>
        <w:rPr>
          <w:rStyle w:val="FootnoteAnchor"/>
          <w:rtl w:val="true"/>
        </w:rPr>
        <w:footnoteReference w:id="49"/>
      </w:r>
      <w:r>
        <w:rPr>
          <w:rFonts w:ascii="Amiri" w:hAnsi="Amiri" w:eastAsia="Amiri" w:cs="Amiri"/>
          <w:color w:val="111111"/>
          <w:sz w:val="28"/>
          <w:sz w:val="28"/>
          <w:szCs w:val="28"/>
          <w:rtl w:val="true"/>
          <w:lang w:bidi="ar-SA"/>
        </w:rPr>
        <w:t>لا يحتمل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الإجماع منعقداً عن نظر استصلاحي سديد، ومن خلال الإجماع عليه تأكّدت موافقته القطعية للشرع و للمصالح الّتي اعتبرها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الّذي عليه السنّة، و أمّا الشيعة فهم عن بكرة أبيهم لايقيمون للإجماع دوراً سوى‌الكشف عن الدليل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القطعي أو الظنّي، وليس له دور في إضفاء الصواب على الدليل و المشروعية على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عدم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ليس الإجماع بما هو هو، من مصادر التشريع</w:t>
      </w:r>
      <w:r>
        <w:rPr>
          <w:rFonts w:eastAsia="Amiri" w:cs="Amiri" w:ascii="Amiri" w:hAnsi="Amiri"/>
          <w:color w:val="111111"/>
          <w:sz w:val="28"/>
          <w:szCs w:val="28"/>
          <w:rtl w:val="true"/>
          <w:lang w:bidi="ar-SA"/>
        </w:rPr>
        <w:t>.</w:t>
      </w:r>
      <w:bookmarkStart w:id="46" w:name="pg1885_15561"/>
    </w:p>
    <w:p>
      <w:pPr>
        <w:pStyle w:val="Heading3"/>
        <w:numPr>
          <w:ilvl w:val="2"/>
          <w:numId w:val="1"/>
        </w:numPr>
        <w:rPr/>
      </w:pPr>
      <w:bookmarkStart w:id="47" w:name="__RefHeading___Toc3042938_3650668749"/>
      <w:bookmarkStart w:id="48" w:name="_Toc17"/>
      <w:bookmarkEnd w:id="46"/>
      <w:bookmarkEnd w:id="47"/>
      <w:r>
        <w:rPr>
          <w:rtl w:val="true"/>
        </w:rPr>
        <w:t>نقد الإجماع الدخولي‌</w:t>
      </w:r>
      <w:bookmarkEnd w:id="48"/>
    </w:p>
    <w:p>
      <w:pPr>
        <w:pStyle w:val="BookText"/>
        <w:rPr/>
      </w:pPr>
      <w:r>
        <w:rPr>
          <w:rFonts w:ascii="Amiri" w:hAnsi="Amiri" w:eastAsia="Amiri" w:cs="Amiri"/>
          <w:color w:val="111111"/>
          <w:sz w:val="28"/>
          <w:sz w:val="28"/>
          <w:szCs w:val="28"/>
          <w:rtl w:val="true"/>
          <w:lang w:bidi="ar-SA"/>
        </w:rPr>
        <w:t>قد عرفت أنّ ملاك حجّية الإجماع هو كشفه عن الدليل بأحد الوجهين التاليين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كشفه عن دخول الإمام في المجمعين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كشفه عن وجود الدليل والحجة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القسم الأوّل فقد عرفت اختصاصه بعصر الحضور، لكن بشرط أن تسود الحرية عامّة أهل الفتوى في البلد الّذي يقيم فيه المعصوم، كالمدينة المنورة كما كان ذلك في بعض الأعصار أيّام نشوب الصراع بين الأمويين و العباسيين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وصل إلينا أنّ كلّ من يؤخذ عنه الفتوى في المدينة أفتوا على حكم من الأحكام ولم يشذّ منهم أحد، نستكشفُ اتّفاق الإمام الباقر والصادق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 لأنّ لسان الإجماع هو كلّ من يؤخذ عنه الفتوى، وهما من أبرز مَنْ يؤخذ منهم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ذلك نقف على مدى صحة رأي الأُستاذ حول الإجماع الدخولي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ولست أدري كيف استساغ علماء الإمامية و أذكياؤهم هذا التناقض الواضح، إذ يعتبرون الإجماع كاشفاً عن قول المعصوم، ثم يشترطون دخول هذا المعصوم؟ و إذا دخل المعصوم في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كان قوله معروفاً و ثابتاً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كشف بقي للإجماع أن يقوم به؟ ثم إذا كان قول المعصوم حجة في ذاته فأيّ حاجة وأيّ قيمة للإجماع مع ثبوت قول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تصوّر أنّ الإجماع الدخولي عبارة عن معرفتنا بدخول الإمام شخصياً ضمن المجمعين، فرتّب عليه ما رتّب،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فعند ذلك أيّ كشف بقى للإجماع أن يقوم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أنّ الإجماع الدخولي عبارة عن رؤية الإمام شخصياً بين المجمعين، أو سماع صوته منهم، أو ثبوت تواجده بين المجمعين بخبر قطعي، فعند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 دور يبقى للإجماع بعد معرفة الإمام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خفي عليه واقع هذا القسم من الإجماع، فالمراد به ما إذا ثبت بخبر قطعي، أنّ علماء المدينة وكلّ من يؤخذ عنه الفتوى، اتّفقوا على حكم من الأحكام الشرعية وكان أهل البيت يتمتّعون بالحرية لإظهار رأيهم وإبداء ما عندهم، فعند ذلك نستكشف دخول الإمام المعصوم في المجمعين وتواجده فيهم على نحو لولا هذا الإجماع والاتّفاق بالنحو الّذي عرفت لم</w:t>
      </w:r>
    </w:p>
    <w:p>
      <w:pPr>
        <w:pStyle w:val="BookText"/>
        <w:rPr/>
      </w:pPr>
      <w:r>
        <w:rPr>
          <w:rFonts w:ascii="Amiri" w:hAnsi="Amiri" w:eastAsia="Amiri" w:cs="Amiri"/>
          <w:color w:val="111111"/>
          <w:sz w:val="28"/>
          <w:sz w:val="28"/>
          <w:szCs w:val="28"/>
          <w:rtl w:val="true"/>
          <w:lang w:bidi="ar-SA"/>
        </w:rPr>
        <w:t>يكن لدينا طريق لمعرفة قول الإمام، و عندئذٍ يكون للإجماع دور الكشف عن دخولهم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تقف على ما هو المقصود للمحقّق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خلت المئة من علمائنا من قوله، لما كان حجّة ولو حصل في اثنين كان قولهما حجة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الممعن في كلامه من أوّله إلى آخره يقف على أنّ الغاية من هذا المقال، هو التركيز على أنّ حجّية الإجماع لأجل وجود الإمام في المجمعين إمّا دخولًا، أو كشفاً عن دليل وصل إلى يد المجمعين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قوله كمثال يبيّن مقصده</w:t>
      </w:r>
      <w:r>
        <w:rPr>
          <w:rFonts w:eastAsia="Amiri" w:cs="Amiri" w:ascii="Amiri" w:hAnsi="Amiri"/>
          <w:color w:val="111111"/>
          <w:sz w:val="28"/>
          <w:szCs w:val="28"/>
          <w:rtl w:val="true"/>
          <w:lang w:bidi="ar-SA"/>
        </w:rPr>
        <w:t>.</w:t>
      </w:r>
      <w:bookmarkStart w:id="49" w:name="pg1885_15565"/>
    </w:p>
    <w:p>
      <w:pPr>
        <w:pStyle w:val="Heading2"/>
        <w:numPr>
          <w:ilvl w:val="1"/>
          <w:numId w:val="1"/>
        </w:numPr>
        <w:rPr/>
      </w:pPr>
      <w:bookmarkStart w:id="50" w:name="__RefHeading___Toc3042940_3650668749"/>
      <w:bookmarkStart w:id="51" w:name="_Toc18"/>
      <w:bookmarkEnd w:id="49"/>
      <w:bookmarkEnd w:id="50"/>
      <w:r>
        <w:rPr/>
        <w:t>5</w:t>
      </w:r>
      <w:r>
        <w:rPr>
          <w:rtl w:val="true"/>
        </w:rPr>
        <w:t xml:space="preserve">: </w:t>
      </w:r>
      <w:r>
        <w:rPr>
          <w:rtl w:val="true"/>
        </w:rPr>
        <w:t>خبرالواحد والقياس ظنّيان فلماذا التفريق بينهما؟</w:t>
      </w:r>
      <w:bookmarkEnd w:id="51"/>
    </w:p>
    <w:p>
      <w:pPr>
        <w:pStyle w:val="Heading3"/>
        <w:numPr>
          <w:ilvl w:val="2"/>
          <w:numId w:val="1"/>
        </w:numPr>
        <w:rPr/>
      </w:pPr>
      <w:bookmarkStart w:id="52" w:name="__RefHeading___Toc3042942_3650668749"/>
      <w:bookmarkStart w:id="53" w:name="_Toc19"/>
      <w:bookmarkEnd w:id="52"/>
      <w:r>
        <w:rPr>
          <w:rtl w:val="true"/>
        </w:rPr>
        <w:t>اشارة</w:t>
      </w:r>
      <w:bookmarkEnd w:id="53"/>
    </w:p>
    <w:p>
      <w:pPr>
        <w:pStyle w:val="BookText"/>
        <w:rPr/>
      </w:pPr>
      <w:r>
        <w:rPr>
          <w:rFonts w:ascii="Amiri" w:hAnsi="Amiri" w:eastAsia="Amiri" w:cs="Amiri"/>
          <w:color w:val="111111"/>
          <w:sz w:val="28"/>
          <w:sz w:val="28"/>
          <w:szCs w:val="28"/>
          <w:rtl w:val="true"/>
          <w:lang w:bidi="ar-SA"/>
        </w:rPr>
        <w:t>قد عجب بالدكتور أحمد الريسوني من تفريق الإماميّة بين خبر الواحد والقياس في الحجيّة قائلًا بأنّهما ظنّيان، فلماذا فرّقت الإماميّة بينهما وقالوا بحجية الأوّل دون الثاني؟ وقد أطال الكلام في ذلك، وما ذكرناه لبّ إشكاله، ولإيضاح المقام نقدّم أُموراً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الأُمّة الإسلامية على أنّ البدعة أمر محرّم كتاباً و سنّة وإجماعاً و عقلًا، و هي عبارة عن إدخال ما لم يعلم أنّه من الدين في الدين، هذا من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جانب آخر أنّ الاعتماد على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يقم على حجّيته دليل قطعي من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الإفتاء على وفقه والالتزام بأنّ مؤدّاه حكم الله تعالى في حقّه و حقّ غيره، هو نفس البدعة ومن مصاديقها، فبضمّ الثاني إلى الأوّل يتشكّل قياس منطقي يُنتج حرمة العمل بالظنّ الّذي لم يقم الدليل القطعي على حجّيته، فتكون صورة القياس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العمل بالظنّ الّذي لم يقم على حجّيته دليل شرعي بدعة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البدعة في الدين حرام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العمل بالظنّ الّذي لم يقم على حجّيته دليل شرعي حرام بالاتّفاق</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ضوء هذا تقول الإمامية بأنّ الضابطة الكلّية في العمل بكلّ مالم يقم دليل على حجّيته، سواء أكان</w:t>
      </w:r>
    </w:p>
    <w:p>
      <w:pPr>
        <w:pStyle w:val="BookText"/>
        <w:rPr/>
      </w:pPr>
      <w:r>
        <w:rPr>
          <w:rFonts w:ascii="Amiri" w:hAnsi="Amiri" w:eastAsia="Amiri" w:cs="Amiri"/>
          <w:color w:val="111111"/>
          <w:sz w:val="28"/>
          <w:sz w:val="28"/>
          <w:szCs w:val="28"/>
          <w:rtl w:val="true"/>
          <w:lang w:bidi="ar-SA"/>
        </w:rPr>
        <w:t>مفيداً للظنّ أم لا هي المنع؛ لكونه تشريعاً قولياً، وبدعة فعلية وعملية، وتقوّلًا على الله بغير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قام الدليل القطعي على حجّية ظنّ مثلًا في مورد أو موارد يؤخذ بهذا الظنّ بحكم الشرع؛ لأنّه يكون العمل عندئذٍ بإذن الشارع وأمره، فيخرج عن الضابطة الكلّية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 بالظنّ الّذي لم يقم دليل شرعي على حجيته،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جمهور الإمامية إلى خروج عدّة من الظنون عن الضابطة خروجاً عن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يقم دليل شرعي على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خروجاً عن الحكم، وهي الظنون الّتي قام الدليل على حجّيتها، ولأجل ذلك توصف بالظنون العلمية، أي إنّها ظنون ولكن دلّ الدليل العلمي على جواز العمل بها، وهي عبارة 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الواحد إذا أخبر عن حسٍّ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حجّية الظواهر على القول بأنّها ظنّية الدلالة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الإجماع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الإجماع 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كشف نقل الإجماع عن وجود دليل معتبر عن المجمعين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رأي جمهور الإمامية، نعم قد خالف في حجية خبر الواحد قليل من المتقدّمين كالسيد المرتضى و القاضي ابن البرّاج وأمين الإسلام الطبرسي وابن إدريس الحلّي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القائلين بالحجية ألّفوا في ذلك المجال كتباً و رسائل أجابوا فيها عن شبهات النافين، شأن كلّ مسألة نظرية لا تخلو من 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إجمال الكلام حول حجّية خبر الواحد الّذي عليه بناء العقلاء، وعليه تدور رحى حياتهم و معاشهم بالشروط المذكورة في محلّها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القياس فقد رفضه علماء الإمامية عن بكرة أبيهم إذا كان مستنبطَ العلّة، لأجل أنّ القياس مفيد</w:t>
      </w:r>
    </w:p>
    <w:p>
      <w:pPr>
        <w:pStyle w:val="BookText"/>
        <w:rPr/>
      </w:pPr>
      <w:r>
        <w:rPr>
          <w:rFonts w:ascii="Amiri" w:hAnsi="Amiri" w:eastAsia="Amiri" w:cs="Amiri"/>
          <w:color w:val="111111"/>
          <w:sz w:val="28"/>
          <w:sz w:val="28"/>
          <w:szCs w:val="28"/>
          <w:rtl w:val="true"/>
          <w:lang w:bidi="ar-SA"/>
        </w:rPr>
        <w:t>للظنّ، و الضابطة الكلّية في الظنّ حرمة العمل به ما لم يقم دليل على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استثنوا من حرمة العمل بالقياس موارد أبرزها مايلي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كانت العلّة منصوصة من جانب الشرع؛ كأن يقول الخمر حرام لكونه مسكراً، فيحكم بحرمة كلّ 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في الحقيقة ليس عملًا بالقياس، و إنّما هو عمل بالسنّة، أي عموم العلّة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القياس الأولويّ، فإذا قال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تَقُلْ لَهُما أُفٍّ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يفهم منه حرمة الشتم والضرب بطريق أولى؛ لحصول القطع والعلم بالحكم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رفض الإمامية العمل بالقياس في مجال مستنبط العلّة، لأجل أنّ استخراج علّة الحكم بالسبر</w:t>
      </w:r>
    </w:p>
    <w:p>
      <w:pPr>
        <w:pStyle w:val="BookText"/>
        <w:rPr/>
      </w:pPr>
      <w:r>
        <w:rPr>
          <w:rFonts w:ascii="Amiri" w:hAnsi="Amiri" w:eastAsia="Amiri" w:cs="Amiri"/>
          <w:color w:val="111111"/>
          <w:sz w:val="28"/>
          <w:sz w:val="28"/>
          <w:szCs w:val="28"/>
          <w:rtl w:val="true"/>
          <w:lang w:bidi="ar-SA"/>
        </w:rPr>
        <w:t>والتقسيم مظنّة للاشتباه، وذلك بالبيان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نحتمل أن يكون الحكم في الأصل معلّلًا عندالله بعلّة أُخرى غير ما ظنّه القائس، مثل كونه صغيراً أو قاصر العقل،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يُزوّج البكرَ الصغيرَ إلّا وليّها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ألحق بها أصحاب القياس الثّيبَ الصغيرة، بل المجنونةَ والمعتوهةَ، وذلك بتخريج المناط وأنّه هو قصور العقل وليس للبكارة مدخلية في الحكم، فهل يمكن ادّعاء القطع بذلك، وقد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أُوتِيتُمْ مِنَ الْعِلْمِ إِلَّا قَلِيلًا </w:t>
      </w:r>
      <w:r>
        <w:rPr>
          <w:rStyle w:val="FootnoteAnchor"/>
          <w:rtl w:val="true"/>
        </w:rPr>
        <w:footnoteReference w:id="5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الإنسان لم يزل في عالم الحسّ تنكشف له أخطاؤه، فإذا كان هذا حال عالم المادة الملموسة، فكيف بملاكات الأحكام ومناطاتها المستورة عن العقل إلّا في موارد جزئية كالإسكار في الخمر، أو إيقاع العداء والبغضاء في الميسر، أو إيراث المرض في النهي</w:t>
      </w:r>
    </w:p>
    <w:p>
      <w:pPr>
        <w:pStyle w:val="BookText"/>
        <w:rPr/>
      </w:pPr>
      <w:r>
        <w:rPr>
          <w:rFonts w:ascii="Amiri" w:hAnsi="Amiri" w:eastAsia="Amiri" w:cs="Amiri"/>
          <w:color w:val="111111"/>
          <w:sz w:val="28"/>
          <w:sz w:val="28"/>
          <w:szCs w:val="28"/>
          <w:rtl w:val="true"/>
          <w:lang w:bidi="ar-SA"/>
        </w:rPr>
        <w:t>عن النجاسات؟ و أمّا ما يرجع إلى العبادات و المعاملات خصوصاً فيما يرجع إلى أبواب الحدود والديات فالعقل قاصر عن إدراك مناطاتها الحقيقية و إن كان يظنّ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كانت العلّة غير منصوص عليها، فمن أيّ طريق تُعرف ولم يوجد من الشارع نصّ يبيّن طريق تعرّفها؟ وتركُ هذا من غير دليل يعرّف العلّة ينتهي إلى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القياس ليس أصلًا معتبراً، و إمّا أنّه أصل عند الله معتبر ولكن أصل لا بيان له، وذلك يؤدي إلى التلبيس، وتعالى الله عن ذلك علوّاً كبيراً، فلم يبق إلّا نفي القياس</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افترضنا أنّ القائس أصاب في أصل التعليل، ولكن من أين يُعلم أنّها تمام العلّة، و لعلّها جزءَ العلّة وهناك جزء آخر منضمّ إليه في الواقع ولم يصل القائس إليه؟</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أن يكون القائس قد أضاف شيئاً أجنبياً إلى العلّة الحقيقية لم يكن له دخل في المقيس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أن يكون في الأصل خصوصية في ثبوت الحكم وقد غفل عنها القائس</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وجود هذه الاحتمالات الّتي لا تنفكّ عن ذهن القائس، رفضت الإماميّة العملَ بالقياس إذا كان مستنبطَ العلّة</w:t>
      </w:r>
      <w:r>
        <w:rPr>
          <w:rFonts w:eastAsia="Amiri" w:cs="Amiri" w:ascii="Amiri" w:hAnsi="Amiri"/>
          <w:color w:val="111111"/>
          <w:sz w:val="28"/>
          <w:szCs w:val="28"/>
          <w:rtl w:val="true"/>
          <w:lang w:bidi="ar-SA"/>
        </w:rPr>
        <w:t>.</w:t>
      </w:r>
      <w:bookmarkStart w:id="54" w:name="pg1885_15573"/>
    </w:p>
    <w:p>
      <w:pPr>
        <w:pStyle w:val="Heading3"/>
        <w:numPr>
          <w:ilvl w:val="2"/>
          <w:numId w:val="1"/>
        </w:numPr>
        <w:rPr/>
      </w:pPr>
      <w:bookmarkStart w:id="55" w:name="__RefHeading___Toc3042944_3650668749"/>
      <w:bookmarkStart w:id="56" w:name="_Toc20"/>
      <w:bookmarkEnd w:id="54"/>
      <w:bookmarkEnd w:id="55"/>
      <w:r>
        <w:rPr>
          <w:rtl w:val="true"/>
        </w:rPr>
        <w:t>التفريق بين الظنّيين لماذا؟</w:t>
      </w:r>
      <w:bookmarkEnd w:id="56"/>
    </w:p>
    <w:p>
      <w:pPr>
        <w:pStyle w:val="BookText"/>
        <w:rPr/>
      </w:pPr>
      <w:r>
        <w:rPr>
          <w:rFonts w:ascii="Amiri" w:hAnsi="Amiri" w:eastAsia="Amiri" w:cs="Amiri"/>
          <w:color w:val="111111"/>
          <w:sz w:val="28"/>
          <w:sz w:val="28"/>
          <w:szCs w:val="28"/>
          <w:rtl w:val="true"/>
          <w:lang w:bidi="ar-SA"/>
        </w:rPr>
        <w:t>إنّ الدكتور أحمد الريسوني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 على علماء الإمامية بموارد،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 بعدم حجّية الظنّ ومع ذلك يعملون به في الموارد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الخبر الواحد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الظواهر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المرجّحات الظنّية عند التعارض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الأُصول العمليّة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وإليك دراسة هذه الموارد من رؤية الدكتور وما يمكن القول حولها، ونذكر كلامه ضمن مقاطع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الإمامية إذ يرفضون الأخذ بالقياس والاستصلاح باعتبار أنّ إفادتهما ظنّية، فإنّهم يقبلون الظنّيات في كثير من أُصولهم وقواعدهم، في مقدّمها أخذهم بأخبار الآحاد؛ فإنّهم يُسلّمون بكون أخبار الآحاد لاتسلم من الظنّية والاحتمال، وأذن الشرع استثناءً في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الإجماع لديهم على حجّيتها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ملخّص كلامه، والقارئ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الاطّلاع على ماذكرنا من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 على الفرق الواضح عندهم بين خبر الواحد العدل، والقياس، فإنّ الأخذ بالأوّل ليس بملاك إفادته الظنّ، بل لأجل قيام الدليل الشرعي على حجّيته، ولو كان الدليل قائماً على حجّية القياس لأخذوا به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 الواحد ممّا قام الدليل</w:t>
      </w:r>
    </w:p>
    <w:p>
      <w:pPr>
        <w:pStyle w:val="BookText"/>
        <w:rPr/>
      </w:pPr>
      <w:r>
        <w:rPr>
          <w:rFonts w:ascii="Amiri" w:hAnsi="Amiri" w:eastAsia="Amiri" w:cs="Amiri"/>
          <w:color w:val="111111"/>
          <w:sz w:val="28"/>
          <w:sz w:val="28"/>
          <w:szCs w:val="28"/>
          <w:rtl w:val="true"/>
          <w:lang w:bidi="ar-SA"/>
        </w:rPr>
        <w:t>القطعي على حجّيته فصار ظنّاً علمياً، أي ظنّاً بالذات ولكن ذو رصيد علمي، بخلاف القياس؛ إذ لم يرد عندهم دليل يثبت حجّيته لولم نقل بقيام الدليل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أن يقف الأُستاذ الكريم على الفوارق بين خبر الواحد والقياس نقترح عليه مراجعة كتابنا المعنون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أُصول الفقه المقارن فيما لا نص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المواطن الّتي أخذوافيها بالظنّيات أيضاً قولهم بحجية الظواهر، أي إنّهم يعتمدون اعتماداً أساسياً على ما يفهم من ظواهر النصوص، والظواهر كما هو معلوم لا تكاد تسلّم من الظنّية والاحتمال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بالظواهر ممّا أطبق العقلاء على العمل به، ولا نجد بينهم من ينكر حجّية الظواهر، فإنّ رحى الحياة في المجتمع الإنساني تدور عليها، وليس</w:t>
      </w:r>
    </w:p>
    <w:p>
      <w:pPr>
        <w:pStyle w:val="BookText"/>
        <w:rPr/>
      </w:pPr>
      <w:r>
        <w:rPr>
          <w:rFonts w:ascii="Amiri" w:hAnsi="Amiri" w:eastAsia="Amiri" w:cs="Amiri"/>
          <w:color w:val="111111"/>
          <w:sz w:val="28"/>
          <w:sz w:val="28"/>
          <w:szCs w:val="28"/>
          <w:rtl w:val="true"/>
          <w:lang w:bidi="ar-SA"/>
        </w:rPr>
        <w:t>كلّ كلام، نصّاً في مدلوله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وأصحابهم يعلّمون الناس بظواهر كلماتهم، والمستمعون يتلقّونها حجّة شرعية دون أن يناقشوا في حجّية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الظواهر من القياس الظنّي الّذي تضاربت فيه الآراء وأنكر حجيتَه أئمةُ أهل البيت ولفيف من الصحابة والتابعين، أضف إلى ذلك قيام الدليل عى حجّية الظواهر دون القياس، فهذا هو الفارق بينهما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الترجيحات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تعارض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أو معظمها ترجيحات ظنّية تعليلية وتقريبية، فقد جرى ديدنهم على ترجيح ماظهر أنّه الأقرب إلى واقع الحكم الشرعي الحقيقي، وهذا كما لا يخفى ليس إحرازاً للحكم الشرعي بالضرورة، وإنّما هو ظنّي وتقريب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المورد الثالث الّذي أثار تعجّب الأُستاذ من التفريق بينه و بين القياس والاستحسان وأمثالهما حيث أخذوا بالمرجّحات الظنّية ورفضوا القياس والاستحسان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الإجابة عنه واضحة، وهي قيام الحجّة على لزوم الترجيح بالمرجّحات، وقد تضافرت الأخبار الّتي ثبتت حجّيتها على لزوم الترجيح بالمرجّحات المنصوصة كموافقة الكتاب وموافقة السنّة وموافقة المشهور وغيرها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هناك مَن يستنبط من هذا الروايات لزوم الترجيح بكلّ مرجّح و إن لم يكن منصوصاً كالشيخ الأنصاري في فرائده، ومنهم من لا يقبل ذلك، وعلى كلّ تقدير فالفارق بين العمل بالمرجّحات والقياس والاستحسان وجود الدليل على لزوم الترجيح بهاوعدمه في القياس والاستحسان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صاحب المقال أحاط بأُصول الفقه عند الإمامية لما أثار عجبَه هذا التفريقُ، بل وجّه اهتمامه إلى التركيز على موضوع آخر وهو طرح القياس على صعيد البحث على ضوء دراسة أدلّة المثبتين والنافين دون أن يربط العمل بالقياس بالعمل بخبر الواحد والظواهر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أخذه الأُستاذ على الإمامية هو العمل بالأُصول العملية،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والاشتغال والتخيير والاستصحاب،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يسمّونه أُصولًا عملية هي قواعد توصل إلى الظنّ و الرجحان، ومع ذلك أجازوا بل أوصوا بالعمل بها عند عدم الدليل الصريح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أنّ القارئ في غني عن تكرار الجواب؛ فإنّ الإشكال في الجميع واحد والجواب مثله، وهو أنّ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الفارق وجود الدليل على حجّية الأُصول، سواء أكانت مفيدة للظنّ أم لا، ومن درس الأُصول العملية في الكتب الأُصولية للشيعة الإمامية يقف على أنّهم يستدلّون عليها بطرق مختلفة من الكتاب والسنّة و الإجماع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يقاس ذلك بالقياس الّذي تواتر النهي عن العمل به عن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هوقول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لأبان بن تغلب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السنّة إذا قيست محق الدين</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bookmarkStart w:id="57" w:name="pg1885_15580"/>
    </w:p>
    <w:p>
      <w:pPr>
        <w:pStyle w:val="Heading3"/>
        <w:numPr>
          <w:ilvl w:val="2"/>
          <w:numId w:val="1"/>
        </w:numPr>
        <w:rPr/>
      </w:pPr>
      <w:bookmarkStart w:id="58" w:name="__RefHeading___Toc3042946_3650668749"/>
      <w:bookmarkStart w:id="59" w:name="_Toc21"/>
      <w:bookmarkEnd w:id="57"/>
      <w:bookmarkEnd w:id="58"/>
      <w:r>
        <w:rPr>
          <w:rtl w:val="true"/>
        </w:rPr>
        <w:t>استدلاله على حجية القياس عن طريق العقل‌</w:t>
      </w:r>
      <w:bookmarkEnd w:id="59"/>
    </w:p>
    <w:p>
      <w:pPr>
        <w:pStyle w:val="BookText"/>
        <w:rPr/>
      </w:pPr>
      <w:r>
        <w:rPr>
          <w:rFonts w:ascii="Amiri" w:hAnsi="Amiri" w:eastAsia="Amiri" w:cs="Amiri"/>
          <w:color w:val="111111"/>
          <w:sz w:val="28"/>
          <w:sz w:val="28"/>
          <w:szCs w:val="28"/>
          <w:rtl w:val="true"/>
          <w:lang w:bidi="ar-SA"/>
        </w:rPr>
        <w:t>إنّ الأُستاذ الفاضل يستدلّ على حجّية القياس عن طريق العقل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الإمامية وبخاصّة متأخّريهم يجعلون من الأدلّة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العقلي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بينما هم يرفضون القياس وهو من بديهيات العقول وأوّلياتها، يقوم على قاعدة لا ينكرها عقل ولاعاقل،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ثبت لشي‌ء ثبت لمثله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هو العدل الّذي قامت به الأرض والسماوات وجاءت به الكتب والرسالات</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العقل أحد الحجج الشرعية، وذلك في مجالات خاصة، ممّا للعقل إليها سبيل، و نمثّل</w:t>
      </w:r>
    </w:p>
    <w:p>
      <w:pPr>
        <w:pStyle w:val="BookText"/>
        <w:rPr/>
      </w:pPr>
      <w:r>
        <w:rPr>
          <w:rFonts w:ascii="Amiri" w:hAnsi="Amiri" w:eastAsia="Amiri" w:cs="Amiri"/>
          <w:color w:val="111111"/>
          <w:sz w:val="28"/>
          <w:sz w:val="28"/>
          <w:szCs w:val="28"/>
          <w:rtl w:val="true"/>
          <w:lang w:bidi="ar-SA"/>
        </w:rPr>
        <w:t>لذلك بنموذجين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استقلّ العقل بحسن فعل بما هو فعل صادر عن الفاعل المختار أو قبحه، و تجرّد في قضائه عن كلّ شي‌ء إلّا النظر إلى نفس الفعل يكون حكم العقل كاشفاً عن حكم الشرع، وهذا نظير استقلال العقل بقبح العقاب بلابيان، وحسنه معه، فيستكشف منه أنّ الشرع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 أمر المولى بشي‌ء و استقلّ العقل بوجود الملازمة بين وجوب الشي‌ء و وجوب مقدّمته أو وجوب الشي‌ء و حرمة ضدّه، أو امتناع اجتماع الأمر و النهي على شي‌ء واحد بعنوانين، أو جوازه إلى غير ذلك من أنواع الملازمات، فيكشف حكم العقل عن حكم الشرع</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هذين الموردين وما يشبههما يكون العقل قاطعاً بالحسن والقبح أو الملازمة بين الوجوبين أو</w:t>
      </w:r>
    </w:p>
    <w:p>
      <w:pPr>
        <w:pStyle w:val="BookText"/>
        <w:rPr/>
      </w:pPr>
      <w:r>
        <w:rPr>
          <w:rFonts w:ascii="Amiri" w:hAnsi="Amiri" w:eastAsia="Amiri" w:cs="Amiri"/>
          <w:color w:val="111111"/>
          <w:sz w:val="28"/>
          <w:sz w:val="28"/>
          <w:szCs w:val="28"/>
          <w:rtl w:val="true"/>
          <w:lang w:bidi="ar-SA"/>
        </w:rPr>
        <w:t>الحرمتين، وعند ذلك نستكشف من خلال كونه سبحانه حكيماً لا يبعث الحكم الشرعي للحسن والقبح، أو للمقدّمة وضدّ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القياس فهو ليس دليلًا عقلياً قطعيّاً، وإنّما هو دليل ظنّي بشهادة أنّه لو كان دليلًا قطعياً لما اختلف فيه اثنان كما لم يختلفوا في حجية خبر المتواتر أو المحفوف بالقرائن المفيدةللعلم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إطلاق الدليل العقلي على القياس على وجه الإطلاق غير صحيح، بل يجب أن يقال الدليل العقلي الظنّي؛ لأنّ الدليل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ينصرف إلى الدليل العقلي المفيد للعلم</w:t>
      </w:r>
      <w:r>
        <w:rPr>
          <w:rFonts w:eastAsia="Amiri" w:cs="Amiri" w:ascii="Amiri" w:hAnsi="Amiri"/>
          <w:color w:val="111111"/>
          <w:sz w:val="28"/>
          <w:szCs w:val="28"/>
          <w:rtl w:val="true"/>
          <w:lang w:bidi="ar-SA"/>
        </w:rPr>
        <w:t>.</w:t>
      </w:r>
      <w:bookmarkStart w:id="60" w:name="pg1885_15583"/>
    </w:p>
    <w:p>
      <w:pPr>
        <w:pStyle w:val="Heading3"/>
        <w:numPr>
          <w:ilvl w:val="2"/>
          <w:numId w:val="1"/>
        </w:numPr>
        <w:rPr/>
      </w:pPr>
      <w:bookmarkStart w:id="61" w:name="__RefHeading___Toc3042948_3650668749"/>
      <w:bookmarkStart w:id="62" w:name="_Toc22"/>
      <w:bookmarkEnd w:id="60"/>
      <w:bookmarkEnd w:id="61"/>
      <w:r>
        <w:rPr>
          <w:rtl w:val="true"/>
        </w:rPr>
        <w:t>الخلط بين المماثل والمشابه‌</w:t>
      </w:r>
      <w:bookmarkEnd w:id="6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أُلفت نظر الأُستاذ إليه هو أنّ القياس ليس من باب المماثلة، بل من باب المشابهة، وكم هو الفرق بين التماثل والتشابه، فما ذكره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ثبت لشي‌ء ثبت لمثله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المتماثلين، والفرق بينهما واضح؛ وذلك لأنّ التماثل عبارة عن دخول شيئين تحت نوع واحد وطبيعة واحدة، فالتجربة في عدّة من مصاديق طبيعة واحدة تفيد العلم بأنّ النتيجة لطبيعة الشي‌ء لا لأفراد خاصة، ولذلك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التجربة تفيد العلم، وذلك بالبيان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أجرينا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تجربة على جزئيات من طبيعة واحدة كالحديد، تحت ظروف معيّنة من الضغط الجوي والجاذبية والارتفاع عن سطح البحر وغيرها مع اتّحادها جميعاً في التركيب، فوَجَدْنا أنّها تتمدّد مقداراً معيّناً ولنسمّه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عند درجة خاصة من الحرارة ولنسمّها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كررنا هذه التجربة على هذه الجزئيات في مراحل مختلفة في أمكنة متعدّدة وتحت ظروف متغايرة، ووجدنا النتيجة صادقة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يتمدّد الحديد بمقدار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درجة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نستكشف أنّ التمدّد بهذا المقدار المعيّن معلول لتلك الدرجة الخاصة من الحرارة فقط، دون غيرها من العوامل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فعندئذٍ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ثبت لشي‌ء ثبت لمثله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حكم الأمثال فيما يجوز وما لايجوز واحد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التشابه فهو عبارة عن وقوع فردين مختلفي الطبيعة تحت صفه واحدة توجب التشابه بينهما، وهذا</w:t>
      </w:r>
    </w:p>
    <w:p>
      <w:pPr>
        <w:pStyle w:val="BookText"/>
        <w:rPr/>
      </w:pPr>
      <w:r>
        <w:rPr>
          <w:rFonts w:ascii="Amiri" w:hAnsi="Amiri" w:eastAsia="Amiri" w:cs="Amiri"/>
          <w:color w:val="111111"/>
          <w:sz w:val="28"/>
          <w:sz w:val="28"/>
          <w:szCs w:val="28"/>
          <w:rtl w:val="true"/>
          <w:lang w:bidi="ar-SA"/>
        </w:rPr>
        <w:t>كالخمر والفقاع فإنّهما نوعان وبينهما تشابه في الإسكار، فلو أثبتت التجربة أنّ للخمر أثراً خاصاً، لا يمكن القول بثبوته للفقاع والنبيذ، بل لّابد من التماس الدليل على المشاركة وراء المشابهة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وأوضح من ذلك مسألة الاستقراء، فإنّ ما نشاهده من الحيوانات البرية و البحرية أنواع مختلفة، فلو رأينا هذا الحيوان البري وذلك الحيوان البحري كلّ يحرك فكّه الأسفل عند المضغ ربّما نحكم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على سائر الحيوانات من دون أن تكون بينها وحدة نوعية أو تماثل في الحقيقة، والدافع إلى ذلك التعدّي في الحكم هو التشابه والاشتراك الموجود بين أنواع الجنس الواحد رغم اختلافها في الفصول والأشكال، ولكن لا يمكن الجزم بالحكم والنتيجة على وجهها الكلّي؛ لإمكان اختلاف أفراد نوعين مختلفين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يعلم أنّ القياس عبارة عن تعميم حكم مشابه إلى مشابه لا حكم مماثل إلى مماثل، ومن المعلوم أنّ تعميم الحكم من طبيعة إلى طبيعة أمر مشكل لايصار إليه إلّا إذا كان هناك تأييد من جانب العرف لإلغاء الخصوصية، وإلّا يكون التعميم عملًا بلادليل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دلّ الكتاب العزيز على أنّ السارق والسارقة تقطع إيديهما، والحكم على عنوان السارق، فهل يلحق به النبّاش الّذي ينبش القبر لأخذ الأكفان؟ فإنّ التسوية بين العنوانين أمر مشكل، يقول السرخسي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استعمال القياس في إلحاق النبّاش بالسارق في حكم القطع؛ لأنّ القطع بالنصّ واجب على السارق</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فرقاً واضحاً بين فردين من</w:t>
      </w:r>
    </w:p>
    <w:p>
      <w:pPr>
        <w:pStyle w:val="BookText"/>
        <w:rPr/>
      </w:pPr>
      <w:r>
        <w:rPr>
          <w:rFonts w:ascii="Amiri" w:hAnsi="Amiri" w:eastAsia="Amiri" w:cs="Amiri"/>
          <w:color w:val="111111"/>
          <w:sz w:val="28"/>
          <w:sz w:val="28"/>
          <w:szCs w:val="28"/>
          <w:rtl w:val="true"/>
          <w:lang w:bidi="ar-SA"/>
        </w:rPr>
        <w:t>طبيعة واحدة، فيصحّ تعميم حكم الفرد إلى الفرد الآخر لغاية اشتراكهما في النوعية، وأنّ حكم الأمثال في ما يجوز وما لا يجوز واحد، لكن بشرط أن يثبت أنّ الحكم من لوازم الطبيعة لاالخصوصيات الفردية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المتشابهان فهما فردان من طبيعتين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كالإنسان والفرس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يجمعهما التشابه والتضاهي في شي‌ء من الأشياء، فهل يصحّ تعميم حكم نوع إلى نوع آخر؟ كلّا، إلّا إذا دلّ الدّليل على أنّ الوحدة الجنسية سبب الحكم و مناطه وملاكه التام </w:t>
      </w:r>
      <w:r>
        <w:rPr>
          <w:rStyle w:val="FootnoteAnchor"/>
          <w:rtl w:val="true"/>
        </w:rPr>
        <w:footnoteReference w:id="53"/>
      </w:r>
      <w:r>
        <w:rPr>
          <w:rFonts w:ascii="Amiri" w:hAnsi="Amiri" w:eastAsia="Amiri" w:cs="Amiri"/>
          <w:color w:val="111111"/>
          <w:sz w:val="28"/>
          <w:sz w:val="28"/>
          <w:szCs w:val="28"/>
          <w:rtl w:val="true"/>
          <w:lang w:bidi="ar-SA"/>
        </w:rPr>
        <w:t>، كما دلّ الدّليل في أنّ سبب الحرمة في الخمر هو الإسكار، وإلّافلا يصحّ إسراء حكم من طبيعة إلى طبيعة أُخرى بمجرّد التشابه بينهما، أو الاشتراك في عرض من الأعراض</w:t>
      </w:r>
      <w:r>
        <w:rPr>
          <w:rFonts w:eastAsia="Amiri" w:cs="Amiri" w:ascii="Amiri" w:hAnsi="Amiri"/>
          <w:color w:val="111111"/>
          <w:sz w:val="28"/>
          <w:szCs w:val="28"/>
          <w:rtl w:val="true"/>
          <w:lang w:bidi="ar-SA"/>
        </w:rPr>
        <w:t>.</w:t>
      </w:r>
      <w:bookmarkStart w:id="63" w:name="pg1885_15588"/>
    </w:p>
    <w:p>
      <w:pPr>
        <w:pStyle w:val="Heading2"/>
        <w:numPr>
          <w:ilvl w:val="1"/>
          <w:numId w:val="1"/>
        </w:numPr>
        <w:rPr/>
      </w:pPr>
      <w:bookmarkStart w:id="64" w:name="__RefHeading___Toc3042950_3650668749"/>
      <w:bookmarkStart w:id="65" w:name="_Toc23"/>
      <w:bookmarkEnd w:id="63"/>
      <w:bookmarkEnd w:id="64"/>
      <w:r>
        <w:rPr/>
        <w:t>6</w:t>
      </w:r>
      <w:r>
        <w:rPr>
          <w:rtl w:val="true"/>
        </w:rPr>
        <w:t xml:space="preserve">: </w:t>
      </w:r>
      <w:r>
        <w:rPr>
          <w:rtl w:val="true"/>
        </w:rPr>
        <w:t>الدليل العقلي وحجيّة المصلحة</w:t>
      </w:r>
      <w:bookmarkEnd w:id="65"/>
    </w:p>
    <w:p>
      <w:pPr>
        <w:pStyle w:val="BookText"/>
        <w:rPr/>
      </w:pPr>
      <w:r>
        <w:rPr>
          <w:rFonts w:ascii="Amiri" w:hAnsi="Amiri" w:eastAsia="Amiri" w:cs="Amiri"/>
          <w:color w:val="111111"/>
          <w:sz w:val="28"/>
          <w:sz w:val="28"/>
          <w:szCs w:val="28"/>
          <w:rtl w:val="true"/>
          <w:lang w:bidi="ar-SA"/>
        </w:rPr>
        <w:t>قد تعرّفت على أنّ العقل أحد مصادر التشريع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بالأحرى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المصادر لكشف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ومجال الحكم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التحسين والتقبيح العقليان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أبواب الملازمات من قبيل الملازمة بين وجوب الشي‌ء ومقدّمته وحرمة ضدّه، والملازمة بين النهي عن العبادة أو المعاملة وفسادها، إلى غير ذلك ممّا يرجع إلى باب الملازمة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أبواب التزاحم أي تزاحم المصالح الّتي لابدّ من</w:t>
      </w:r>
    </w:p>
    <w:p>
      <w:pPr>
        <w:pStyle w:val="BookText"/>
        <w:rPr/>
      </w:pPr>
      <w:r>
        <w:rPr>
          <w:rFonts w:ascii="Amiri" w:hAnsi="Amiri" w:eastAsia="Amiri" w:cs="Amiri"/>
          <w:color w:val="111111"/>
          <w:sz w:val="28"/>
          <w:sz w:val="28"/>
          <w:szCs w:val="28"/>
          <w:rtl w:val="true"/>
          <w:lang w:bidi="ar-SA"/>
        </w:rPr>
        <w:t>أخذها كإنقاذ الغريقين مع العجز عن إنقاذ كليهما، أو تزاحم المصالح والمفاسد كتترّس العدو بالمسلمين؛ فإنّ للعقل دوراً فيها، وله ضوابط لتقديم إحدى المصلحتين على الأُخرى أو تقديم المصلحة على المفسدة أو بالعكس، وهي مذكورة بالتفصيل في مظانّها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غبار على حجّية العقل في هذه الموارد، إنّما الكلام في حجّية المصلحة وعدّها من مصادر التشريع فيما لانصّ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عدّة من فقهاء السنّة إلى حجّية المصلحة، و سمّاها المالكية بالمصالح المرسلة والغزّالي بالاستصلاح، وحاصل دليلهم على حجّية المصلحة وكونها من مصادر التشريع كالتالي</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مصالح الناس تتجدّد ولا تتناهى، فلولم تشرّع الأحكام لما يتجدّد من صالح الناس ولما يقتضيه تطورهم واقتصر التشريع على المصالح الّتي اعتبرها الشارع فقط، لعطّلت كثيرمن مصالح الناس في مختلف</w:t>
      </w:r>
    </w:p>
    <w:p>
      <w:pPr>
        <w:pStyle w:val="BookText"/>
        <w:rPr/>
      </w:pPr>
      <w:r>
        <w:rPr>
          <w:rFonts w:ascii="Amiri" w:hAnsi="Amiri" w:eastAsia="Amiri" w:cs="Amiri"/>
          <w:color w:val="111111"/>
          <w:sz w:val="28"/>
          <w:sz w:val="28"/>
          <w:szCs w:val="28"/>
          <w:rtl w:val="true"/>
          <w:lang w:bidi="ar-SA"/>
        </w:rPr>
        <w:t xml:space="preserve">الأزمنة والأمكنة، ووقف‌التشريع عن مسايرة تطوّرات الناس و مصالحهم، وهذا لا يتفق وما قصد بالتشريع من تحقيق مصالح الناس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 هذا الوجه ادَّعاء وجود النقص في التشريع الإسلامي لو اقتصر في مقام الاستنباط على الكتاب والسنّة؛ لأنّ حاجات المجتمع إلى قوانين جديدة لازالت تتزايد كلّ يوم، فإذا لم تكن هناك تشريعات تتلاءم مع هذه الحاجات لم تتحقّق مقاصد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السبب لجعلهم المصالح مصادر للتشريع هو 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إهمال العقل وعدم عدّه من مصادر التشريع في مجال التحسين والتقبيح العقليين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إقفال باب الاجتهاد في أواسط القرن السابع</w:t>
      </w:r>
    </w:p>
    <w:p>
      <w:pPr>
        <w:pStyle w:val="BookText"/>
        <w:rPr/>
      </w:pPr>
      <w:r>
        <w:rPr>
          <w:rFonts w:ascii="Amiri" w:hAnsi="Amiri" w:eastAsia="Amiri" w:cs="Amiri"/>
          <w:color w:val="111111"/>
          <w:sz w:val="28"/>
          <w:sz w:val="28"/>
          <w:szCs w:val="28"/>
          <w:rtl w:val="true"/>
          <w:lang w:bidi="ar-SA"/>
        </w:rPr>
        <w:t>إقفالًا سياسياً، فقد صار ذلك سبباً لوقف الدراسات الفقهية منذ قرون، وفي ظلّ ذلك توهّم المتأخّرون وجود النقص في التشريع الإسلامي وعدم كفايته لتحقيق مقاصد الشريعة، فلجأوا إلى عدّ المصالح المرسلة من مصادره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وجهّوا قول من يعتقد بحجية المصالح المرسلة من أئمةالمذاهب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دراسة عناوين الأحكام الأوّلية والثانوية، كأدلّة الضّرر والحرج والاضطرار والنسيان، فإنّ هذه العناوين وما يشابهها تُحلّ أكثر المشاكل الّتي كان علماء السنّة يواجهونها، من دون حاجة لعدّ الاستصلاح من مصادر التشريع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الاعتراف بصلاحيات الفقيه الجامع للشرائط بوضع أحكام ولائية كافية في جلب المصلحة ودفع المفسدة، وتكون أحكاماً مؤقّتة مادام الملاك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الأحكام الواقعية والولائية هو أنّ الطائفة الأُولى أحكام شرعية جاء بها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لتبقى خالدة إلى يوم القيامة، وأمّا الطائفة الثانية فإنّما هي أحكام مؤقّتة أو مقررات يضعها الحاكم الإسلامي على ضوء سائر القوانين لرفع المشاكل المتعلّقة بحياة المجتمع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مثّلوا للمصالح المرسلة بأمثلة، نذكر منها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 القرآن الكريم في مصحف بعد رحيل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قتال مانعي الزكاة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وقف تنفيذ حكم السرقة في عام المجاعة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إنشاء الدواوين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سكّ النقود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فرض الإمام العادل على الأغنياء من المال ما</w:t>
      </w:r>
    </w:p>
    <w:p>
      <w:pPr>
        <w:pStyle w:val="BookText"/>
        <w:rPr/>
      </w:pPr>
      <w:r>
        <w:rPr>
          <w:rFonts w:ascii="Amiri" w:hAnsi="Amiri" w:eastAsia="Amiri" w:cs="Amiri"/>
          <w:color w:val="111111"/>
          <w:sz w:val="28"/>
          <w:sz w:val="28"/>
          <w:szCs w:val="28"/>
          <w:rtl w:val="true"/>
          <w:lang w:bidi="ar-SA"/>
        </w:rPr>
        <w:t>لابدّمنه، لتكثير الجند وإعداد السلاح وحماية البلاد وغير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سجن المتهم كي لايفرّ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حجر المفتي الماجن والطبيب الجاهل والمكاري المفلس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بعض المغالين ربّما يتجاوز فيمثّل بأُمور لا تُبرّرها أدلّة التشريع الواقعي كتنفيذ الطلاق ثلاثاً، مع أنّ الحكم الشرعي هوكونه طلاقاً واحداً في عصر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وبرهة بعد رحيله، وهذا من باب تقديم المصلحة على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للإمامية في العمل بالمصالح مذهباً وسطاً أوضحناه في كتابنا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الإماميّة ممّن ترفضه بتاتاً كما تصوّره الأُستاذ أو تقبّله في عامَّة الصور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إجمال الكلام في المصالح المرسلة، و التفصيل مع</w:t>
      </w:r>
    </w:p>
    <w:p>
      <w:pPr>
        <w:pStyle w:val="BookText"/>
        <w:rPr/>
      </w:pPr>
      <w:r>
        <w:rPr>
          <w:rFonts w:ascii="Amiri" w:hAnsi="Amiri" w:eastAsia="Amiri" w:cs="Amiri"/>
          <w:color w:val="111111"/>
          <w:sz w:val="28"/>
          <w:sz w:val="28"/>
          <w:szCs w:val="28"/>
          <w:rtl w:val="true"/>
          <w:lang w:bidi="ar-SA"/>
        </w:rPr>
        <w:t>ما لها وما فيها يُطلب من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فهلمّ معي نقرأ ما ذكره الدكتور الرّسيوني حول هذا الموضوع،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حجية المصلحة، فإنّهم و إن كانوا ينكرونها بالاسم إلّا أنّهم يأخذون بها بأسماء وأشكال متعدّدة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فتارة تدخل تحت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يدرجون 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في المنافع الإباحة، وفي المضارّ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عين اعتبار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من القواعد المعتبرة عندهم ضمن دليل العقل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مقدّمة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المعّبر عنها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يتم الواجب إلّا به فهو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 معظم المصالح المرسلة هي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 يتم الواجب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مقدّمات أو وسائل لواجبات أُخرى، ومثلها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هو ضدّ الواجب فهو غير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يعّبر عنه بدرء المفاسد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p>
    <w:p>
      <w:pPr>
        <w:pStyle w:val="BookText"/>
        <w:rPr/>
      </w:pPr>
      <w:r>
        <w:rPr>
          <w:rFonts w:ascii="Amiri" w:hAnsi="Amiri" w:eastAsia="Amiri" w:cs="Amiri"/>
          <w:color w:val="111111"/>
          <w:sz w:val="28"/>
          <w:sz w:val="28"/>
          <w:szCs w:val="28"/>
          <w:rtl w:val="true"/>
          <w:lang w:bidi="ar-SA"/>
        </w:rPr>
        <w:t>يدخلون العمل بالمصلحة من باب ما يسمّى عندهم السيرة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العقلاء، وهو في الوقت نفسه من المصالح المرسلة</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تدخل تحت حجّية المصلحة القواعد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مقدّمة الواجب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حرمة ضدّ الواجب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حجّية بناء العقلاء وسيرتهم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الأصل في المنافع الإباحة، وفي المضارّ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نفس العمل بالمصلحة مع أنّهم يدخلونها 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العقلي</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اشتمال هذه القواعد على المصالح و درء المفاسد غير كون المصلحة سبباً لتشريعها ومبدأً</w:t>
      </w:r>
    </w:p>
    <w:p>
      <w:pPr>
        <w:pStyle w:val="BookText"/>
        <w:rPr/>
      </w:pPr>
      <w:r>
        <w:rPr>
          <w:rFonts w:ascii="Amiri" w:hAnsi="Amiri" w:eastAsia="Amiri" w:cs="Amiri"/>
          <w:color w:val="111111"/>
          <w:sz w:val="28"/>
          <w:sz w:val="28"/>
          <w:szCs w:val="28"/>
          <w:rtl w:val="true"/>
          <w:lang w:bidi="ar-SA"/>
        </w:rPr>
        <w:t>لتقنينها؛ فإنّ الدليل على وجوب مقدّمة الواجب أو حرمة ضدّ الواجب حكم العقل بالملازمة بين الإرادتين، فمن حاول الوقوف على السطح، لا محيص له من إرادة نصب السلّم، أو ركوب المصعد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فاشتمال المقدّمة على المصلحة أو اشتمال الضدّ على المفسدة أمر جانبي لا مدخلية له في الحكم بالوجوب 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حجّية بناء العقلاء، فإنّ أساسها كونه بمرأى و مسمع من الشارع وهو إمضاؤه، لهذا لو كان غير مرضيّ عنده لما سكت عن النهي عنه؛ لقبح السكوت عمّا يوجب إغراء الأُمّة، ولولا إمضاؤه لما صحّ الاعتماد عليه في الفقه، كما هو الحال في السِّير الّتي رفضها الشارع كبيع الخمر والكلب والخنزير و التملّك بالمقارنة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 يظهر حكم القاعدة الرابعة، فإنّ الحكم بجلب</w:t>
      </w:r>
    </w:p>
    <w:p>
      <w:pPr>
        <w:pStyle w:val="BookText"/>
        <w:rPr/>
      </w:pPr>
      <w:r>
        <w:rPr>
          <w:rFonts w:ascii="Amiri" w:hAnsi="Amiri" w:eastAsia="Amiri" w:cs="Amiri"/>
          <w:color w:val="111111"/>
          <w:sz w:val="28"/>
          <w:sz w:val="28"/>
          <w:szCs w:val="28"/>
          <w:rtl w:val="true"/>
          <w:lang w:bidi="ar-SA"/>
        </w:rPr>
        <w:t>المنفعة أو درء المفسدة هو العقل الحصيف، لا قاعدة المصالح المرسلة، و إن كان في الجلب والدرء مصلحة، 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الجانبية ليست أساساً لحكم العقل في مورد هذه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نفترض أنّ لهذه المسائل طابعاً عقلياً كما أنّ لها طابعاً استصلاحياً، فلو كان الوصول إليها من دليل العقل أمراً غير صحيح فليكن الوصول إليها عن طريق الاستصلاح مثله، فلماذا يوجّه اللوم إلى الفريق الأوّل دون الثاني؟ أوليس هذا المورد من مصاديق المثل السائر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رمتني بدائها وانسلت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بعض الملاحظات على كلام الأُستاذ، حفظه الله و نفعنا بعلومه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في كلامه أُمورأُخرى يظهر النظر فيها من بعض ما ذكرنا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الختام ندعوله ولعامّة الاخوان في المملكة</w:t>
      </w:r>
    </w:p>
    <w:p>
      <w:pPr>
        <w:pStyle w:val="BookText"/>
        <w:rPr/>
      </w:pPr>
      <w:r>
        <w:rPr>
          <w:rFonts w:ascii="Amiri" w:hAnsi="Amiri" w:eastAsia="Amiri" w:cs="Amiri"/>
          <w:color w:val="111111"/>
          <w:sz w:val="28"/>
          <w:sz w:val="28"/>
          <w:szCs w:val="28"/>
          <w:rtl w:val="true"/>
          <w:lang w:bidi="ar-SA"/>
        </w:rPr>
        <w:t>المغربية والأساتذة والطلاب في دار الحديث الحسنية بدوام التوفيق والسداد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ورحمةالله وبركاته</w:t>
      </w:r>
    </w:p>
    <w:p>
      <w:pPr>
        <w:pStyle w:val="BookText"/>
        <w:rPr/>
      </w:pPr>
      <w:r>
        <w:rPr>
          <w:rFonts w:ascii="Amiri" w:hAnsi="Amiri" w:eastAsia="Amiri" w:cs="Amiri"/>
          <w:color w:val="111111"/>
          <w:sz w:val="28"/>
          <w:sz w:val="28"/>
          <w:szCs w:val="28"/>
          <w:rtl w:val="true"/>
          <w:lang w:bidi="ar-SA"/>
        </w:rPr>
        <w:t>جعفرالسبحاني</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غرّة ربيع الأوّل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حياته و عصره لأبي زهرة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اشتراط التواتر نظرية خاصّة لقليل من علماء الإمامية، فالجمهور منهم يعملون بخبر العدل أيضاً</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المجلة المذكورة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العقائد للغزّالي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كتاب العقل و الجهل،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كتاب العقل و الجهل، الحديث </w:t>
      </w:r>
      <w:r>
        <w:rPr>
          <w:rFonts w:eastAsia="IRNazanin" w:cs="IRNazanin"/>
          <w:b w:val="false"/>
          <w:bCs w:val="false"/>
          <w:i w:val="false"/>
          <w:iCs w:val="false"/>
          <w:color w:val="333333"/>
          <w:sz w:val="20"/>
          <w:szCs w:val="20"/>
        </w:rPr>
        <w:t>12</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كتاب العقل و الجهل،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الواضحة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باب الرد إلى الكتاب و السنة،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باب الرد إلى الكتاب و السنة،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باب الرد إلى الكتاب و السنة،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أصحاب المغيرة بن سعيد، الذي تبرّأمنه الإمام الصادق </w:t>
      </w:r>
      <w:r>
        <w:rPr>
          <w:rFonts w:eastAsia="IRNazanin" w:cs="IRNazanin"/>
          <w:b w:val="false"/>
          <w:bCs w:val="false"/>
          <w:i w:val="false"/>
          <w:iCs w:val="false"/>
          <w:color w:val="333333"/>
          <w:sz w:val="20"/>
          <w:szCs w:val="20"/>
        </w:rPr>
        <w:t>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كتاب المعيشة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باب مناقب أهل بيت النبي </w:t>
      </w:r>
      <w:r>
        <w:rPr>
          <w:rFonts w:eastAsia="IRNazanin" w:cs="IRNazanin"/>
          <w:b w:val="false"/>
          <w:bCs w:val="false"/>
          <w:i w:val="false"/>
          <w:iCs w:val="false"/>
          <w:color w:val="333333"/>
          <w:sz w:val="20"/>
          <w:szCs w:val="20"/>
        </w:rPr>
        <w:t>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الموقعين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جمع العلّامة المجلسي ما ورد من الأثر حول كتاب علي في موسوعته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باب جهات علومهم وما عندهم من الكتب، الحديث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باب مناقب المهاجرين وفضلهم، دار الفكر، بيروت</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الساري، شرح صحيح البخاري للقسطلاني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الساري في شرح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دارالكتاب العربي، بيروت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الانصاف في مسائل دام فيها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العاشر وهو علي بن محمد بن علي بن موسى بن جعفر الصادق</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باب الرد إلى الكتاب والسنّة،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كتابة العلم، الحديث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مكاتيب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يذهب عليك أنّه إذا كان في المورد دليل قرآني أو سنّة متواترة، فلاحاجة للتأييد والتعضيد، والأولى أن نخص مورده بما إذا لم يكن في مورده إلّا دليل ظنّي</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 في أُصول الفقه لوهبة الزحيلي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في علم الأُصول للشيخ محمد حسين الحائري</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المجلة المذكورة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اليقين فنعم، و أمّا الصواب فلا، فيما إذا كان غير صحيح</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السرخسي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 المقارن فيما لا نصّ فيه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أُصول الفقه، لعبد الوهاب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أُصول الفقه المقارن فيما لا نصّ فيه للكاتب</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المجلة المشار اليها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image" Target="media/image2.jpeg"/><Relationship Id="rId112" Type="http://schemas.openxmlformats.org/officeDocument/2006/relationships/image" Target="media/image2.jpeg"/><Relationship Id="rId113" Type="http://schemas.openxmlformats.org/officeDocument/2006/relationships/footer" Target="footer106.xml"/><Relationship Id="rId114" Type="http://schemas.openxmlformats.org/officeDocument/2006/relationships/footnotes" Target="footnotes.xml"/><Relationship Id="rId115" Type="http://schemas.openxmlformats.org/officeDocument/2006/relationships/numbering" Target="numbering.xml"/><Relationship Id="rId116" Type="http://schemas.openxmlformats.org/officeDocument/2006/relationships/fontTable" Target="fontTable.xml"/><Relationship Id="rId117" Type="http://schemas.openxmlformats.org/officeDocument/2006/relationships/settings" Target="settings.xml"/><Relationship Id="rId1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109</Pages>
  <Words>10398</Words>
  <Characters>46302</Characters>
  <CharactersWithSpaces>56069</CharactersWithSpaces>
  <Paragraphs>712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2026-08-16T19:24:00Z</dcterms:created>
  <dc:creator>ghaemiyeh.com</dc:creator>
  <dc:description/>
  <dc:language>en-US</dc:language>
  <cp:lastModifiedBy/>
  <dcterms:modified xsi:type="dcterms:W3CDTF">2026-08-16T22:54:03Z</dcterms:modified>
  <cp:revision>1</cp:revision>
  <dc:subject/>
  <dc:title>شبهات و ایضاحات حول اصول الفقه للشیعه الامامیه</dc:title>
</cp:coreProperties>
</file>

<file path=docProps/custom.xml><?xml version="1.0" encoding="utf-8"?>
<Properties xmlns="http://schemas.openxmlformats.org/officeDocument/2006/custom-properties" xmlns:vt="http://schemas.openxmlformats.org/officeDocument/2006/docPropsVTypes"/>
</file>