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وقفة مع مقلدی الموتی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629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5631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5633_23831676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45635_2383167630">
            <w:r>
              <w:rPr>
                <w:webHidden/>
                <w:rStyle w:val="IndexLink"/>
                <w:rtl w:val="true"/>
              </w:rPr>
              <w:t>الأول</w:t>
            </w:r>
            <w:r>
              <w:rPr>
                <w:rStyle w:val="IndexLink"/>
                <w:rtl w:val="true"/>
              </w:rPr>
              <w:t xml:space="preserve">: </w:t>
            </w:r>
            <w:r>
              <w:rPr>
                <w:rStyle w:val="IndexLink"/>
                <w:rtl w:val="true"/>
              </w:rPr>
              <w:t>استصحاب جوازه المتقرر فی حیاة المفتی</w:t>
            </w:r>
            <w:r>
              <w:rPr>
                <w:rStyle w:val="IndexLink"/>
                <w:rtl w:val="true"/>
              </w:rPr>
              <w:tab/>
            </w:r>
            <w:r>
              <w:rPr>
                <w:rStyle w:val="IndexLink"/>
              </w:rPr>
              <w:t>14</w:t>
            </w:r>
          </w:hyperlink>
        </w:p>
        <w:p>
          <w:pPr>
            <w:pStyle w:val="Contents2"/>
            <w:tabs>
              <w:tab w:val="clear" w:pos="8743"/>
              <w:tab w:val="right" w:pos="9026" w:leader="dot"/>
            </w:tabs>
            <w:rPr/>
          </w:pPr>
          <w:hyperlink w:anchor="__RefHeading___Toc545637_2383167630">
            <w:r>
              <w:rPr>
                <w:webHidden/>
                <w:rStyle w:val="IndexLink"/>
                <w:rtl w:val="true"/>
              </w:rPr>
              <w:t>وثانیاً</w:t>
            </w:r>
            <w:r>
              <w:rPr>
                <w:rStyle w:val="IndexLink"/>
                <w:rtl w:val="true"/>
              </w:rPr>
              <w:t xml:space="preserve">: </w:t>
            </w:r>
            <w:r>
              <w:rPr>
                <w:rStyle w:val="IndexLink"/>
                <w:rtl w:val="true"/>
              </w:rPr>
              <w:t>کون المدرک جزئیاً لا یلازم زوالها وفناءها فمعلومات المبادئ سرمدیة</w:t>
            </w:r>
            <w:r>
              <w:rPr>
                <w:rStyle w:val="IndexLink"/>
                <w:rtl w:val="true"/>
              </w:rPr>
              <w:t xml:space="preserve">, </w:t>
            </w:r>
            <w:r>
              <w:rPr>
                <w:rStyle w:val="IndexLink"/>
                <w:rtl w:val="true"/>
              </w:rPr>
              <w:t>بلا فرق بین کلّیها وجزئیّها</w:t>
            </w:r>
            <w:r>
              <w:rPr>
                <w:rStyle w:val="IndexLink"/>
                <w:rtl w:val="true"/>
              </w:rPr>
              <w:t>.</w:t>
              <w:tab/>
            </w:r>
            <w:r>
              <w:rPr>
                <w:rStyle w:val="IndexLink"/>
              </w:rPr>
              <w:t>21</w:t>
            </w:r>
          </w:hyperlink>
        </w:p>
        <w:p>
          <w:pPr>
            <w:pStyle w:val="Contents2"/>
            <w:tabs>
              <w:tab w:val="clear" w:pos="8743"/>
              <w:tab w:val="right" w:pos="9026" w:leader="dot"/>
            </w:tabs>
            <w:rPr/>
          </w:pPr>
          <w:hyperlink w:anchor="__RefHeading___Toc545639_2383167630">
            <w:r>
              <w:rPr>
                <w:webHidden/>
                <w:rStyle w:val="IndexLink"/>
                <w:rtl w:val="true"/>
              </w:rPr>
              <w:t>ومنها</w:t>
            </w:r>
            <w:r>
              <w:rPr>
                <w:rStyle w:val="IndexLink"/>
                <w:rtl w:val="true"/>
              </w:rPr>
              <w:t>:</w:t>
              <w:tab/>
            </w:r>
            <w:r>
              <w:rPr>
                <w:rStyle w:val="IndexLink"/>
              </w:rPr>
              <w:t>25</w:t>
            </w:r>
          </w:hyperlink>
        </w:p>
        <w:p>
          <w:pPr>
            <w:pStyle w:val="Contents2"/>
            <w:tabs>
              <w:tab w:val="clear" w:pos="8743"/>
              <w:tab w:val="right" w:pos="9026" w:leader="dot"/>
            </w:tabs>
            <w:rPr/>
          </w:pPr>
          <w:hyperlink w:anchor="__RefHeading___Toc545641_2383167630">
            <w:r>
              <w:rPr>
                <w:webHidden/>
                <w:rStyle w:val="IndexLink"/>
                <w:rtl w:val="true"/>
              </w:rPr>
              <w:t>ومنها</w:t>
            </w:r>
            <w:r>
              <w:rPr>
                <w:rStyle w:val="IndexLink"/>
                <w:rtl w:val="true"/>
              </w:rPr>
              <w:t>:</w:t>
              <w:tab/>
            </w:r>
            <w:r>
              <w:rPr>
                <w:rStyle w:val="IndexLink"/>
              </w:rPr>
              <w:t>26</w:t>
            </w:r>
          </w:hyperlink>
        </w:p>
        <w:p>
          <w:pPr>
            <w:pStyle w:val="Contents2"/>
            <w:tabs>
              <w:tab w:val="clear" w:pos="8743"/>
              <w:tab w:val="right" w:pos="9026" w:leader="dot"/>
            </w:tabs>
            <w:rPr/>
          </w:pPr>
          <w:hyperlink w:anchor="__RefHeading___Toc545643_2383167630">
            <w:r>
              <w:rPr>
                <w:webHidden/>
                <w:rStyle w:val="IndexLink"/>
                <w:rtl w:val="true"/>
              </w:rPr>
              <w:t>ومنها</w:t>
            </w:r>
            <w:r>
              <w:rPr>
                <w:rStyle w:val="IndexLink"/>
                <w:rtl w:val="true"/>
              </w:rPr>
              <w:t>:</w:t>
              <w:tab/>
            </w:r>
            <w:r>
              <w:rPr>
                <w:rStyle w:val="IndexLink"/>
              </w:rPr>
              <w:t>27</w:t>
            </w:r>
          </w:hyperlink>
        </w:p>
        <w:p>
          <w:pPr>
            <w:pStyle w:val="Contents2"/>
            <w:tabs>
              <w:tab w:val="clear" w:pos="8743"/>
              <w:tab w:val="right" w:pos="9026" w:leader="dot"/>
            </w:tabs>
            <w:rPr/>
          </w:pPr>
          <w:hyperlink w:anchor="__RefHeading___Toc545645_2383167630">
            <w:r>
              <w:rPr>
                <w:webHidden/>
                <w:rStyle w:val="IndexLink"/>
                <w:rtl w:val="true"/>
              </w:rPr>
              <w:t>وقوله</w:t>
            </w:r>
            <w:r>
              <w:rPr>
                <w:rStyle w:val="IndexLink"/>
                <w:rtl w:val="true"/>
              </w:rPr>
              <w:t>(</w:t>
            </w:r>
            <w:r>
              <w:rPr>
                <w:rStyle w:val="IndexLink"/>
                <w:rtl w:val="true"/>
              </w:rPr>
              <w:t>علیه السلام</w:t>
            </w:r>
            <w:r>
              <w:rPr>
                <w:rStyle w:val="IndexLink"/>
                <w:rtl w:val="true"/>
              </w:rPr>
              <w:t xml:space="preserve">) </w:t>
            </w:r>
            <w:r>
              <w:rPr>
                <w:rStyle w:val="IndexLink"/>
                <w:rtl w:val="true"/>
              </w:rPr>
              <w:t>لأبان بن تغلب</w:t>
            </w:r>
            <w:r>
              <w:rPr>
                <w:rStyle w:val="IndexLink"/>
                <w:rtl w:val="true"/>
              </w:rPr>
              <w:t>:</w:t>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_9483"/>
      <w:bookmarkStart w:id="1" w:name="pg1316_9483"/>
      <w:bookmarkEnd w:id="1"/>
    </w:p>
    <w:p>
      <w:pPr>
        <w:pStyle w:val="Heading2"/>
        <w:numPr>
          <w:ilvl w:val="1"/>
          <w:numId w:val="1"/>
        </w:numPr>
        <w:rPr/>
      </w:pPr>
      <w:bookmarkStart w:id="2" w:name="pg1316_9483"/>
      <w:bookmarkStart w:id="3" w:name="__RefHeading___Toc545629_23831676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مع مقلدی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الأنوار النجفیة للثقافة و التنمیة</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631_23831676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وقفه مع مقلدی الموتی </w:t>
      </w:r>
    </w:p>
    <w:p>
      <w:pPr>
        <w:pStyle w:val="BookText"/>
        <w:rPr/>
      </w:pPr>
      <w:r>
        <w:rPr>
          <w:rFonts w:ascii="IRNazanin" w:hAnsi="IRNazanin" w:eastAsia="IRNazanin"/>
          <w:color w:val="111111"/>
          <w:sz w:val="28"/>
          <w:sz w:val="28"/>
          <w:szCs w:val="28"/>
          <w:rtl w:val="true"/>
          <w:lang w:bidi="fa-IR"/>
        </w:rPr>
        <w:t>وقفه مع مقلدی الموتی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6_9489"/>
      <w:bookmarkStart w:id="8" w:name="pg1316_9489"/>
      <w:bookmarkEnd w:id="8"/>
    </w:p>
    <w:p>
      <w:pPr>
        <w:pStyle w:val="Heading2"/>
        <w:numPr>
          <w:ilvl w:val="1"/>
          <w:numId w:val="1"/>
        </w:numPr>
        <w:rPr/>
      </w:pPr>
      <w:bookmarkStart w:id="9" w:name="pg1316_9489"/>
      <w:bookmarkStart w:id="10" w:name="__RefHeading___Toc545633_23831676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کثر الاستفسار عن وجه إصرار سماحة آیة الله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البقاء علی تقلید المیت مع إصرار جملة من أجلاء العصر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من سماحته أن یتفضل بالإشارة إلی </w:t>
      </w:r>
    </w:p>
    <w:p>
      <w:pPr>
        <w:pStyle w:val="BookText"/>
        <w:rPr/>
      </w:pPr>
      <w:r>
        <w:rPr>
          <w:rFonts w:ascii="IRNazanin" w:hAnsi="IRNazanin" w:eastAsia="IRNazanin"/>
          <w:color w:val="111111"/>
          <w:sz w:val="28"/>
          <w:sz w:val="28"/>
          <w:szCs w:val="28"/>
          <w:rtl w:val="true"/>
          <w:lang w:bidi="fa-IR"/>
        </w:rPr>
        <w:t>وجه إصراره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علینا برؤوس أقلام ما ألقاه فی مجلس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وأقدمه للمؤمنین؛ لیزدادوا تبصّراً وبصیرة أعاننا الله والمؤمنین کافة علی العلم والعمل إنه ولی التوفیق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جمیل القریشی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أحمده سبحانه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وأستعینه علی شکر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وأصلی علی حبیبه محمد وآله وأتقرب إلیه تعالی وإلیهم بالبراءة من أعدائهم وأعدائه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کثر السؤال والقیل والقال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وصلت إلیه قناعتی من عدم جواز تقلید المیت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ابتداءً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المنشأ فی الحیص والبیص أن معظم </w:t>
      </w:r>
    </w:p>
    <w:p>
      <w:pPr>
        <w:pStyle w:val="BookText"/>
        <w:rPr/>
      </w:pPr>
      <w:r>
        <w:rPr>
          <w:rFonts w:ascii="IRNazanin" w:hAnsi="IRNazanin" w:eastAsia="IRNazanin"/>
          <w:color w:val="111111"/>
          <w:sz w:val="28"/>
          <w:sz w:val="28"/>
          <w:szCs w:val="28"/>
          <w:rtl w:val="true"/>
          <w:lang w:bidi="fa-IR"/>
        </w:rPr>
        <w:t>أجلاء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ارتحلوا من الدار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والتحقوا بالذین سبقوهم إلی جنات الخلود واختار لهم الله سبحانه مرافقة الأبرار فی دار أصفیائه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الأستاذ الأعظم السید أبی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وحکیم الفقهاء وقدوة الأجلاء السید 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جوّزوا البقاء علی تقلید المیت بشکل أو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أو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ألحّ علیّ بعض الأحبة أن ألخّص له وجه عدم تمامیة الوجوه التی دعت أولئک الأفاضل إلی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جواز </w:t>
      </w:r>
      <w:bookmarkStart w:id="12" w:name="pg1316_9493"/>
    </w:p>
    <w:p>
      <w:pPr>
        <w:pStyle w:val="BookText"/>
        <w:rPr/>
      </w:pPr>
      <w:bookmarkEnd w:id="12"/>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فلبّیت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متوکلاً علیه سبحانه ومنه التوفیق والتسدید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الریب فی أن مقتضی الأصل عدم اعتبار فتوی من لم یتم الدلیل علیه کما هو شأن کل مشکوک الحجیة؛ فإن مجهولها یلازم أو یستلزم الجزم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بعدم تنجزها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الشک فیها یساوق عدمها، فالمهم هنا الإیماء إلی مواضع الخلل فی أدلة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وأوجهُها أمران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545635_2383167630"/>
      <w:bookmarkStart w:id="14" w:name="_Toc4"/>
      <w:bookmarkEnd w:id="13"/>
      <w:r>
        <w:rPr>
          <w:rtl w:val="true"/>
        </w:rPr>
        <w:t>الأول</w:t>
      </w:r>
      <w:r>
        <w:rPr>
          <w:rtl w:val="true"/>
        </w:rPr>
        <w:t xml:space="preserve">: </w:t>
      </w:r>
      <w:r>
        <w:rPr>
          <w:rtl w:val="true"/>
        </w:rPr>
        <w:t>استصحاب جوازه المتقرر فی حیاة المفتی</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والإشکال علیه بزوال الاعتقاد الذی هو مصبّ التقلید وموضوع الجواز بالموت، بل عن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إنمحائه لدی النزع متشبثاً بأن الزوال بالموت أولی منه بالغفلة</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المصادرة؛ فإن الغفلة عبارة عن زوال الصورة عن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والنسیان انمحائها عنها وعن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الموت عبارة عن انفصال النفس عن البدن أو عن تفرق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تفکّک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تشیر إلیه </w:t>
      </w:r>
    </w:p>
    <w:p>
      <w:pPr>
        <w:pStyle w:val="BookText"/>
        <w:rPr/>
      </w:pPr>
      <w:r>
        <w:rPr>
          <w:rFonts w:ascii="IRNazanin" w:hAnsi="IRNazanin" w:eastAsia="IRNazanin"/>
          <w:color w:val="111111"/>
          <w:sz w:val="28"/>
          <w:sz w:val="28"/>
          <w:szCs w:val="28"/>
          <w:rtl w:val="true"/>
          <w:lang w:bidi="fa-IR"/>
        </w:rPr>
        <w:t>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ومشاهدة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فنائها مع أحد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الغفلة والنسیان؟ کما إن الإشکال بالغفلة لا یخلو عنها فإن العلم لا یزول معها، فلا تغفل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أفاده بعض العباقرة، من أن الجسم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منه یغیب عن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لأن ینال شیئاً </w:t>
      </w:r>
    </w:p>
    <w:p>
      <w:pPr>
        <w:pStyle w:val="BookText"/>
        <w:rPr/>
      </w:pPr>
      <w:r>
        <w:rPr>
          <w:rFonts w:ascii="IRNazanin" w:hAnsi="IRNazanin" w:eastAsia="IRNazanin"/>
          <w:color w:val="111111"/>
          <w:sz w:val="28"/>
          <w:sz w:val="28"/>
          <w:szCs w:val="28"/>
          <w:rtl w:val="true"/>
          <w:lang w:bidi="fa-IR"/>
        </w:rPr>
        <w:t>ویدرکه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کون النفس جسماً سخیف جداً، أولاً وأمّا کونها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بُرهن علیه فی محله أن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مدرکة للکلیات وبما هی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إلی مادة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ذاتها ولا فی فعلها، فالنفس فی أول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إنسان طبیعی بشری تحتاج إلی مادة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القوة إلی الفعل ومن المادیة إلی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هی غیر مرهونة بمادة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بهذه المرتبة خارجة </w:t>
      </w:r>
    </w:p>
    <w:p>
      <w:pPr>
        <w:pStyle w:val="BookText"/>
        <w:rPr/>
      </w:pPr>
      <w:r>
        <w:rPr>
          <w:rFonts w:ascii="IRNazanin" w:hAnsi="IRNazanin" w:eastAsia="IRNazanin"/>
          <w:color w:val="111111"/>
          <w:sz w:val="28"/>
          <w:sz w:val="28"/>
          <w:szCs w:val="28"/>
          <w:rtl w:val="true"/>
          <w:lang w:bidi="fa-IR"/>
        </w:rPr>
        <w:t>عن عالم المواد ودار الفساد؛ فلذا لا خراب لها بخراب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النزاع لیس فی کونها مجردة أو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فی بقاء الصورة القائمة بها أو الحاصلة لدیها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بزوالها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بالغفلة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وإمکان تجردها بعد الرقی إلی العقل بالفعل لا یستلزم ضرورة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بعد اعتراف من جاوز تلک المرتبة وبلغ درجة </w:t>
      </w:r>
    </w:p>
    <w:p>
      <w:pPr>
        <w:pStyle w:val="BookText"/>
        <w:rPr/>
      </w:pPr>
      <w:r>
        <w:rPr>
          <w:rFonts w:ascii="IRNazanin" w:hAnsi="IRNazanin" w:eastAsia="IRNazanin"/>
          <w:color w:val="111111"/>
          <w:sz w:val="28"/>
          <w:sz w:val="28"/>
          <w:szCs w:val="28"/>
          <w:rtl w:val="true"/>
          <w:lang w:bidi="fa-IR"/>
        </w:rPr>
        <w:t>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فوقها خصوصاً مع شهادة علاّم الغیوب لحصول النسیان لأولئک الأنفس القدسیة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تصویب إمکان زوال الصور عن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القضایا التی یدرکها المجتهد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وقابلة للتجرید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تدخل فی الکلیات المجردة القائمة بالعاقلة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الأذهان المتعارفة تنتقل من الإحساس بالجزئیات إلی صورها الجزئیة فی الوهم والخیال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مجردة عن المادة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الخصوصیات والهیئات الحافة بالجزئیات </w:t>
      </w:r>
    </w:p>
    <w:p>
      <w:pPr>
        <w:pStyle w:val="BookText"/>
        <w:rPr/>
      </w:pPr>
      <w:r>
        <w:rPr>
          <w:rFonts w:ascii="IRNazanin" w:hAnsi="IRNazanin" w:eastAsia="IRNazanin"/>
          <w:color w:val="111111"/>
          <w:sz w:val="28"/>
          <w:sz w:val="28"/>
          <w:szCs w:val="28"/>
          <w:rtl w:val="true"/>
          <w:lang w:bidi="fa-IR"/>
        </w:rPr>
        <w:t>المحسوسة، ومجرد قبول المدرکات للتجرید التام لا یجعلها مجردة داخلة فی المعقولات الکلیة الباقیة ببقاء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إثبات تجرد قوتی الوهم والخیال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فغریب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کلیة القضیة إنما هی لکلیة الموضوع وعمومه لا من جهة النسبة الحکمیة أو الحکم اللذین لا یتصور فیهما العموم أو الکلیة وهما محل الکلام ولیس الموضوع أو المحمول وإن کانا طرفیها، ومن هنا التفرقة بین الأذهان المتعارفة وغیرها فی غیر محله</w:t>
      </w:r>
      <w:r>
        <w:rPr>
          <w:rFonts w:eastAsia="IRNazanin" w:cs="IRNazanin"/>
          <w:color w:val="111111"/>
          <w:sz w:val="28"/>
          <w:szCs w:val="28"/>
          <w:rtl w:val="true"/>
          <w:lang w:bidi="fa-IR"/>
        </w:rPr>
        <w:t xml:space="preserve">. </w:t>
      </w:r>
      <w:bookmarkStart w:id="15" w:name="pg1316_9500"/>
    </w:p>
    <w:p>
      <w:pPr>
        <w:pStyle w:val="Heading2"/>
        <w:numPr>
          <w:ilvl w:val="1"/>
          <w:numId w:val="1"/>
        </w:numPr>
        <w:rPr/>
      </w:pPr>
      <w:bookmarkStart w:id="16" w:name="__RefHeading___Toc545637_2383167630"/>
      <w:bookmarkStart w:id="17" w:name="_Toc5"/>
      <w:bookmarkEnd w:id="15"/>
      <w:bookmarkEnd w:id="16"/>
      <w:r>
        <w:rPr>
          <w:rtl w:val="true"/>
        </w:rPr>
        <w:t>وثانیاً</w:t>
      </w:r>
      <w:r>
        <w:rPr>
          <w:rtl w:val="true"/>
        </w:rPr>
        <w:t xml:space="preserve">: </w:t>
      </w:r>
      <w:r>
        <w:rPr>
          <w:rtl w:val="true"/>
        </w:rPr>
        <w:t>کون المدرک جزئیاً لا یلازم زوالها وفناءها فمعلومات المبادئ سرمدیة</w:t>
      </w:r>
      <w:r>
        <w:rPr>
          <w:rtl w:val="true"/>
        </w:rPr>
        <w:t xml:space="preserve">, </w:t>
      </w:r>
      <w:r>
        <w:rPr>
          <w:rtl w:val="true"/>
        </w:rPr>
        <w:t>بلا فرق بین کلّیها وجزئیّها</w:t>
      </w:r>
      <w:r>
        <w:rPr>
          <w:rtl w:val="true"/>
        </w:rPr>
        <w:t>.</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أخری بأن آراء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فُرضت کلیة قابلة للقیام بالعاقلة إلا أنها غالباً منبعثة عن مدارک جزئیة من آیة خاصة أو روایة مخصوصة لا قیام لهما إلاّ بغیر العاقلة وتلک الآراء لا تکون حجة إلاّ إذا کانت مستندة إلی المدارک بقاءً کما کانت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قیامها بالمجتهد مع زوال مدارکها بالمرة یخرجها عن الحجیة فی حال حیاته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 إذا زالت مدارکها بزوال القوة المدرکة لها؛ لأن المفروض عدم تجرد ما عدا العاقلة المدرکة للکلیات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من الإلتزام بتجرد قوتی الوهم والخیال المدرکتین للصورة الجزئیة تجرداً برزخیاً الخ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الکلیة فی الأطراف لا تعنی کلیة الحکم والنسبة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المدارک إنما تکون مناشئ للاعتقاد والحکم الحاصل لدی الفقیه</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فی استمراره فی نفسه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یقوم مقامه بعدم رفع الشارع یده عن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عدم العلم 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أن الآیة أو الروایة إنما تشکّل معدّاً للإعتقاد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فیه هو النظر والفکر بالتحلیل والتقسیم والتنسیق والتحدید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زوال تفصیل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زوال أعیانها مع استمرار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جرم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التحقیق أنّ العلة المحدثة عالم الإمکان غیر المبقیة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 أنّ هذه الأوهام من الخلط بین الموضوع ومصب الحکم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غیره علی ما ستطلع علیه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فی تشخیص الموضوع ومصبّ الحجة علی المقلِّد فیه احتمالات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ظنون المجتهد وإدراکاته للحکم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یُحتمل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جواز التقلید وانکشاف الواقع بالشهود؛ لأجل الورود علی الرب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لأن انقلاب ظنه إلی القطع خروجٌ من النقص إلی الکمال ومن الضعف إلی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8" w:name="pg1316_9504"/>
    </w:p>
    <w:p>
      <w:pPr>
        <w:pStyle w:val="BookText"/>
        <w:rPr/>
      </w:pPr>
      <w:bookmarkEnd w:id="18"/>
      <w:r>
        <w:rPr>
          <w:rFonts w:ascii="IRNazanin" w:hAnsi="IRNazanin" w:eastAsia="IRNazanin"/>
          <w:color w:val="111111"/>
          <w:sz w:val="28"/>
          <w:sz w:val="28"/>
          <w:szCs w:val="28"/>
          <w:rtl w:val="true"/>
          <w:lang w:bidi="fa-IR"/>
        </w:rPr>
        <w:t>من القوة إلی الفعل وفی مثله لا یری البعض بأساً فی التمسک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الحق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شمول أدلة جواز التقلید للاعتقادات الحاصلة من طرق غیر طبیعیة</w:t>
      </w:r>
      <w:r>
        <w:rPr>
          <w:rFonts w:eastAsia="IRNazanin" w:cs="IRNazanin"/>
          <w:color w:val="111111"/>
          <w:sz w:val="28"/>
          <w:szCs w:val="28"/>
          <w:rtl w:val="true"/>
          <w:lang w:bidi="fa-IR"/>
        </w:rPr>
        <w:t>.</w:t>
      </w:r>
    </w:p>
    <w:p>
      <w:pPr>
        <w:pStyle w:val="Heading2"/>
        <w:numPr>
          <w:ilvl w:val="1"/>
          <w:numId w:val="1"/>
        </w:numPr>
        <w:rPr/>
      </w:pPr>
      <w:bookmarkStart w:id="19" w:name="__RefHeading___Toc545639_2383167630"/>
      <w:bookmarkStart w:id="20" w:name="_Toc6"/>
      <w:bookmarkEnd w:id="19"/>
      <w:r>
        <w:rPr>
          <w:rtl w:val="true"/>
        </w:rPr>
        <w:t>ومنها</w:t>
      </w:r>
      <w:r>
        <w:rPr>
          <w:rtl w:val="true"/>
        </w:rPr>
        <w:t>:</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 من انکشاف الواقع بالمثول أمام الشارع والاطلاع علی حقیقة المجعول مع أن الموضوع فی لسان الأدلة ذات الفقیه؛ فإن مفاد جمیعها رجوع الجاهل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ستأتی الإشارة إلیه</w:t>
      </w:r>
      <w:r>
        <w:rPr>
          <w:rFonts w:eastAsia="IRNazanin" w:cs="IRNazanin"/>
          <w:color w:val="111111"/>
          <w:sz w:val="28"/>
          <w:szCs w:val="28"/>
          <w:rtl w:val="true"/>
          <w:lang w:bidi="fa-IR"/>
        </w:rPr>
        <w:t xml:space="preserve">. </w:t>
      </w:r>
      <w:bookmarkStart w:id="21" w:name="pg1316_9505"/>
    </w:p>
    <w:p>
      <w:pPr>
        <w:pStyle w:val="Heading2"/>
        <w:numPr>
          <w:ilvl w:val="1"/>
          <w:numId w:val="1"/>
        </w:numPr>
        <w:rPr/>
      </w:pPr>
      <w:bookmarkStart w:id="22" w:name="__RefHeading___Toc545641_2383167630"/>
      <w:bookmarkStart w:id="23" w:name="_Toc7"/>
      <w:bookmarkEnd w:id="21"/>
      <w:bookmarkEnd w:id="22"/>
      <w:r>
        <w:rPr>
          <w:rtl w:val="true"/>
        </w:rPr>
        <w:t>ومنها</w:t>
      </w:r>
      <w:r>
        <w:rPr>
          <w:rtl w:val="true"/>
        </w:rPr>
        <w:t>:</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مصبّ الحجة قطع المجتهد بالحکم الظاهری المماثل للواقعی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یبقی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الاستصحاب نظراً لانتفائه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الجزم ببقاء القوة المدرکة لانکشاف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علیها المستلزم لارتفاع الحکم الظاهری من اندثار الشک فی الواقع الذی هو موضوع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المستفاد فی الظاهر المطابق للواقع یزول القطع به أیضاً؛ فإن الناشئ من الأدلة والنظر فیها غیر الحاصل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bookmarkStart w:id="24" w:name="pg1316_9506"/>
    </w:p>
    <w:p>
      <w:pPr>
        <w:pStyle w:val="BookText"/>
        <w:rPr/>
      </w:pPr>
      <w:bookmarkEnd w:id="24"/>
      <w:r>
        <w:rPr>
          <w:rFonts w:ascii="IRNazanin" w:hAnsi="IRNazanin" w:eastAsia="IRNazanin"/>
          <w:color w:val="111111"/>
          <w:sz w:val="28"/>
          <w:sz w:val="28"/>
          <w:szCs w:val="28"/>
          <w:rtl w:val="true"/>
          <w:lang w:bidi="fa-IR"/>
        </w:rPr>
        <w:t>مضافاً إلی بطلان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الحکم المماثل فی مورد الاستصحاب قد أوضحنا فی محله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وجه معقول لفرض الحکم الظاهری مقابل الواقعی المؤدی إلی نوع من التصویب </w:t>
      </w:r>
      <w:r>
        <w:rPr>
          <w:rFonts w:eastAsia="IRNazanin" w:cs="IRNazanin"/>
          <w:color w:val="111111"/>
          <w:sz w:val="28"/>
          <w:szCs w:val="28"/>
          <w:rtl w:val="true"/>
          <w:lang w:bidi="fa-IR"/>
        </w:rPr>
        <w:t>.</w:t>
      </w:r>
    </w:p>
    <w:p>
      <w:pPr>
        <w:pStyle w:val="Heading2"/>
        <w:numPr>
          <w:ilvl w:val="1"/>
          <w:numId w:val="1"/>
        </w:numPr>
        <w:rPr/>
      </w:pPr>
      <w:bookmarkStart w:id="25" w:name="__RefHeading___Toc545643_2383167630"/>
      <w:bookmarkStart w:id="26" w:name="_Toc8"/>
      <w:bookmarkEnd w:id="25"/>
      <w:r>
        <w:rPr>
          <w:rtl w:val="true"/>
        </w:rPr>
        <w:t>ومنها</w:t>
      </w:r>
      <w:r>
        <w:rPr>
          <w:rtl w:val="true"/>
        </w:rPr>
        <w:t>:</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الموضوع نفس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الوصف العنوانی حیثیة تعلیلة أو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الثانی الجزمُ بدخالة الأوصاف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کالملکة الاستنباطیة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اعتبرناها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المعظم أو فسرناها بنفس الاعتدال فی السلوک والالتزام بجادة الصواب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استصوبه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عبارة عن رسوخ العقیدة السلیمة التی تبعث علی</w:t>
      </w:r>
    </w:p>
    <w:p>
      <w:pPr>
        <w:pStyle w:val="BookText"/>
        <w:rPr/>
      </w:pPr>
      <w:r>
        <w:rPr>
          <w:rFonts w:ascii="IRNazanin" w:hAnsi="IRNazanin" w:eastAsia="IRNazanin"/>
          <w:color w:val="111111"/>
          <w:sz w:val="28"/>
          <w:sz w:val="28"/>
          <w:szCs w:val="28"/>
          <w:rtl w:val="true"/>
          <w:lang w:bidi="fa-IR"/>
        </w:rPr>
        <w:t>الالتزام بالطاعة والاجتناب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معظم الشرائط الملتزمة لدی المعظم فی حجیة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فی التقلید البدائی المُستدام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الاعتبار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 الفقیه فی زمان حصول إذعاناته المستحصلة من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تقلیده فی جمیع أوقات حصول تلک الاعتقادات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الحکم مستنداً </w:t>
      </w:r>
    </w:p>
    <w:p>
      <w:pPr>
        <w:pStyle w:val="BookText"/>
        <w:rPr/>
      </w:pPr>
      <w:r>
        <w:rPr>
          <w:rFonts w:ascii="IRNazanin" w:hAnsi="IRNazanin" w:eastAsia="IRNazanin"/>
          <w:color w:val="111111"/>
          <w:sz w:val="28"/>
          <w:sz w:val="28"/>
          <w:szCs w:val="28"/>
          <w:rtl w:val="true"/>
          <w:lang w:bidi="fa-IR"/>
        </w:rPr>
        <w:t>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تلک الاذعانات مجردَ طرفٍ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لها دخل أو تأثیر فی ثبوت الحکم، وهو واضح الفساد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تکون تلک الإذعانات شرطاً من دون أن یکون لها مدخل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مصبّه مجموع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الاعتقادات فتکون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الموضوع بجمیع أجزائه بالنسبة إلی محموله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لدیهم بشرط الوصف، ولا یمانع من التعبیر بالحیثیة التقییدیة بهذا المعنی</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یکون الموضوع نفس المجتهد؛ لأجل تلک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منشأ للنسبة وعلة لها وتدور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أمکن تصویره فی الأحکام العرفیة والعقلانیة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تصویرها فی الشرعیات لا یخلو من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امتناع إسناد العلیة فی الأحکام الشرعیة والمجعولات الإلهیة إلی غیره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والصدور ممّن خُوِّل الأمر إلیه منه سبحانه حقیقةً مستند إلیه تعالی؛ فإنّ فعل الوکیل أو النائب فی لُبّه مستند إلی الموکِّل والمنوب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یصدر من العبد المأمول </w:t>
      </w:r>
    </w:p>
    <w:p>
      <w:pPr>
        <w:pStyle w:val="BookText"/>
        <w:rPr/>
      </w:pPr>
      <w:r>
        <w:rPr>
          <w:rFonts w:ascii="IRNazanin" w:hAnsi="IRNazanin" w:eastAsia="IRNazanin"/>
          <w:color w:val="111111"/>
          <w:sz w:val="28"/>
          <w:sz w:val="28"/>
          <w:szCs w:val="28"/>
          <w:rtl w:val="true"/>
          <w:lang w:bidi="fa-IR"/>
        </w:rPr>
        <w:t>المطیع بإرشاد المولی واستعباده منه؛ لمصلحته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غرضه مسند إلیه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والعلة المادیة الفاعلة والصوریة لا معنی لها؛ إذ لیس وجوب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النسبة الحکیمة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 من تلک الاعتقادات وذات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یُشکّل شیء منهما هیئته أو فعلیته، وکونها غایة واضح المنع؛ إذ المعتبر فیها التقدم علی ذیها فی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تکون متممة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لفاعلیة الفاعل، والتأخر علیه فی الوجود الخارجی أو فی النفس الأمری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فقدان کلا الشقین فی المقام، وعلی هذا الأساس وغیره لم نستبشع من بعض الأجلة التعبیر بالعلة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لیس فی لسان الأدلة ما یشیر إلی العلیة بنحو من الأنحاء</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لا بأس فی الالتزام بأن وجود هذه الإذعانات تخلق فی الفقیه قابلیة وأهلیة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یکون موضوعاً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النظرة الشمولیة فی أکناف الأدلة تبعثک علی الجزم بأنه لیس الموضوع نفس تلکم الإذعانات بوحدها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إلی رجل منکم یعلم شیئاً من قضایانا وعرف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فأرْجعُوْا فیها إلی رواةِ أحادیثنا فإنّهم حُجَّتی علیکم وَأَنَا حُجَّةُ الله علیهم</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القدر المستفاد من الأوامر بإرجاع العوام إلی أحاد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أکادُ أَصِلُ إلیکَ أسألُکَ عَنْ کلِّ ما أحتاجُ إلیهِ مِنْ معالمِ دینی أفَیُوْنسُ بُن عبدِ الرحمنِ ثقَةٌ آخُذُ منه ما أحتاج من معالم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 بن المسیب الهمدانی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معالم دینی؟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7" w:name="pg1316_9515"/>
    </w:p>
    <w:p>
      <w:pPr>
        <w:pStyle w:val="Heading2"/>
        <w:numPr>
          <w:ilvl w:val="1"/>
          <w:numId w:val="1"/>
        </w:numPr>
        <w:rPr/>
      </w:pPr>
      <w:bookmarkStart w:id="28" w:name="__RefHeading___Toc545645_2383167630"/>
      <w:bookmarkStart w:id="29" w:name="_Toc9"/>
      <w:bookmarkEnd w:id="27"/>
      <w:bookmarkEnd w:id="28"/>
      <w:r>
        <w:rPr>
          <w:rtl w:val="true"/>
        </w:rPr>
        <w:t>وقوله</w:t>
      </w:r>
      <w:r>
        <w:rPr>
          <w:rtl w:val="true"/>
        </w:rPr>
        <w:t>(</w:t>
      </w:r>
      <w:r>
        <w:rPr>
          <w:rtl w:val="true"/>
        </w:rPr>
        <w:t>علیه السلام</w:t>
      </w:r>
      <w:r>
        <w:rPr>
          <w:rtl w:val="true"/>
        </w:rPr>
        <w:t xml:space="preserve">) </w:t>
      </w:r>
      <w:r>
        <w:rPr>
          <w:rtl w:val="true"/>
        </w:rPr>
        <w:t>لأبان بن تغلب</w:t>
      </w:r>
      <w:r>
        <w:rPr>
          <w:rtl w:val="true"/>
        </w:rPr>
        <w:t>:</w:t>
      </w:r>
      <w:bookmarkEnd w:id="29"/>
    </w:p>
    <w:p>
      <w:pPr>
        <w:pStyle w:val="BookText"/>
        <w:rPr/>
      </w:pPr>
      <w:r>
        <w:rPr>
          <w:rFonts w:ascii="IRNazanin" w:hAnsi="IRNazanin" w:eastAsia="IRNazanin"/>
          <w:color w:val="111111"/>
          <w:sz w:val="28"/>
          <w:sz w:val="28"/>
          <w:szCs w:val="28"/>
          <w:rtl w:val="true"/>
          <w:lang w:bidi="fa-IR"/>
        </w:rPr>
        <w:t>اجلس فی مجلس المدینة وافت الناس فإنی أحب أن یری فی شیعتی مثلک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النصوص کما تری تنادی بما لا یبقی معه مجال للإمتراء بأنّ الموضوع لیس نفس 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ذات الفقیه بوصفه العنوانی مصب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 أن الاعتقادات المستندة إلی الفقیه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یصغی إلیها؛ فإن تجرید </w:t>
      </w:r>
    </w:p>
    <w:p>
      <w:pPr>
        <w:pStyle w:val="BookText"/>
        <w:rPr/>
      </w:pPr>
      <w:r>
        <w:rPr>
          <w:rFonts w:ascii="IRNazanin" w:hAnsi="IRNazanin" w:eastAsia="IRNazanin"/>
          <w:color w:val="111111"/>
          <w:sz w:val="28"/>
          <w:sz w:val="28"/>
          <w:szCs w:val="28"/>
          <w:rtl w:val="true"/>
          <w:lang w:bidi="fa-IR"/>
        </w:rPr>
        <w:t>العنوان عن المعنون بالنظر إلی ما هو المستفاد من الاستدلال بمثل التوقیع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 نظر المعنون بما له من الصلاحیة الفکریة فی شؤون المرجعیة الملازمة لاعتبار فتواه فی حقه وحق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یرجع إلی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اعتبار الصفات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کالصون ومخالفة الهوی وغیرها علیه یصبح بمعزل عن مصبّ الحکم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السیرة العقلانیة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الملموس منه الالتزام برجوع الجاهل إلی العالم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صنعة وحرفة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ما یتعلق بالمعاش والمعاد والدین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الإمضاء من المولی المُکتشف من عدم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تمکنه منه سادات المجتمعات علی اختلاف صنوفها وعاداتها ومشاربها وطبائعها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یدفع الناظر إلی الجزم بالإمضاء، فهی أیضاً لا تُفید الخصم؛ فإن المسلم والقدر المعترف من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الرجوع إلی نظر أهل الخبرة والاطلاع فی کل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یتراءَ من الاستمرار فی استعمال الدواء الذی وصفه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فقدانه الحیاة إنّما هو مثل تنفیذ الحکم الصادر من القاضی بعد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مع موت الحاکم بُعَیدَ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تعرف مدی الخلط فی الکلمات؛ فإن النظر الذی هو أساس الوصفة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الموضوع فیه قد افتقِد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النقوش الحاکیة عن الحاکی المرتکز فی ذهن الطبیب المتعلق بموضوع شخصی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لدی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الحاکی عن الموضوعات التی یجب الالتزام بمفاده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یردع عنه ساطع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نقوش الفتوی الحاکیة عن الحاکی عن النظریات الناشئة عن النظر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المسلَّم لدی </w:t>
      </w:r>
    </w:p>
    <w:p>
      <w:pPr>
        <w:pStyle w:val="BookText"/>
        <w:rPr/>
      </w:pPr>
      <w:r>
        <w:rPr>
          <w:rFonts w:ascii="IRNazanin" w:hAnsi="IRNazanin" w:eastAsia="IRNazanin"/>
          <w:color w:val="111111"/>
          <w:sz w:val="28"/>
          <w:sz w:val="28"/>
          <w:szCs w:val="28"/>
          <w:rtl w:val="true"/>
          <w:lang w:bidi="fa-IR"/>
        </w:rPr>
        <w:t>الخاصة عدم جواز تقلید المیت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أصبح من سماتهم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الموضوع نفس الإذعانات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للعدول عن اعتقادات أعلم الموتی إلی غیره من الموتی والأحیاء والتثبت بالإجماع بمثابة اعتراف الخصم بالهزیمة؛ فإن المسألة لم تعنون فی کلمات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ودعواه فی مثله یشبه استعانة الغریق بالحشیش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دعوی بقاء الإذعان الذی هو فعل من أفعال النفس لا ترجع إلی معنی محصل؛ فإنه آنِیٌّ 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والتخلص بأن الموضوع إدراک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الإذعان لا یتمّ؛ لأنه لا یختص بالمعتقد والالتزام بالتقید بالمعتقد یعید</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مع فنائه یصبح جهلا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عدول عما هو معنی الاجتهاد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التنزل عن الکل ودعوی شمول السیرة لصورة الخلاف بین الحی والمیت الذی هو مورد البحث والابتلاء ما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الانسداد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فالمتیقن منه لزوم العمل باعتقادات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وجه للعمل بالظن بمطابقة الإذعانات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المستصحبة مع توفّر الظن بمصادفة الاعتقادات الفعلیة فإنه یفتقر إلی حجة أخری غیر دلیل الانسداد، مضافاً إلی أن دلیل الانسداد لا یتم فی حق المقلد؛ لعجزه عن إحراز انسداد الباب العلمی لتوقفه علی الفحص عن الدلیل الخاص علی اعتبار طریق غیر الظن یُمکَّنه من إحراز الأمان من العقاب علی مخالفة الواقع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وکفایة فحص الفقیه نیابة عنه لا دلیل علیها علی أن القدر المتیقن هو ما إذا قام الحی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بفحص المیت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إلی أن مسألة التقلید لیست تقلدیة وإلا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الدور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کیف یحصل للمکلف الظن بمطابقة ظن المیت للواقع مع مخالفته لظن الحی ولا سیّما إذا کان أعلم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التشبث بالاطلاقات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الآیات والروایات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أنها وإن کانت ظاهرة بل صریحة فی أن المسؤول منه 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أنها مطلقة من جهة أنه لا ظهور لها فی توقف وجوب الحذر ووجوب القبول بعد الجواب والاعتماد بعد إظهار الرأی علی حیاة المنذر والمجیب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التحذّر والقبول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مع قبول ما ذُکِرَ أن المنصرف إلیه فی تلک النصوص وجوب القبول والتحذّر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والتقلید لمن یتمکن من الجواب والتحذیر والإنذار ویصلح للاعتماد علیه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والمیت لا یصلح لشیء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الجزم مصادرة، مضافاً إلی توقف شمول الإطلاقات علی ثبوت الرأی لدی العمل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أیضاً أن إمکان تقّید النصوص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علی طبق الاعتقاد السابق الزائل، لا یغنی شیئاً؛ فإن الحکم بجواز التقلید </w:t>
      </w:r>
    </w:p>
    <w:p>
      <w:pPr>
        <w:pStyle w:val="BookText"/>
        <w:rPr/>
      </w:pPr>
      <w:r>
        <w:rPr>
          <w:rFonts w:ascii="IRNazanin" w:hAnsi="IRNazanin" w:eastAsia="IRNazanin"/>
          <w:color w:val="111111"/>
          <w:sz w:val="28"/>
          <w:sz w:val="28"/>
          <w:szCs w:val="28"/>
          <w:rtl w:val="true"/>
          <w:lang w:bidi="fa-IR"/>
        </w:rPr>
        <w:t>یتطلب فعلیة الرأی، بل بناءً علی التقلید بالعمل ولو بنحو اتخاذه رکناً أو قیداً منه تفسیر کان کل فعل وکل عمل حین حصوله تقلیداً مستقلاً ورجوعاً مستأنفاً من العامی إلی الفقیه، فلا بد من تقدیر وجود الرأی والاعتقاد حین العمل دائماً، فاقض عجباً ممن یفسره بنفس العمل ثم یتمسک بالإطلاق</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ینبغی الشک فی أن الخلط بین حجیة الفتوی وحجیة الخبر دفع بعضهم إلی الالتزام </w:t>
      </w:r>
    </w:p>
    <w:p>
      <w:pPr>
        <w:pStyle w:val="BookText"/>
        <w:rPr/>
      </w:pPr>
      <w:r>
        <w:rPr>
          <w:rFonts w:ascii="IRNazanin" w:hAnsi="IRNazanin" w:eastAsia="IRNazanin"/>
          <w:color w:val="111111"/>
          <w:sz w:val="28"/>
          <w:sz w:val="28"/>
          <w:szCs w:val="28"/>
          <w:rtl w:val="true"/>
          <w:lang w:bidi="fa-IR"/>
        </w:rPr>
        <w:t>بجواز البقاء مع الاعتذار عن عدم جوازه فی الابتداء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یدفع الإطلاق فی المقام أن مورد البحث ما إذا اختلف الحی مع المیت فی الفتوی وقد قرر عدم شمول أدلة الاعتبار مع الاختلاف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إن المقصود إمّا الإطلاق من حیث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وجهة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یتوقف علی أخذ الزمان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عدم ملائمته مع الذوق ما لم یقم علیه دلیل خاص یمنع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بینهما من </w:t>
      </w:r>
    </w:p>
    <w:p>
      <w:pPr>
        <w:pStyle w:val="BookText"/>
        <w:rPr/>
      </w:pPr>
      <w:r>
        <w:rPr>
          <w:rFonts w:ascii="IRNazanin" w:hAnsi="IRNazanin" w:eastAsia="IRNazanin"/>
          <w:color w:val="111111"/>
          <w:sz w:val="28"/>
          <w:sz w:val="28"/>
          <w:szCs w:val="28"/>
          <w:rtl w:val="true"/>
          <w:lang w:bidi="fa-IR"/>
        </w:rPr>
        <w:t>الغرائب، 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علی اعتبار الموت والحیاة من الطوارئ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مع ما عرفت أنهما من الوجود والعدم، والکون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والأیس واللیس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تعرف شناعة الاعتقاد بجواز تقلید المیت ابتداءً الذی یناسب مبانی المصوّبة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نظریات الفقیه حینئذٍ باقیة کبقاء الشرع؛ لأنها مجعولات شرعیة، وبطلان المبنی والمبتنی علیه یدفع إلی الاعتقاد بخراب البناء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الوجوه المُومیة إلی الخلل المتخیّل فی وجوه دعوی جواز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الابتداء فی تقلید المیت عصمنا الله والمشتغلین کافة فی خدمة شریعة سید المرسلین فی القول والعمل من الخطأ والزلل إنه 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 وعلی ذریته الطیبین الطاهرین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محمد حسین الأصفهانی فی رسالته الاجتهاد والتقلید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ارنی کیف تحیی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کالذی مر علی قریة وهی خاویة علی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فی الأجتهاد والتقلید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المراد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رمیت إذ رمیت ولکن الله رمی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یسبقونه بالقول وهم بأمره یعملون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فی مثل علل الشرایع للصدوق ما هی إلا الحکم والمصالح جری علی لسان الأئمة للتقریب والاقناع رفقاً منهم علیهم السلام علی ضعفاء العقول من الشیعة کما یرشد إلیه عدم الطرد والعکس فیها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النحل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 فی الاجتهاد والتقلید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فی مباحثه الأصولیة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2838</Words>
  <Characters>13304</Characters>
  <CharactersWithSpaces>16036</CharactersWithSpaces>
  <Paragraphs>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2026-08-16T14:14:16Z</dcterms:created>
  <dc:creator>ghaemiyeh.com</dc:creator>
  <dc:description/>
  <dc:language>en-US</dc:language>
  <cp:lastModifiedBy/>
  <dcterms:modified xsi:type="dcterms:W3CDTF">2026-08-16T17:44:17Z</dcterms:modified>
  <cp:revision>1</cp:revision>
  <dc:subject/>
  <dc:title>وقفة مع مقلدی الموتی</dc:title>
</cp:coreProperties>
</file>

<file path=docProps/custom.xml><?xml version="1.0" encoding="utf-8"?>
<Properties xmlns="http://schemas.openxmlformats.org/officeDocument/2006/custom-properties" xmlns:vt="http://schemas.openxmlformats.org/officeDocument/2006/docPropsVTypes"/>
</file>